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1A442" w14:textId="77777777" w:rsidR="00ED751C" w:rsidRPr="00142949" w:rsidRDefault="00ED751C" w:rsidP="00ED751C">
      <w:pPr>
        <w:pStyle w:val="SubSubPar"/>
        <w:numPr>
          <w:ilvl w:val="0"/>
          <w:numId w:val="0"/>
        </w:numPr>
        <w:spacing w:after="0"/>
        <w:jc w:val="center"/>
        <w:rPr>
          <w:rFonts w:ascii="Arial" w:hAnsi="Arial" w:cs="Arial"/>
          <w:smallCaps/>
          <w:sz w:val="22"/>
          <w:szCs w:val="22"/>
          <w:lang w:val="es-ES"/>
        </w:rPr>
      </w:pPr>
      <w:r w:rsidRPr="00142949">
        <w:rPr>
          <w:rFonts w:ascii="Arial" w:hAnsi="Arial" w:cs="Arial"/>
          <w:smallCaps/>
          <w:sz w:val="22"/>
          <w:szCs w:val="22"/>
          <w:lang w:val="es-ES"/>
        </w:rPr>
        <w:t>Documento del Banco Interamericano De Desarrollo</w:t>
      </w:r>
    </w:p>
    <w:p w14:paraId="2341A443" w14:textId="77777777" w:rsidR="00ED751C" w:rsidRDefault="00ED751C" w:rsidP="00ED751C">
      <w:pPr>
        <w:tabs>
          <w:tab w:val="left" w:pos="1440"/>
          <w:tab w:val="left" w:pos="3060"/>
        </w:tabs>
        <w:jc w:val="center"/>
        <w:rPr>
          <w:smallCaps/>
          <w:lang w:val="es-ES"/>
        </w:rPr>
      </w:pPr>
    </w:p>
    <w:p w14:paraId="2341A444" w14:textId="77777777" w:rsidR="00ED751C" w:rsidRDefault="00ED751C" w:rsidP="00ED751C">
      <w:pPr>
        <w:tabs>
          <w:tab w:val="left" w:pos="1440"/>
          <w:tab w:val="left" w:pos="3060"/>
        </w:tabs>
        <w:jc w:val="center"/>
        <w:rPr>
          <w:smallCaps/>
          <w:lang w:val="es-ES"/>
        </w:rPr>
      </w:pPr>
    </w:p>
    <w:p w14:paraId="2341A445" w14:textId="77777777" w:rsidR="00ED751C" w:rsidRDefault="00ED751C" w:rsidP="00ED751C">
      <w:pPr>
        <w:tabs>
          <w:tab w:val="left" w:pos="1440"/>
          <w:tab w:val="left" w:pos="3060"/>
        </w:tabs>
        <w:jc w:val="center"/>
        <w:rPr>
          <w:smallCaps/>
          <w:lang w:val="es-ES"/>
        </w:rPr>
      </w:pPr>
    </w:p>
    <w:p w14:paraId="2341A446" w14:textId="77777777" w:rsidR="00ED751C" w:rsidRDefault="00ED751C" w:rsidP="00ED751C">
      <w:pPr>
        <w:tabs>
          <w:tab w:val="left" w:pos="1440"/>
          <w:tab w:val="left" w:pos="3060"/>
        </w:tabs>
        <w:jc w:val="center"/>
        <w:rPr>
          <w:smallCaps/>
          <w:lang w:val="es-ES"/>
        </w:rPr>
      </w:pPr>
    </w:p>
    <w:p w14:paraId="2341A447" w14:textId="77777777" w:rsidR="00ED751C" w:rsidRDefault="00ED751C" w:rsidP="00ED751C">
      <w:pPr>
        <w:tabs>
          <w:tab w:val="left" w:pos="1440"/>
          <w:tab w:val="left" w:pos="3060"/>
        </w:tabs>
        <w:jc w:val="center"/>
        <w:rPr>
          <w:smallCaps/>
          <w:lang w:val="es-ES"/>
        </w:rPr>
      </w:pPr>
    </w:p>
    <w:p w14:paraId="2341A448" w14:textId="77777777" w:rsidR="00ED751C" w:rsidRDefault="00ED751C" w:rsidP="00ED751C">
      <w:pPr>
        <w:tabs>
          <w:tab w:val="left" w:pos="1440"/>
          <w:tab w:val="left" w:pos="3060"/>
        </w:tabs>
        <w:jc w:val="center"/>
        <w:rPr>
          <w:smallCaps/>
          <w:lang w:val="es-ES"/>
        </w:rPr>
      </w:pPr>
    </w:p>
    <w:p w14:paraId="2341A449" w14:textId="77777777" w:rsidR="00142949" w:rsidRPr="00142949" w:rsidRDefault="00142949" w:rsidP="00142949">
      <w:pPr>
        <w:tabs>
          <w:tab w:val="left" w:pos="1440"/>
          <w:tab w:val="left" w:pos="3060"/>
        </w:tabs>
        <w:jc w:val="center"/>
        <w:rPr>
          <w:rFonts w:ascii="Arial" w:hAnsi="Arial" w:cs="Arial"/>
          <w:b/>
          <w:smallCaps/>
          <w:sz w:val="28"/>
          <w:szCs w:val="28"/>
          <w:lang w:val="es-ES"/>
        </w:rPr>
      </w:pPr>
      <w:r w:rsidRPr="00142949">
        <w:rPr>
          <w:rFonts w:ascii="Arial" w:hAnsi="Arial" w:cs="Arial"/>
          <w:b/>
          <w:smallCaps/>
          <w:sz w:val="28"/>
          <w:szCs w:val="28"/>
          <w:lang w:val="es-ES"/>
        </w:rPr>
        <w:t>Colombia</w:t>
      </w:r>
    </w:p>
    <w:p w14:paraId="2341A44A" w14:textId="77777777" w:rsidR="00142949" w:rsidRPr="00142949" w:rsidRDefault="00142949" w:rsidP="00142949">
      <w:pPr>
        <w:tabs>
          <w:tab w:val="left" w:pos="1440"/>
          <w:tab w:val="left" w:pos="3060"/>
        </w:tabs>
        <w:jc w:val="center"/>
        <w:rPr>
          <w:rFonts w:ascii="Arial" w:hAnsi="Arial" w:cs="Arial"/>
          <w:b/>
          <w:smallCaps/>
          <w:sz w:val="28"/>
          <w:szCs w:val="28"/>
          <w:lang w:val="es-ES"/>
        </w:rPr>
      </w:pPr>
    </w:p>
    <w:p w14:paraId="2341A44B" w14:textId="77777777" w:rsidR="00142949" w:rsidRPr="00142949" w:rsidRDefault="00142949" w:rsidP="00142949">
      <w:pPr>
        <w:tabs>
          <w:tab w:val="left" w:pos="1440"/>
          <w:tab w:val="left" w:pos="3060"/>
        </w:tabs>
        <w:jc w:val="center"/>
        <w:rPr>
          <w:rFonts w:ascii="Arial" w:hAnsi="Arial" w:cs="Arial"/>
          <w:b/>
          <w:smallCaps/>
          <w:sz w:val="28"/>
          <w:szCs w:val="28"/>
          <w:lang w:val="es-ES"/>
        </w:rPr>
      </w:pPr>
    </w:p>
    <w:p w14:paraId="2341A44C" w14:textId="77777777" w:rsidR="00142949" w:rsidRPr="00142949" w:rsidRDefault="00142949" w:rsidP="00142949">
      <w:pPr>
        <w:tabs>
          <w:tab w:val="left" w:pos="1440"/>
          <w:tab w:val="left" w:pos="3060"/>
        </w:tabs>
        <w:jc w:val="center"/>
        <w:rPr>
          <w:rFonts w:ascii="Arial" w:hAnsi="Arial" w:cs="Arial"/>
          <w:b/>
          <w:smallCaps/>
          <w:sz w:val="28"/>
          <w:szCs w:val="28"/>
          <w:lang w:val="es-ES"/>
        </w:rPr>
      </w:pPr>
    </w:p>
    <w:p w14:paraId="2341A44D" w14:textId="77777777" w:rsidR="00142949" w:rsidRPr="00142949" w:rsidRDefault="00142949" w:rsidP="00142949">
      <w:pPr>
        <w:tabs>
          <w:tab w:val="left" w:pos="1440"/>
          <w:tab w:val="left" w:pos="3060"/>
        </w:tabs>
        <w:jc w:val="center"/>
        <w:rPr>
          <w:rFonts w:ascii="Arial" w:hAnsi="Arial" w:cs="Arial"/>
          <w:b/>
          <w:smallCaps/>
          <w:sz w:val="28"/>
          <w:szCs w:val="28"/>
          <w:lang w:val="es-ES"/>
        </w:rPr>
      </w:pPr>
    </w:p>
    <w:p w14:paraId="2341A44E" w14:textId="77777777" w:rsidR="00142949" w:rsidRPr="00142949" w:rsidRDefault="00142949" w:rsidP="00142949">
      <w:pPr>
        <w:tabs>
          <w:tab w:val="left" w:pos="1440"/>
          <w:tab w:val="left" w:pos="3060"/>
        </w:tabs>
        <w:jc w:val="center"/>
        <w:rPr>
          <w:rFonts w:ascii="Arial" w:hAnsi="Arial" w:cs="Arial"/>
          <w:b/>
          <w:smallCaps/>
          <w:sz w:val="28"/>
          <w:szCs w:val="28"/>
          <w:lang w:val="es-ES"/>
        </w:rPr>
      </w:pPr>
      <w:r w:rsidRPr="00142949">
        <w:rPr>
          <w:rFonts w:ascii="Arial" w:hAnsi="Arial" w:cs="Arial"/>
          <w:b/>
          <w:smallCaps/>
          <w:sz w:val="28"/>
          <w:szCs w:val="28"/>
          <w:lang w:val="es-ES_tradnl"/>
        </w:rPr>
        <w:t>Programa Nacional para Asegurar un Suministro de Energía Sostenible y Eficiente</w:t>
      </w:r>
    </w:p>
    <w:p w14:paraId="2341A44F" w14:textId="77777777" w:rsidR="00142949" w:rsidRPr="00142949" w:rsidRDefault="00142949" w:rsidP="00142949">
      <w:pPr>
        <w:tabs>
          <w:tab w:val="left" w:pos="1440"/>
          <w:tab w:val="left" w:pos="3060"/>
        </w:tabs>
        <w:jc w:val="center"/>
        <w:rPr>
          <w:rFonts w:ascii="Arial" w:hAnsi="Arial" w:cs="Arial"/>
          <w:b/>
          <w:smallCaps/>
          <w:sz w:val="28"/>
          <w:szCs w:val="28"/>
          <w:lang w:val="es-ES"/>
        </w:rPr>
      </w:pPr>
    </w:p>
    <w:p w14:paraId="2341A450" w14:textId="77777777" w:rsidR="00142949" w:rsidRPr="00142949" w:rsidRDefault="00142949" w:rsidP="00142949">
      <w:pPr>
        <w:tabs>
          <w:tab w:val="left" w:pos="1440"/>
          <w:tab w:val="left" w:pos="3060"/>
        </w:tabs>
        <w:jc w:val="center"/>
        <w:rPr>
          <w:rFonts w:ascii="Arial" w:hAnsi="Arial" w:cs="Arial"/>
          <w:b/>
          <w:smallCaps/>
          <w:sz w:val="28"/>
          <w:szCs w:val="28"/>
          <w:lang w:val="es-ES"/>
        </w:rPr>
      </w:pPr>
      <w:r w:rsidRPr="00142949">
        <w:rPr>
          <w:rFonts w:ascii="Arial" w:hAnsi="Arial" w:cs="Arial"/>
          <w:b/>
          <w:smallCaps/>
          <w:sz w:val="28"/>
          <w:szCs w:val="28"/>
          <w:lang w:val="es-ES"/>
        </w:rPr>
        <w:t>(CO-L1217)</w:t>
      </w:r>
    </w:p>
    <w:p w14:paraId="2341A451" w14:textId="77777777" w:rsidR="00142949" w:rsidRPr="00142949" w:rsidRDefault="00142949" w:rsidP="00142949">
      <w:pPr>
        <w:tabs>
          <w:tab w:val="left" w:pos="1440"/>
          <w:tab w:val="left" w:pos="3060"/>
        </w:tabs>
        <w:jc w:val="center"/>
        <w:rPr>
          <w:rFonts w:ascii="Arial" w:hAnsi="Arial" w:cs="Arial"/>
          <w:b/>
          <w:smallCaps/>
          <w:sz w:val="28"/>
          <w:szCs w:val="28"/>
          <w:lang w:val="es-ES"/>
        </w:rPr>
      </w:pPr>
    </w:p>
    <w:p w14:paraId="2341A452" w14:textId="77777777" w:rsidR="00142949" w:rsidRPr="00142949" w:rsidRDefault="00142949" w:rsidP="00142949">
      <w:pPr>
        <w:tabs>
          <w:tab w:val="left" w:pos="1440"/>
          <w:tab w:val="left" w:pos="3060"/>
        </w:tabs>
        <w:jc w:val="center"/>
        <w:rPr>
          <w:rFonts w:ascii="Arial" w:hAnsi="Arial" w:cs="Arial"/>
          <w:b/>
          <w:smallCaps/>
          <w:sz w:val="28"/>
          <w:szCs w:val="28"/>
          <w:lang w:val="es-ES"/>
        </w:rPr>
      </w:pPr>
    </w:p>
    <w:p w14:paraId="2341A453" w14:textId="77777777" w:rsidR="00142949" w:rsidRPr="00142949" w:rsidRDefault="00142949" w:rsidP="00142949">
      <w:pPr>
        <w:tabs>
          <w:tab w:val="left" w:pos="1440"/>
          <w:tab w:val="left" w:pos="3060"/>
        </w:tabs>
        <w:jc w:val="center"/>
        <w:rPr>
          <w:rFonts w:ascii="Arial" w:hAnsi="Arial" w:cs="Arial"/>
          <w:b/>
          <w:smallCaps/>
          <w:sz w:val="28"/>
          <w:szCs w:val="28"/>
          <w:lang w:val="es-ES"/>
        </w:rPr>
      </w:pPr>
    </w:p>
    <w:p w14:paraId="2341A454" w14:textId="77777777" w:rsidR="00142949" w:rsidRPr="00142949" w:rsidRDefault="00142949" w:rsidP="00142949">
      <w:pPr>
        <w:tabs>
          <w:tab w:val="left" w:pos="1440"/>
          <w:tab w:val="left" w:pos="3060"/>
        </w:tabs>
        <w:jc w:val="center"/>
        <w:rPr>
          <w:rFonts w:ascii="Arial" w:hAnsi="Arial" w:cs="Arial"/>
          <w:b/>
          <w:smallCaps/>
          <w:sz w:val="28"/>
          <w:szCs w:val="28"/>
          <w:lang w:val="es-ES"/>
        </w:rPr>
      </w:pPr>
    </w:p>
    <w:p w14:paraId="2341A455" w14:textId="77777777" w:rsidR="00142949" w:rsidRPr="00142949" w:rsidRDefault="00142949" w:rsidP="00142949">
      <w:pPr>
        <w:tabs>
          <w:tab w:val="left" w:pos="1440"/>
          <w:tab w:val="left" w:pos="3060"/>
        </w:tabs>
        <w:jc w:val="center"/>
        <w:rPr>
          <w:rFonts w:ascii="Arial" w:hAnsi="Arial" w:cs="Arial"/>
          <w:b/>
          <w:smallCaps/>
          <w:sz w:val="28"/>
          <w:szCs w:val="28"/>
          <w:lang w:val="es-ES"/>
        </w:rPr>
      </w:pPr>
    </w:p>
    <w:p w14:paraId="2341A456" w14:textId="77777777" w:rsidR="00142949" w:rsidRPr="00142949" w:rsidRDefault="00142949" w:rsidP="00142949">
      <w:pPr>
        <w:tabs>
          <w:tab w:val="left" w:pos="1440"/>
          <w:tab w:val="left" w:pos="3060"/>
        </w:tabs>
        <w:jc w:val="center"/>
        <w:rPr>
          <w:rFonts w:ascii="Arial" w:hAnsi="Arial" w:cs="Arial"/>
          <w:b/>
          <w:smallCaps/>
          <w:sz w:val="28"/>
          <w:szCs w:val="28"/>
          <w:lang w:val="es-ES"/>
        </w:rPr>
      </w:pPr>
    </w:p>
    <w:p w14:paraId="2341A457" w14:textId="77777777" w:rsidR="00142949" w:rsidRPr="00142949" w:rsidRDefault="00142949" w:rsidP="00142949">
      <w:pPr>
        <w:tabs>
          <w:tab w:val="left" w:pos="1440"/>
          <w:tab w:val="left" w:pos="3060"/>
        </w:tabs>
        <w:jc w:val="center"/>
        <w:rPr>
          <w:rFonts w:ascii="Arial" w:hAnsi="Arial" w:cs="Arial"/>
          <w:b/>
          <w:smallCaps/>
          <w:sz w:val="28"/>
          <w:szCs w:val="28"/>
          <w:lang w:val="es-ES"/>
        </w:rPr>
      </w:pPr>
    </w:p>
    <w:p w14:paraId="2341A458" w14:textId="77777777" w:rsidR="00142949" w:rsidRPr="00142949" w:rsidRDefault="00142949" w:rsidP="00142949">
      <w:pPr>
        <w:tabs>
          <w:tab w:val="left" w:pos="1440"/>
          <w:tab w:val="left" w:pos="3060"/>
        </w:tabs>
        <w:jc w:val="center"/>
        <w:rPr>
          <w:rFonts w:ascii="Arial" w:hAnsi="Arial" w:cs="Arial"/>
          <w:b/>
          <w:smallCaps/>
          <w:sz w:val="28"/>
          <w:szCs w:val="28"/>
          <w:lang w:val="es-ES"/>
        </w:rPr>
      </w:pPr>
      <w:r w:rsidRPr="00142949">
        <w:rPr>
          <w:rFonts w:ascii="Arial" w:hAnsi="Arial" w:cs="Arial"/>
          <w:b/>
          <w:smallCaps/>
          <w:sz w:val="28"/>
          <w:szCs w:val="28"/>
          <w:lang w:val="es-ES"/>
        </w:rPr>
        <w:t>Plan de Seguimiento y Evaluación</w:t>
      </w:r>
    </w:p>
    <w:p w14:paraId="2341A459" w14:textId="77777777" w:rsidR="00ED751C" w:rsidRPr="00142949" w:rsidRDefault="00ED751C" w:rsidP="00ED751C">
      <w:pPr>
        <w:tabs>
          <w:tab w:val="left" w:pos="1440"/>
          <w:tab w:val="left" w:pos="3060"/>
        </w:tabs>
        <w:jc w:val="center"/>
        <w:rPr>
          <w:rFonts w:ascii="Arial" w:hAnsi="Arial" w:cs="Arial"/>
          <w:sz w:val="28"/>
          <w:szCs w:val="28"/>
          <w:lang w:val="es-ES"/>
        </w:rPr>
      </w:pPr>
    </w:p>
    <w:p w14:paraId="2341A45A" w14:textId="77777777" w:rsidR="00ED751C" w:rsidRPr="00142949" w:rsidRDefault="00ED751C" w:rsidP="00ED751C">
      <w:pPr>
        <w:tabs>
          <w:tab w:val="left" w:pos="1440"/>
          <w:tab w:val="left" w:pos="3060"/>
        </w:tabs>
        <w:jc w:val="center"/>
        <w:rPr>
          <w:rFonts w:ascii="Arial" w:hAnsi="Arial" w:cs="Arial"/>
          <w:sz w:val="28"/>
          <w:szCs w:val="28"/>
          <w:lang w:val="es-ES"/>
        </w:rPr>
      </w:pPr>
    </w:p>
    <w:p w14:paraId="2341A45B" w14:textId="77777777" w:rsidR="00ED751C" w:rsidRPr="00142949" w:rsidRDefault="00ED751C" w:rsidP="00ED751C">
      <w:pPr>
        <w:tabs>
          <w:tab w:val="left" w:pos="1440"/>
          <w:tab w:val="left" w:pos="3060"/>
        </w:tabs>
        <w:jc w:val="center"/>
        <w:rPr>
          <w:rFonts w:ascii="Arial" w:hAnsi="Arial" w:cs="Arial"/>
          <w:sz w:val="28"/>
          <w:szCs w:val="28"/>
          <w:lang w:val="es-ES"/>
        </w:rPr>
      </w:pPr>
    </w:p>
    <w:p w14:paraId="2341A45C" w14:textId="77777777" w:rsidR="00ED751C" w:rsidRDefault="00ED751C" w:rsidP="00ED751C">
      <w:pPr>
        <w:tabs>
          <w:tab w:val="left" w:pos="1440"/>
          <w:tab w:val="left" w:pos="3060"/>
        </w:tabs>
        <w:jc w:val="center"/>
        <w:rPr>
          <w:lang w:val="es-ES"/>
        </w:rPr>
      </w:pPr>
    </w:p>
    <w:p w14:paraId="2341A45D" w14:textId="77777777" w:rsidR="00142949" w:rsidRDefault="00142949" w:rsidP="00ED751C">
      <w:pPr>
        <w:tabs>
          <w:tab w:val="left" w:pos="1440"/>
          <w:tab w:val="left" w:pos="3060"/>
        </w:tabs>
        <w:jc w:val="center"/>
        <w:rPr>
          <w:lang w:val="es-ES"/>
        </w:rPr>
      </w:pPr>
    </w:p>
    <w:p w14:paraId="2341A45E" w14:textId="77777777" w:rsidR="00142949" w:rsidRDefault="00142949" w:rsidP="00ED751C">
      <w:pPr>
        <w:tabs>
          <w:tab w:val="left" w:pos="1440"/>
          <w:tab w:val="left" w:pos="3060"/>
        </w:tabs>
        <w:jc w:val="center"/>
        <w:rPr>
          <w:lang w:val="es-ES"/>
        </w:rPr>
      </w:pPr>
    </w:p>
    <w:p w14:paraId="2341A45F" w14:textId="77777777" w:rsidR="00142949" w:rsidRDefault="00142949" w:rsidP="00ED751C">
      <w:pPr>
        <w:tabs>
          <w:tab w:val="left" w:pos="1440"/>
          <w:tab w:val="left" w:pos="3060"/>
        </w:tabs>
        <w:jc w:val="center"/>
        <w:rPr>
          <w:lang w:val="es-ES"/>
        </w:rPr>
      </w:pPr>
    </w:p>
    <w:p w14:paraId="2341A460" w14:textId="77777777" w:rsidR="00ED751C" w:rsidRDefault="00ED751C" w:rsidP="00ED751C">
      <w:pPr>
        <w:tabs>
          <w:tab w:val="left" w:pos="1440"/>
          <w:tab w:val="left" w:pos="3060"/>
        </w:tabs>
        <w:jc w:val="center"/>
        <w:rPr>
          <w:lang w:val="es-ES"/>
        </w:rPr>
      </w:pPr>
    </w:p>
    <w:p w14:paraId="2341A461" w14:textId="77777777" w:rsidR="00ED751C" w:rsidRDefault="00ED751C" w:rsidP="00ED751C">
      <w:pPr>
        <w:tabs>
          <w:tab w:val="left" w:pos="1440"/>
          <w:tab w:val="left" w:pos="3060"/>
        </w:tabs>
        <w:jc w:val="center"/>
        <w:rPr>
          <w:lang w:val="es-ES"/>
        </w:rPr>
      </w:pPr>
    </w:p>
    <w:p w14:paraId="2341A462" w14:textId="77777777" w:rsidR="00ED751C" w:rsidRDefault="00ED751C" w:rsidP="00ED751C">
      <w:pPr>
        <w:tabs>
          <w:tab w:val="left" w:pos="1440"/>
          <w:tab w:val="left" w:pos="3060"/>
        </w:tabs>
        <w:jc w:val="center"/>
        <w:rPr>
          <w:lang w:val="es-ES"/>
        </w:rPr>
      </w:pPr>
    </w:p>
    <w:p w14:paraId="2341A463" w14:textId="77777777" w:rsidR="00ED751C" w:rsidRDefault="00ED751C" w:rsidP="00ED751C">
      <w:pPr>
        <w:tabs>
          <w:tab w:val="left" w:pos="1440"/>
          <w:tab w:val="left" w:pos="3060"/>
        </w:tabs>
        <w:jc w:val="center"/>
        <w:rPr>
          <w:lang w:val="es-ES"/>
        </w:rPr>
      </w:pPr>
    </w:p>
    <w:p w14:paraId="2341A464" w14:textId="77777777" w:rsidR="00142949" w:rsidRPr="00142949" w:rsidRDefault="00142949" w:rsidP="00142949">
      <w:pPr>
        <w:pBdr>
          <w:top w:val="single" w:sz="4" w:space="1" w:color="auto"/>
          <w:left w:val="single" w:sz="4" w:space="4" w:color="auto"/>
          <w:bottom w:val="single" w:sz="4" w:space="1" w:color="auto"/>
          <w:right w:val="single" w:sz="4" w:space="4" w:color="auto"/>
        </w:pBdr>
        <w:tabs>
          <w:tab w:val="left" w:pos="1440"/>
          <w:tab w:val="left" w:pos="3060"/>
        </w:tabs>
        <w:jc w:val="both"/>
        <w:rPr>
          <w:rFonts w:ascii="Arial" w:hAnsi="Arial" w:cs="Arial"/>
          <w:sz w:val="20"/>
          <w:lang w:val="es-ES"/>
        </w:rPr>
      </w:pPr>
      <w:r w:rsidRPr="00142949">
        <w:rPr>
          <w:rFonts w:ascii="Arial" w:hAnsi="Arial" w:cs="Arial"/>
          <w:sz w:val="20"/>
          <w:lang w:val="es-ES"/>
        </w:rPr>
        <w:t xml:space="preserve">Este documento fue preparado por el equipo de proyecto integrado por: José Ramón Gómez (ENE/CCO) Jefe de Equipo; Jorge Mercado (ENE/CRD) Co-líder de Equipo; Nancy Jesurun-Clements; Juan Carlos Cárdenas; Stephanie Suber (INE/ENE); Miguel Orellana (FMP/CCO); Pilar Jimenez de Arechaga (LEG/SGO); Leandro Gastón Adrián (CAN/CCO); y Andrea Giraldo (CAN/CCO).  </w:t>
      </w:r>
    </w:p>
    <w:p w14:paraId="2341A465" w14:textId="77777777" w:rsidR="00ED751C" w:rsidRDefault="00ED751C" w:rsidP="00ED751C">
      <w:pPr>
        <w:tabs>
          <w:tab w:val="left" w:pos="1440"/>
          <w:tab w:val="left" w:pos="3060"/>
        </w:tabs>
        <w:outlineLvl w:val="0"/>
        <w:rPr>
          <w:lang w:val="es-ES"/>
        </w:rPr>
      </w:pPr>
    </w:p>
    <w:p w14:paraId="2341A466" w14:textId="77777777" w:rsidR="00ED751C" w:rsidRDefault="00ED751C" w:rsidP="00ED751C">
      <w:pPr>
        <w:tabs>
          <w:tab w:val="left" w:pos="1440"/>
          <w:tab w:val="left" w:pos="3060"/>
        </w:tabs>
        <w:outlineLvl w:val="0"/>
        <w:rPr>
          <w:lang w:val="es-ES"/>
        </w:rPr>
        <w:sectPr w:rsidR="00ED751C" w:rsidSect="00ED751C">
          <w:headerReference w:type="even" r:id="rId14"/>
          <w:headerReference w:type="default" r:id="rId15"/>
          <w:footerReference w:type="even" r:id="rId16"/>
          <w:headerReference w:type="first" r:id="rId17"/>
          <w:pgSz w:w="12240" w:h="15840" w:code="1"/>
          <w:pgMar w:top="1440" w:right="1800" w:bottom="1440" w:left="1800" w:header="706" w:footer="706" w:gutter="0"/>
          <w:pgNumType w:fmt="lowerRoman" w:start="1"/>
          <w:cols w:space="720"/>
          <w:formProt w:val="0"/>
          <w:titlePg/>
        </w:sectPr>
      </w:pPr>
    </w:p>
    <w:p w14:paraId="2341A467" w14:textId="77777777" w:rsidR="00ED751C" w:rsidRDefault="00ED751C" w:rsidP="00ED751C">
      <w:pPr>
        <w:pStyle w:val="Newpage"/>
      </w:pPr>
      <w:r>
        <w:lastRenderedPageBreak/>
        <w:t>Índice</w:t>
      </w:r>
    </w:p>
    <w:p w14:paraId="2341A468" w14:textId="77777777" w:rsidR="00ED751C" w:rsidRDefault="00ED751C" w:rsidP="00ED751C">
      <w:pPr>
        <w:pStyle w:val="Newpage"/>
      </w:pPr>
    </w:p>
    <w:p w14:paraId="2341A469" w14:textId="77777777" w:rsidR="00CB00F0" w:rsidRPr="00CB00F0" w:rsidRDefault="00E3347F">
      <w:pPr>
        <w:pStyle w:val="TOC1"/>
        <w:rPr>
          <w:rFonts w:asciiTheme="minorHAnsi" w:eastAsiaTheme="minorEastAsia" w:hAnsiTheme="minorHAnsi" w:cstheme="minorBidi"/>
          <w:smallCaps w:val="0"/>
          <w:sz w:val="22"/>
          <w:szCs w:val="22"/>
          <w:lang w:val="es-ES_tradnl"/>
        </w:rPr>
      </w:pPr>
      <w:r>
        <w:fldChar w:fldCharType="begin"/>
      </w:r>
      <w:r w:rsidR="00ED751C" w:rsidRPr="00B54624">
        <w:rPr>
          <w:lang w:val="es-ES"/>
        </w:rPr>
        <w:instrText xml:space="preserve"> TOC \f \t "Chapter,1,FirstHeading,2,SecHeading,3" </w:instrText>
      </w:r>
      <w:r>
        <w:fldChar w:fldCharType="separate"/>
      </w:r>
      <w:r w:rsidR="00CB00F0" w:rsidRPr="00CB00F0">
        <w:rPr>
          <w:rFonts w:ascii="Arial" w:hAnsi="Arial" w:cs="Arial"/>
          <w:lang w:val="es-ES_tradnl"/>
        </w:rPr>
        <w:t>I.</w:t>
      </w:r>
      <w:r w:rsidR="00CB00F0" w:rsidRPr="00CB00F0">
        <w:rPr>
          <w:rFonts w:asciiTheme="minorHAnsi" w:eastAsiaTheme="minorEastAsia" w:hAnsiTheme="minorHAnsi" w:cstheme="minorBidi"/>
          <w:smallCaps w:val="0"/>
          <w:sz w:val="22"/>
          <w:szCs w:val="22"/>
          <w:lang w:val="es-ES_tradnl"/>
        </w:rPr>
        <w:tab/>
      </w:r>
      <w:r w:rsidR="00CB00F0" w:rsidRPr="00CB00F0">
        <w:rPr>
          <w:rFonts w:ascii="Arial" w:hAnsi="Arial" w:cs="Arial"/>
          <w:lang w:val="es-ES_tradnl"/>
        </w:rPr>
        <w:t>Introducción</w:t>
      </w:r>
      <w:r w:rsidR="00CB00F0" w:rsidRPr="00CB00F0">
        <w:rPr>
          <w:lang w:val="es-ES_tradnl"/>
        </w:rPr>
        <w:tab/>
      </w:r>
      <w:r w:rsidR="00CB00F0">
        <w:fldChar w:fldCharType="begin"/>
      </w:r>
      <w:r w:rsidR="00CB00F0" w:rsidRPr="00CB00F0">
        <w:rPr>
          <w:lang w:val="es-ES_tradnl"/>
        </w:rPr>
        <w:instrText xml:space="preserve"> PAGEREF _Toc473464947 \h </w:instrText>
      </w:r>
      <w:r w:rsidR="00CB00F0">
        <w:fldChar w:fldCharType="separate"/>
      </w:r>
      <w:r w:rsidR="00CB00F0" w:rsidRPr="00CB00F0">
        <w:rPr>
          <w:lang w:val="es-ES_tradnl"/>
        </w:rPr>
        <w:t>3</w:t>
      </w:r>
      <w:r w:rsidR="00CB00F0">
        <w:fldChar w:fldCharType="end"/>
      </w:r>
    </w:p>
    <w:p w14:paraId="2341A46A" w14:textId="77777777" w:rsidR="00CB00F0" w:rsidRPr="00CB00F0" w:rsidRDefault="00CB00F0">
      <w:pPr>
        <w:pStyle w:val="TOC1"/>
        <w:rPr>
          <w:rFonts w:asciiTheme="minorHAnsi" w:eastAsiaTheme="minorEastAsia" w:hAnsiTheme="minorHAnsi" w:cstheme="minorBidi"/>
          <w:smallCaps w:val="0"/>
          <w:sz w:val="22"/>
          <w:szCs w:val="22"/>
          <w:lang w:val="es-ES_tradnl"/>
        </w:rPr>
      </w:pPr>
      <w:r w:rsidRPr="00CB00F0">
        <w:rPr>
          <w:rFonts w:ascii="Arial" w:hAnsi="Arial" w:cs="Arial"/>
          <w:lang w:val="es-ES_tradnl"/>
        </w:rPr>
        <w:t>II.</w:t>
      </w:r>
      <w:r w:rsidRPr="00CB00F0">
        <w:rPr>
          <w:rFonts w:asciiTheme="minorHAnsi" w:eastAsiaTheme="minorEastAsia" w:hAnsiTheme="minorHAnsi" w:cstheme="minorBidi"/>
          <w:smallCaps w:val="0"/>
          <w:sz w:val="22"/>
          <w:szCs w:val="22"/>
          <w:lang w:val="es-ES_tradnl"/>
        </w:rPr>
        <w:tab/>
      </w:r>
      <w:r w:rsidRPr="00CB00F0">
        <w:rPr>
          <w:rFonts w:ascii="Arial" w:hAnsi="Arial" w:cs="Arial"/>
          <w:lang w:val="es-ES_tradnl"/>
        </w:rPr>
        <w:t>Plan de Seguimiento</w:t>
      </w:r>
      <w:r w:rsidRPr="00CB00F0">
        <w:rPr>
          <w:lang w:val="es-ES_tradnl"/>
        </w:rPr>
        <w:tab/>
      </w:r>
      <w:r>
        <w:fldChar w:fldCharType="begin"/>
      </w:r>
      <w:r w:rsidRPr="00CB00F0">
        <w:rPr>
          <w:lang w:val="es-ES_tradnl"/>
        </w:rPr>
        <w:instrText xml:space="preserve"> PAGEREF _Toc473464948 \h </w:instrText>
      </w:r>
      <w:r>
        <w:fldChar w:fldCharType="separate"/>
      </w:r>
      <w:r w:rsidRPr="00CB00F0">
        <w:rPr>
          <w:lang w:val="es-ES_tradnl"/>
        </w:rPr>
        <w:t>5</w:t>
      </w:r>
      <w:r>
        <w:fldChar w:fldCharType="end"/>
      </w:r>
    </w:p>
    <w:p w14:paraId="2341A46B" w14:textId="77777777" w:rsidR="00CB00F0" w:rsidRPr="00CB00F0" w:rsidRDefault="00CB00F0">
      <w:pPr>
        <w:pStyle w:val="TOC2"/>
        <w:rPr>
          <w:rFonts w:asciiTheme="minorHAnsi" w:eastAsiaTheme="minorEastAsia" w:hAnsiTheme="minorHAnsi" w:cstheme="minorBidi"/>
          <w:sz w:val="22"/>
          <w:szCs w:val="22"/>
          <w:lang w:val="es-ES_tradnl"/>
        </w:rPr>
      </w:pPr>
      <w:r w:rsidRPr="00CB00F0">
        <w:rPr>
          <w:rFonts w:ascii="Arial" w:hAnsi="Arial" w:cs="Arial"/>
          <w:lang w:val="es-ES_tradnl"/>
        </w:rPr>
        <w:t>A.</w:t>
      </w:r>
      <w:r w:rsidRPr="00CB00F0">
        <w:rPr>
          <w:rFonts w:asciiTheme="minorHAnsi" w:eastAsiaTheme="minorEastAsia" w:hAnsiTheme="minorHAnsi" w:cstheme="minorBidi"/>
          <w:sz w:val="22"/>
          <w:szCs w:val="22"/>
          <w:lang w:val="es-ES_tradnl"/>
        </w:rPr>
        <w:tab/>
      </w:r>
      <w:r w:rsidRPr="00CB00F0">
        <w:rPr>
          <w:rFonts w:ascii="Arial" w:hAnsi="Arial" w:cs="Arial"/>
          <w:lang w:val="es-ES_tradnl"/>
        </w:rPr>
        <w:t>Objetivo</w:t>
      </w:r>
      <w:r w:rsidRPr="00CB00F0">
        <w:rPr>
          <w:lang w:val="es-ES_tradnl"/>
        </w:rPr>
        <w:tab/>
      </w:r>
      <w:r>
        <w:fldChar w:fldCharType="begin"/>
      </w:r>
      <w:r w:rsidRPr="00CB00F0">
        <w:rPr>
          <w:lang w:val="es-ES_tradnl"/>
        </w:rPr>
        <w:instrText xml:space="preserve"> PAGEREF _Toc473464949 \h </w:instrText>
      </w:r>
      <w:r>
        <w:fldChar w:fldCharType="separate"/>
      </w:r>
      <w:r w:rsidRPr="00CB00F0">
        <w:rPr>
          <w:lang w:val="es-ES_tradnl"/>
        </w:rPr>
        <w:t>5</w:t>
      </w:r>
      <w:r>
        <w:fldChar w:fldCharType="end"/>
      </w:r>
    </w:p>
    <w:p w14:paraId="2341A46C" w14:textId="77777777" w:rsidR="00CB00F0" w:rsidRPr="00CB00F0" w:rsidRDefault="00CB00F0">
      <w:pPr>
        <w:pStyle w:val="TOC2"/>
        <w:rPr>
          <w:rFonts w:asciiTheme="minorHAnsi" w:eastAsiaTheme="minorEastAsia" w:hAnsiTheme="minorHAnsi" w:cstheme="minorBidi"/>
          <w:sz w:val="22"/>
          <w:szCs w:val="22"/>
          <w:lang w:val="es-ES_tradnl"/>
        </w:rPr>
      </w:pPr>
      <w:r w:rsidRPr="00CB00F0">
        <w:rPr>
          <w:rFonts w:ascii="Arial" w:hAnsi="Arial" w:cs="Arial"/>
          <w:lang w:val="es-ES_tradnl"/>
        </w:rPr>
        <w:t>B.</w:t>
      </w:r>
      <w:r w:rsidRPr="00CB00F0">
        <w:rPr>
          <w:rFonts w:asciiTheme="minorHAnsi" w:eastAsiaTheme="minorEastAsia" w:hAnsiTheme="minorHAnsi" w:cstheme="minorBidi"/>
          <w:sz w:val="22"/>
          <w:szCs w:val="22"/>
          <w:lang w:val="es-ES_tradnl"/>
        </w:rPr>
        <w:tab/>
      </w:r>
      <w:r w:rsidRPr="00CB00F0">
        <w:rPr>
          <w:rFonts w:ascii="Arial" w:hAnsi="Arial" w:cs="Arial"/>
          <w:lang w:val="es-ES_tradnl"/>
        </w:rPr>
        <w:t>Responsabilidad</w:t>
      </w:r>
      <w:r w:rsidRPr="00CB00F0">
        <w:rPr>
          <w:lang w:val="es-ES_tradnl"/>
        </w:rPr>
        <w:tab/>
      </w:r>
      <w:r>
        <w:fldChar w:fldCharType="begin"/>
      </w:r>
      <w:r w:rsidRPr="00CB00F0">
        <w:rPr>
          <w:lang w:val="es-ES_tradnl"/>
        </w:rPr>
        <w:instrText xml:space="preserve"> PAGEREF _Toc473464950 \h </w:instrText>
      </w:r>
      <w:r>
        <w:fldChar w:fldCharType="separate"/>
      </w:r>
      <w:r w:rsidRPr="00CB00F0">
        <w:rPr>
          <w:lang w:val="es-ES_tradnl"/>
        </w:rPr>
        <w:t>5</w:t>
      </w:r>
      <w:r>
        <w:fldChar w:fldCharType="end"/>
      </w:r>
    </w:p>
    <w:p w14:paraId="2341A46D" w14:textId="77777777" w:rsidR="00CB00F0" w:rsidRPr="00CB00F0" w:rsidRDefault="00CB00F0">
      <w:pPr>
        <w:pStyle w:val="TOC2"/>
        <w:rPr>
          <w:rFonts w:asciiTheme="minorHAnsi" w:eastAsiaTheme="minorEastAsia" w:hAnsiTheme="minorHAnsi" w:cstheme="minorBidi"/>
          <w:sz w:val="22"/>
          <w:szCs w:val="22"/>
          <w:lang w:val="es-ES_tradnl"/>
        </w:rPr>
      </w:pPr>
      <w:r w:rsidRPr="00CB00F0">
        <w:rPr>
          <w:rFonts w:ascii="Arial" w:hAnsi="Arial" w:cs="Arial"/>
          <w:lang w:val="es-ES_tradnl"/>
        </w:rPr>
        <w:t>C.</w:t>
      </w:r>
      <w:r w:rsidRPr="00CB00F0">
        <w:rPr>
          <w:rFonts w:asciiTheme="minorHAnsi" w:eastAsiaTheme="minorEastAsia" w:hAnsiTheme="minorHAnsi" w:cstheme="minorBidi"/>
          <w:sz w:val="22"/>
          <w:szCs w:val="22"/>
          <w:lang w:val="es-ES_tradnl"/>
        </w:rPr>
        <w:tab/>
      </w:r>
      <w:r w:rsidRPr="00CB00F0">
        <w:rPr>
          <w:rFonts w:ascii="Arial" w:hAnsi="Arial" w:cs="Arial"/>
          <w:bCs/>
          <w:lang w:val="es-ES_tradnl"/>
        </w:rPr>
        <w:t>Indicadores de producto</w:t>
      </w:r>
      <w:r w:rsidRPr="00CB00F0">
        <w:rPr>
          <w:rFonts w:ascii="Arial" w:hAnsi="Arial" w:cs="Arial"/>
          <w:lang w:val="es-ES_tradnl"/>
        </w:rPr>
        <w:t>.</w:t>
      </w:r>
      <w:r w:rsidRPr="00CB00F0">
        <w:rPr>
          <w:lang w:val="es-ES_tradnl"/>
        </w:rPr>
        <w:tab/>
      </w:r>
      <w:r>
        <w:fldChar w:fldCharType="begin"/>
      </w:r>
      <w:r w:rsidRPr="00CB00F0">
        <w:rPr>
          <w:lang w:val="es-ES_tradnl"/>
        </w:rPr>
        <w:instrText xml:space="preserve"> PAGEREF _Toc473464951 \h </w:instrText>
      </w:r>
      <w:r>
        <w:fldChar w:fldCharType="separate"/>
      </w:r>
      <w:r w:rsidRPr="00CB00F0">
        <w:rPr>
          <w:lang w:val="es-ES_tradnl"/>
        </w:rPr>
        <w:t>6</w:t>
      </w:r>
      <w:r>
        <w:fldChar w:fldCharType="end"/>
      </w:r>
    </w:p>
    <w:p w14:paraId="2341A46E" w14:textId="77777777" w:rsidR="00CB00F0" w:rsidRPr="00CB00F0" w:rsidRDefault="00CB00F0">
      <w:pPr>
        <w:pStyle w:val="TOC2"/>
        <w:rPr>
          <w:rFonts w:asciiTheme="minorHAnsi" w:eastAsiaTheme="minorEastAsia" w:hAnsiTheme="minorHAnsi" w:cstheme="minorBidi"/>
          <w:sz w:val="22"/>
          <w:szCs w:val="22"/>
          <w:lang w:val="es-ES_tradnl"/>
        </w:rPr>
      </w:pPr>
      <w:r w:rsidRPr="00CB00F0">
        <w:rPr>
          <w:rFonts w:ascii="Arial" w:hAnsi="Arial" w:cs="Arial"/>
          <w:lang w:val="es-ES_tradnl"/>
        </w:rPr>
        <w:t>D.</w:t>
      </w:r>
      <w:r w:rsidRPr="00CB00F0">
        <w:rPr>
          <w:rFonts w:asciiTheme="minorHAnsi" w:eastAsiaTheme="minorEastAsia" w:hAnsiTheme="minorHAnsi" w:cstheme="minorBidi"/>
          <w:sz w:val="22"/>
          <w:szCs w:val="22"/>
          <w:lang w:val="es-ES_tradnl"/>
        </w:rPr>
        <w:tab/>
      </w:r>
      <w:r w:rsidRPr="00CB00F0">
        <w:rPr>
          <w:rFonts w:ascii="Arial" w:hAnsi="Arial" w:cs="Arial"/>
          <w:bCs/>
          <w:lang w:val="es-ES_tradnl"/>
        </w:rPr>
        <w:t>Colección de Información</w:t>
      </w:r>
      <w:r w:rsidRPr="00CB00F0">
        <w:rPr>
          <w:lang w:val="es-ES_tradnl"/>
        </w:rPr>
        <w:tab/>
      </w:r>
      <w:r>
        <w:fldChar w:fldCharType="begin"/>
      </w:r>
      <w:r w:rsidRPr="00CB00F0">
        <w:rPr>
          <w:lang w:val="es-ES_tradnl"/>
        </w:rPr>
        <w:instrText xml:space="preserve"> PAGEREF _Toc473464952 \h </w:instrText>
      </w:r>
      <w:r>
        <w:fldChar w:fldCharType="separate"/>
      </w:r>
      <w:r w:rsidRPr="00CB00F0">
        <w:rPr>
          <w:lang w:val="es-ES_tradnl"/>
        </w:rPr>
        <w:t>6</w:t>
      </w:r>
      <w:r>
        <w:fldChar w:fldCharType="end"/>
      </w:r>
    </w:p>
    <w:p w14:paraId="2341A46F" w14:textId="77777777" w:rsidR="00CB00F0" w:rsidRPr="00CB00F0" w:rsidRDefault="00CB00F0">
      <w:pPr>
        <w:pStyle w:val="TOC2"/>
        <w:rPr>
          <w:rFonts w:asciiTheme="minorHAnsi" w:eastAsiaTheme="minorEastAsia" w:hAnsiTheme="minorHAnsi" w:cstheme="minorBidi"/>
          <w:sz w:val="22"/>
          <w:szCs w:val="22"/>
          <w:lang w:val="es-ES_tradnl"/>
        </w:rPr>
      </w:pPr>
      <w:r w:rsidRPr="00CB00F0">
        <w:rPr>
          <w:rFonts w:ascii="Arial" w:hAnsi="Arial" w:cs="Arial"/>
          <w:bCs/>
          <w:lang w:val="es-ES_tradnl"/>
        </w:rPr>
        <w:t>E.</w:t>
      </w:r>
      <w:r w:rsidRPr="00CB00F0">
        <w:rPr>
          <w:rFonts w:asciiTheme="minorHAnsi" w:eastAsiaTheme="minorEastAsia" w:hAnsiTheme="minorHAnsi" w:cstheme="minorBidi"/>
          <w:sz w:val="22"/>
          <w:szCs w:val="22"/>
          <w:lang w:val="es-ES_tradnl"/>
        </w:rPr>
        <w:tab/>
      </w:r>
      <w:r w:rsidRPr="00CB00F0">
        <w:rPr>
          <w:rFonts w:ascii="Arial" w:hAnsi="Arial" w:cs="Arial"/>
          <w:bCs/>
          <w:lang w:val="es-ES_tradnl"/>
        </w:rPr>
        <w:t>Compromisos acordados (Productos)</w:t>
      </w:r>
      <w:r w:rsidRPr="00CB00F0">
        <w:rPr>
          <w:lang w:val="es-ES_tradnl"/>
        </w:rPr>
        <w:tab/>
      </w:r>
      <w:r>
        <w:fldChar w:fldCharType="begin"/>
      </w:r>
      <w:r w:rsidRPr="00CB00F0">
        <w:rPr>
          <w:lang w:val="es-ES_tradnl"/>
        </w:rPr>
        <w:instrText xml:space="preserve"> PAGEREF _Toc473464953 \h </w:instrText>
      </w:r>
      <w:r>
        <w:fldChar w:fldCharType="separate"/>
      </w:r>
      <w:r w:rsidRPr="00CB00F0">
        <w:rPr>
          <w:lang w:val="es-ES_tradnl"/>
        </w:rPr>
        <w:t>6</w:t>
      </w:r>
      <w:r>
        <w:fldChar w:fldCharType="end"/>
      </w:r>
    </w:p>
    <w:p w14:paraId="2341A470" w14:textId="77777777" w:rsidR="00CB00F0" w:rsidRPr="00CB00F0" w:rsidRDefault="00CB00F0">
      <w:pPr>
        <w:pStyle w:val="TOC1"/>
        <w:rPr>
          <w:rFonts w:asciiTheme="minorHAnsi" w:eastAsiaTheme="minorEastAsia" w:hAnsiTheme="minorHAnsi" w:cstheme="minorBidi"/>
          <w:smallCaps w:val="0"/>
          <w:sz w:val="22"/>
          <w:szCs w:val="22"/>
          <w:lang w:val="es-ES_tradnl"/>
        </w:rPr>
      </w:pPr>
      <w:r w:rsidRPr="00CB00F0">
        <w:rPr>
          <w:rFonts w:ascii="Arial" w:hAnsi="Arial" w:cs="Arial"/>
          <w:lang w:val="es-ES_tradnl"/>
        </w:rPr>
        <w:t>III.</w:t>
      </w:r>
      <w:r w:rsidRPr="00CB00F0">
        <w:rPr>
          <w:rFonts w:asciiTheme="minorHAnsi" w:eastAsiaTheme="minorEastAsia" w:hAnsiTheme="minorHAnsi" w:cstheme="minorBidi"/>
          <w:smallCaps w:val="0"/>
          <w:sz w:val="22"/>
          <w:szCs w:val="22"/>
          <w:lang w:val="es-ES_tradnl"/>
        </w:rPr>
        <w:tab/>
      </w:r>
      <w:r w:rsidRPr="00CB00F0">
        <w:rPr>
          <w:rFonts w:ascii="Arial" w:hAnsi="Arial" w:cs="Arial"/>
          <w:lang w:val="es-ES_tradnl"/>
        </w:rPr>
        <w:t>Plan de Evaluación</w:t>
      </w:r>
      <w:r w:rsidRPr="00CB00F0">
        <w:rPr>
          <w:lang w:val="es-ES_tradnl"/>
        </w:rPr>
        <w:tab/>
      </w:r>
      <w:r>
        <w:fldChar w:fldCharType="begin"/>
      </w:r>
      <w:r w:rsidRPr="00CB00F0">
        <w:rPr>
          <w:lang w:val="es-ES_tradnl"/>
        </w:rPr>
        <w:instrText xml:space="preserve"> PAGEREF _Toc473464954 \h </w:instrText>
      </w:r>
      <w:r>
        <w:fldChar w:fldCharType="separate"/>
      </w:r>
      <w:r w:rsidRPr="00CB00F0">
        <w:rPr>
          <w:lang w:val="es-ES_tradnl"/>
        </w:rPr>
        <w:t>13</w:t>
      </w:r>
      <w:r>
        <w:fldChar w:fldCharType="end"/>
      </w:r>
    </w:p>
    <w:p w14:paraId="2341A471" w14:textId="77777777" w:rsidR="00CB00F0" w:rsidRPr="00CB00F0" w:rsidRDefault="00CB00F0">
      <w:pPr>
        <w:pStyle w:val="TOC2"/>
        <w:rPr>
          <w:rFonts w:asciiTheme="minorHAnsi" w:eastAsiaTheme="minorEastAsia" w:hAnsiTheme="minorHAnsi" w:cstheme="minorBidi"/>
          <w:sz w:val="22"/>
          <w:szCs w:val="22"/>
          <w:lang w:val="es-ES_tradnl"/>
        </w:rPr>
      </w:pPr>
      <w:r w:rsidRPr="00CB00F0">
        <w:rPr>
          <w:rFonts w:ascii="Arial" w:hAnsi="Arial" w:cs="Arial"/>
          <w:lang w:val="es-ES_tradnl"/>
        </w:rPr>
        <w:t>A.</w:t>
      </w:r>
      <w:r w:rsidRPr="00CB00F0">
        <w:rPr>
          <w:rFonts w:asciiTheme="minorHAnsi" w:eastAsiaTheme="minorEastAsia" w:hAnsiTheme="minorHAnsi" w:cstheme="minorBidi"/>
          <w:sz w:val="22"/>
          <w:szCs w:val="22"/>
          <w:lang w:val="es-ES_tradnl"/>
        </w:rPr>
        <w:tab/>
      </w:r>
      <w:r w:rsidRPr="00CB00F0">
        <w:rPr>
          <w:rFonts w:ascii="Arial" w:hAnsi="Arial" w:cs="Arial"/>
          <w:lang w:val="es-ES_tradnl"/>
        </w:rPr>
        <w:t>Introducción</w:t>
      </w:r>
      <w:r w:rsidRPr="00CB00F0">
        <w:rPr>
          <w:lang w:val="es-ES_tradnl"/>
        </w:rPr>
        <w:tab/>
      </w:r>
      <w:r>
        <w:fldChar w:fldCharType="begin"/>
      </w:r>
      <w:r w:rsidRPr="00CB00F0">
        <w:rPr>
          <w:lang w:val="es-ES_tradnl"/>
        </w:rPr>
        <w:instrText xml:space="preserve"> PAGEREF _Toc473464955 \h </w:instrText>
      </w:r>
      <w:r>
        <w:fldChar w:fldCharType="separate"/>
      </w:r>
      <w:r w:rsidRPr="00CB00F0">
        <w:rPr>
          <w:lang w:val="es-ES_tradnl"/>
        </w:rPr>
        <w:t>13</w:t>
      </w:r>
      <w:r>
        <w:fldChar w:fldCharType="end"/>
      </w:r>
    </w:p>
    <w:p w14:paraId="2341A472" w14:textId="77777777" w:rsidR="00CB00F0" w:rsidRPr="00CB00F0" w:rsidRDefault="00CB00F0">
      <w:pPr>
        <w:pStyle w:val="TOC2"/>
        <w:rPr>
          <w:rFonts w:asciiTheme="minorHAnsi" w:eastAsiaTheme="minorEastAsia" w:hAnsiTheme="minorHAnsi" w:cstheme="minorBidi"/>
          <w:sz w:val="22"/>
          <w:szCs w:val="22"/>
          <w:lang w:val="es-ES_tradnl"/>
        </w:rPr>
      </w:pPr>
      <w:r w:rsidRPr="00CB00F0">
        <w:rPr>
          <w:rFonts w:ascii="Arial" w:hAnsi="Arial" w:cs="Arial"/>
          <w:lang w:val="es-ES_tradnl"/>
        </w:rPr>
        <w:t>B.</w:t>
      </w:r>
      <w:r w:rsidRPr="00CB00F0">
        <w:rPr>
          <w:rFonts w:asciiTheme="minorHAnsi" w:eastAsiaTheme="minorEastAsia" w:hAnsiTheme="minorHAnsi" w:cstheme="minorBidi"/>
          <w:sz w:val="22"/>
          <w:szCs w:val="22"/>
          <w:lang w:val="es-ES_tradnl"/>
        </w:rPr>
        <w:tab/>
      </w:r>
      <w:r w:rsidRPr="001556AD">
        <w:rPr>
          <w:rFonts w:ascii="Arial" w:hAnsi="Arial" w:cs="Arial"/>
          <w:lang w:val="es-ES_tradnl"/>
        </w:rPr>
        <w:t>Principales preguntas de evaluación</w:t>
      </w:r>
      <w:r w:rsidRPr="00CB00F0">
        <w:rPr>
          <w:lang w:val="es-ES_tradnl"/>
        </w:rPr>
        <w:tab/>
      </w:r>
      <w:r>
        <w:fldChar w:fldCharType="begin"/>
      </w:r>
      <w:r w:rsidRPr="00CB00F0">
        <w:rPr>
          <w:lang w:val="es-ES_tradnl"/>
        </w:rPr>
        <w:instrText xml:space="preserve"> PAGEREF _Toc473464956 \h </w:instrText>
      </w:r>
      <w:r>
        <w:fldChar w:fldCharType="separate"/>
      </w:r>
      <w:r w:rsidRPr="00CB00F0">
        <w:rPr>
          <w:lang w:val="es-ES_tradnl"/>
        </w:rPr>
        <w:t>13</w:t>
      </w:r>
      <w:r>
        <w:fldChar w:fldCharType="end"/>
      </w:r>
    </w:p>
    <w:p w14:paraId="2341A473" w14:textId="77777777" w:rsidR="00CB00F0" w:rsidRPr="00CB00F0" w:rsidRDefault="00CB00F0">
      <w:pPr>
        <w:pStyle w:val="TOC2"/>
        <w:rPr>
          <w:rFonts w:asciiTheme="minorHAnsi" w:eastAsiaTheme="minorEastAsia" w:hAnsiTheme="minorHAnsi" w:cstheme="minorBidi"/>
          <w:sz w:val="22"/>
          <w:szCs w:val="22"/>
          <w:lang w:val="es-ES_tradnl"/>
        </w:rPr>
      </w:pPr>
      <w:r w:rsidRPr="00CB00F0">
        <w:rPr>
          <w:rFonts w:ascii="Arial" w:hAnsi="Arial" w:cs="Arial"/>
          <w:lang w:val="es-ES_tradnl"/>
        </w:rPr>
        <w:t>C.</w:t>
      </w:r>
      <w:r w:rsidRPr="00CB00F0">
        <w:rPr>
          <w:rFonts w:asciiTheme="minorHAnsi" w:eastAsiaTheme="minorEastAsia" w:hAnsiTheme="minorHAnsi" w:cstheme="minorBidi"/>
          <w:sz w:val="22"/>
          <w:szCs w:val="22"/>
          <w:lang w:val="es-ES_tradnl"/>
        </w:rPr>
        <w:tab/>
      </w:r>
      <w:r w:rsidRPr="001556AD">
        <w:rPr>
          <w:rFonts w:ascii="Arial" w:hAnsi="Arial" w:cs="Arial"/>
          <w:lang w:val="es-ES_tradnl"/>
        </w:rPr>
        <w:t>Indicadores</w:t>
      </w:r>
      <w:r w:rsidRPr="001556AD">
        <w:rPr>
          <w:rFonts w:ascii="Arial" w:hAnsi="Arial" w:cs="Arial"/>
          <w:lang w:val="es-BO"/>
        </w:rPr>
        <w:t xml:space="preserve"> principales para la evaluación</w:t>
      </w:r>
      <w:r w:rsidRPr="00CB00F0">
        <w:rPr>
          <w:lang w:val="es-ES_tradnl"/>
        </w:rPr>
        <w:tab/>
      </w:r>
      <w:r>
        <w:fldChar w:fldCharType="begin"/>
      </w:r>
      <w:r w:rsidRPr="00CB00F0">
        <w:rPr>
          <w:lang w:val="es-ES_tradnl"/>
        </w:rPr>
        <w:instrText xml:space="preserve"> PAGEREF _Toc473464957 \h </w:instrText>
      </w:r>
      <w:r>
        <w:fldChar w:fldCharType="separate"/>
      </w:r>
      <w:r w:rsidRPr="00CB00F0">
        <w:rPr>
          <w:lang w:val="es-ES_tradnl"/>
        </w:rPr>
        <w:t>13</w:t>
      </w:r>
      <w:r>
        <w:fldChar w:fldCharType="end"/>
      </w:r>
    </w:p>
    <w:p w14:paraId="2341A474" w14:textId="77777777" w:rsidR="00CB00F0" w:rsidRPr="00CB00F0" w:rsidRDefault="00CB00F0">
      <w:pPr>
        <w:pStyle w:val="TOC2"/>
        <w:rPr>
          <w:rFonts w:asciiTheme="minorHAnsi" w:eastAsiaTheme="minorEastAsia" w:hAnsiTheme="minorHAnsi" w:cstheme="minorBidi"/>
          <w:sz w:val="22"/>
          <w:szCs w:val="22"/>
          <w:lang w:val="es-ES_tradnl"/>
        </w:rPr>
      </w:pPr>
      <w:r w:rsidRPr="00CB00F0">
        <w:rPr>
          <w:rFonts w:ascii="Arial" w:hAnsi="Arial" w:cs="Arial"/>
          <w:lang w:val="es-ES_tradnl"/>
        </w:rPr>
        <w:t>D.</w:t>
      </w:r>
      <w:r w:rsidRPr="00CB00F0">
        <w:rPr>
          <w:rFonts w:asciiTheme="minorHAnsi" w:eastAsiaTheme="minorEastAsia" w:hAnsiTheme="minorHAnsi" w:cstheme="minorBidi"/>
          <w:sz w:val="22"/>
          <w:szCs w:val="22"/>
          <w:lang w:val="es-ES_tradnl"/>
        </w:rPr>
        <w:tab/>
      </w:r>
      <w:r w:rsidRPr="001556AD">
        <w:rPr>
          <w:rFonts w:ascii="Arial" w:hAnsi="Arial" w:cs="Arial"/>
          <w:lang w:val="es-ES_tradnl"/>
        </w:rPr>
        <w:t>Metodología de Evaluación</w:t>
      </w:r>
      <w:r w:rsidRPr="00CB00F0">
        <w:rPr>
          <w:lang w:val="es-ES_tradnl"/>
        </w:rPr>
        <w:tab/>
      </w:r>
      <w:r>
        <w:fldChar w:fldCharType="begin"/>
      </w:r>
      <w:r w:rsidRPr="00CB00F0">
        <w:rPr>
          <w:lang w:val="es-ES_tradnl"/>
        </w:rPr>
        <w:instrText xml:space="preserve"> PAGEREF _Toc473464958 \h </w:instrText>
      </w:r>
      <w:r>
        <w:fldChar w:fldCharType="separate"/>
      </w:r>
      <w:r w:rsidRPr="00CB00F0">
        <w:rPr>
          <w:lang w:val="es-ES_tradnl"/>
        </w:rPr>
        <w:t>16</w:t>
      </w:r>
      <w:r>
        <w:fldChar w:fldCharType="end"/>
      </w:r>
    </w:p>
    <w:p w14:paraId="2341A475" w14:textId="77777777" w:rsidR="00CB00F0" w:rsidRPr="00CB00F0" w:rsidRDefault="00CB00F0">
      <w:pPr>
        <w:pStyle w:val="TOC2"/>
        <w:rPr>
          <w:rFonts w:asciiTheme="minorHAnsi" w:eastAsiaTheme="minorEastAsia" w:hAnsiTheme="minorHAnsi" w:cstheme="minorBidi"/>
          <w:sz w:val="22"/>
          <w:szCs w:val="22"/>
          <w:lang w:val="es-ES_tradnl"/>
        </w:rPr>
      </w:pPr>
      <w:r w:rsidRPr="00CB00F0">
        <w:rPr>
          <w:rFonts w:ascii="Arial" w:hAnsi="Arial" w:cs="Arial"/>
          <w:lang w:val="es-ES_tradnl"/>
        </w:rPr>
        <w:t>E.</w:t>
      </w:r>
      <w:r w:rsidRPr="00CB00F0">
        <w:rPr>
          <w:rFonts w:asciiTheme="minorHAnsi" w:eastAsiaTheme="minorEastAsia" w:hAnsiTheme="minorHAnsi" w:cstheme="minorBidi"/>
          <w:sz w:val="22"/>
          <w:szCs w:val="22"/>
          <w:lang w:val="es-ES_tradnl"/>
        </w:rPr>
        <w:tab/>
      </w:r>
      <w:r w:rsidRPr="001556AD">
        <w:rPr>
          <w:rFonts w:ascii="Arial" w:hAnsi="Arial" w:cs="Arial"/>
          <w:lang w:val="es-ES_tradnl"/>
        </w:rPr>
        <w:t>Evaluación</w:t>
      </w:r>
      <w:r w:rsidRPr="00CB00F0">
        <w:rPr>
          <w:rFonts w:ascii="Arial" w:hAnsi="Arial" w:cs="Arial"/>
          <w:lang w:val="es-ES_tradnl"/>
        </w:rPr>
        <w:t xml:space="preserve"> Ex ante</w:t>
      </w:r>
      <w:r w:rsidRPr="00CB00F0">
        <w:rPr>
          <w:lang w:val="es-ES_tradnl"/>
        </w:rPr>
        <w:tab/>
      </w:r>
      <w:r>
        <w:fldChar w:fldCharType="begin"/>
      </w:r>
      <w:r w:rsidRPr="00CB00F0">
        <w:rPr>
          <w:lang w:val="es-ES_tradnl"/>
        </w:rPr>
        <w:instrText xml:space="preserve"> PAGEREF _Toc473464959 \h </w:instrText>
      </w:r>
      <w:r>
        <w:fldChar w:fldCharType="separate"/>
      </w:r>
      <w:r w:rsidRPr="00CB00F0">
        <w:rPr>
          <w:lang w:val="es-ES_tradnl"/>
        </w:rPr>
        <w:t>16</w:t>
      </w:r>
      <w:r>
        <w:fldChar w:fldCharType="end"/>
      </w:r>
    </w:p>
    <w:p w14:paraId="2341A476" w14:textId="77777777" w:rsidR="00CB00F0" w:rsidRPr="00CB00F0" w:rsidRDefault="00CB00F0">
      <w:pPr>
        <w:pStyle w:val="TOC2"/>
        <w:rPr>
          <w:rFonts w:asciiTheme="minorHAnsi" w:eastAsiaTheme="minorEastAsia" w:hAnsiTheme="minorHAnsi" w:cstheme="minorBidi"/>
          <w:sz w:val="22"/>
          <w:szCs w:val="22"/>
          <w:lang w:val="es-ES_tradnl"/>
        </w:rPr>
      </w:pPr>
      <w:r w:rsidRPr="001556AD">
        <w:rPr>
          <w:rFonts w:ascii="Arial" w:hAnsi="Arial" w:cs="Arial"/>
          <w:color w:val="000000"/>
          <w:highlight w:val="lightGray"/>
          <w:lang w:val="es-ES_tradnl"/>
        </w:rPr>
        <w:t>F.</w:t>
      </w:r>
      <w:r w:rsidRPr="00CB00F0">
        <w:rPr>
          <w:rFonts w:asciiTheme="minorHAnsi" w:eastAsiaTheme="minorEastAsia" w:hAnsiTheme="minorHAnsi" w:cstheme="minorBidi"/>
          <w:sz w:val="22"/>
          <w:szCs w:val="22"/>
          <w:lang w:val="es-ES_tradnl"/>
        </w:rPr>
        <w:tab/>
      </w:r>
      <w:r w:rsidRPr="001556AD">
        <w:rPr>
          <w:rFonts w:ascii="Arial" w:hAnsi="Arial" w:cs="Arial"/>
          <w:lang w:val="es-ES_tradnl"/>
        </w:rPr>
        <w:t>Evaluación Ex post</w:t>
      </w:r>
      <w:r w:rsidRPr="00CB00F0">
        <w:rPr>
          <w:lang w:val="es-ES_tradnl"/>
        </w:rPr>
        <w:tab/>
      </w:r>
      <w:r>
        <w:fldChar w:fldCharType="begin"/>
      </w:r>
      <w:r w:rsidRPr="00CB00F0">
        <w:rPr>
          <w:lang w:val="es-ES_tradnl"/>
        </w:rPr>
        <w:instrText xml:space="preserve"> PAGEREF _Toc473464960 \h </w:instrText>
      </w:r>
      <w:r>
        <w:fldChar w:fldCharType="separate"/>
      </w:r>
      <w:r w:rsidRPr="00CB00F0">
        <w:rPr>
          <w:lang w:val="es-ES_tradnl"/>
        </w:rPr>
        <w:t>16</w:t>
      </w:r>
      <w:r>
        <w:fldChar w:fldCharType="end"/>
      </w:r>
    </w:p>
    <w:p w14:paraId="2341A477" w14:textId="77777777" w:rsidR="00CB00F0" w:rsidRPr="00CB00F0" w:rsidRDefault="00CB00F0">
      <w:pPr>
        <w:pStyle w:val="TOC2"/>
        <w:rPr>
          <w:rFonts w:asciiTheme="minorHAnsi" w:eastAsiaTheme="minorEastAsia" w:hAnsiTheme="minorHAnsi" w:cstheme="minorBidi"/>
          <w:sz w:val="22"/>
          <w:szCs w:val="22"/>
          <w:lang w:val="es-ES_tradnl"/>
        </w:rPr>
      </w:pPr>
      <w:r w:rsidRPr="00CB00F0">
        <w:rPr>
          <w:rFonts w:ascii="Arial" w:hAnsi="Arial" w:cs="Arial"/>
          <w:lang w:val="es-ES_tradnl"/>
        </w:rPr>
        <w:t>G.</w:t>
      </w:r>
      <w:r w:rsidRPr="00CB00F0">
        <w:rPr>
          <w:rFonts w:asciiTheme="minorHAnsi" w:eastAsiaTheme="minorEastAsia" w:hAnsiTheme="minorHAnsi" w:cstheme="minorBidi"/>
          <w:sz w:val="22"/>
          <w:szCs w:val="22"/>
          <w:lang w:val="es-ES_tradnl"/>
        </w:rPr>
        <w:tab/>
      </w:r>
      <w:r w:rsidRPr="00CB00F0">
        <w:rPr>
          <w:rFonts w:ascii="Arial" w:hAnsi="Arial" w:cs="Arial"/>
          <w:lang w:val="es-ES_tradnl"/>
        </w:rPr>
        <w:t>Coordinación, Plan de Trabajo y Presupuesto para la Evaluación</w:t>
      </w:r>
      <w:r w:rsidRPr="00CB00F0">
        <w:rPr>
          <w:lang w:val="es-ES_tradnl"/>
        </w:rPr>
        <w:tab/>
      </w:r>
      <w:r>
        <w:fldChar w:fldCharType="begin"/>
      </w:r>
      <w:r w:rsidRPr="00CB00F0">
        <w:rPr>
          <w:lang w:val="es-ES_tradnl"/>
        </w:rPr>
        <w:instrText xml:space="preserve"> PAGEREF _Toc473464961 \h </w:instrText>
      </w:r>
      <w:r>
        <w:fldChar w:fldCharType="separate"/>
      </w:r>
      <w:r w:rsidRPr="00CB00F0">
        <w:rPr>
          <w:lang w:val="es-ES_tradnl"/>
        </w:rPr>
        <w:t>17</w:t>
      </w:r>
      <w:r>
        <w:fldChar w:fldCharType="end"/>
      </w:r>
    </w:p>
    <w:p w14:paraId="2341A478" w14:textId="77777777" w:rsidR="00CB00F0" w:rsidRPr="00CB00F0" w:rsidRDefault="00CB00F0">
      <w:pPr>
        <w:pStyle w:val="TOC1"/>
        <w:rPr>
          <w:rFonts w:asciiTheme="minorHAnsi" w:eastAsiaTheme="minorEastAsia" w:hAnsiTheme="minorHAnsi" w:cstheme="minorBidi"/>
          <w:smallCaps w:val="0"/>
          <w:sz w:val="22"/>
          <w:szCs w:val="22"/>
          <w:lang w:val="es-ES_tradnl"/>
        </w:rPr>
      </w:pPr>
      <w:r w:rsidRPr="001556AD">
        <w:rPr>
          <w:rFonts w:ascii="Arial" w:hAnsi="Arial" w:cs="Arial"/>
          <w:bCs/>
          <w:lang w:val="es-ES_tradnl"/>
        </w:rPr>
        <w:t>Anexo  I – Cronograma Medios de verificación primer préstamo</w:t>
      </w:r>
      <w:r w:rsidRPr="00CB00F0">
        <w:rPr>
          <w:lang w:val="es-ES_tradnl"/>
        </w:rPr>
        <w:tab/>
      </w:r>
      <w:r>
        <w:fldChar w:fldCharType="begin"/>
      </w:r>
      <w:r w:rsidRPr="00CB00F0">
        <w:rPr>
          <w:lang w:val="es-ES_tradnl"/>
        </w:rPr>
        <w:instrText xml:space="preserve"> PAGEREF _Toc473464962 \h </w:instrText>
      </w:r>
      <w:r>
        <w:fldChar w:fldCharType="separate"/>
      </w:r>
      <w:r w:rsidRPr="00CB00F0">
        <w:rPr>
          <w:lang w:val="es-ES_tradnl"/>
        </w:rPr>
        <w:t>19</w:t>
      </w:r>
      <w:r>
        <w:fldChar w:fldCharType="end"/>
      </w:r>
    </w:p>
    <w:p w14:paraId="2341A479" w14:textId="77777777" w:rsidR="00CB00F0" w:rsidRPr="00CB00F0" w:rsidRDefault="00CB00F0">
      <w:pPr>
        <w:pStyle w:val="TOC1"/>
        <w:rPr>
          <w:rFonts w:asciiTheme="minorHAnsi" w:eastAsiaTheme="minorEastAsia" w:hAnsiTheme="minorHAnsi" w:cstheme="minorBidi"/>
          <w:smallCaps w:val="0"/>
          <w:sz w:val="22"/>
          <w:szCs w:val="22"/>
          <w:lang w:val="es-ES_tradnl"/>
        </w:rPr>
      </w:pPr>
      <w:r w:rsidRPr="001556AD">
        <w:rPr>
          <w:rFonts w:ascii="Arial" w:hAnsi="Arial" w:cs="Arial"/>
          <w:bCs/>
          <w:lang w:val="es-ES_tradnl"/>
        </w:rPr>
        <w:t>Anexo  II – Evaluación Económica Ex Ante</w:t>
      </w:r>
      <w:r w:rsidRPr="00CB00F0">
        <w:rPr>
          <w:lang w:val="es-ES_tradnl"/>
        </w:rPr>
        <w:tab/>
      </w:r>
      <w:r>
        <w:fldChar w:fldCharType="begin"/>
      </w:r>
      <w:r w:rsidRPr="00CB00F0">
        <w:rPr>
          <w:lang w:val="es-ES_tradnl"/>
        </w:rPr>
        <w:instrText xml:space="preserve"> PAGEREF _Toc473464963 \h </w:instrText>
      </w:r>
      <w:r>
        <w:fldChar w:fldCharType="separate"/>
      </w:r>
      <w:r w:rsidRPr="00CB00F0">
        <w:rPr>
          <w:lang w:val="es-ES_tradnl"/>
        </w:rPr>
        <w:t>21</w:t>
      </w:r>
      <w:r>
        <w:fldChar w:fldCharType="end"/>
      </w:r>
    </w:p>
    <w:p w14:paraId="2341A47A" w14:textId="77777777" w:rsidR="00ED751C" w:rsidRDefault="00E3347F" w:rsidP="00ED751C">
      <w:pPr>
        <w:pStyle w:val="TOC3"/>
      </w:pPr>
      <w:r>
        <w:fldChar w:fldCharType="end"/>
      </w:r>
    </w:p>
    <w:p w14:paraId="2341A47B" w14:textId="77777777" w:rsidR="00ED751C" w:rsidRPr="00142949" w:rsidRDefault="00ED751C" w:rsidP="00142949">
      <w:pPr>
        <w:rPr>
          <w:lang w:val="es-ES"/>
        </w:rPr>
      </w:pPr>
      <w:r>
        <w:rPr>
          <w:lang w:val="es-ES"/>
        </w:rPr>
        <w:br w:type="page"/>
      </w:r>
    </w:p>
    <w:tbl>
      <w:tblPr>
        <w:tblW w:w="10428" w:type="dxa"/>
        <w:tblLayout w:type="fixed"/>
        <w:tblLook w:val="0000" w:firstRow="0" w:lastRow="0" w:firstColumn="0" w:lastColumn="0" w:noHBand="0" w:noVBand="0"/>
      </w:tblPr>
      <w:tblGrid>
        <w:gridCol w:w="113"/>
        <w:gridCol w:w="1145"/>
        <w:gridCol w:w="290"/>
        <w:gridCol w:w="6840"/>
        <w:gridCol w:w="2040"/>
      </w:tblGrid>
      <w:tr w:rsidR="00ED751C" w:rsidRPr="004932D7" w14:paraId="2341A47E" w14:textId="77777777" w:rsidTr="00142949">
        <w:trPr>
          <w:cantSplit/>
        </w:trPr>
        <w:tc>
          <w:tcPr>
            <w:tcW w:w="1548" w:type="dxa"/>
            <w:gridSpan w:val="3"/>
          </w:tcPr>
          <w:p w14:paraId="2341A47C" w14:textId="77777777" w:rsidR="00ED751C" w:rsidRDefault="00ED751C" w:rsidP="000E578D">
            <w:pPr>
              <w:pStyle w:val="ABBR"/>
              <w:rPr>
                <w:lang w:val="es-ES"/>
              </w:rPr>
            </w:pPr>
          </w:p>
        </w:tc>
        <w:tc>
          <w:tcPr>
            <w:tcW w:w="8880" w:type="dxa"/>
            <w:gridSpan w:val="2"/>
            <w:vAlign w:val="bottom"/>
          </w:tcPr>
          <w:p w14:paraId="2341A47D" w14:textId="77777777" w:rsidR="00ED751C" w:rsidRDefault="00ED751C" w:rsidP="000E578D">
            <w:pPr>
              <w:pStyle w:val="AbbrDesc"/>
              <w:rPr>
                <w:lang w:val="es-ES"/>
              </w:rPr>
            </w:pPr>
          </w:p>
        </w:tc>
      </w:tr>
      <w:tr w:rsidR="00ED751C" w:rsidRPr="004932D7" w14:paraId="2341A481" w14:textId="77777777" w:rsidTr="00142949">
        <w:trPr>
          <w:cantSplit/>
        </w:trPr>
        <w:tc>
          <w:tcPr>
            <w:tcW w:w="1548" w:type="dxa"/>
            <w:gridSpan w:val="3"/>
          </w:tcPr>
          <w:p w14:paraId="2341A47F" w14:textId="77777777" w:rsidR="00ED751C" w:rsidRDefault="00ED751C" w:rsidP="000E578D">
            <w:pPr>
              <w:pStyle w:val="AbbrDesc"/>
              <w:rPr>
                <w:lang w:val="es-ES"/>
              </w:rPr>
            </w:pPr>
          </w:p>
        </w:tc>
        <w:tc>
          <w:tcPr>
            <w:tcW w:w="8880" w:type="dxa"/>
            <w:gridSpan w:val="2"/>
            <w:vAlign w:val="bottom"/>
          </w:tcPr>
          <w:p w14:paraId="2341A480" w14:textId="77777777" w:rsidR="00ED751C" w:rsidRPr="00CB00F0" w:rsidRDefault="00ED751C" w:rsidP="000E578D">
            <w:pPr>
              <w:pStyle w:val="AbbrDesc"/>
            </w:pPr>
          </w:p>
        </w:tc>
      </w:tr>
      <w:tr w:rsidR="00ED751C" w:rsidRPr="004932D7" w14:paraId="2341A484" w14:textId="77777777" w:rsidTr="00142949">
        <w:trPr>
          <w:cantSplit/>
        </w:trPr>
        <w:tc>
          <w:tcPr>
            <w:tcW w:w="1548" w:type="dxa"/>
            <w:gridSpan w:val="3"/>
          </w:tcPr>
          <w:p w14:paraId="2341A482" w14:textId="77777777" w:rsidR="00ED751C" w:rsidRPr="00CB00F0" w:rsidRDefault="00ED751C" w:rsidP="000E578D">
            <w:pPr>
              <w:pStyle w:val="ABBR"/>
            </w:pPr>
          </w:p>
        </w:tc>
        <w:tc>
          <w:tcPr>
            <w:tcW w:w="8880" w:type="dxa"/>
            <w:gridSpan w:val="2"/>
            <w:vAlign w:val="bottom"/>
          </w:tcPr>
          <w:p w14:paraId="2341A483" w14:textId="77777777" w:rsidR="00ED751C" w:rsidRPr="00CB00F0" w:rsidRDefault="00ED751C" w:rsidP="000E578D">
            <w:pPr>
              <w:pStyle w:val="AbbrDesc"/>
            </w:pPr>
          </w:p>
        </w:tc>
      </w:tr>
      <w:tr w:rsidR="00ED751C" w:rsidRPr="004932D7" w14:paraId="2341A487" w14:textId="77777777" w:rsidTr="00142949">
        <w:trPr>
          <w:cantSplit/>
        </w:trPr>
        <w:tc>
          <w:tcPr>
            <w:tcW w:w="1548" w:type="dxa"/>
            <w:gridSpan w:val="3"/>
          </w:tcPr>
          <w:p w14:paraId="2341A485" w14:textId="77777777" w:rsidR="00ED751C" w:rsidRPr="00CB00F0" w:rsidRDefault="00ED751C" w:rsidP="000E578D">
            <w:pPr>
              <w:pStyle w:val="ABBR"/>
            </w:pPr>
          </w:p>
        </w:tc>
        <w:tc>
          <w:tcPr>
            <w:tcW w:w="8880" w:type="dxa"/>
            <w:gridSpan w:val="2"/>
            <w:vAlign w:val="bottom"/>
          </w:tcPr>
          <w:p w14:paraId="2341A486" w14:textId="77777777" w:rsidR="00ED751C" w:rsidRPr="00CB00F0" w:rsidRDefault="00ED751C" w:rsidP="000E578D">
            <w:pPr>
              <w:pStyle w:val="AbbrDesc"/>
            </w:pPr>
          </w:p>
        </w:tc>
      </w:tr>
      <w:tr w:rsidR="00ED751C" w:rsidRPr="004932D7" w14:paraId="2341A48A" w14:textId="77777777" w:rsidTr="00142949">
        <w:trPr>
          <w:cantSplit/>
        </w:trPr>
        <w:tc>
          <w:tcPr>
            <w:tcW w:w="1548" w:type="dxa"/>
            <w:gridSpan w:val="3"/>
          </w:tcPr>
          <w:p w14:paraId="2341A488" w14:textId="77777777" w:rsidR="00ED751C" w:rsidRPr="00CB00F0" w:rsidRDefault="00ED751C" w:rsidP="000E578D">
            <w:pPr>
              <w:pStyle w:val="ABBR"/>
            </w:pPr>
          </w:p>
        </w:tc>
        <w:tc>
          <w:tcPr>
            <w:tcW w:w="8880" w:type="dxa"/>
            <w:gridSpan w:val="2"/>
            <w:vAlign w:val="bottom"/>
          </w:tcPr>
          <w:p w14:paraId="2341A489" w14:textId="77777777" w:rsidR="00ED751C" w:rsidRPr="00CB00F0" w:rsidRDefault="00ED751C" w:rsidP="000E578D">
            <w:pPr>
              <w:pStyle w:val="AbbrDesc"/>
            </w:pPr>
          </w:p>
        </w:tc>
      </w:tr>
      <w:tr w:rsidR="00142949" w:rsidRPr="00142949" w14:paraId="2341A48C" w14:textId="77777777" w:rsidTr="00142949">
        <w:tblPrEx>
          <w:tblLook w:val="01E0" w:firstRow="1" w:lastRow="1" w:firstColumn="1" w:lastColumn="1" w:noHBand="0" w:noVBand="0"/>
        </w:tblPrEx>
        <w:trPr>
          <w:gridBefore w:val="1"/>
          <w:gridAfter w:val="1"/>
          <w:wBefore w:w="113" w:type="dxa"/>
          <w:wAfter w:w="2040" w:type="dxa"/>
          <w:cantSplit/>
          <w:trHeight w:val="423"/>
        </w:trPr>
        <w:tc>
          <w:tcPr>
            <w:tcW w:w="8275"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341A48B" w14:textId="77777777" w:rsidR="00142949" w:rsidRPr="00142949" w:rsidRDefault="00142949" w:rsidP="00142949">
            <w:pPr>
              <w:spacing w:before="20" w:after="20"/>
              <w:jc w:val="center"/>
              <w:rPr>
                <w:rFonts w:ascii="Arial" w:eastAsia="Arial Unicode MS" w:hAnsi="Arial" w:cs="Arial"/>
                <w:b/>
                <w:bCs/>
                <w:smallCaps/>
                <w:sz w:val="22"/>
                <w:szCs w:val="22"/>
                <w:lang w:val="es-ES"/>
              </w:rPr>
            </w:pPr>
            <w:r w:rsidRPr="00142949">
              <w:rPr>
                <w:rFonts w:ascii="Arial" w:eastAsia="Arial Unicode MS" w:hAnsi="Arial" w:cs="Arial"/>
                <w:b/>
                <w:bCs/>
                <w:smallCaps/>
                <w:sz w:val="22"/>
                <w:szCs w:val="22"/>
                <w:lang w:val="es-ES"/>
              </w:rPr>
              <w:t>Abreviaturas</w:t>
            </w:r>
          </w:p>
        </w:tc>
      </w:tr>
      <w:tr w:rsidR="00142949" w:rsidRPr="00142949" w14:paraId="2341A48F"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top w:val="single" w:sz="4" w:space="0" w:color="auto"/>
              <w:left w:val="single" w:sz="4" w:space="0" w:color="auto"/>
            </w:tcBorders>
          </w:tcPr>
          <w:p w14:paraId="2341A48D"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BID</w:t>
            </w:r>
          </w:p>
        </w:tc>
        <w:tc>
          <w:tcPr>
            <w:tcW w:w="7130" w:type="dxa"/>
            <w:gridSpan w:val="2"/>
            <w:tcBorders>
              <w:top w:val="single" w:sz="4" w:space="0" w:color="auto"/>
              <w:right w:val="single" w:sz="4" w:space="0" w:color="auto"/>
            </w:tcBorders>
          </w:tcPr>
          <w:p w14:paraId="2341A48E"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Banco Interamericano de Desarrollo</w:t>
            </w:r>
          </w:p>
        </w:tc>
      </w:tr>
      <w:tr w:rsidR="00142949" w:rsidRPr="00142949" w14:paraId="2341A492"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90"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BTU</w:t>
            </w:r>
          </w:p>
        </w:tc>
        <w:tc>
          <w:tcPr>
            <w:tcW w:w="7130" w:type="dxa"/>
            <w:gridSpan w:val="2"/>
            <w:tcBorders>
              <w:right w:val="single" w:sz="4" w:space="0" w:color="auto"/>
            </w:tcBorders>
          </w:tcPr>
          <w:p w14:paraId="2341A491"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i/>
                <w:sz w:val="22"/>
                <w:szCs w:val="22"/>
                <w:lang w:val="es-ES_tradnl"/>
              </w:rPr>
              <w:t>British Termal Units</w:t>
            </w:r>
            <w:r w:rsidRPr="00142949">
              <w:rPr>
                <w:rFonts w:ascii="Arial" w:hAnsi="Arial" w:cs="Arial"/>
                <w:sz w:val="22"/>
                <w:szCs w:val="22"/>
                <w:lang w:val="es-ES_tradnl"/>
              </w:rPr>
              <w:t xml:space="preserve"> </w:t>
            </w:r>
          </w:p>
        </w:tc>
      </w:tr>
      <w:tr w:rsidR="00142949" w:rsidRPr="00142949" w14:paraId="2341A495"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93"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DNP</w:t>
            </w:r>
          </w:p>
        </w:tc>
        <w:tc>
          <w:tcPr>
            <w:tcW w:w="7130" w:type="dxa"/>
            <w:gridSpan w:val="2"/>
            <w:tcBorders>
              <w:right w:val="single" w:sz="4" w:space="0" w:color="auto"/>
            </w:tcBorders>
          </w:tcPr>
          <w:p w14:paraId="2341A494"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_tradnl"/>
              </w:rPr>
              <w:t>Departamento Nacional de Planeación</w:t>
            </w:r>
          </w:p>
        </w:tc>
      </w:tr>
      <w:tr w:rsidR="00142949" w:rsidRPr="00142949" w14:paraId="2341A498"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96"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EE</w:t>
            </w:r>
          </w:p>
        </w:tc>
        <w:tc>
          <w:tcPr>
            <w:tcW w:w="7130" w:type="dxa"/>
            <w:gridSpan w:val="2"/>
            <w:tcBorders>
              <w:right w:val="single" w:sz="4" w:space="0" w:color="auto"/>
            </w:tcBorders>
          </w:tcPr>
          <w:p w14:paraId="2341A497"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Eficiencia Energética</w:t>
            </w:r>
          </w:p>
        </w:tc>
      </w:tr>
      <w:tr w:rsidR="00142949" w:rsidRPr="00142949" w14:paraId="2341A49B"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vAlign w:val="bottom"/>
          </w:tcPr>
          <w:p w14:paraId="2341A499" w14:textId="77777777" w:rsidR="00142949" w:rsidRPr="00142949" w:rsidRDefault="00142949" w:rsidP="00142949">
            <w:pPr>
              <w:rPr>
                <w:rFonts w:ascii="Arial" w:hAnsi="Arial" w:cs="Arial"/>
                <w:szCs w:val="22"/>
                <w:lang w:val="es-ES_tradnl"/>
              </w:rPr>
            </w:pPr>
            <w:r w:rsidRPr="00142949">
              <w:rPr>
                <w:rFonts w:ascii="Arial" w:hAnsi="Arial" w:cs="Arial"/>
                <w:sz w:val="22"/>
                <w:szCs w:val="22"/>
                <w:lang w:val="es-ES_tradnl"/>
              </w:rPr>
              <w:t>ER</w:t>
            </w:r>
          </w:p>
        </w:tc>
        <w:tc>
          <w:tcPr>
            <w:tcW w:w="7130" w:type="dxa"/>
            <w:gridSpan w:val="2"/>
            <w:tcBorders>
              <w:right w:val="single" w:sz="4" w:space="0" w:color="auto"/>
            </w:tcBorders>
          </w:tcPr>
          <w:p w14:paraId="2341A49A" w14:textId="77777777" w:rsidR="00142949" w:rsidRPr="00142949" w:rsidRDefault="00142949" w:rsidP="00142949">
            <w:pPr>
              <w:rPr>
                <w:rFonts w:ascii="Arial" w:hAnsi="Arial" w:cs="Arial"/>
                <w:szCs w:val="22"/>
                <w:lang w:val="es-ES_tradnl"/>
              </w:rPr>
            </w:pPr>
            <w:r w:rsidRPr="00142949">
              <w:rPr>
                <w:rFonts w:ascii="Arial" w:hAnsi="Arial" w:cs="Arial"/>
                <w:sz w:val="22"/>
                <w:szCs w:val="22"/>
                <w:lang w:val="es-ES_tradnl"/>
              </w:rPr>
              <w:t>Energía Renovable</w:t>
            </w:r>
          </w:p>
        </w:tc>
      </w:tr>
      <w:tr w:rsidR="00142949" w:rsidRPr="004932D7" w14:paraId="2341A49E"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9C"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FAER</w:t>
            </w:r>
          </w:p>
        </w:tc>
        <w:tc>
          <w:tcPr>
            <w:tcW w:w="7130" w:type="dxa"/>
            <w:gridSpan w:val="2"/>
            <w:tcBorders>
              <w:right w:val="single" w:sz="4" w:space="0" w:color="auto"/>
            </w:tcBorders>
          </w:tcPr>
          <w:p w14:paraId="2341A49D"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lang w:val="es-ES_tradnl"/>
              </w:rPr>
              <w:t>Fondo de Apoyo Financiero para la Energización de las Zonas Rurales Interconectadas</w:t>
            </w:r>
          </w:p>
        </w:tc>
      </w:tr>
      <w:tr w:rsidR="00142949" w:rsidRPr="00142949" w14:paraId="2341A4A1"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9F"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FAZNI</w:t>
            </w:r>
          </w:p>
        </w:tc>
        <w:tc>
          <w:tcPr>
            <w:tcW w:w="7130" w:type="dxa"/>
            <w:gridSpan w:val="2"/>
            <w:tcBorders>
              <w:right w:val="single" w:sz="4" w:space="0" w:color="auto"/>
            </w:tcBorders>
          </w:tcPr>
          <w:p w14:paraId="2341A4A0"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lang w:val="es-ES_tradnl"/>
              </w:rPr>
              <w:t>Fondo de Apoyo a las Zonas No Interconectadas</w:t>
            </w:r>
          </w:p>
        </w:tc>
      </w:tr>
      <w:tr w:rsidR="00142949" w:rsidRPr="004932D7" w14:paraId="2341A4A4"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A2"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FENOGE</w:t>
            </w:r>
          </w:p>
        </w:tc>
        <w:tc>
          <w:tcPr>
            <w:tcW w:w="7130" w:type="dxa"/>
            <w:gridSpan w:val="2"/>
            <w:tcBorders>
              <w:right w:val="single" w:sz="4" w:space="0" w:color="auto"/>
            </w:tcBorders>
          </w:tcPr>
          <w:p w14:paraId="2341A4A3"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lang w:val="es-ES_tradnl"/>
              </w:rPr>
              <w:t>Fondo de Energías Renovables y Gestión Eficiente de la Energía</w:t>
            </w:r>
          </w:p>
        </w:tc>
      </w:tr>
      <w:tr w:rsidR="00142949" w:rsidRPr="004932D7" w14:paraId="2341A4A7"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A5"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FNCER</w:t>
            </w:r>
          </w:p>
        </w:tc>
        <w:tc>
          <w:tcPr>
            <w:tcW w:w="7130" w:type="dxa"/>
            <w:gridSpan w:val="2"/>
            <w:tcBorders>
              <w:right w:val="single" w:sz="4" w:space="0" w:color="auto"/>
            </w:tcBorders>
          </w:tcPr>
          <w:p w14:paraId="2341A4A6" w14:textId="77777777" w:rsidR="00142949" w:rsidRPr="00142949" w:rsidRDefault="00142949" w:rsidP="00142949">
            <w:pPr>
              <w:spacing w:before="20" w:after="20"/>
              <w:rPr>
                <w:rFonts w:ascii="Arial" w:hAnsi="Arial" w:cs="Arial"/>
                <w:sz w:val="22"/>
                <w:lang w:val="es-ES_tradnl"/>
              </w:rPr>
            </w:pPr>
            <w:r w:rsidRPr="00142949">
              <w:rPr>
                <w:rFonts w:ascii="Arial" w:hAnsi="Arial" w:cs="Arial"/>
                <w:sz w:val="22"/>
                <w:lang w:val="es-ES_tradnl"/>
              </w:rPr>
              <w:t>Fuentes No Convencionales de Enegía Renovable</w:t>
            </w:r>
          </w:p>
        </w:tc>
      </w:tr>
      <w:tr w:rsidR="00142949" w:rsidRPr="00142949" w14:paraId="2341A4AA"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vAlign w:val="bottom"/>
          </w:tcPr>
          <w:p w14:paraId="2341A4A8" w14:textId="77777777" w:rsidR="00142949" w:rsidRPr="00142949" w:rsidRDefault="00142949" w:rsidP="00142949">
            <w:pPr>
              <w:rPr>
                <w:rFonts w:ascii="Arial" w:hAnsi="Arial" w:cs="Arial"/>
                <w:sz w:val="22"/>
                <w:szCs w:val="22"/>
                <w:lang w:val="es-ES_tradnl"/>
              </w:rPr>
            </w:pPr>
            <w:r w:rsidRPr="00142949">
              <w:rPr>
                <w:rFonts w:ascii="Arial" w:hAnsi="Arial" w:cs="Arial"/>
                <w:sz w:val="22"/>
                <w:lang w:val="es-ES_tradnl"/>
              </w:rPr>
              <w:t>GCI-9</w:t>
            </w:r>
          </w:p>
        </w:tc>
        <w:tc>
          <w:tcPr>
            <w:tcW w:w="7130" w:type="dxa"/>
            <w:gridSpan w:val="2"/>
            <w:tcBorders>
              <w:right w:val="single" w:sz="4" w:space="0" w:color="auto"/>
            </w:tcBorders>
          </w:tcPr>
          <w:p w14:paraId="2341A4A9" w14:textId="77777777" w:rsidR="00142949" w:rsidRPr="00142949" w:rsidRDefault="00142949" w:rsidP="00142949">
            <w:pPr>
              <w:rPr>
                <w:rFonts w:ascii="Arial" w:hAnsi="Arial" w:cs="Arial"/>
                <w:sz w:val="22"/>
                <w:szCs w:val="22"/>
                <w:lang w:val="es-ES_tradnl"/>
              </w:rPr>
            </w:pPr>
            <w:r w:rsidRPr="00142949">
              <w:rPr>
                <w:rFonts w:ascii="Arial" w:hAnsi="Arial" w:cs="Arial"/>
                <w:sz w:val="22"/>
                <w:lang w:val="es-ES_tradnl"/>
              </w:rPr>
              <w:t>Noveno Aumento General de Capital del BID</w:t>
            </w:r>
          </w:p>
        </w:tc>
      </w:tr>
      <w:tr w:rsidR="00142949" w:rsidRPr="00142949" w14:paraId="2341A4AD"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vAlign w:val="bottom"/>
          </w:tcPr>
          <w:p w14:paraId="2341A4AB" w14:textId="77777777" w:rsidR="00142949" w:rsidRPr="00142949" w:rsidRDefault="00142949" w:rsidP="00142949">
            <w:pPr>
              <w:rPr>
                <w:rFonts w:ascii="Arial" w:hAnsi="Arial" w:cs="Arial"/>
                <w:szCs w:val="22"/>
                <w:lang w:val="es-ES_tradnl"/>
              </w:rPr>
            </w:pPr>
            <w:r w:rsidRPr="00142949">
              <w:rPr>
                <w:rFonts w:ascii="Arial" w:hAnsi="Arial" w:cs="Arial"/>
                <w:sz w:val="22"/>
                <w:szCs w:val="22"/>
                <w:lang w:val="es-ES_tradnl"/>
              </w:rPr>
              <w:t>GdC</w:t>
            </w:r>
          </w:p>
        </w:tc>
        <w:tc>
          <w:tcPr>
            <w:tcW w:w="7130" w:type="dxa"/>
            <w:gridSpan w:val="2"/>
            <w:tcBorders>
              <w:right w:val="single" w:sz="4" w:space="0" w:color="auto"/>
            </w:tcBorders>
          </w:tcPr>
          <w:p w14:paraId="2341A4AC" w14:textId="77777777" w:rsidR="00142949" w:rsidRPr="00142949" w:rsidRDefault="00142949" w:rsidP="00142949">
            <w:pPr>
              <w:rPr>
                <w:rFonts w:ascii="Arial" w:hAnsi="Arial" w:cs="Arial"/>
                <w:szCs w:val="22"/>
                <w:lang w:val="es-ES_tradnl"/>
              </w:rPr>
            </w:pPr>
            <w:r w:rsidRPr="00142949">
              <w:rPr>
                <w:rFonts w:ascii="Arial" w:hAnsi="Arial" w:cs="Arial"/>
                <w:sz w:val="22"/>
                <w:szCs w:val="22"/>
                <w:lang w:val="es-ES_tradnl"/>
              </w:rPr>
              <w:t>Gobierno de Colombia</w:t>
            </w:r>
          </w:p>
        </w:tc>
      </w:tr>
      <w:tr w:rsidR="00142949" w:rsidRPr="004932D7" w14:paraId="2341A4B0"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vAlign w:val="bottom"/>
          </w:tcPr>
          <w:p w14:paraId="2341A4AE" w14:textId="77777777" w:rsidR="00142949" w:rsidRPr="00142949" w:rsidRDefault="00142949" w:rsidP="00142949">
            <w:pPr>
              <w:rPr>
                <w:rFonts w:ascii="Arial" w:hAnsi="Arial" w:cs="Arial"/>
                <w:sz w:val="22"/>
                <w:szCs w:val="22"/>
                <w:lang w:val="es-ES_tradnl"/>
              </w:rPr>
            </w:pPr>
            <w:r w:rsidRPr="00142949">
              <w:rPr>
                <w:rFonts w:ascii="Arial" w:hAnsi="Arial" w:cs="Arial"/>
                <w:sz w:val="22"/>
                <w:szCs w:val="22"/>
                <w:lang w:val="es-ES_tradnl"/>
              </w:rPr>
              <w:t>GEDE</w:t>
            </w:r>
          </w:p>
        </w:tc>
        <w:tc>
          <w:tcPr>
            <w:tcW w:w="7130" w:type="dxa"/>
            <w:gridSpan w:val="2"/>
            <w:tcBorders>
              <w:right w:val="single" w:sz="4" w:space="0" w:color="auto"/>
            </w:tcBorders>
          </w:tcPr>
          <w:p w14:paraId="2341A4AF" w14:textId="77777777" w:rsidR="00142949" w:rsidRPr="00142949" w:rsidRDefault="00142949" w:rsidP="00142949">
            <w:pPr>
              <w:rPr>
                <w:rFonts w:ascii="Arial" w:hAnsi="Arial" w:cs="Arial"/>
                <w:sz w:val="22"/>
                <w:szCs w:val="22"/>
                <w:lang w:val="es-ES_tradnl"/>
              </w:rPr>
            </w:pPr>
            <w:r w:rsidRPr="00142949">
              <w:rPr>
                <w:rFonts w:ascii="Arial" w:hAnsi="Arial" w:cs="Arial"/>
                <w:bCs/>
                <w:sz w:val="22"/>
                <w:szCs w:val="22"/>
                <w:lang w:val="es-ES_tradnl"/>
              </w:rPr>
              <w:t>Gestión Eficiente de la Demanda Energética</w:t>
            </w:r>
          </w:p>
        </w:tc>
      </w:tr>
      <w:tr w:rsidR="00142949" w:rsidRPr="00142949" w14:paraId="2341A4B3"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vAlign w:val="bottom"/>
          </w:tcPr>
          <w:p w14:paraId="2341A4B1" w14:textId="77777777" w:rsidR="00142949" w:rsidRPr="00142949" w:rsidRDefault="00142949" w:rsidP="00142949">
            <w:pPr>
              <w:rPr>
                <w:rFonts w:ascii="Arial" w:hAnsi="Arial" w:cs="Arial"/>
                <w:sz w:val="22"/>
                <w:szCs w:val="22"/>
                <w:lang w:val="es-ES_tradnl"/>
              </w:rPr>
            </w:pPr>
            <w:r w:rsidRPr="00142949">
              <w:rPr>
                <w:rFonts w:ascii="Arial" w:hAnsi="Arial" w:cs="Arial"/>
                <w:sz w:val="22"/>
                <w:szCs w:val="22"/>
                <w:lang w:val="es-ES_tradnl"/>
              </w:rPr>
              <w:t>GN</w:t>
            </w:r>
          </w:p>
        </w:tc>
        <w:tc>
          <w:tcPr>
            <w:tcW w:w="7130" w:type="dxa"/>
            <w:gridSpan w:val="2"/>
            <w:tcBorders>
              <w:right w:val="single" w:sz="4" w:space="0" w:color="auto"/>
            </w:tcBorders>
          </w:tcPr>
          <w:p w14:paraId="2341A4B2" w14:textId="77777777" w:rsidR="00142949" w:rsidRPr="00142949" w:rsidRDefault="00142949" w:rsidP="00142949">
            <w:pPr>
              <w:rPr>
                <w:rFonts w:ascii="Arial" w:hAnsi="Arial" w:cs="Arial"/>
                <w:sz w:val="22"/>
                <w:szCs w:val="22"/>
                <w:lang w:val="es-ES_tradnl"/>
              </w:rPr>
            </w:pPr>
            <w:r w:rsidRPr="00142949">
              <w:rPr>
                <w:rFonts w:ascii="Arial" w:hAnsi="Arial" w:cs="Arial"/>
                <w:sz w:val="22"/>
                <w:szCs w:val="22"/>
                <w:lang w:val="es-ES_tradnl"/>
              </w:rPr>
              <w:t>Gas Natural</w:t>
            </w:r>
          </w:p>
        </w:tc>
      </w:tr>
      <w:tr w:rsidR="00D14DE6" w:rsidRPr="00D14DE6" w14:paraId="2341A4B6"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vAlign w:val="bottom"/>
          </w:tcPr>
          <w:p w14:paraId="2341A4B4" w14:textId="77777777" w:rsidR="00D14DE6" w:rsidRPr="00142949" w:rsidRDefault="00D14DE6" w:rsidP="00142949">
            <w:pPr>
              <w:rPr>
                <w:rFonts w:ascii="Arial" w:hAnsi="Arial" w:cs="Arial"/>
                <w:sz w:val="22"/>
                <w:szCs w:val="22"/>
                <w:lang w:val="es-ES_tradnl"/>
              </w:rPr>
            </w:pPr>
            <w:r>
              <w:rPr>
                <w:rFonts w:ascii="Arial" w:hAnsi="Arial" w:cs="Arial"/>
                <w:sz w:val="22"/>
                <w:szCs w:val="22"/>
                <w:lang w:val="es-ES_tradnl"/>
              </w:rPr>
              <w:t>IAMC</w:t>
            </w:r>
          </w:p>
        </w:tc>
        <w:tc>
          <w:tcPr>
            <w:tcW w:w="7130" w:type="dxa"/>
            <w:gridSpan w:val="2"/>
            <w:tcBorders>
              <w:right w:val="single" w:sz="4" w:space="0" w:color="auto"/>
            </w:tcBorders>
          </w:tcPr>
          <w:p w14:paraId="2341A4B5" w14:textId="77777777" w:rsidR="00D14DE6" w:rsidRPr="00D14DE6" w:rsidRDefault="00D14DE6" w:rsidP="00142949">
            <w:pPr>
              <w:rPr>
                <w:rFonts w:ascii="Arial" w:hAnsi="Arial" w:cs="Arial"/>
                <w:i/>
                <w:sz w:val="22"/>
                <w:szCs w:val="22"/>
              </w:rPr>
            </w:pPr>
            <w:r w:rsidRPr="00D14DE6">
              <w:rPr>
                <w:rFonts w:ascii="Arial" w:hAnsi="Arial" w:cs="Arial"/>
                <w:i/>
                <w:sz w:val="22"/>
                <w:szCs w:val="22"/>
              </w:rPr>
              <w:t>Independent Assessment of Macroeconomic Conditions</w:t>
            </w:r>
          </w:p>
        </w:tc>
      </w:tr>
      <w:tr w:rsidR="00142949" w:rsidRPr="004932D7" w14:paraId="2341A4B9"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vAlign w:val="bottom"/>
          </w:tcPr>
          <w:p w14:paraId="2341A4B7" w14:textId="77777777" w:rsidR="00142949" w:rsidRPr="00142949" w:rsidRDefault="00142949" w:rsidP="00142949">
            <w:pPr>
              <w:rPr>
                <w:rFonts w:ascii="Arial" w:hAnsi="Arial" w:cs="Arial"/>
                <w:sz w:val="22"/>
                <w:szCs w:val="22"/>
                <w:lang w:val="es-ES_tradnl"/>
              </w:rPr>
            </w:pPr>
            <w:r w:rsidRPr="00142949">
              <w:rPr>
                <w:rFonts w:ascii="Arial" w:hAnsi="Arial" w:cs="Arial"/>
                <w:sz w:val="22"/>
                <w:szCs w:val="22"/>
                <w:lang w:val="es-ES_tradnl"/>
              </w:rPr>
              <w:t>IPSE</w:t>
            </w:r>
          </w:p>
        </w:tc>
        <w:tc>
          <w:tcPr>
            <w:tcW w:w="7130" w:type="dxa"/>
            <w:gridSpan w:val="2"/>
            <w:tcBorders>
              <w:right w:val="single" w:sz="4" w:space="0" w:color="auto"/>
            </w:tcBorders>
          </w:tcPr>
          <w:p w14:paraId="2341A4B8" w14:textId="77777777" w:rsidR="00142949" w:rsidRPr="00142949" w:rsidRDefault="00142949" w:rsidP="00142949">
            <w:pPr>
              <w:rPr>
                <w:rFonts w:ascii="Arial" w:hAnsi="Arial" w:cs="Arial"/>
                <w:sz w:val="22"/>
                <w:szCs w:val="22"/>
                <w:lang w:val="es-ES_tradnl"/>
              </w:rPr>
            </w:pPr>
            <w:r w:rsidRPr="00142949">
              <w:rPr>
                <w:rFonts w:ascii="Arial" w:hAnsi="Arial" w:cs="Arial"/>
                <w:sz w:val="22"/>
                <w:szCs w:val="22"/>
                <w:lang w:val="es-ES_tradnl"/>
              </w:rPr>
              <w:t>Instituto de Planificación y Promoción de Soluciones Energéticas para</w:t>
            </w:r>
          </w:p>
        </w:tc>
      </w:tr>
      <w:tr w:rsidR="00142949" w:rsidRPr="00142949" w14:paraId="2341A4BC"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vAlign w:val="bottom"/>
          </w:tcPr>
          <w:p w14:paraId="2341A4BA" w14:textId="77777777" w:rsidR="00142949" w:rsidRPr="00142949" w:rsidRDefault="00142949" w:rsidP="00142949">
            <w:pPr>
              <w:tabs>
                <w:tab w:val="left" w:pos="3060"/>
              </w:tabs>
              <w:rPr>
                <w:rFonts w:ascii="Arial" w:hAnsi="Arial" w:cs="Arial"/>
                <w:sz w:val="22"/>
                <w:szCs w:val="22"/>
                <w:lang w:val="es-ES_tradnl"/>
              </w:rPr>
            </w:pPr>
          </w:p>
        </w:tc>
        <w:tc>
          <w:tcPr>
            <w:tcW w:w="7130" w:type="dxa"/>
            <w:gridSpan w:val="2"/>
            <w:tcBorders>
              <w:right w:val="single" w:sz="4" w:space="0" w:color="auto"/>
            </w:tcBorders>
          </w:tcPr>
          <w:p w14:paraId="2341A4BB"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las ZNI</w:t>
            </w:r>
          </w:p>
        </w:tc>
      </w:tr>
      <w:tr w:rsidR="001B33A0" w:rsidRPr="004932D7" w14:paraId="2341A4BF"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vAlign w:val="bottom"/>
          </w:tcPr>
          <w:p w14:paraId="2341A4BD" w14:textId="77777777" w:rsidR="001B33A0" w:rsidRPr="00142949" w:rsidRDefault="001B33A0" w:rsidP="00142949">
            <w:pPr>
              <w:tabs>
                <w:tab w:val="left" w:pos="3060"/>
              </w:tabs>
              <w:rPr>
                <w:rFonts w:ascii="Arial" w:hAnsi="Arial" w:cs="Arial"/>
                <w:sz w:val="22"/>
                <w:szCs w:val="22"/>
                <w:lang w:val="es-ES_tradnl"/>
              </w:rPr>
            </w:pPr>
            <w:r>
              <w:rPr>
                <w:rFonts w:ascii="Arial" w:hAnsi="Arial" w:cs="Arial"/>
                <w:sz w:val="22"/>
                <w:szCs w:val="22"/>
                <w:lang w:val="es-ES_tradnl"/>
              </w:rPr>
              <w:t>ISP</w:t>
            </w:r>
          </w:p>
        </w:tc>
        <w:tc>
          <w:tcPr>
            <w:tcW w:w="7130" w:type="dxa"/>
            <w:gridSpan w:val="2"/>
            <w:tcBorders>
              <w:right w:val="single" w:sz="4" w:space="0" w:color="auto"/>
            </w:tcBorders>
          </w:tcPr>
          <w:p w14:paraId="2341A4BE" w14:textId="77777777" w:rsidR="001B33A0" w:rsidRPr="00142949" w:rsidRDefault="001B33A0" w:rsidP="001B33A0">
            <w:pPr>
              <w:tabs>
                <w:tab w:val="left" w:pos="3060"/>
              </w:tabs>
              <w:rPr>
                <w:rFonts w:ascii="Arial" w:hAnsi="Arial" w:cs="Arial"/>
                <w:sz w:val="22"/>
                <w:szCs w:val="22"/>
                <w:lang w:val="es-ES_tradnl"/>
              </w:rPr>
            </w:pPr>
            <w:r>
              <w:rPr>
                <w:rFonts w:ascii="Arial" w:hAnsi="Arial" w:cs="Arial"/>
                <w:sz w:val="22"/>
                <w:szCs w:val="22"/>
                <w:lang w:val="es-ES_tradnl"/>
              </w:rPr>
              <w:t>Informe de Seguimiento del Proyecto (PMR)</w:t>
            </w:r>
          </w:p>
        </w:tc>
      </w:tr>
      <w:tr w:rsidR="00142949" w:rsidRPr="00142949" w14:paraId="2341A4C2"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vAlign w:val="bottom"/>
          </w:tcPr>
          <w:p w14:paraId="2341A4C0"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MEM</w:t>
            </w:r>
          </w:p>
        </w:tc>
        <w:tc>
          <w:tcPr>
            <w:tcW w:w="7130" w:type="dxa"/>
            <w:gridSpan w:val="2"/>
            <w:tcBorders>
              <w:right w:val="single" w:sz="4" w:space="0" w:color="auto"/>
            </w:tcBorders>
          </w:tcPr>
          <w:p w14:paraId="2341A4C1"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Mercado de Energía Mayorista</w:t>
            </w:r>
          </w:p>
        </w:tc>
      </w:tr>
      <w:tr w:rsidR="00142949" w:rsidRPr="004932D7" w14:paraId="2341A4C5"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vAlign w:val="bottom"/>
          </w:tcPr>
          <w:p w14:paraId="2341A4C3"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MME</w:t>
            </w:r>
          </w:p>
        </w:tc>
        <w:tc>
          <w:tcPr>
            <w:tcW w:w="7130" w:type="dxa"/>
            <w:gridSpan w:val="2"/>
            <w:tcBorders>
              <w:right w:val="single" w:sz="4" w:space="0" w:color="auto"/>
            </w:tcBorders>
          </w:tcPr>
          <w:p w14:paraId="2341A4C4"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Ministerio de Minas y Energía</w:t>
            </w:r>
          </w:p>
        </w:tc>
      </w:tr>
      <w:tr w:rsidR="00142949" w:rsidRPr="004932D7" w14:paraId="2341A4C8"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C6"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MPCD</w:t>
            </w:r>
          </w:p>
        </w:tc>
        <w:tc>
          <w:tcPr>
            <w:tcW w:w="7130" w:type="dxa"/>
            <w:gridSpan w:val="2"/>
            <w:tcBorders>
              <w:right w:val="single" w:sz="4" w:space="0" w:color="auto"/>
            </w:tcBorders>
          </w:tcPr>
          <w:p w14:paraId="2341A4C7"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_tradnl"/>
              </w:rPr>
              <w:t>Millones de Pies Cúbicos Día</w:t>
            </w:r>
          </w:p>
        </w:tc>
      </w:tr>
      <w:tr w:rsidR="00142949" w:rsidRPr="00142949" w14:paraId="2341A4CB"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C9"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MW</w:t>
            </w:r>
          </w:p>
        </w:tc>
        <w:tc>
          <w:tcPr>
            <w:tcW w:w="7130" w:type="dxa"/>
            <w:gridSpan w:val="2"/>
            <w:tcBorders>
              <w:right w:val="single" w:sz="4" w:space="0" w:color="auto"/>
            </w:tcBorders>
          </w:tcPr>
          <w:p w14:paraId="2341A4CA"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Megawatts</w:t>
            </w:r>
          </w:p>
        </w:tc>
      </w:tr>
      <w:tr w:rsidR="00142949" w:rsidRPr="00142949" w14:paraId="2341A4CE"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CC"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PBP</w:t>
            </w:r>
          </w:p>
        </w:tc>
        <w:tc>
          <w:tcPr>
            <w:tcW w:w="7130" w:type="dxa"/>
            <w:gridSpan w:val="2"/>
            <w:tcBorders>
              <w:right w:val="single" w:sz="4" w:space="0" w:color="auto"/>
            </w:tcBorders>
          </w:tcPr>
          <w:p w14:paraId="2341A4CD"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Programático Basado en Políticas</w:t>
            </w:r>
          </w:p>
        </w:tc>
      </w:tr>
      <w:tr w:rsidR="00142949" w:rsidRPr="004932D7" w14:paraId="2341A4D1"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CF"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PCR</w:t>
            </w:r>
          </w:p>
        </w:tc>
        <w:tc>
          <w:tcPr>
            <w:tcW w:w="7130" w:type="dxa"/>
            <w:gridSpan w:val="2"/>
            <w:tcBorders>
              <w:right w:val="single" w:sz="4" w:space="0" w:color="auto"/>
            </w:tcBorders>
          </w:tcPr>
          <w:p w14:paraId="2341A4D0" w14:textId="77777777" w:rsidR="00142949" w:rsidRPr="00142949" w:rsidRDefault="00142949" w:rsidP="007E0E3B">
            <w:pPr>
              <w:tabs>
                <w:tab w:val="left" w:pos="3060"/>
              </w:tabs>
              <w:rPr>
                <w:rFonts w:ascii="Arial" w:hAnsi="Arial" w:cs="Arial"/>
                <w:sz w:val="22"/>
                <w:szCs w:val="22"/>
                <w:lang w:val="es-ES_tradnl"/>
              </w:rPr>
            </w:pPr>
            <w:r w:rsidRPr="00142949">
              <w:rPr>
                <w:rFonts w:ascii="Arial" w:hAnsi="Arial" w:cs="Arial"/>
                <w:sz w:val="22"/>
                <w:szCs w:val="22"/>
                <w:lang w:val="es-ES_tradnl"/>
              </w:rPr>
              <w:t>Inform</w:t>
            </w:r>
            <w:r w:rsidR="007E0E3B">
              <w:rPr>
                <w:rFonts w:ascii="Arial" w:hAnsi="Arial" w:cs="Arial"/>
                <w:sz w:val="22"/>
                <w:szCs w:val="22"/>
                <w:lang w:val="es-ES_tradnl"/>
              </w:rPr>
              <w:t>e de Terminación del Proyecto (</w:t>
            </w:r>
            <w:r w:rsidRPr="00142949">
              <w:rPr>
                <w:rFonts w:ascii="Arial" w:hAnsi="Arial" w:cs="Arial"/>
                <w:i/>
                <w:sz w:val="22"/>
                <w:szCs w:val="22"/>
                <w:lang w:val="es-ES_tradnl"/>
              </w:rPr>
              <w:t>Project Completion Report</w:t>
            </w:r>
            <w:r w:rsidRPr="00142949">
              <w:rPr>
                <w:rFonts w:ascii="Arial" w:hAnsi="Arial" w:cs="Arial"/>
                <w:sz w:val="22"/>
                <w:szCs w:val="22"/>
                <w:lang w:val="es-ES_tradnl"/>
              </w:rPr>
              <w:t>)</w:t>
            </w:r>
          </w:p>
        </w:tc>
      </w:tr>
      <w:tr w:rsidR="00142949" w:rsidRPr="00142949" w14:paraId="2341A4D4"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D2"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PIB</w:t>
            </w:r>
          </w:p>
        </w:tc>
        <w:tc>
          <w:tcPr>
            <w:tcW w:w="7130" w:type="dxa"/>
            <w:gridSpan w:val="2"/>
            <w:tcBorders>
              <w:right w:val="single" w:sz="4" w:space="0" w:color="auto"/>
            </w:tcBorders>
          </w:tcPr>
          <w:p w14:paraId="2341A4D3"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Producto Interno Bruto</w:t>
            </w:r>
          </w:p>
        </w:tc>
      </w:tr>
      <w:tr w:rsidR="00142949" w:rsidRPr="004932D7" w14:paraId="2341A4D7"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D5"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PIEC</w:t>
            </w:r>
          </w:p>
        </w:tc>
        <w:tc>
          <w:tcPr>
            <w:tcW w:w="7130" w:type="dxa"/>
            <w:gridSpan w:val="2"/>
            <w:tcBorders>
              <w:right w:val="single" w:sz="4" w:space="0" w:color="auto"/>
            </w:tcBorders>
          </w:tcPr>
          <w:p w14:paraId="2341A4D6"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Plan Indicativo de Expansión de la Cobertura del Servicio de Energía Eléctrica</w:t>
            </w:r>
          </w:p>
        </w:tc>
      </w:tr>
      <w:tr w:rsidR="00142949" w:rsidRPr="00142949" w14:paraId="2341A4DA"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D8"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PND</w:t>
            </w:r>
          </w:p>
        </w:tc>
        <w:tc>
          <w:tcPr>
            <w:tcW w:w="7130" w:type="dxa"/>
            <w:gridSpan w:val="2"/>
            <w:tcBorders>
              <w:right w:val="single" w:sz="4" w:space="0" w:color="auto"/>
            </w:tcBorders>
          </w:tcPr>
          <w:p w14:paraId="2341A4D9" w14:textId="77777777" w:rsidR="00142949" w:rsidRPr="00142949" w:rsidRDefault="00142949" w:rsidP="00142949">
            <w:pPr>
              <w:tabs>
                <w:tab w:val="left" w:pos="3060"/>
              </w:tabs>
              <w:rPr>
                <w:rFonts w:ascii="Arial" w:hAnsi="Arial" w:cs="Arial"/>
                <w:sz w:val="22"/>
                <w:szCs w:val="22"/>
                <w:lang w:val="es-ES_tradnl"/>
              </w:rPr>
            </w:pPr>
            <w:r w:rsidRPr="00142949">
              <w:rPr>
                <w:rFonts w:ascii="Arial" w:hAnsi="Arial" w:cs="Arial"/>
                <w:sz w:val="22"/>
                <w:szCs w:val="22"/>
                <w:lang w:val="es-ES_tradnl"/>
              </w:rPr>
              <w:t>Plan Nacional de Desarrollo</w:t>
            </w:r>
          </w:p>
        </w:tc>
      </w:tr>
      <w:tr w:rsidR="00142949" w:rsidRPr="004932D7" w14:paraId="2341A4DD"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DB"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POD</w:t>
            </w:r>
          </w:p>
        </w:tc>
        <w:tc>
          <w:tcPr>
            <w:tcW w:w="7130" w:type="dxa"/>
            <w:gridSpan w:val="2"/>
            <w:tcBorders>
              <w:right w:val="single" w:sz="4" w:space="0" w:color="auto"/>
            </w:tcBorders>
          </w:tcPr>
          <w:p w14:paraId="2341A4DC"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Propuesta para el Desarrollo de la Operación</w:t>
            </w:r>
          </w:p>
        </w:tc>
      </w:tr>
      <w:tr w:rsidR="00142949" w:rsidRPr="00142949" w14:paraId="2341A4E0"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DE"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PSP</w:t>
            </w:r>
          </w:p>
        </w:tc>
        <w:tc>
          <w:tcPr>
            <w:tcW w:w="7130" w:type="dxa"/>
            <w:gridSpan w:val="2"/>
            <w:tcBorders>
              <w:right w:val="single" w:sz="4" w:space="0" w:color="auto"/>
            </w:tcBorders>
          </w:tcPr>
          <w:p w14:paraId="2341A4DF" w14:textId="77777777" w:rsidR="00142949" w:rsidRPr="00142949" w:rsidRDefault="00142949" w:rsidP="00142949">
            <w:pPr>
              <w:spacing w:before="20" w:after="20"/>
              <w:rPr>
                <w:rFonts w:ascii="Arial" w:hAnsi="Arial" w:cs="Arial"/>
                <w:sz w:val="22"/>
                <w:szCs w:val="22"/>
                <w:lang w:val="es-ES_tradnl"/>
              </w:rPr>
            </w:pPr>
            <w:r w:rsidRPr="00142949">
              <w:rPr>
                <w:rFonts w:ascii="Arial" w:hAnsi="Arial" w:cs="Arial"/>
                <w:sz w:val="22"/>
                <w:szCs w:val="22"/>
                <w:lang w:val="es-ES"/>
              </w:rPr>
              <w:t>Pol</w:t>
            </w:r>
            <w:r w:rsidRPr="00142949">
              <w:rPr>
                <w:rFonts w:ascii="Arial" w:hAnsi="Arial" w:cs="Arial"/>
                <w:sz w:val="22"/>
                <w:szCs w:val="22"/>
                <w:lang w:val="es-ES_tradnl"/>
              </w:rPr>
              <w:t>ítica de Servicios Públicos</w:t>
            </w:r>
          </w:p>
        </w:tc>
      </w:tr>
      <w:tr w:rsidR="00142949" w:rsidRPr="00142949" w14:paraId="2341A4E3"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E1"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SGR</w:t>
            </w:r>
          </w:p>
        </w:tc>
        <w:tc>
          <w:tcPr>
            <w:tcW w:w="7130" w:type="dxa"/>
            <w:gridSpan w:val="2"/>
            <w:tcBorders>
              <w:right w:val="single" w:sz="4" w:space="0" w:color="auto"/>
            </w:tcBorders>
          </w:tcPr>
          <w:p w14:paraId="2341A4E2" w14:textId="77777777" w:rsidR="00142949" w:rsidRPr="00142949" w:rsidRDefault="00142949" w:rsidP="00142949">
            <w:pPr>
              <w:spacing w:before="20" w:after="20"/>
              <w:rPr>
                <w:rFonts w:ascii="Arial" w:hAnsi="Arial" w:cs="Arial"/>
                <w:sz w:val="22"/>
                <w:szCs w:val="22"/>
                <w:lang w:val="es-ES_tradnl"/>
              </w:rPr>
            </w:pPr>
            <w:r w:rsidRPr="00142949">
              <w:rPr>
                <w:rFonts w:ascii="Arial" w:hAnsi="Arial" w:cs="Arial"/>
                <w:sz w:val="22"/>
                <w:szCs w:val="22"/>
                <w:lang w:val="es-ES_tradnl"/>
              </w:rPr>
              <w:t>Sistema General de Regalías</w:t>
            </w:r>
          </w:p>
        </w:tc>
      </w:tr>
      <w:tr w:rsidR="00142949" w:rsidRPr="00142949" w14:paraId="2341A4E6"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E4"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SIN</w:t>
            </w:r>
          </w:p>
        </w:tc>
        <w:tc>
          <w:tcPr>
            <w:tcW w:w="7130" w:type="dxa"/>
            <w:gridSpan w:val="2"/>
            <w:tcBorders>
              <w:right w:val="single" w:sz="4" w:space="0" w:color="auto"/>
            </w:tcBorders>
          </w:tcPr>
          <w:p w14:paraId="2341A4E5" w14:textId="77777777" w:rsidR="00142949" w:rsidRPr="00142949" w:rsidRDefault="00142949" w:rsidP="00142949">
            <w:pPr>
              <w:spacing w:before="20" w:after="20"/>
              <w:rPr>
                <w:rFonts w:ascii="Arial" w:hAnsi="Arial" w:cs="Arial"/>
                <w:sz w:val="22"/>
                <w:szCs w:val="22"/>
                <w:lang w:val="es-ES_tradnl"/>
              </w:rPr>
            </w:pPr>
            <w:r w:rsidRPr="00142949">
              <w:rPr>
                <w:rFonts w:ascii="Arial" w:hAnsi="Arial" w:cs="Arial"/>
                <w:sz w:val="22"/>
                <w:szCs w:val="22"/>
                <w:lang w:val="es-ES_tradnl"/>
              </w:rPr>
              <w:t>Sistema Interconectado Nacional</w:t>
            </w:r>
          </w:p>
        </w:tc>
      </w:tr>
      <w:tr w:rsidR="00142949" w:rsidRPr="00142949" w14:paraId="2341A4E9"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E7"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SINEA</w:t>
            </w:r>
          </w:p>
        </w:tc>
        <w:tc>
          <w:tcPr>
            <w:tcW w:w="7130" w:type="dxa"/>
            <w:gridSpan w:val="2"/>
            <w:tcBorders>
              <w:right w:val="single" w:sz="4" w:space="0" w:color="auto"/>
            </w:tcBorders>
          </w:tcPr>
          <w:p w14:paraId="2341A4E8"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_tradnl"/>
              </w:rPr>
              <w:t>Sistema Interconectado Eléctrico Andino</w:t>
            </w:r>
          </w:p>
        </w:tc>
      </w:tr>
      <w:tr w:rsidR="00142949" w:rsidRPr="004932D7" w14:paraId="2341A4EC"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EA"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SSF</w:t>
            </w:r>
          </w:p>
        </w:tc>
        <w:tc>
          <w:tcPr>
            <w:tcW w:w="7130" w:type="dxa"/>
            <w:gridSpan w:val="2"/>
            <w:tcBorders>
              <w:right w:val="single" w:sz="4" w:space="0" w:color="auto"/>
            </w:tcBorders>
          </w:tcPr>
          <w:p w14:paraId="2341A4EB" w14:textId="77777777" w:rsidR="00142949" w:rsidRPr="00142949" w:rsidRDefault="00142949" w:rsidP="00142949">
            <w:pPr>
              <w:spacing w:before="20" w:after="20"/>
              <w:rPr>
                <w:rFonts w:ascii="Arial" w:hAnsi="Arial" w:cs="Arial"/>
                <w:i/>
                <w:sz w:val="22"/>
                <w:szCs w:val="22"/>
                <w:lang w:val="es-ES"/>
              </w:rPr>
            </w:pPr>
            <w:r w:rsidRPr="00142949">
              <w:rPr>
                <w:rFonts w:ascii="Arial" w:hAnsi="Arial" w:cs="Arial"/>
                <w:sz w:val="22"/>
                <w:szCs w:val="22"/>
                <w:lang w:val="es-ES"/>
              </w:rPr>
              <w:t>Formulario de Clasificación de Proyecto</w:t>
            </w:r>
          </w:p>
        </w:tc>
      </w:tr>
      <w:tr w:rsidR="00142949" w:rsidRPr="004932D7" w14:paraId="2341A4EF"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tcBorders>
          </w:tcPr>
          <w:p w14:paraId="2341A4ED"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UPME</w:t>
            </w:r>
          </w:p>
        </w:tc>
        <w:tc>
          <w:tcPr>
            <w:tcW w:w="7130" w:type="dxa"/>
            <w:gridSpan w:val="2"/>
            <w:tcBorders>
              <w:right w:val="single" w:sz="4" w:space="0" w:color="auto"/>
            </w:tcBorders>
          </w:tcPr>
          <w:p w14:paraId="2341A4EE"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Unidad de Planeación Minero Energética</w:t>
            </w:r>
          </w:p>
        </w:tc>
      </w:tr>
      <w:tr w:rsidR="00142949" w:rsidRPr="004932D7" w14:paraId="2341A4F2" w14:textId="77777777" w:rsidTr="00142949">
        <w:tblPrEx>
          <w:tblLook w:val="01E0" w:firstRow="1" w:lastRow="1" w:firstColumn="1" w:lastColumn="1" w:noHBand="0" w:noVBand="0"/>
        </w:tblPrEx>
        <w:trPr>
          <w:gridBefore w:val="1"/>
          <w:gridAfter w:val="1"/>
          <w:wBefore w:w="113" w:type="dxa"/>
          <w:wAfter w:w="2040" w:type="dxa"/>
          <w:cantSplit/>
        </w:trPr>
        <w:tc>
          <w:tcPr>
            <w:tcW w:w="1145" w:type="dxa"/>
            <w:tcBorders>
              <w:left w:val="single" w:sz="4" w:space="0" w:color="auto"/>
              <w:bottom w:val="single" w:sz="4" w:space="0" w:color="auto"/>
            </w:tcBorders>
          </w:tcPr>
          <w:p w14:paraId="2341A4F0" w14:textId="77777777" w:rsidR="00142949" w:rsidRPr="00142949" w:rsidRDefault="00142949" w:rsidP="00142949">
            <w:pPr>
              <w:spacing w:before="20" w:after="20"/>
              <w:rPr>
                <w:rFonts w:ascii="Arial" w:hAnsi="Arial" w:cs="Arial"/>
                <w:sz w:val="22"/>
                <w:szCs w:val="22"/>
                <w:lang w:val="es-ES"/>
              </w:rPr>
            </w:pPr>
            <w:r w:rsidRPr="00142949">
              <w:rPr>
                <w:rFonts w:ascii="Arial" w:hAnsi="Arial" w:cs="Arial"/>
                <w:sz w:val="22"/>
                <w:szCs w:val="22"/>
                <w:lang w:val="es-ES"/>
              </w:rPr>
              <w:t>ZNI</w:t>
            </w:r>
          </w:p>
        </w:tc>
        <w:tc>
          <w:tcPr>
            <w:tcW w:w="7130" w:type="dxa"/>
            <w:gridSpan w:val="2"/>
            <w:tcBorders>
              <w:bottom w:val="single" w:sz="4" w:space="0" w:color="auto"/>
              <w:right w:val="single" w:sz="4" w:space="0" w:color="auto"/>
            </w:tcBorders>
          </w:tcPr>
          <w:p w14:paraId="2341A4F1" w14:textId="77777777" w:rsidR="00142949" w:rsidRPr="00142949" w:rsidRDefault="00142949" w:rsidP="00142949">
            <w:pPr>
              <w:spacing w:before="20" w:after="20"/>
              <w:rPr>
                <w:rFonts w:ascii="Arial" w:hAnsi="Arial" w:cs="Arial"/>
                <w:sz w:val="22"/>
                <w:szCs w:val="22"/>
                <w:lang w:val="pt-BR"/>
              </w:rPr>
            </w:pPr>
            <w:r w:rsidRPr="00142949">
              <w:rPr>
                <w:rFonts w:ascii="Arial" w:hAnsi="Arial" w:cs="Arial"/>
                <w:sz w:val="22"/>
                <w:szCs w:val="22"/>
                <w:lang w:val="pt-BR"/>
              </w:rPr>
              <w:t>Zona(s) No Interconectada(s)</w:t>
            </w:r>
          </w:p>
        </w:tc>
      </w:tr>
    </w:tbl>
    <w:p w14:paraId="2341A4F3" w14:textId="77777777" w:rsidR="00ED751C" w:rsidRPr="00142949" w:rsidRDefault="00ED751C" w:rsidP="00ED751C">
      <w:pPr>
        <w:pStyle w:val="Paragraph"/>
        <w:numPr>
          <w:ilvl w:val="0"/>
          <w:numId w:val="0"/>
        </w:numPr>
        <w:rPr>
          <w:lang w:val="pt-BR"/>
        </w:rPr>
        <w:sectPr w:rsidR="00ED751C" w:rsidRPr="00142949">
          <w:headerReference w:type="even" r:id="rId18"/>
          <w:headerReference w:type="default" r:id="rId19"/>
          <w:footerReference w:type="even" r:id="rId20"/>
          <w:footerReference w:type="default" r:id="rId21"/>
          <w:headerReference w:type="first" r:id="rId22"/>
          <w:pgSz w:w="12240" w:h="15840" w:code="1"/>
          <w:pgMar w:top="1440" w:right="1800" w:bottom="1440" w:left="1800" w:header="706" w:footer="706" w:gutter="0"/>
          <w:pgNumType w:start="1"/>
          <w:cols w:space="720"/>
          <w:formProt w:val="0"/>
        </w:sectPr>
      </w:pPr>
    </w:p>
    <w:p w14:paraId="2341A4F4" w14:textId="77777777" w:rsidR="00ED751C" w:rsidRPr="00820047" w:rsidRDefault="00716A0D" w:rsidP="00ED751C">
      <w:pPr>
        <w:pStyle w:val="Chapter"/>
        <w:rPr>
          <w:rFonts w:ascii="Arial" w:hAnsi="Arial" w:cs="Arial"/>
          <w:sz w:val="22"/>
          <w:szCs w:val="22"/>
        </w:rPr>
      </w:pPr>
      <w:bookmarkStart w:id="0" w:name="_Toc473464947"/>
      <w:r w:rsidRPr="00820047">
        <w:rPr>
          <w:rFonts w:ascii="Arial" w:hAnsi="Arial" w:cs="Arial"/>
          <w:sz w:val="22"/>
          <w:szCs w:val="22"/>
        </w:rPr>
        <w:lastRenderedPageBreak/>
        <w:t>Introducción</w:t>
      </w:r>
      <w:bookmarkEnd w:id="0"/>
    </w:p>
    <w:p w14:paraId="2341A4F5" w14:textId="77777777" w:rsidR="00716A0D" w:rsidRPr="00820047" w:rsidRDefault="00716A0D" w:rsidP="00716A0D">
      <w:pPr>
        <w:pStyle w:val="Paragraph"/>
        <w:tabs>
          <w:tab w:val="num" w:pos="720"/>
        </w:tabs>
        <w:ind w:left="720" w:hanging="720"/>
        <w:rPr>
          <w:rFonts w:ascii="Arial" w:hAnsi="Arial" w:cs="Arial"/>
          <w:sz w:val="22"/>
          <w:szCs w:val="22"/>
        </w:rPr>
      </w:pPr>
      <w:r w:rsidRPr="00820047">
        <w:rPr>
          <w:rFonts w:ascii="Arial" w:hAnsi="Arial" w:cs="Arial"/>
          <w:sz w:val="22"/>
          <w:szCs w:val="22"/>
        </w:rPr>
        <w:t xml:space="preserve">El presente documento describe las tareas de seguimiento y evaluación necesarias respecto a las actividades, compromisos de política y resultados del Programa </w:t>
      </w:r>
      <w:r w:rsidRPr="00820047">
        <w:rPr>
          <w:rFonts w:ascii="Arial" w:hAnsi="Arial" w:cs="Arial"/>
          <w:sz w:val="22"/>
          <w:szCs w:val="22"/>
          <w:lang w:val="es-ES_tradnl"/>
        </w:rPr>
        <w:t>Nacional para Asegurar un Suministro de Energía Sostenible y Eficiente (CO-L1217).</w:t>
      </w:r>
    </w:p>
    <w:p w14:paraId="2341A4F6" w14:textId="464962C4" w:rsidR="004F5661" w:rsidRPr="00820047" w:rsidRDefault="004F5661" w:rsidP="00716A0D">
      <w:pPr>
        <w:pStyle w:val="Paragraph"/>
        <w:tabs>
          <w:tab w:val="num" w:pos="720"/>
        </w:tabs>
        <w:ind w:left="720" w:hanging="720"/>
        <w:rPr>
          <w:rFonts w:ascii="Arial" w:hAnsi="Arial" w:cs="Arial"/>
          <w:sz w:val="22"/>
          <w:szCs w:val="22"/>
        </w:rPr>
      </w:pPr>
      <w:r w:rsidRPr="00820047">
        <w:rPr>
          <w:rFonts w:ascii="Arial" w:hAnsi="Arial" w:cs="Arial"/>
          <w:sz w:val="22"/>
          <w:szCs w:val="22"/>
          <w:lang w:val="es-ES_tradnl"/>
        </w:rPr>
        <w:t>El programa propuesto es la primera operación de una serie de dos préstamos programáticos de Apoyo a Reformas de Política (PBP) destinados a apoyar al Gobierno de Colombia (GdC). El programa propone una financiación de US$</w:t>
      </w:r>
      <w:r w:rsidR="004932D7">
        <w:rPr>
          <w:rFonts w:ascii="Arial" w:hAnsi="Arial" w:cs="Arial"/>
          <w:sz w:val="22"/>
          <w:szCs w:val="22"/>
          <w:lang w:val="es-ES_tradnl"/>
        </w:rPr>
        <w:t>3</w:t>
      </w:r>
      <w:r w:rsidRPr="00820047">
        <w:rPr>
          <w:rFonts w:ascii="Arial" w:hAnsi="Arial" w:cs="Arial"/>
          <w:sz w:val="22"/>
          <w:szCs w:val="22"/>
          <w:lang w:val="es-ES_tradnl"/>
        </w:rPr>
        <w:t>00 millones, con un único desembolso propuesto para 2017, una vez que se cumplan los compromisos acordados en la Matriz de Políticas. L</w:t>
      </w:r>
      <w:r w:rsidRPr="00820047">
        <w:rPr>
          <w:rFonts w:ascii="Arial" w:hAnsi="Arial" w:cs="Arial"/>
          <w:bCs/>
          <w:sz w:val="22"/>
          <w:szCs w:val="22"/>
          <w:lang w:val="es-ES_tradnl"/>
        </w:rPr>
        <w:t>a estructura del PBP, propuesto como serie de dos contratos, se espera contribuya al esfuerzo de coordinación del proceso de reformas del sector para el alcance de los objetivos planteados, mediante la implementación de medidas secuenciales de corto y mediano plazo encaminadas a asegurar la oferta eficiente de energía eléctrica.</w:t>
      </w:r>
    </w:p>
    <w:p w14:paraId="2341A4F7" w14:textId="77777777" w:rsidR="00716A0D" w:rsidRPr="00820047" w:rsidRDefault="00716A0D" w:rsidP="004F5661">
      <w:pPr>
        <w:pStyle w:val="Paragraph"/>
        <w:tabs>
          <w:tab w:val="num" w:pos="720"/>
        </w:tabs>
        <w:ind w:left="720" w:hanging="720"/>
        <w:rPr>
          <w:rFonts w:ascii="Arial" w:hAnsi="Arial" w:cs="Arial"/>
          <w:sz w:val="22"/>
          <w:szCs w:val="22"/>
        </w:rPr>
      </w:pPr>
      <w:r w:rsidRPr="00820047">
        <w:rPr>
          <w:rFonts w:ascii="Arial" w:hAnsi="Arial" w:cs="Arial"/>
          <w:sz w:val="22"/>
          <w:szCs w:val="22"/>
        </w:rPr>
        <w:t xml:space="preserve">El objetivo general del programa es contribuir a la sostenibilidad del sector energético del país a través de un proceso de reformas de políticas que permitan asegurar la oferta eficiente de energía eléctrica en el Sistema Interconectado nacional (SIN) y las Zonas No Interconectadas (ZNI), a fin de reducir la vulnerabilidad del sector frente a los efectos del cambio climático y aumentar el acceso. Los objetivos específicos son: (i) asegurar un contexto macroeconómico congruente con los objetivos del programa según lo establecido en la Matriz de Políticas; (ii) contribuir a garantizar el abastecimiento de energía mediante la diversificación de la matriz energética con </w:t>
      </w:r>
      <w:r w:rsidRPr="00820047">
        <w:rPr>
          <w:rFonts w:ascii="Arial" w:hAnsi="Arial" w:cs="Arial"/>
          <w:sz w:val="22"/>
          <w:szCs w:val="22"/>
          <w:lang w:val="es-ES_tradnl"/>
        </w:rPr>
        <w:t>Porcentaje de generación eléctrica con fuentes de energías renovables no convencionales en la matriz energética</w:t>
      </w:r>
      <w:r w:rsidRPr="00820047">
        <w:rPr>
          <w:rFonts w:ascii="Arial" w:hAnsi="Arial" w:cs="Arial"/>
          <w:sz w:val="22"/>
          <w:szCs w:val="22"/>
        </w:rPr>
        <w:t xml:space="preserve"> (FNCER), y el incremento de los intercambios energía a nivel internacional; (iii) fortalecer el MEM con medidas que permitan aumentar y garantizar la oferta de GN y administrar la demanda </w:t>
      </w:r>
      <w:r w:rsidR="00CF3A7C" w:rsidRPr="00820047">
        <w:rPr>
          <w:rFonts w:ascii="Arial" w:hAnsi="Arial" w:cs="Arial"/>
          <w:sz w:val="22"/>
          <w:szCs w:val="22"/>
        </w:rPr>
        <w:t>energética</w:t>
      </w:r>
      <w:r w:rsidRPr="00820047">
        <w:rPr>
          <w:rFonts w:ascii="Arial" w:hAnsi="Arial" w:cs="Arial"/>
          <w:sz w:val="22"/>
          <w:szCs w:val="22"/>
        </w:rPr>
        <w:t>; y (iv) promover el acceso a la energía en las ZNI mediante el uso de FNCER.</w:t>
      </w:r>
    </w:p>
    <w:p w14:paraId="2341A4F8" w14:textId="77777777" w:rsidR="00DB52EF" w:rsidRPr="00820047" w:rsidRDefault="00DB52EF" w:rsidP="009E3F81">
      <w:pPr>
        <w:pStyle w:val="Paragraph"/>
        <w:numPr>
          <w:ilvl w:val="1"/>
          <w:numId w:val="8"/>
        </w:numPr>
        <w:tabs>
          <w:tab w:val="clear" w:pos="1746"/>
          <w:tab w:val="num" w:pos="720"/>
        </w:tabs>
        <w:ind w:left="720" w:hanging="720"/>
        <w:rPr>
          <w:rFonts w:ascii="Arial" w:hAnsi="Arial" w:cs="Arial"/>
          <w:sz w:val="22"/>
          <w:szCs w:val="22"/>
        </w:rPr>
      </w:pPr>
      <w:r w:rsidRPr="00820047">
        <w:rPr>
          <w:rFonts w:ascii="Arial" w:hAnsi="Arial" w:cs="Arial"/>
          <w:b/>
          <w:sz w:val="22"/>
          <w:szCs w:val="22"/>
        </w:rPr>
        <w:t>Componente 1. Estabilidad macroeconómica.</w:t>
      </w:r>
      <w:r w:rsidRPr="00820047">
        <w:rPr>
          <w:rFonts w:ascii="Arial" w:hAnsi="Arial" w:cs="Arial"/>
          <w:sz w:val="22"/>
          <w:szCs w:val="22"/>
        </w:rPr>
        <w:t xml:space="preserve"> El programa requiere como condición general, mantener un marco macroeconómico </w:t>
      </w:r>
      <w:r w:rsidRPr="00820047">
        <w:rPr>
          <w:rFonts w:ascii="Arial" w:hAnsi="Arial" w:cs="Arial"/>
          <w:bCs/>
          <w:sz w:val="22"/>
          <w:szCs w:val="22"/>
        </w:rPr>
        <w:t>estable</w:t>
      </w:r>
      <w:r w:rsidRPr="00820047">
        <w:rPr>
          <w:rFonts w:ascii="Arial" w:hAnsi="Arial" w:cs="Arial"/>
          <w:sz w:val="22"/>
          <w:szCs w:val="22"/>
        </w:rPr>
        <w:t xml:space="preserve"> y conducente al logro de los objetivos del programa y los lineamientos establecidos en la Carta de Política Sectorial. </w:t>
      </w:r>
    </w:p>
    <w:p w14:paraId="2341A4F9" w14:textId="77777777" w:rsidR="005E6E5F" w:rsidRPr="005E6E5F" w:rsidRDefault="00DB52EF" w:rsidP="005E6E5F">
      <w:pPr>
        <w:pStyle w:val="Paragraph"/>
        <w:numPr>
          <w:ilvl w:val="1"/>
          <w:numId w:val="8"/>
        </w:numPr>
        <w:tabs>
          <w:tab w:val="clear" w:pos="1746"/>
          <w:tab w:val="num" w:pos="720"/>
        </w:tabs>
        <w:ind w:left="720" w:hanging="720"/>
        <w:rPr>
          <w:rFonts w:ascii="Arial" w:hAnsi="Arial" w:cs="Arial"/>
          <w:b/>
          <w:bCs/>
          <w:sz w:val="22"/>
          <w:szCs w:val="22"/>
          <w:lang w:val="en-US"/>
        </w:rPr>
      </w:pPr>
      <w:r w:rsidRPr="00820047">
        <w:rPr>
          <w:rFonts w:ascii="Arial" w:hAnsi="Arial" w:cs="Arial"/>
          <w:b/>
          <w:sz w:val="22"/>
          <w:szCs w:val="22"/>
        </w:rPr>
        <w:t xml:space="preserve">Componente 2. </w:t>
      </w:r>
      <w:r w:rsidR="005E6E5F" w:rsidRPr="00640108">
        <w:rPr>
          <w:rFonts w:ascii="Arial" w:hAnsi="Arial" w:cs="Arial"/>
          <w:b/>
          <w:sz w:val="22"/>
          <w:szCs w:val="22"/>
          <w:lang w:val="es-ES_tradnl"/>
        </w:rPr>
        <w:t>Apoyo a la confiabilidad del abastecimiento eléctrico del SIN</w:t>
      </w:r>
      <w:r w:rsidR="005E6E5F" w:rsidRPr="005E6E5F">
        <w:rPr>
          <w:rFonts w:ascii="Arial" w:hAnsi="Arial" w:cs="Arial"/>
          <w:sz w:val="22"/>
          <w:szCs w:val="22"/>
          <w:lang w:val="es-ES_tradnl"/>
        </w:rPr>
        <w:t>.</w:t>
      </w:r>
      <w:r w:rsidR="005E6E5F" w:rsidRPr="005E6E5F">
        <w:rPr>
          <w:rFonts w:ascii="Arial" w:hAnsi="Arial" w:cs="Arial"/>
          <w:bCs/>
          <w:sz w:val="22"/>
          <w:szCs w:val="22"/>
          <w:lang w:val="es-ES_tradnl"/>
        </w:rPr>
        <w:t xml:space="preserve"> Bajo este componente se apoyan las siguientes medidas que reducen el riesgo de desabastecimiento del SIN: promoción de la diversificación de la matriz energética con FNCER y mayor integración eléctrica regional; y  medidas para mejorar la operación del mercado eléctrico. Incluye los siguientes subcomponentes:</w:t>
      </w:r>
    </w:p>
    <w:p w14:paraId="2341A4FA" w14:textId="77777777" w:rsidR="00DB52EF" w:rsidRPr="00820047" w:rsidRDefault="005E6E5F" w:rsidP="009E3F81">
      <w:pPr>
        <w:pStyle w:val="Paragraph"/>
        <w:numPr>
          <w:ilvl w:val="1"/>
          <w:numId w:val="8"/>
        </w:numPr>
        <w:tabs>
          <w:tab w:val="clear" w:pos="1746"/>
          <w:tab w:val="num" w:pos="720"/>
        </w:tabs>
        <w:ind w:left="720" w:hanging="720"/>
        <w:rPr>
          <w:rFonts w:ascii="Arial" w:hAnsi="Arial" w:cs="Arial"/>
          <w:bCs/>
          <w:sz w:val="22"/>
          <w:szCs w:val="22"/>
          <w:lang w:val="es-ES_tradnl"/>
        </w:rPr>
      </w:pPr>
      <w:r>
        <w:rPr>
          <w:rFonts w:ascii="Arial" w:hAnsi="Arial" w:cs="Arial"/>
          <w:b/>
          <w:sz w:val="22"/>
          <w:szCs w:val="22"/>
        </w:rPr>
        <w:t xml:space="preserve">Subcomponente 2.1. </w:t>
      </w:r>
      <w:r w:rsidR="00DB52EF" w:rsidRPr="00820047">
        <w:rPr>
          <w:rFonts w:ascii="Arial" w:hAnsi="Arial" w:cs="Arial"/>
          <w:b/>
          <w:sz w:val="22"/>
          <w:szCs w:val="22"/>
        </w:rPr>
        <w:t xml:space="preserve">Apoyo a la diversificación de la matriz energética, a la confiabilidad eléctrica del SIN, </w:t>
      </w:r>
      <w:r w:rsidR="00DB52EF" w:rsidRPr="00820047">
        <w:rPr>
          <w:rFonts w:ascii="Arial" w:hAnsi="Arial" w:cs="Arial"/>
          <w:b/>
          <w:sz w:val="22"/>
          <w:szCs w:val="22"/>
          <w:lang w:val="es-ES_tradnl"/>
        </w:rPr>
        <w:t>y a la integración eléctrica regional</w:t>
      </w:r>
      <w:r w:rsidR="00DB52EF" w:rsidRPr="00820047">
        <w:rPr>
          <w:rFonts w:ascii="Arial" w:hAnsi="Arial" w:cs="Arial"/>
          <w:b/>
          <w:sz w:val="22"/>
          <w:szCs w:val="22"/>
        </w:rPr>
        <w:t>.</w:t>
      </w:r>
      <w:r w:rsidR="00DB52EF" w:rsidRPr="00820047">
        <w:rPr>
          <w:rFonts w:ascii="Arial" w:hAnsi="Arial" w:cs="Arial"/>
          <w:sz w:val="22"/>
          <w:szCs w:val="22"/>
        </w:rPr>
        <w:t xml:space="preserve"> Apoyará </w:t>
      </w:r>
      <w:r w:rsidR="00DB52EF" w:rsidRPr="00820047">
        <w:rPr>
          <w:rFonts w:ascii="Arial" w:hAnsi="Arial" w:cs="Arial"/>
          <w:bCs/>
          <w:sz w:val="22"/>
          <w:szCs w:val="22"/>
        </w:rPr>
        <w:t xml:space="preserve">la adopción de políticas enfocadas a: la diversificación de la matriz energética mediante la promoción e incorporación de las </w:t>
      </w:r>
      <w:r w:rsidR="00DB52EF" w:rsidRPr="00820047">
        <w:rPr>
          <w:rFonts w:ascii="Arial" w:hAnsi="Arial" w:cs="Arial"/>
          <w:sz w:val="22"/>
          <w:szCs w:val="22"/>
        </w:rPr>
        <w:t>FNCER</w:t>
      </w:r>
      <w:r w:rsidR="00DB52EF" w:rsidRPr="00820047">
        <w:rPr>
          <w:rFonts w:ascii="Arial" w:hAnsi="Arial" w:cs="Arial"/>
          <w:bCs/>
          <w:sz w:val="22"/>
          <w:szCs w:val="22"/>
        </w:rPr>
        <w:t xml:space="preserve"> al SIN; y la promoción de las interconexiones eléctricas regionales, con el objetivo de asegurar el abastecimiento eléctrico del SIN.</w:t>
      </w:r>
    </w:p>
    <w:p w14:paraId="2341A4FB" w14:textId="77777777" w:rsidR="00DB52EF" w:rsidRPr="00820047" w:rsidRDefault="0011752D" w:rsidP="009E3F81">
      <w:pPr>
        <w:pStyle w:val="Paragraph"/>
        <w:numPr>
          <w:ilvl w:val="1"/>
          <w:numId w:val="8"/>
        </w:numPr>
        <w:tabs>
          <w:tab w:val="clear" w:pos="1746"/>
          <w:tab w:val="num" w:pos="720"/>
        </w:tabs>
        <w:ind w:left="720" w:hanging="720"/>
        <w:rPr>
          <w:rFonts w:ascii="Arial" w:hAnsi="Arial" w:cs="Arial"/>
          <w:sz w:val="22"/>
          <w:szCs w:val="22"/>
        </w:rPr>
      </w:pPr>
      <w:r>
        <w:rPr>
          <w:rFonts w:ascii="Arial" w:hAnsi="Arial" w:cs="Arial"/>
          <w:b/>
          <w:sz w:val="22"/>
          <w:szCs w:val="22"/>
        </w:rPr>
        <w:t>Subc</w:t>
      </w:r>
      <w:r w:rsidRPr="00820047">
        <w:rPr>
          <w:rFonts w:ascii="Arial" w:hAnsi="Arial" w:cs="Arial"/>
          <w:b/>
          <w:sz w:val="22"/>
          <w:szCs w:val="22"/>
        </w:rPr>
        <w:t>omponente</w:t>
      </w:r>
      <w:r w:rsidR="00DB52EF" w:rsidRPr="00820047">
        <w:rPr>
          <w:rFonts w:ascii="Arial" w:hAnsi="Arial" w:cs="Arial"/>
          <w:b/>
          <w:sz w:val="22"/>
          <w:szCs w:val="22"/>
        </w:rPr>
        <w:t xml:space="preserve"> </w:t>
      </w:r>
      <w:r w:rsidR="005E6E5F">
        <w:rPr>
          <w:rFonts w:ascii="Arial" w:hAnsi="Arial" w:cs="Arial"/>
          <w:b/>
          <w:sz w:val="22"/>
          <w:szCs w:val="22"/>
        </w:rPr>
        <w:t>2.2</w:t>
      </w:r>
      <w:r w:rsidR="00DB52EF" w:rsidRPr="00820047">
        <w:rPr>
          <w:rFonts w:ascii="Arial" w:hAnsi="Arial" w:cs="Arial"/>
          <w:b/>
          <w:sz w:val="22"/>
          <w:szCs w:val="22"/>
        </w:rPr>
        <w:t>. Fortalecimiento del mercado eléctrico.</w:t>
      </w:r>
      <w:r w:rsidR="00DB52EF" w:rsidRPr="00820047">
        <w:rPr>
          <w:rFonts w:ascii="Arial" w:hAnsi="Arial" w:cs="Arial"/>
          <w:sz w:val="22"/>
          <w:szCs w:val="22"/>
        </w:rPr>
        <w:t xml:space="preserve"> Apoyará </w:t>
      </w:r>
      <w:r w:rsidR="00DB52EF" w:rsidRPr="00820047">
        <w:rPr>
          <w:rFonts w:ascii="Arial" w:hAnsi="Arial" w:cs="Arial"/>
          <w:bCs/>
          <w:sz w:val="22"/>
          <w:szCs w:val="22"/>
        </w:rPr>
        <w:t xml:space="preserve">la adopción de </w:t>
      </w:r>
      <w:r w:rsidR="00DB52EF" w:rsidRPr="00820047">
        <w:rPr>
          <w:rFonts w:ascii="Arial" w:hAnsi="Arial" w:cs="Arial"/>
          <w:sz w:val="22"/>
          <w:szCs w:val="22"/>
        </w:rPr>
        <w:t>reformas</w:t>
      </w:r>
      <w:r w:rsidR="00DB52EF" w:rsidRPr="00820047">
        <w:rPr>
          <w:rFonts w:ascii="Arial" w:hAnsi="Arial" w:cs="Arial"/>
          <w:bCs/>
          <w:sz w:val="22"/>
          <w:szCs w:val="22"/>
        </w:rPr>
        <w:t xml:space="preserve"> y políticas para el fortalecimiento del MEM, incluyendo </w:t>
      </w:r>
      <w:r w:rsidR="00DB52EF" w:rsidRPr="00820047">
        <w:rPr>
          <w:rFonts w:ascii="Arial" w:hAnsi="Arial" w:cs="Arial"/>
          <w:bCs/>
          <w:sz w:val="22"/>
          <w:szCs w:val="22"/>
        </w:rPr>
        <w:lastRenderedPageBreak/>
        <w:t xml:space="preserve">medidas que permitan: (i) garantizar la oferta de GN para generación eléctrica; (ii) promover la GEDE; y (iii) optimizar el funcionamiento del MEM. </w:t>
      </w:r>
    </w:p>
    <w:p w14:paraId="2341A4FC" w14:textId="77777777" w:rsidR="00C02A0F" w:rsidRPr="00820047" w:rsidRDefault="00DB52EF" w:rsidP="009E3F81">
      <w:pPr>
        <w:pStyle w:val="Paragraph"/>
        <w:numPr>
          <w:ilvl w:val="1"/>
          <w:numId w:val="8"/>
        </w:numPr>
        <w:tabs>
          <w:tab w:val="clear" w:pos="1746"/>
          <w:tab w:val="num" w:pos="720"/>
        </w:tabs>
        <w:ind w:left="720" w:hanging="720"/>
        <w:rPr>
          <w:rFonts w:ascii="Arial" w:hAnsi="Arial" w:cs="Arial"/>
          <w:bCs/>
          <w:sz w:val="22"/>
          <w:szCs w:val="22"/>
          <w:lang w:val="es-ES_tradnl"/>
        </w:rPr>
      </w:pPr>
      <w:r w:rsidRPr="00820047">
        <w:rPr>
          <w:rFonts w:ascii="Arial" w:hAnsi="Arial" w:cs="Arial"/>
          <w:b/>
          <w:sz w:val="22"/>
          <w:szCs w:val="22"/>
        </w:rPr>
        <w:t xml:space="preserve">Componente </w:t>
      </w:r>
      <w:r w:rsidR="005E6E5F">
        <w:rPr>
          <w:rFonts w:ascii="Arial" w:hAnsi="Arial" w:cs="Arial"/>
          <w:b/>
          <w:sz w:val="22"/>
          <w:szCs w:val="22"/>
        </w:rPr>
        <w:t>3</w:t>
      </w:r>
      <w:r w:rsidRPr="00820047">
        <w:rPr>
          <w:rFonts w:ascii="Arial" w:hAnsi="Arial" w:cs="Arial"/>
          <w:b/>
          <w:sz w:val="22"/>
          <w:szCs w:val="22"/>
        </w:rPr>
        <w:t xml:space="preserve">. Promoción del Acceso a la energía en ZNI. </w:t>
      </w:r>
      <w:r w:rsidRPr="00820047">
        <w:rPr>
          <w:rFonts w:ascii="Arial" w:hAnsi="Arial" w:cs="Arial"/>
          <w:sz w:val="22"/>
          <w:szCs w:val="22"/>
        </w:rPr>
        <w:t>Apoyará la adopción de medidas que permitan incrementar el acceso a la energía en ZNI considerando el uso de FNCER.</w:t>
      </w:r>
    </w:p>
    <w:p w14:paraId="2341A4FD" w14:textId="77777777" w:rsidR="00716A0D" w:rsidRPr="00820047" w:rsidRDefault="00C02A0F" w:rsidP="00716A0D">
      <w:pPr>
        <w:pStyle w:val="Paragraph"/>
        <w:tabs>
          <w:tab w:val="num" w:pos="720"/>
        </w:tabs>
        <w:ind w:left="720" w:hanging="720"/>
        <w:rPr>
          <w:rFonts w:ascii="Arial" w:hAnsi="Arial" w:cs="Arial"/>
          <w:sz w:val="22"/>
          <w:szCs w:val="22"/>
        </w:rPr>
      </w:pPr>
      <w:r w:rsidRPr="00820047">
        <w:rPr>
          <w:rFonts w:ascii="Arial" w:hAnsi="Arial" w:cs="Arial"/>
          <w:b/>
          <w:sz w:val="22"/>
          <w:szCs w:val="22"/>
          <w:lang w:val="es-ES_tradnl"/>
        </w:rPr>
        <w:t>Resultados esperados</w:t>
      </w:r>
      <w:r w:rsidRPr="00820047">
        <w:rPr>
          <w:rFonts w:ascii="Arial" w:hAnsi="Arial" w:cs="Arial"/>
          <w:sz w:val="22"/>
          <w:szCs w:val="22"/>
          <w:lang w:val="es-ES_tradnl"/>
        </w:rPr>
        <w:t xml:space="preserve">. </w:t>
      </w:r>
      <w:r w:rsidR="00716A0D" w:rsidRPr="00820047">
        <w:rPr>
          <w:rFonts w:ascii="Arial" w:hAnsi="Arial" w:cs="Arial"/>
          <w:sz w:val="22"/>
          <w:szCs w:val="22"/>
          <w:lang w:val="es-ES_tradnl"/>
        </w:rPr>
        <w:t xml:space="preserve">Como resultado, con este programa se busca: </w:t>
      </w:r>
      <w:r w:rsidR="00716A0D" w:rsidRPr="00820047">
        <w:rPr>
          <w:rFonts w:ascii="Arial" w:hAnsi="Arial" w:cs="Arial"/>
          <w:bCs/>
          <w:sz w:val="22"/>
          <w:szCs w:val="22"/>
          <w:lang w:val="es-ES_tradnl"/>
        </w:rPr>
        <w:t xml:space="preserve">(i) la diversificación y mayor participación de las FNCER en el SIN </w:t>
      </w:r>
      <w:r w:rsidR="004F5661" w:rsidRPr="00820047">
        <w:rPr>
          <w:rFonts w:ascii="Arial" w:hAnsi="Arial" w:cs="Arial"/>
          <w:bCs/>
          <w:sz w:val="22"/>
          <w:szCs w:val="22"/>
          <w:lang w:val="es-ES_tradnl"/>
        </w:rPr>
        <w:t>e incrementar</w:t>
      </w:r>
      <w:r w:rsidR="00716A0D" w:rsidRPr="00820047">
        <w:rPr>
          <w:rFonts w:ascii="Arial" w:hAnsi="Arial" w:cs="Arial"/>
          <w:bCs/>
          <w:sz w:val="22"/>
          <w:szCs w:val="22"/>
          <w:lang w:val="es-ES_tradnl"/>
        </w:rPr>
        <w:t xml:space="preserve"> </w:t>
      </w:r>
      <w:r w:rsidR="004F5661" w:rsidRPr="00820047">
        <w:rPr>
          <w:rFonts w:ascii="Arial" w:hAnsi="Arial" w:cs="Arial"/>
          <w:bCs/>
          <w:sz w:val="22"/>
          <w:szCs w:val="22"/>
          <w:lang w:val="es-ES_tradnl"/>
        </w:rPr>
        <w:t>los intercambios</w:t>
      </w:r>
      <w:r w:rsidR="00716A0D" w:rsidRPr="00820047">
        <w:rPr>
          <w:rFonts w:ascii="Arial" w:hAnsi="Arial" w:cs="Arial"/>
          <w:bCs/>
          <w:sz w:val="22"/>
          <w:szCs w:val="22"/>
          <w:lang w:val="es-ES_tradnl"/>
        </w:rPr>
        <w:t xml:space="preserve"> binacionales </w:t>
      </w:r>
      <w:r w:rsidR="004F5661" w:rsidRPr="00820047">
        <w:rPr>
          <w:rFonts w:ascii="Arial" w:hAnsi="Arial" w:cs="Arial"/>
          <w:bCs/>
          <w:sz w:val="22"/>
          <w:szCs w:val="22"/>
          <w:lang w:val="es-ES_tradnl"/>
        </w:rPr>
        <w:t xml:space="preserve">de energía </w:t>
      </w:r>
      <w:r w:rsidR="00716A0D" w:rsidRPr="00820047">
        <w:rPr>
          <w:rFonts w:ascii="Arial" w:hAnsi="Arial" w:cs="Arial"/>
          <w:bCs/>
          <w:sz w:val="22"/>
          <w:szCs w:val="22"/>
          <w:lang w:val="es-ES_tradnl"/>
        </w:rPr>
        <w:t>con Ecuador y en un futuro cercano con Panamá</w:t>
      </w:r>
      <w:r w:rsidR="00716A0D" w:rsidRPr="00820047">
        <w:rPr>
          <w:rFonts w:ascii="Arial" w:hAnsi="Arial" w:cs="Arial"/>
          <w:sz w:val="22"/>
          <w:szCs w:val="22"/>
          <w:lang w:val="es-ES_tradnl"/>
        </w:rPr>
        <w:t xml:space="preserve">; (ii) fortalecer el </w:t>
      </w:r>
      <w:r w:rsidR="004F5661" w:rsidRPr="00820047">
        <w:rPr>
          <w:rFonts w:ascii="Arial" w:hAnsi="Arial" w:cs="Arial"/>
          <w:sz w:val="22"/>
          <w:szCs w:val="22"/>
          <w:lang w:val="es-ES_tradnl"/>
        </w:rPr>
        <w:t>Mercado eléctrico mayorista (</w:t>
      </w:r>
      <w:r w:rsidR="00716A0D" w:rsidRPr="00820047">
        <w:rPr>
          <w:rFonts w:ascii="Arial" w:hAnsi="Arial" w:cs="Arial"/>
          <w:sz w:val="22"/>
          <w:szCs w:val="22"/>
          <w:lang w:val="es-ES_tradnl"/>
        </w:rPr>
        <w:t>MEM</w:t>
      </w:r>
      <w:r w:rsidR="004F5661" w:rsidRPr="00820047">
        <w:rPr>
          <w:rFonts w:ascii="Arial" w:hAnsi="Arial" w:cs="Arial"/>
          <w:sz w:val="22"/>
          <w:szCs w:val="22"/>
          <w:lang w:val="es-ES_tradnl"/>
        </w:rPr>
        <w:t>)</w:t>
      </w:r>
      <w:r w:rsidR="00716A0D" w:rsidRPr="00820047">
        <w:rPr>
          <w:rFonts w:ascii="Arial" w:hAnsi="Arial" w:cs="Arial"/>
          <w:sz w:val="22"/>
          <w:szCs w:val="22"/>
          <w:lang w:val="es-ES_tradnl"/>
        </w:rPr>
        <w:t xml:space="preserve"> con medidas que permitan garantizar la oferta de GN y administrar la </w:t>
      </w:r>
      <w:r w:rsidR="00716A0D" w:rsidRPr="00820047">
        <w:rPr>
          <w:rFonts w:ascii="Arial" w:hAnsi="Arial" w:cs="Arial"/>
          <w:sz w:val="22"/>
          <w:szCs w:val="22"/>
          <w:lang w:val="es-CO"/>
        </w:rPr>
        <w:t>demanda; y (iii) promover el acceso a la energía en las ZNI mediante el uso de FNCER.  Como impacto del programa se espera</w:t>
      </w:r>
      <w:r w:rsidR="00716A0D" w:rsidRPr="00820047">
        <w:rPr>
          <w:rFonts w:ascii="Arial" w:hAnsi="Arial" w:cs="Arial"/>
          <w:bCs/>
          <w:sz w:val="22"/>
          <w:szCs w:val="22"/>
          <w:lang w:val="es-CO"/>
        </w:rPr>
        <w:t xml:space="preserve"> asegurar e incrementar la oferta eficiente de energía eléctrica y reducir la emisión de gases efecto invernadero.</w:t>
      </w:r>
    </w:p>
    <w:p w14:paraId="2341A4FE" w14:textId="77777777" w:rsidR="00716A0D" w:rsidRPr="00820047" w:rsidRDefault="00716A0D" w:rsidP="00716A0D">
      <w:pPr>
        <w:pStyle w:val="Paragraph"/>
        <w:tabs>
          <w:tab w:val="num" w:pos="720"/>
        </w:tabs>
        <w:ind w:left="720" w:hanging="720"/>
        <w:rPr>
          <w:rFonts w:ascii="Arial" w:hAnsi="Arial" w:cs="Arial"/>
          <w:sz w:val="22"/>
          <w:szCs w:val="22"/>
          <w:lang w:val="es-ES_tradnl"/>
        </w:rPr>
      </w:pPr>
      <w:r w:rsidRPr="00820047">
        <w:rPr>
          <w:rFonts w:ascii="Arial" w:hAnsi="Arial" w:cs="Arial"/>
          <w:sz w:val="22"/>
          <w:szCs w:val="22"/>
          <w:lang w:val="es-ES_tradnl"/>
        </w:rPr>
        <w:t xml:space="preserve">El </w:t>
      </w:r>
      <w:r w:rsidRPr="00820047">
        <w:rPr>
          <w:rFonts w:ascii="Arial" w:hAnsi="Arial" w:cs="Arial"/>
          <w:sz w:val="22"/>
          <w:szCs w:val="22"/>
        </w:rPr>
        <w:t>presente</w:t>
      </w:r>
      <w:r w:rsidRPr="00820047">
        <w:rPr>
          <w:rFonts w:ascii="Arial" w:hAnsi="Arial" w:cs="Arial"/>
          <w:sz w:val="22"/>
          <w:szCs w:val="22"/>
          <w:lang w:val="es-ES_tradnl"/>
        </w:rPr>
        <w:t xml:space="preserve"> plan contempla dos actividades principales:</w:t>
      </w:r>
    </w:p>
    <w:p w14:paraId="2341A4FF" w14:textId="77777777" w:rsidR="00716A0D" w:rsidRPr="00820047" w:rsidRDefault="00716A0D" w:rsidP="00716A0D">
      <w:pPr>
        <w:pStyle w:val="subpar"/>
        <w:rPr>
          <w:rFonts w:ascii="Arial" w:hAnsi="Arial" w:cs="Arial"/>
          <w:sz w:val="22"/>
          <w:szCs w:val="22"/>
        </w:rPr>
      </w:pPr>
      <w:r w:rsidRPr="00820047">
        <w:rPr>
          <w:rFonts w:ascii="Arial" w:hAnsi="Arial" w:cs="Arial"/>
          <w:sz w:val="22"/>
          <w:szCs w:val="22"/>
        </w:rPr>
        <w:t>Seguimiento de las actividades y compromisos de política, y</w:t>
      </w:r>
    </w:p>
    <w:p w14:paraId="2341A500" w14:textId="77777777" w:rsidR="00716A0D" w:rsidRPr="00820047" w:rsidRDefault="00716A0D" w:rsidP="00716A0D">
      <w:pPr>
        <w:pStyle w:val="subpar"/>
        <w:rPr>
          <w:rFonts w:ascii="Arial" w:hAnsi="Arial" w:cs="Arial"/>
          <w:sz w:val="22"/>
          <w:szCs w:val="22"/>
        </w:rPr>
      </w:pPr>
      <w:r w:rsidRPr="00820047">
        <w:rPr>
          <w:rFonts w:ascii="Arial" w:hAnsi="Arial" w:cs="Arial"/>
          <w:sz w:val="22"/>
          <w:szCs w:val="22"/>
        </w:rPr>
        <w:t>Evaluación de los resultados e impactos del programa</w:t>
      </w:r>
    </w:p>
    <w:p w14:paraId="2341A501" w14:textId="77777777" w:rsidR="00ED751C" w:rsidRPr="00820047" w:rsidRDefault="00716A0D" w:rsidP="008E2D06">
      <w:pPr>
        <w:pStyle w:val="Paragraph"/>
        <w:tabs>
          <w:tab w:val="num" w:pos="720"/>
        </w:tabs>
        <w:ind w:left="720" w:hanging="720"/>
        <w:rPr>
          <w:rFonts w:ascii="Arial" w:hAnsi="Arial" w:cs="Arial"/>
          <w:sz w:val="22"/>
          <w:szCs w:val="22"/>
        </w:rPr>
      </w:pPr>
      <w:r w:rsidRPr="00820047">
        <w:rPr>
          <w:rFonts w:ascii="Arial" w:hAnsi="Arial" w:cs="Arial"/>
          <w:sz w:val="22"/>
          <w:szCs w:val="22"/>
          <w:lang w:val="es-ES_tradnl"/>
        </w:rPr>
        <w:t xml:space="preserve">El </w:t>
      </w:r>
      <w:r w:rsidRPr="00820047">
        <w:rPr>
          <w:rFonts w:ascii="Arial" w:hAnsi="Arial" w:cs="Arial"/>
          <w:bCs/>
          <w:sz w:val="22"/>
          <w:szCs w:val="22"/>
          <w:lang w:val="es-ES_tradnl"/>
        </w:rPr>
        <w:t>Banco</w:t>
      </w:r>
      <w:r w:rsidRPr="00820047">
        <w:rPr>
          <w:rFonts w:ascii="Arial" w:hAnsi="Arial" w:cs="Arial"/>
          <w:sz w:val="22"/>
          <w:szCs w:val="22"/>
          <w:lang w:val="es-ES_tradnl"/>
        </w:rPr>
        <w:t xml:space="preserve"> y el GdC acordaron utilizar la Matriz de Política, la Matriz de Medios de Verificación y la Matriz de Resultados como herramientas para el seguimiento y evaluación de la operación</w:t>
      </w:r>
      <w:r w:rsidR="004F5661" w:rsidRPr="00820047">
        <w:rPr>
          <w:rFonts w:ascii="Arial" w:hAnsi="Arial" w:cs="Arial"/>
          <w:sz w:val="22"/>
          <w:szCs w:val="22"/>
          <w:lang w:val="es-ES_tradnl"/>
        </w:rPr>
        <w:t>.</w:t>
      </w:r>
    </w:p>
    <w:p w14:paraId="2341A502" w14:textId="77777777" w:rsidR="00716A0D" w:rsidRPr="00820047" w:rsidRDefault="00716A0D">
      <w:pPr>
        <w:spacing w:after="200" w:line="276" w:lineRule="auto"/>
        <w:rPr>
          <w:rFonts w:ascii="Arial" w:hAnsi="Arial" w:cs="Arial"/>
          <w:sz w:val="22"/>
          <w:szCs w:val="22"/>
          <w:lang w:val="es-ES"/>
        </w:rPr>
      </w:pPr>
      <w:r w:rsidRPr="00820047">
        <w:rPr>
          <w:rFonts w:ascii="Arial" w:hAnsi="Arial" w:cs="Arial"/>
          <w:sz w:val="22"/>
          <w:szCs w:val="22"/>
          <w:lang w:val="es-ES_tradnl"/>
        </w:rPr>
        <w:br w:type="page"/>
      </w:r>
    </w:p>
    <w:p w14:paraId="2341A503" w14:textId="77777777" w:rsidR="00ED751C" w:rsidRPr="00820047" w:rsidRDefault="00ED751C" w:rsidP="00ED751C">
      <w:pPr>
        <w:rPr>
          <w:rFonts w:ascii="Arial" w:hAnsi="Arial" w:cs="Arial"/>
          <w:sz w:val="22"/>
          <w:szCs w:val="22"/>
          <w:lang w:val="es-ES_tradnl"/>
        </w:rPr>
        <w:sectPr w:rsidR="00ED751C" w:rsidRPr="00820047" w:rsidSect="00664BF9">
          <w:headerReference w:type="default" r:id="rId23"/>
          <w:headerReference w:type="first" r:id="rId24"/>
          <w:pgSz w:w="12240" w:h="15840" w:code="1"/>
          <w:pgMar w:top="1440" w:right="1800" w:bottom="1440" w:left="1800" w:header="706" w:footer="706" w:gutter="0"/>
          <w:cols w:space="720"/>
          <w:formProt w:val="0"/>
          <w:titlePg/>
        </w:sectPr>
      </w:pPr>
    </w:p>
    <w:p w14:paraId="2341A504" w14:textId="77777777" w:rsidR="00ED751C" w:rsidRPr="00820047" w:rsidRDefault="00716A0D" w:rsidP="00ED751C">
      <w:pPr>
        <w:pStyle w:val="Chapter"/>
        <w:rPr>
          <w:rFonts w:ascii="Arial" w:hAnsi="Arial" w:cs="Arial"/>
          <w:sz w:val="22"/>
          <w:szCs w:val="22"/>
        </w:rPr>
      </w:pPr>
      <w:bookmarkStart w:id="1" w:name="_Toc473464948"/>
      <w:r w:rsidRPr="00820047">
        <w:rPr>
          <w:rFonts w:ascii="Arial" w:hAnsi="Arial" w:cs="Arial"/>
          <w:sz w:val="22"/>
          <w:szCs w:val="22"/>
        </w:rPr>
        <w:lastRenderedPageBreak/>
        <w:t>Plan de Seguimiento</w:t>
      </w:r>
      <w:bookmarkEnd w:id="1"/>
    </w:p>
    <w:p w14:paraId="2341A505" w14:textId="77777777" w:rsidR="00ED751C" w:rsidRPr="00820047" w:rsidRDefault="00E3347F" w:rsidP="00FF12B9">
      <w:pPr>
        <w:pStyle w:val="FirstHeading"/>
        <w:ind w:left="720"/>
        <w:rPr>
          <w:rFonts w:ascii="Arial" w:hAnsi="Arial" w:cs="Arial"/>
          <w:sz w:val="22"/>
          <w:szCs w:val="22"/>
        </w:rPr>
      </w:pPr>
      <w:r w:rsidRPr="00820047">
        <w:rPr>
          <w:rFonts w:ascii="Arial" w:hAnsi="Arial" w:cs="Arial"/>
          <w:sz w:val="22"/>
          <w:szCs w:val="22"/>
        </w:rPr>
        <w:fldChar w:fldCharType="begin"/>
      </w:r>
      <w:r w:rsidR="00ED751C" w:rsidRPr="00820047">
        <w:rPr>
          <w:rFonts w:ascii="Arial" w:hAnsi="Arial" w:cs="Arial"/>
          <w:sz w:val="22"/>
          <w:szCs w:val="22"/>
        </w:rPr>
        <w:instrText xml:space="preserve"> SEQ "</w:instrText>
      </w:r>
      <w:r w:rsidR="007F016F" w:rsidRPr="00820047">
        <w:rPr>
          <w:rFonts w:ascii="Arial" w:hAnsi="Arial" w:cs="Arial"/>
          <w:sz w:val="22"/>
          <w:szCs w:val="22"/>
        </w:rPr>
        <w:fldChar w:fldCharType="begin"/>
      </w:r>
      <w:r w:rsidR="007F016F" w:rsidRPr="00820047">
        <w:rPr>
          <w:rFonts w:ascii="Arial" w:hAnsi="Arial" w:cs="Arial"/>
          <w:sz w:val="22"/>
          <w:szCs w:val="22"/>
        </w:rPr>
        <w:instrText xml:space="preserve"> SECTION  \* MERGEFORMAT </w:instrText>
      </w:r>
      <w:r w:rsidR="007F016F" w:rsidRPr="00820047">
        <w:rPr>
          <w:rFonts w:ascii="Arial" w:hAnsi="Arial" w:cs="Arial"/>
          <w:sz w:val="22"/>
          <w:szCs w:val="22"/>
        </w:rPr>
        <w:fldChar w:fldCharType="separate"/>
      </w:r>
      <w:r w:rsidR="00ED751C" w:rsidRPr="00820047">
        <w:rPr>
          <w:rFonts w:ascii="Arial" w:hAnsi="Arial" w:cs="Arial"/>
          <w:sz w:val="22"/>
          <w:szCs w:val="22"/>
        </w:rPr>
        <w:instrText>6</w:instrText>
      </w:r>
      <w:r w:rsidR="007F016F" w:rsidRPr="00820047">
        <w:rPr>
          <w:rFonts w:ascii="Arial" w:hAnsi="Arial" w:cs="Arial"/>
          <w:sz w:val="22"/>
          <w:szCs w:val="22"/>
        </w:rPr>
        <w:fldChar w:fldCharType="end"/>
      </w:r>
      <w:r w:rsidR="00ED751C" w:rsidRPr="00820047">
        <w:rPr>
          <w:rFonts w:ascii="Arial" w:hAnsi="Arial" w:cs="Arial"/>
          <w:sz w:val="22"/>
          <w:szCs w:val="22"/>
        </w:rPr>
        <w:instrText xml:space="preserve">#"\* ALPHABETIC \* MERGEFORMAT </w:instrText>
      </w:r>
      <w:r w:rsidRPr="00820047">
        <w:rPr>
          <w:rFonts w:ascii="Arial" w:hAnsi="Arial" w:cs="Arial"/>
          <w:sz w:val="22"/>
          <w:szCs w:val="22"/>
        </w:rPr>
        <w:fldChar w:fldCharType="separate"/>
      </w:r>
      <w:bookmarkStart w:id="2" w:name="_Toc473464949"/>
      <w:r w:rsidR="00ED751C" w:rsidRPr="00820047">
        <w:rPr>
          <w:rFonts w:ascii="Arial" w:hAnsi="Arial" w:cs="Arial"/>
          <w:noProof/>
          <w:sz w:val="22"/>
          <w:szCs w:val="22"/>
        </w:rPr>
        <w:t>A</w:t>
      </w:r>
      <w:r w:rsidRPr="00820047">
        <w:rPr>
          <w:rFonts w:ascii="Arial" w:hAnsi="Arial" w:cs="Arial"/>
          <w:sz w:val="22"/>
          <w:szCs w:val="22"/>
        </w:rPr>
        <w:fldChar w:fldCharType="end"/>
      </w:r>
      <w:r w:rsidR="00ED751C" w:rsidRPr="00820047">
        <w:rPr>
          <w:rFonts w:ascii="Arial" w:hAnsi="Arial" w:cs="Arial"/>
          <w:sz w:val="22"/>
          <w:szCs w:val="22"/>
        </w:rPr>
        <w:t>.</w:t>
      </w:r>
      <w:r w:rsidR="00ED751C" w:rsidRPr="00820047">
        <w:rPr>
          <w:rFonts w:ascii="Arial" w:hAnsi="Arial" w:cs="Arial"/>
          <w:sz w:val="22"/>
          <w:szCs w:val="22"/>
        </w:rPr>
        <w:tab/>
      </w:r>
      <w:r w:rsidR="00716A0D" w:rsidRPr="00820047">
        <w:rPr>
          <w:rFonts w:ascii="Arial" w:hAnsi="Arial" w:cs="Arial"/>
          <w:sz w:val="22"/>
          <w:szCs w:val="22"/>
        </w:rPr>
        <w:t>Objetivo</w:t>
      </w:r>
      <w:bookmarkEnd w:id="2"/>
    </w:p>
    <w:p w14:paraId="2341A506" w14:textId="77777777" w:rsidR="00ED751C" w:rsidRPr="00820047" w:rsidRDefault="00716A0D" w:rsidP="00716A0D">
      <w:pPr>
        <w:pStyle w:val="Paragraph"/>
        <w:ind w:left="720" w:hanging="720"/>
        <w:rPr>
          <w:rFonts w:ascii="Arial" w:hAnsi="Arial" w:cs="Arial"/>
          <w:sz w:val="22"/>
          <w:szCs w:val="22"/>
        </w:rPr>
      </w:pPr>
      <w:r w:rsidRPr="00820047">
        <w:rPr>
          <w:rFonts w:ascii="Arial" w:hAnsi="Arial" w:cs="Arial"/>
          <w:bCs/>
          <w:sz w:val="22"/>
          <w:szCs w:val="22"/>
        </w:rPr>
        <w:t>El objetivo del Plan de Seguimiento es: (i) verificar el cumplimiento de los compromisos de política del GdC</w:t>
      </w:r>
      <w:r w:rsidRPr="00820047">
        <w:rPr>
          <w:rFonts w:ascii="Arial" w:hAnsi="Arial" w:cs="Arial"/>
          <w:sz w:val="22"/>
          <w:szCs w:val="22"/>
        </w:rPr>
        <w:t xml:space="preserve"> </w:t>
      </w:r>
      <w:r w:rsidRPr="00820047">
        <w:rPr>
          <w:rFonts w:ascii="Arial" w:hAnsi="Arial" w:cs="Arial"/>
          <w:bCs/>
          <w:sz w:val="22"/>
          <w:szCs w:val="22"/>
        </w:rPr>
        <w:t>establecidos en la matriz de políticas (Anexo II de la Propuesta de Préstamo); y (ii) verificar su alcance e impacto de acuerdo a las metas e indicadores establecidos en la Matriz de Políticas y en la de Matriz de Resultados</w:t>
      </w:r>
    </w:p>
    <w:p w14:paraId="2341A507" w14:textId="77777777" w:rsidR="00ED751C" w:rsidRPr="00820047" w:rsidRDefault="00E3347F" w:rsidP="00FF12B9">
      <w:pPr>
        <w:pStyle w:val="FirstHeading"/>
        <w:ind w:left="720"/>
        <w:rPr>
          <w:rFonts w:ascii="Arial" w:hAnsi="Arial" w:cs="Arial"/>
          <w:sz w:val="22"/>
          <w:szCs w:val="22"/>
        </w:rPr>
      </w:pPr>
      <w:r w:rsidRPr="00820047">
        <w:rPr>
          <w:rFonts w:ascii="Arial" w:hAnsi="Arial" w:cs="Arial"/>
          <w:sz w:val="22"/>
          <w:szCs w:val="22"/>
        </w:rPr>
        <w:fldChar w:fldCharType="begin"/>
      </w:r>
      <w:r w:rsidR="00ED751C" w:rsidRPr="00820047">
        <w:rPr>
          <w:rFonts w:ascii="Arial" w:hAnsi="Arial" w:cs="Arial"/>
          <w:sz w:val="22"/>
          <w:szCs w:val="22"/>
        </w:rPr>
        <w:instrText xml:space="preserve"> SEQ "</w:instrText>
      </w:r>
      <w:r w:rsidR="007F016F" w:rsidRPr="00820047">
        <w:rPr>
          <w:rFonts w:ascii="Arial" w:hAnsi="Arial" w:cs="Arial"/>
          <w:sz w:val="22"/>
          <w:szCs w:val="22"/>
        </w:rPr>
        <w:fldChar w:fldCharType="begin"/>
      </w:r>
      <w:r w:rsidR="007F016F" w:rsidRPr="00820047">
        <w:rPr>
          <w:rFonts w:ascii="Arial" w:hAnsi="Arial" w:cs="Arial"/>
          <w:sz w:val="22"/>
          <w:szCs w:val="22"/>
        </w:rPr>
        <w:instrText xml:space="preserve"> SECTION  \* MERGEFORMAT </w:instrText>
      </w:r>
      <w:r w:rsidR="007F016F" w:rsidRPr="00820047">
        <w:rPr>
          <w:rFonts w:ascii="Arial" w:hAnsi="Arial" w:cs="Arial"/>
          <w:sz w:val="22"/>
          <w:szCs w:val="22"/>
        </w:rPr>
        <w:fldChar w:fldCharType="separate"/>
      </w:r>
      <w:r w:rsidR="00ED751C" w:rsidRPr="00820047">
        <w:rPr>
          <w:rFonts w:ascii="Arial" w:hAnsi="Arial" w:cs="Arial"/>
          <w:sz w:val="22"/>
          <w:szCs w:val="22"/>
        </w:rPr>
        <w:instrText>6</w:instrText>
      </w:r>
      <w:r w:rsidR="007F016F" w:rsidRPr="00820047">
        <w:rPr>
          <w:rFonts w:ascii="Arial" w:hAnsi="Arial" w:cs="Arial"/>
          <w:sz w:val="22"/>
          <w:szCs w:val="22"/>
        </w:rPr>
        <w:fldChar w:fldCharType="end"/>
      </w:r>
      <w:r w:rsidR="00ED751C" w:rsidRPr="00820047">
        <w:rPr>
          <w:rFonts w:ascii="Arial" w:hAnsi="Arial" w:cs="Arial"/>
          <w:sz w:val="22"/>
          <w:szCs w:val="22"/>
        </w:rPr>
        <w:instrText xml:space="preserve">#"\* ALPHABETIC \* MERGEFORMAT </w:instrText>
      </w:r>
      <w:r w:rsidRPr="00820047">
        <w:rPr>
          <w:rFonts w:ascii="Arial" w:hAnsi="Arial" w:cs="Arial"/>
          <w:sz w:val="22"/>
          <w:szCs w:val="22"/>
        </w:rPr>
        <w:fldChar w:fldCharType="separate"/>
      </w:r>
      <w:bookmarkStart w:id="3" w:name="_Toc473464950"/>
      <w:r w:rsidR="00ED751C" w:rsidRPr="00820047">
        <w:rPr>
          <w:rFonts w:ascii="Arial" w:hAnsi="Arial" w:cs="Arial"/>
          <w:noProof/>
          <w:sz w:val="22"/>
          <w:szCs w:val="22"/>
        </w:rPr>
        <w:t>B</w:t>
      </w:r>
      <w:r w:rsidRPr="00820047">
        <w:rPr>
          <w:rFonts w:ascii="Arial" w:hAnsi="Arial" w:cs="Arial"/>
          <w:sz w:val="22"/>
          <w:szCs w:val="22"/>
        </w:rPr>
        <w:fldChar w:fldCharType="end"/>
      </w:r>
      <w:r w:rsidR="00ED751C" w:rsidRPr="00820047">
        <w:rPr>
          <w:rFonts w:ascii="Arial" w:hAnsi="Arial" w:cs="Arial"/>
          <w:sz w:val="22"/>
          <w:szCs w:val="22"/>
        </w:rPr>
        <w:t>.</w:t>
      </w:r>
      <w:r w:rsidR="00ED751C" w:rsidRPr="00820047">
        <w:rPr>
          <w:rFonts w:ascii="Arial" w:hAnsi="Arial" w:cs="Arial"/>
          <w:sz w:val="22"/>
          <w:szCs w:val="22"/>
        </w:rPr>
        <w:tab/>
        <w:t>R</w:t>
      </w:r>
      <w:r w:rsidR="00716A0D" w:rsidRPr="00820047">
        <w:rPr>
          <w:rFonts w:ascii="Arial" w:hAnsi="Arial" w:cs="Arial"/>
          <w:sz w:val="22"/>
          <w:szCs w:val="22"/>
        </w:rPr>
        <w:t>esponsabilidad</w:t>
      </w:r>
      <w:bookmarkEnd w:id="3"/>
    </w:p>
    <w:p w14:paraId="2341A508" w14:textId="77777777" w:rsidR="00E32FB1" w:rsidRPr="00820047" w:rsidRDefault="00716A0D" w:rsidP="00716A0D">
      <w:pPr>
        <w:pStyle w:val="Paragraph"/>
        <w:tabs>
          <w:tab w:val="num" w:pos="720"/>
        </w:tabs>
        <w:ind w:left="720" w:hanging="720"/>
        <w:rPr>
          <w:rFonts w:ascii="Arial" w:hAnsi="Arial" w:cs="Arial"/>
          <w:bCs/>
          <w:sz w:val="22"/>
          <w:szCs w:val="22"/>
        </w:rPr>
      </w:pPr>
      <w:r w:rsidRPr="00820047">
        <w:rPr>
          <w:rFonts w:ascii="Arial" w:hAnsi="Arial" w:cs="Arial"/>
          <w:bCs/>
          <w:sz w:val="22"/>
          <w:szCs w:val="22"/>
          <w:lang w:val="es-ES_tradnl"/>
        </w:rPr>
        <w:t xml:space="preserve">La ejecución del programa y la utilización de los recursos del financiamiento del Banco serán llevadas a cabo por el prestatario a través del MHCP en calidad de Organismo Ejecutor (OE). </w:t>
      </w:r>
      <w:r w:rsidR="00E32FB1" w:rsidRPr="00820047">
        <w:rPr>
          <w:rFonts w:ascii="Arial" w:hAnsi="Arial" w:cs="Arial"/>
          <w:bCs/>
          <w:sz w:val="22"/>
          <w:szCs w:val="22"/>
          <w:lang w:val="es-ES_tradnl"/>
        </w:rPr>
        <w:t xml:space="preserve">La transferencia de recursos de esta operación constituye un apoyo presupuestario directo. Los recursos serán transferidos al MHCP siguiendo los procedimientos de administración financiera establecidos en la legislación nacional. Se prevé efectuar un desembolso único, luego de suscrito el contrato de préstamo y cuando se haya verificado el cumplimiento de las condiciones especiales y generales previas al desembolso. Se confirmará este cumplimiento mediante los instrumentos identificados en la </w:t>
      </w:r>
      <w:hyperlink r:id="rId25" w:history="1">
        <w:r w:rsidR="00E32FB1" w:rsidRPr="00820047">
          <w:rPr>
            <w:rStyle w:val="Hyperlink"/>
            <w:rFonts w:ascii="Arial" w:hAnsi="Arial" w:cs="Arial"/>
            <w:bCs/>
            <w:sz w:val="22"/>
            <w:szCs w:val="22"/>
            <w:lang w:val="es-ES_tradnl"/>
          </w:rPr>
          <w:t>Matriz de Medios Verificación</w:t>
        </w:r>
      </w:hyperlink>
      <w:r w:rsidR="00E32FB1" w:rsidRPr="00820047">
        <w:rPr>
          <w:rFonts w:ascii="Arial" w:hAnsi="Arial" w:cs="Arial"/>
          <w:bCs/>
          <w:sz w:val="22"/>
          <w:szCs w:val="22"/>
          <w:lang w:val="es-ES_tradnl"/>
        </w:rPr>
        <w:t>.</w:t>
      </w:r>
    </w:p>
    <w:p w14:paraId="2341A509" w14:textId="77777777" w:rsidR="00716A0D" w:rsidRPr="00820047" w:rsidRDefault="00E32FB1" w:rsidP="00716A0D">
      <w:pPr>
        <w:pStyle w:val="Paragraph"/>
        <w:tabs>
          <w:tab w:val="num" w:pos="720"/>
        </w:tabs>
        <w:ind w:left="720" w:hanging="720"/>
        <w:rPr>
          <w:rFonts w:ascii="Arial" w:hAnsi="Arial" w:cs="Arial"/>
          <w:bCs/>
          <w:sz w:val="22"/>
          <w:szCs w:val="22"/>
        </w:rPr>
      </w:pPr>
      <w:r w:rsidRPr="00820047">
        <w:rPr>
          <w:rFonts w:ascii="Arial" w:hAnsi="Arial" w:cs="Arial"/>
          <w:bCs/>
          <w:sz w:val="22"/>
          <w:szCs w:val="22"/>
        </w:rPr>
        <w:t>E</w:t>
      </w:r>
      <w:r w:rsidR="00716A0D" w:rsidRPr="00820047">
        <w:rPr>
          <w:rFonts w:ascii="Arial" w:hAnsi="Arial" w:cs="Arial"/>
          <w:bCs/>
          <w:sz w:val="22"/>
          <w:szCs w:val="22"/>
          <w:lang w:val="es-ES_tradnl"/>
        </w:rPr>
        <w:t xml:space="preserve">l OE llevará a cabo el programa en coordinación con el Departamento Nacional de Planeación (DNP), quien tendrá la responsabilidad de coordinar con </w:t>
      </w:r>
      <w:r w:rsidR="00716A0D" w:rsidRPr="00820047">
        <w:rPr>
          <w:rFonts w:ascii="Arial" w:hAnsi="Arial" w:cs="Arial"/>
          <w:bCs/>
          <w:sz w:val="22"/>
          <w:szCs w:val="22"/>
        </w:rPr>
        <w:t xml:space="preserve">el Ministerio Minas y Energía (MME) y la Unidad de Planeación Minero Energética (UPME), </w:t>
      </w:r>
      <w:r w:rsidR="00716A0D" w:rsidRPr="00820047">
        <w:rPr>
          <w:rFonts w:ascii="Arial" w:hAnsi="Arial" w:cs="Arial"/>
          <w:bCs/>
          <w:sz w:val="22"/>
          <w:szCs w:val="22"/>
          <w:lang w:val="es-ES_tradnl"/>
        </w:rPr>
        <w:t xml:space="preserve">el seguimiento al cumplimiento de los requisitos de la Matriz de Políticas. (Anexo II). El </w:t>
      </w:r>
      <w:r w:rsidR="007B09A2" w:rsidRPr="00820047">
        <w:rPr>
          <w:rFonts w:ascii="Arial" w:hAnsi="Arial" w:cs="Arial"/>
          <w:bCs/>
          <w:sz w:val="22"/>
          <w:szCs w:val="22"/>
          <w:lang w:val="es-ES_tradnl"/>
        </w:rPr>
        <w:t>OE</w:t>
      </w:r>
      <w:r w:rsidR="00716A0D" w:rsidRPr="00820047">
        <w:rPr>
          <w:rFonts w:ascii="Arial" w:hAnsi="Arial" w:cs="Arial"/>
          <w:bCs/>
          <w:sz w:val="22"/>
          <w:szCs w:val="22"/>
          <w:lang w:val="es-ES_tradnl"/>
        </w:rPr>
        <w:t xml:space="preserve"> tendrá las siguientes responsabilidades: (</w:t>
      </w:r>
      <w:r w:rsidR="007B09A2" w:rsidRPr="00820047">
        <w:rPr>
          <w:rFonts w:ascii="Arial" w:hAnsi="Arial" w:cs="Arial"/>
          <w:bCs/>
          <w:sz w:val="22"/>
          <w:szCs w:val="22"/>
          <w:lang w:val="es-ES_tradnl"/>
        </w:rPr>
        <w:t>(i) impulsar el logro de los objetivos de política definidos en el programa; (ii) proveer evidencia del cumplimiento de las condiciones de política acordadas; y (iii) recopilar y proveer la información que permita al gobierno y al Banco medir y evaluar los resultados del programa</w:t>
      </w:r>
      <w:r w:rsidR="00716A0D" w:rsidRPr="00820047">
        <w:rPr>
          <w:rFonts w:ascii="Arial" w:hAnsi="Arial" w:cs="Arial"/>
          <w:bCs/>
          <w:sz w:val="22"/>
          <w:szCs w:val="22"/>
          <w:lang w:val="es-ES_tradnl"/>
        </w:rPr>
        <w:t>.</w:t>
      </w:r>
    </w:p>
    <w:p w14:paraId="2341A50A" w14:textId="77777777" w:rsidR="00E32FB1" w:rsidRPr="00820047" w:rsidRDefault="00E32FB1" w:rsidP="00716A0D">
      <w:pPr>
        <w:pStyle w:val="Paragraph"/>
        <w:tabs>
          <w:tab w:val="num" w:pos="720"/>
        </w:tabs>
        <w:ind w:left="720" w:hanging="720"/>
        <w:rPr>
          <w:rFonts w:ascii="Arial" w:hAnsi="Arial" w:cs="Arial"/>
          <w:bCs/>
          <w:sz w:val="22"/>
          <w:szCs w:val="22"/>
        </w:rPr>
      </w:pPr>
      <w:r w:rsidRPr="00820047">
        <w:rPr>
          <w:rFonts w:ascii="Arial" w:hAnsi="Arial" w:cs="Arial"/>
          <w:bCs/>
          <w:sz w:val="22"/>
          <w:szCs w:val="22"/>
          <w:lang w:val="es-ES_tradnl"/>
        </w:rPr>
        <w:t>El Banco podrá solicitar auditoría externa del programa en caso de considerarlo pertinente.</w:t>
      </w:r>
    </w:p>
    <w:p w14:paraId="2341A50B" w14:textId="77777777" w:rsidR="00716A0D" w:rsidRPr="00820047" w:rsidRDefault="00716A0D" w:rsidP="00716A0D">
      <w:pPr>
        <w:pStyle w:val="Paragraph"/>
        <w:tabs>
          <w:tab w:val="num" w:pos="720"/>
        </w:tabs>
        <w:ind w:left="720" w:hanging="720"/>
        <w:rPr>
          <w:rFonts w:ascii="Arial" w:hAnsi="Arial" w:cs="Arial"/>
          <w:bCs/>
          <w:sz w:val="22"/>
          <w:szCs w:val="22"/>
        </w:rPr>
      </w:pPr>
      <w:r w:rsidRPr="00820047">
        <w:rPr>
          <w:rFonts w:ascii="Arial" w:hAnsi="Arial" w:cs="Arial"/>
          <w:bCs/>
          <w:sz w:val="22"/>
          <w:szCs w:val="22"/>
          <w:lang w:val="es-ES_tradnl"/>
        </w:rPr>
        <w:t xml:space="preserve">La responsabilidad de la supervisión técnica del programa por parte del Banco será de la División de Energía a través del especialista sectorial en Colombia (ENE/CCO):  </w:t>
      </w:r>
    </w:p>
    <w:p w14:paraId="2341A50C" w14:textId="77777777" w:rsidR="00716A0D" w:rsidRPr="00820047" w:rsidRDefault="00716A0D" w:rsidP="009E3F81">
      <w:pPr>
        <w:pStyle w:val="ListParagraph"/>
        <w:numPr>
          <w:ilvl w:val="2"/>
          <w:numId w:val="3"/>
        </w:numPr>
        <w:spacing w:before="120" w:after="120"/>
        <w:ind w:left="990" w:hanging="270"/>
        <w:contextualSpacing w:val="0"/>
        <w:jc w:val="both"/>
        <w:rPr>
          <w:rFonts w:ascii="Arial" w:hAnsi="Arial" w:cs="Arial"/>
          <w:bCs/>
          <w:sz w:val="22"/>
          <w:szCs w:val="22"/>
          <w:lang w:val="es-ES"/>
        </w:rPr>
      </w:pPr>
      <w:r w:rsidRPr="00820047">
        <w:rPr>
          <w:rFonts w:ascii="Arial" w:hAnsi="Arial" w:cs="Arial"/>
          <w:bCs/>
          <w:sz w:val="22"/>
          <w:szCs w:val="22"/>
          <w:u w:val="single"/>
          <w:lang w:val="es-ES"/>
        </w:rPr>
        <w:t>Medidas de política (Productos)</w:t>
      </w:r>
      <w:r w:rsidRPr="00820047">
        <w:rPr>
          <w:rFonts w:ascii="Arial" w:hAnsi="Arial" w:cs="Arial"/>
          <w:bCs/>
          <w:sz w:val="22"/>
          <w:szCs w:val="22"/>
          <w:lang w:val="es-ES"/>
        </w:rPr>
        <w:t xml:space="preserve">. El seguimiento de los compromisos incluidos en la Matriz de Política y sus medios de verificación será realizada por el Banco con los insumos provistos por el equipo del GdC. Los medios de verificación serán la fuente de información que determinará el cumplimiento de las metas de política acordadas en la Matriz de Política. El seguimiento de los medios de verificación por parte del equipo de proyecto, tendrá inicio antes de la aprobación por parte del Directorio del Banco, de cada operación de la serie programática, con el objetivo de asegurar la elegibilidad al desembolso único de cada préstamo de la serie. </w:t>
      </w:r>
      <w:r w:rsidRPr="00820047">
        <w:rPr>
          <w:rFonts w:ascii="Arial" w:hAnsi="Arial" w:cs="Arial"/>
          <w:bCs/>
          <w:sz w:val="22"/>
          <w:szCs w:val="22"/>
          <w:lang w:val="es-ES_tradnl"/>
        </w:rPr>
        <w:t xml:space="preserve">Se definió un indicador por cada producto planteado. Estos productos corresponden a los compromisos establecidos y detallados en la Matriz de Política y en la Matriz de Medios de Verificación. Considerando que esta operación es un PBP, todos los productos deberán ser alcanzados antes del momento de realizarse el desembolso, por lo que no se </w:t>
      </w:r>
      <w:r w:rsidRPr="00820047">
        <w:rPr>
          <w:rFonts w:ascii="Arial" w:hAnsi="Arial" w:cs="Arial"/>
          <w:bCs/>
          <w:sz w:val="22"/>
          <w:szCs w:val="22"/>
          <w:lang w:val="es-ES_tradnl"/>
        </w:rPr>
        <w:lastRenderedPageBreak/>
        <w:t>requieren actividades adicionales de monitoreo, ni se requiere presupuesto que involucre costos asociados con el monitoreo de los productos de este PBP por parte del GdC</w:t>
      </w:r>
    </w:p>
    <w:p w14:paraId="2341A50D" w14:textId="77777777" w:rsidR="00ED751C" w:rsidRPr="002C1810" w:rsidRDefault="00716A0D" w:rsidP="009E3F81">
      <w:pPr>
        <w:pStyle w:val="ListParagraph"/>
        <w:numPr>
          <w:ilvl w:val="2"/>
          <w:numId w:val="3"/>
        </w:numPr>
        <w:spacing w:before="120" w:after="120"/>
        <w:ind w:left="990" w:hanging="270"/>
        <w:contextualSpacing w:val="0"/>
        <w:jc w:val="both"/>
        <w:rPr>
          <w:rFonts w:ascii="Arial" w:hAnsi="Arial" w:cs="Arial"/>
          <w:sz w:val="22"/>
          <w:szCs w:val="22"/>
          <w:lang w:val="es-ES_tradnl"/>
        </w:rPr>
      </w:pPr>
      <w:r w:rsidRPr="00820047">
        <w:rPr>
          <w:rFonts w:ascii="Arial" w:hAnsi="Arial" w:cs="Arial"/>
          <w:bCs/>
          <w:sz w:val="22"/>
          <w:szCs w:val="22"/>
          <w:u w:val="single"/>
          <w:lang w:val="es-ES"/>
        </w:rPr>
        <w:t>Impacto y resultados</w:t>
      </w:r>
      <w:r w:rsidRPr="00820047">
        <w:rPr>
          <w:rFonts w:ascii="Arial" w:hAnsi="Arial" w:cs="Arial"/>
          <w:bCs/>
          <w:sz w:val="22"/>
          <w:szCs w:val="22"/>
          <w:lang w:val="es-ES"/>
        </w:rPr>
        <w:t xml:space="preserve">. El seguimiento de las metas e </w:t>
      </w:r>
      <w:r w:rsidRPr="00820047">
        <w:rPr>
          <w:rFonts w:ascii="Arial" w:hAnsi="Arial" w:cs="Arial"/>
          <w:bCs/>
          <w:sz w:val="22"/>
          <w:szCs w:val="22"/>
          <w:lang w:val="es-ES_tradnl"/>
        </w:rPr>
        <w:t>indicadores</w:t>
      </w:r>
      <w:r w:rsidRPr="00820047">
        <w:rPr>
          <w:rFonts w:ascii="Arial" w:hAnsi="Arial" w:cs="Arial"/>
          <w:bCs/>
          <w:sz w:val="22"/>
          <w:szCs w:val="22"/>
          <w:lang w:val="es-ES"/>
        </w:rPr>
        <w:t xml:space="preserve"> de impacto y resultados tendrá inicio una vez desembolsados los recursos de la operación. Las metas e indicadores acordados en la Matriz de Resultados serán la fuente de información que determinará el logro de los objetivos del programa.</w:t>
      </w:r>
      <w:r w:rsidRPr="00820047">
        <w:rPr>
          <w:rFonts w:ascii="Arial" w:hAnsi="Arial" w:cs="Arial"/>
          <w:bCs/>
          <w:sz w:val="22"/>
          <w:szCs w:val="22"/>
          <w:lang w:val="es-ES_tradnl"/>
        </w:rPr>
        <w:t xml:space="preserve"> Los costos de seguimiento por parte del Banco, están financiados a través del presupuesto administrativo </w:t>
      </w:r>
      <w:r w:rsidRPr="002C1810">
        <w:rPr>
          <w:rFonts w:ascii="Arial" w:hAnsi="Arial" w:cs="Arial"/>
          <w:bCs/>
          <w:sz w:val="22"/>
          <w:szCs w:val="22"/>
          <w:lang w:val="es-ES_tradnl"/>
        </w:rPr>
        <w:t xml:space="preserve">interno de preparación de la operación. Los costos de seguimiento se estiman en </w:t>
      </w:r>
      <w:r w:rsidR="002C1810" w:rsidRPr="002C1810">
        <w:rPr>
          <w:rFonts w:ascii="Arial" w:hAnsi="Arial" w:cs="Arial"/>
          <w:bCs/>
          <w:sz w:val="22"/>
          <w:szCs w:val="22"/>
          <w:lang w:val="es-ES_tradnl"/>
        </w:rPr>
        <w:t>US$30.000 e incluyen costos de viajes en misión de funcionarios del Banco y apoyo de consultorías hasta el inicio de preparación del segundo préstamo</w:t>
      </w:r>
      <w:r w:rsidR="008E2D06" w:rsidRPr="002C1810">
        <w:rPr>
          <w:rFonts w:ascii="Arial" w:hAnsi="Arial" w:cs="Arial"/>
          <w:bCs/>
          <w:sz w:val="22"/>
          <w:szCs w:val="22"/>
          <w:lang w:val="es-ES_tradnl"/>
        </w:rPr>
        <w:t>.</w:t>
      </w:r>
    </w:p>
    <w:p w14:paraId="2341A50E" w14:textId="77777777" w:rsidR="00ED751C" w:rsidRPr="00820047" w:rsidRDefault="00E3347F" w:rsidP="00E14BC3">
      <w:pPr>
        <w:pStyle w:val="FirstHeading"/>
        <w:spacing w:before="240"/>
        <w:ind w:left="720"/>
        <w:rPr>
          <w:rFonts w:ascii="Arial" w:hAnsi="Arial" w:cs="Arial"/>
          <w:sz w:val="22"/>
          <w:szCs w:val="22"/>
        </w:rPr>
      </w:pPr>
      <w:r w:rsidRPr="00820047">
        <w:rPr>
          <w:rFonts w:ascii="Arial" w:hAnsi="Arial" w:cs="Arial"/>
          <w:sz w:val="22"/>
          <w:szCs w:val="22"/>
        </w:rPr>
        <w:fldChar w:fldCharType="begin"/>
      </w:r>
      <w:r w:rsidR="00ED751C" w:rsidRPr="00820047">
        <w:rPr>
          <w:rFonts w:ascii="Arial" w:hAnsi="Arial" w:cs="Arial"/>
          <w:sz w:val="22"/>
          <w:szCs w:val="22"/>
        </w:rPr>
        <w:instrText xml:space="preserve"> SEQ "</w:instrText>
      </w:r>
      <w:r w:rsidR="007F016F" w:rsidRPr="00820047">
        <w:rPr>
          <w:rFonts w:ascii="Arial" w:hAnsi="Arial" w:cs="Arial"/>
          <w:sz w:val="22"/>
          <w:szCs w:val="22"/>
        </w:rPr>
        <w:fldChar w:fldCharType="begin"/>
      </w:r>
      <w:r w:rsidR="007F016F" w:rsidRPr="00820047">
        <w:rPr>
          <w:rFonts w:ascii="Arial" w:hAnsi="Arial" w:cs="Arial"/>
          <w:sz w:val="22"/>
          <w:szCs w:val="22"/>
        </w:rPr>
        <w:instrText xml:space="preserve"> SECTION  \* MERGEFORMAT </w:instrText>
      </w:r>
      <w:r w:rsidR="007F016F" w:rsidRPr="00820047">
        <w:rPr>
          <w:rFonts w:ascii="Arial" w:hAnsi="Arial" w:cs="Arial"/>
          <w:sz w:val="22"/>
          <w:szCs w:val="22"/>
        </w:rPr>
        <w:fldChar w:fldCharType="separate"/>
      </w:r>
      <w:r w:rsidR="00ED751C" w:rsidRPr="00820047">
        <w:rPr>
          <w:rFonts w:ascii="Arial" w:hAnsi="Arial" w:cs="Arial"/>
          <w:sz w:val="22"/>
          <w:szCs w:val="22"/>
        </w:rPr>
        <w:instrText>6</w:instrText>
      </w:r>
      <w:r w:rsidR="007F016F" w:rsidRPr="00820047">
        <w:rPr>
          <w:rFonts w:ascii="Arial" w:hAnsi="Arial" w:cs="Arial"/>
          <w:sz w:val="22"/>
          <w:szCs w:val="22"/>
        </w:rPr>
        <w:fldChar w:fldCharType="end"/>
      </w:r>
      <w:r w:rsidR="00ED751C" w:rsidRPr="00820047">
        <w:rPr>
          <w:rFonts w:ascii="Arial" w:hAnsi="Arial" w:cs="Arial"/>
          <w:sz w:val="22"/>
          <w:szCs w:val="22"/>
        </w:rPr>
        <w:instrText xml:space="preserve">#"\* ALPHABETIC \* MERGEFORMAT </w:instrText>
      </w:r>
      <w:r w:rsidRPr="00820047">
        <w:rPr>
          <w:rFonts w:ascii="Arial" w:hAnsi="Arial" w:cs="Arial"/>
          <w:sz w:val="22"/>
          <w:szCs w:val="22"/>
        </w:rPr>
        <w:fldChar w:fldCharType="separate"/>
      </w:r>
      <w:bookmarkStart w:id="4" w:name="_Toc473464951"/>
      <w:r w:rsidR="00ED751C" w:rsidRPr="00820047">
        <w:rPr>
          <w:rFonts w:ascii="Arial" w:hAnsi="Arial" w:cs="Arial"/>
          <w:noProof/>
          <w:sz w:val="22"/>
          <w:szCs w:val="22"/>
        </w:rPr>
        <w:t>C</w:t>
      </w:r>
      <w:r w:rsidRPr="00820047">
        <w:rPr>
          <w:rFonts w:ascii="Arial" w:hAnsi="Arial" w:cs="Arial"/>
          <w:sz w:val="22"/>
          <w:szCs w:val="22"/>
        </w:rPr>
        <w:fldChar w:fldCharType="end"/>
      </w:r>
      <w:r w:rsidR="00ED751C" w:rsidRPr="00820047">
        <w:rPr>
          <w:rFonts w:ascii="Arial" w:hAnsi="Arial" w:cs="Arial"/>
          <w:sz w:val="22"/>
          <w:szCs w:val="22"/>
        </w:rPr>
        <w:t>.</w:t>
      </w:r>
      <w:r w:rsidR="00ED751C" w:rsidRPr="00820047">
        <w:rPr>
          <w:rFonts w:ascii="Arial" w:hAnsi="Arial" w:cs="Arial"/>
          <w:sz w:val="22"/>
          <w:szCs w:val="22"/>
        </w:rPr>
        <w:tab/>
      </w:r>
      <w:r w:rsidR="00716A0D" w:rsidRPr="00820047">
        <w:rPr>
          <w:rFonts w:ascii="Arial" w:hAnsi="Arial" w:cs="Arial"/>
          <w:bCs/>
          <w:sz w:val="22"/>
          <w:szCs w:val="22"/>
        </w:rPr>
        <w:t>Indicadores de producto</w:t>
      </w:r>
      <w:r w:rsidR="008A1005" w:rsidRPr="00820047">
        <w:rPr>
          <w:rFonts w:ascii="Arial" w:hAnsi="Arial" w:cs="Arial"/>
          <w:sz w:val="22"/>
          <w:szCs w:val="22"/>
        </w:rPr>
        <w:t>.</w:t>
      </w:r>
      <w:bookmarkEnd w:id="4"/>
    </w:p>
    <w:p w14:paraId="2341A50F" w14:textId="77777777" w:rsidR="008E2D06" w:rsidRPr="00820047" w:rsidRDefault="008E2D06" w:rsidP="00633379">
      <w:pPr>
        <w:pStyle w:val="FirstHeading"/>
        <w:spacing w:before="240"/>
        <w:ind w:left="720"/>
        <w:rPr>
          <w:rFonts w:ascii="Arial" w:hAnsi="Arial" w:cs="Arial"/>
          <w:sz w:val="22"/>
          <w:szCs w:val="22"/>
        </w:rPr>
      </w:pPr>
      <w:bookmarkStart w:id="5" w:name="_Toc473464952"/>
      <w:r w:rsidRPr="00820047">
        <w:rPr>
          <w:rFonts w:ascii="Arial" w:hAnsi="Arial" w:cs="Arial"/>
          <w:noProof/>
          <w:sz w:val="22"/>
          <w:szCs w:val="22"/>
        </w:rPr>
        <w:t>D.</w:t>
      </w:r>
      <w:r w:rsidRPr="00820047">
        <w:rPr>
          <w:rFonts w:ascii="Arial" w:hAnsi="Arial" w:cs="Arial"/>
          <w:sz w:val="22"/>
          <w:szCs w:val="22"/>
        </w:rPr>
        <w:tab/>
      </w:r>
      <w:r w:rsidRPr="00820047">
        <w:rPr>
          <w:rFonts w:ascii="Arial" w:hAnsi="Arial" w:cs="Arial"/>
          <w:bCs/>
          <w:sz w:val="22"/>
          <w:szCs w:val="22"/>
        </w:rPr>
        <w:t>Colección de Información</w:t>
      </w:r>
      <w:bookmarkEnd w:id="5"/>
    </w:p>
    <w:p w14:paraId="2341A510" w14:textId="77777777" w:rsidR="008E2D06" w:rsidRPr="00820047" w:rsidRDefault="008E2D06" w:rsidP="008E2D06">
      <w:pPr>
        <w:pStyle w:val="Paragraph"/>
        <w:tabs>
          <w:tab w:val="num" w:pos="720"/>
        </w:tabs>
        <w:ind w:left="720" w:hanging="720"/>
        <w:rPr>
          <w:rFonts w:ascii="Arial" w:hAnsi="Arial" w:cs="Arial"/>
          <w:bCs/>
          <w:sz w:val="22"/>
          <w:szCs w:val="22"/>
          <w:lang w:val="es-ES_tradnl"/>
        </w:rPr>
      </w:pPr>
      <w:r w:rsidRPr="00820047">
        <w:rPr>
          <w:rFonts w:ascii="Arial" w:hAnsi="Arial" w:cs="Arial"/>
          <w:bCs/>
          <w:sz w:val="22"/>
          <w:szCs w:val="22"/>
          <w:lang w:val="es-ES_tradnl"/>
        </w:rPr>
        <w:t>Dada la modalidad PBP, la colección de la información sobre los productos se lleva a cabo una sola vez, antes del desembolso. Esta queda documentada en el Informe de Cumplimiento de los Compromisos (productos) establecidos en las matrices de Política y de Resultados, con la correspondiente evidencia de que el gobierno ha proporcionado todos los documentos establecidos y acordados, como medios de verificación. El Anexo I resume el cronograma de entrega de los medios de verificación acordados para el primer préstamo de la serie.</w:t>
      </w:r>
    </w:p>
    <w:p w14:paraId="2341A511" w14:textId="77777777" w:rsidR="008E2D06" w:rsidRPr="00820047" w:rsidRDefault="008E2D06" w:rsidP="008E2D06">
      <w:pPr>
        <w:pStyle w:val="Paragraph"/>
        <w:tabs>
          <w:tab w:val="num" w:pos="720"/>
        </w:tabs>
        <w:ind w:left="720" w:hanging="720"/>
        <w:rPr>
          <w:rFonts w:ascii="Arial" w:hAnsi="Arial" w:cs="Arial"/>
          <w:sz w:val="22"/>
          <w:szCs w:val="22"/>
        </w:rPr>
      </w:pPr>
      <w:r w:rsidRPr="00820047">
        <w:rPr>
          <w:rFonts w:ascii="Arial" w:hAnsi="Arial" w:cs="Arial"/>
          <w:bCs/>
          <w:sz w:val="22"/>
          <w:szCs w:val="22"/>
          <w:lang w:val="es-ES_tradnl"/>
        </w:rPr>
        <w:t>El BID seguirá apoyando al GdC en el cumplimiento de los compromisos de política para el segundo préstamo, mediante recursos de Cooperación Técnica (</w:t>
      </w:r>
      <w:r w:rsidR="00D14DE6" w:rsidRPr="00820047">
        <w:rPr>
          <w:rFonts w:ascii="Arial" w:hAnsi="Arial" w:cs="Arial"/>
          <w:bCs/>
          <w:sz w:val="22"/>
          <w:szCs w:val="22"/>
          <w:lang w:val="es-ES_tradnl"/>
        </w:rPr>
        <w:t>CO-T1438</w:t>
      </w:r>
      <w:r w:rsidRPr="00820047">
        <w:rPr>
          <w:rFonts w:ascii="Arial" w:hAnsi="Arial" w:cs="Arial"/>
          <w:bCs/>
          <w:sz w:val="22"/>
          <w:szCs w:val="22"/>
          <w:lang w:val="es-ES_tradnl"/>
        </w:rPr>
        <w:t>) no reembolsable</w:t>
      </w:r>
      <w:r w:rsidR="00D14DE6" w:rsidRPr="00820047">
        <w:rPr>
          <w:rFonts w:ascii="Arial" w:hAnsi="Arial" w:cs="Arial"/>
          <w:bCs/>
          <w:sz w:val="22"/>
          <w:szCs w:val="22"/>
          <w:lang w:val="es-ES_tradnl"/>
        </w:rPr>
        <w:t>,</w:t>
      </w:r>
      <w:r w:rsidRPr="00820047">
        <w:rPr>
          <w:rFonts w:ascii="Arial" w:hAnsi="Arial" w:cs="Arial"/>
          <w:bCs/>
          <w:sz w:val="22"/>
          <w:szCs w:val="22"/>
          <w:lang w:val="es-ES_tradnl"/>
        </w:rPr>
        <w:t xml:space="preserve"> a ser aprobados en el primer trimestre de 2017. Con recursos de dicha CT se apoya al GdC en el desarrollo de las actividades de cumplimiento</w:t>
      </w:r>
      <w:r w:rsidRPr="00820047">
        <w:rPr>
          <w:rFonts w:ascii="Arial" w:hAnsi="Arial" w:cs="Arial"/>
          <w:sz w:val="22"/>
          <w:szCs w:val="22"/>
          <w:lang w:val="es-CO"/>
        </w:rPr>
        <w:t xml:space="preserve"> de mecanismos activadores del segundo préstamo, de seguimiento y de coordinación necesarias.</w:t>
      </w:r>
    </w:p>
    <w:p w14:paraId="2341A512" w14:textId="77777777" w:rsidR="001B33A0" w:rsidRPr="001B33A0" w:rsidRDefault="007860C4" w:rsidP="001B33A0">
      <w:pPr>
        <w:pStyle w:val="Paragraph"/>
        <w:tabs>
          <w:tab w:val="num" w:pos="720"/>
        </w:tabs>
        <w:ind w:left="720" w:hanging="720"/>
        <w:rPr>
          <w:rFonts w:ascii="Arial" w:hAnsi="Arial" w:cs="Arial"/>
          <w:sz w:val="22"/>
          <w:szCs w:val="22"/>
        </w:rPr>
      </w:pPr>
      <w:r w:rsidRPr="00820047">
        <w:rPr>
          <w:rFonts w:ascii="Arial" w:hAnsi="Arial" w:cs="Arial"/>
          <w:sz w:val="22"/>
          <w:szCs w:val="22"/>
          <w:lang w:val="es-ES_tradnl"/>
        </w:rPr>
        <w:t xml:space="preserve">Antes de procesar el segundo préstamo del PBP, el Banco producirá un informe de progreso revisando la evolución del programa, </w:t>
      </w:r>
      <w:r w:rsidR="006A0530">
        <w:rPr>
          <w:rFonts w:ascii="Arial" w:hAnsi="Arial" w:cs="Arial"/>
          <w:sz w:val="22"/>
          <w:szCs w:val="22"/>
          <w:lang w:val="es-ES_tradnl"/>
        </w:rPr>
        <w:t xml:space="preserve">con </w:t>
      </w:r>
      <w:r w:rsidR="006A0530" w:rsidRPr="001B33A0">
        <w:rPr>
          <w:rFonts w:ascii="Arial" w:hAnsi="Arial" w:cs="Arial"/>
          <w:sz w:val="22"/>
          <w:szCs w:val="22"/>
        </w:rPr>
        <w:t>descripción del cumplimiento de los indicadores por componentes</w:t>
      </w:r>
      <w:r w:rsidR="006A0530">
        <w:rPr>
          <w:rFonts w:ascii="Arial" w:hAnsi="Arial" w:cs="Arial"/>
          <w:sz w:val="22"/>
          <w:szCs w:val="22"/>
        </w:rPr>
        <w:t>,</w:t>
      </w:r>
      <w:r w:rsidR="006A0530" w:rsidRPr="00820047">
        <w:rPr>
          <w:rFonts w:ascii="Arial" w:hAnsi="Arial" w:cs="Arial"/>
          <w:sz w:val="22"/>
          <w:szCs w:val="22"/>
          <w:lang w:val="es-ES_tradnl"/>
        </w:rPr>
        <w:t xml:space="preserve"> </w:t>
      </w:r>
      <w:r w:rsidRPr="00820047">
        <w:rPr>
          <w:rFonts w:ascii="Arial" w:hAnsi="Arial" w:cs="Arial"/>
          <w:sz w:val="22"/>
          <w:szCs w:val="22"/>
          <w:lang w:val="es-ES_tradnl"/>
        </w:rPr>
        <w:t>los avances en las reformas y los mecanismos activadores e identificará modificaciones</w:t>
      </w:r>
      <w:r w:rsidR="006A0530">
        <w:rPr>
          <w:rFonts w:ascii="Arial" w:hAnsi="Arial" w:cs="Arial"/>
          <w:sz w:val="22"/>
          <w:szCs w:val="22"/>
          <w:lang w:val="es-ES_tradnl"/>
        </w:rPr>
        <w:t>;</w:t>
      </w:r>
      <w:r w:rsidRPr="00820047">
        <w:rPr>
          <w:rFonts w:ascii="Arial" w:hAnsi="Arial" w:cs="Arial"/>
          <w:sz w:val="22"/>
          <w:szCs w:val="22"/>
          <w:lang w:val="es-ES_tradnl"/>
        </w:rPr>
        <w:t xml:space="preserve"> </w:t>
      </w:r>
      <w:r w:rsidR="006A0530" w:rsidRPr="001B33A0">
        <w:rPr>
          <w:rFonts w:ascii="Arial" w:hAnsi="Arial" w:cs="Arial"/>
          <w:sz w:val="22"/>
          <w:szCs w:val="22"/>
        </w:rPr>
        <w:t>Informe de recolección de información para evaluación de indicadores</w:t>
      </w:r>
      <w:r w:rsidR="006A0530">
        <w:rPr>
          <w:rFonts w:ascii="Arial" w:hAnsi="Arial" w:cs="Arial"/>
          <w:sz w:val="22"/>
          <w:szCs w:val="22"/>
        </w:rPr>
        <w:t>;</w:t>
      </w:r>
      <w:r w:rsidR="006A0530" w:rsidRPr="00820047">
        <w:rPr>
          <w:rFonts w:ascii="Arial" w:hAnsi="Arial" w:cs="Arial"/>
          <w:sz w:val="22"/>
          <w:szCs w:val="22"/>
          <w:lang w:val="es-ES_tradnl"/>
        </w:rPr>
        <w:t xml:space="preserve"> </w:t>
      </w:r>
      <w:r w:rsidRPr="00820047">
        <w:rPr>
          <w:rFonts w:ascii="Arial" w:hAnsi="Arial" w:cs="Arial"/>
          <w:sz w:val="22"/>
          <w:szCs w:val="22"/>
          <w:lang w:val="es-ES_tradnl"/>
        </w:rPr>
        <w:t>y ajustes que pudiesen requerirse para alcanzar las metas del programa</w:t>
      </w:r>
      <w:r w:rsidR="001B33A0">
        <w:rPr>
          <w:rFonts w:ascii="Arial" w:hAnsi="Arial" w:cs="Arial"/>
          <w:sz w:val="22"/>
          <w:szCs w:val="22"/>
          <w:lang w:val="es-ES_tradnl"/>
        </w:rPr>
        <w:t xml:space="preserve">.  Para ello, utilizará el </w:t>
      </w:r>
      <w:r w:rsidR="001B33A0" w:rsidRPr="001B33A0">
        <w:rPr>
          <w:rFonts w:ascii="Arial" w:hAnsi="Arial" w:cs="Arial"/>
          <w:sz w:val="22"/>
          <w:szCs w:val="22"/>
          <w:u w:val="single"/>
          <w:lang w:val="es-ES_tradnl"/>
        </w:rPr>
        <w:t>Informe de Seguimiento del Proyecto</w:t>
      </w:r>
      <w:r w:rsidR="001B33A0" w:rsidRPr="001B33A0">
        <w:rPr>
          <w:rFonts w:ascii="Arial" w:hAnsi="Arial" w:cs="Arial"/>
          <w:sz w:val="22"/>
          <w:szCs w:val="22"/>
          <w:lang w:val="es-ES_tradnl"/>
        </w:rPr>
        <w:t xml:space="preserve"> (ISP) o PMR por sus siglas en inglés</w:t>
      </w:r>
      <w:r w:rsidR="001B33A0">
        <w:rPr>
          <w:rFonts w:ascii="Arial" w:hAnsi="Arial" w:cs="Arial"/>
          <w:sz w:val="22"/>
          <w:szCs w:val="22"/>
          <w:lang w:val="es-ES_tradnl"/>
        </w:rPr>
        <w:t>. Este es</w:t>
      </w:r>
      <w:r w:rsidR="001B33A0" w:rsidRPr="001B33A0">
        <w:rPr>
          <w:rFonts w:ascii="Arial" w:hAnsi="Arial" w:cs="Arial"/>
          <w:sz w:val="22"/>
          <w:szCs w:val="22"/>
          <w:lang w:val="es-ES_tradnl"/>
        </w:rPr>
        <w:t xml:space="preserve"> el instrumento para recopilar y reportar la info</w:t>
      </w:r>
      <w:r w:rsidR="001B33A0">
        <w:rPr>
          <w:rFonts w:ascii="Arial" w:hAnsi="Arial" w:cs="Arial"/>
          <w:sz w:val="22"/>
          <w:szCs w:val="22"/>
          <w:lang w:val="es-ES_tradnl"/>
        </w:rPr>
        <w:t>rmación mencionada del plan de seguimiento</w:t>
      </w:r>
      <w:r w:rsidR="006A0530">
        <w:rPr>
          <w:rFonts w:ascii="Arial" w:hAnsi="Arial" w:cs="Arial"/>
          <w:sz w:val="22"/>
          <w:szCs w:val="22"/>
        </w:rPr>
        <w:t>.</w:t>
      </w:r>
    </w:p>
    <w:p w14:paraId="2341A513" w14:textId="77777777" w:rsidR="00DB52EF" w:rsidRPr="00820047" w:rsidRDefault="00DB52EF" w:rsidP="00DB52EF">
      <w:pPr>
        <w:pStyle w:val="FirstHeading"/>
        <w:spacing w:before="240"/>
        <w:ind w:left="720"/>
        <w:rPr>
          <w:rFonts w:ascii="Arial" w:hAnsi="Arial" w:cs="Arial"/>
          <w:bCs/>
          <w:sz w:val="22"/>
          <w:szCs w:val="22"/>
        </w:rPr>
      </w:pPr>
      <w:bookmarkStart w:id="6" w:name="_Toc473464953"/>
      <w:r w:rsidRPr="00820047">
        <w:rPr>
          <w:rFonts w:ascii="Arial" w:hAnsi="Arial" w:cs="Arial"/>
          <w:bCs/>
          <w:sz w:val="22"/>
          <w:szCs w:val="22"/>
        </w:rPr>
        <w:t>E.</w:t>
      </w:r>
      <w:r w:rsidRPr="00820047">
        <w:rPr>
          <w:rFonts w:ascii="Arial" w:hAnsi="Arial" w:cs="Arial"/>
          <w:bCs/>
          <w:sz w:val="22"/>
          <w:szCs w:val="22"/>
        </w:rPr>
        <w:tab/>
        <w:t>Compromisos acordados</w:t>
      </w:r>
      <w:r w:rsidR="00F55EFF" w:rsidRPr="00820047">
        <w:rPr>
          <w:rFonts w:ascii="Arial" w:hAnsi="Arial" w:cs="Arial"/>
          <w:bCs/>
          <w:sz w:val="22"/>
          <w:szCs w:val="22"/>
        </w:rPr>
        <w:t xml:space="preserve"> (Productos)</w:t>
      </w:r>
      <w:bookmarkEnd w:id="6"/>
    </w:p>
    <w:p w14:paraId="2341A514" w14:textId="77777777" w:rsidR="00E14BC3" w:rsidRPr="00820047" w:rsidRDefault="00E14BC3" w:rsidP="00E14BC3">
      <w:pPr>
        <w:pStyle w:val="Paragraph"/>
        <w:tabs>
          <w:tab w:val="num" w:pos="720"/>
        </w:tabs>
        <w:ind w:left="720" w:hanging="720"/>
        <w:rPr>
          <w:rFonts w:ascii="Arial" w:hAnsi="Arial" w:cs="Arial"/>
          <w:sz w:val="22"/>
          <w:szCs w:val="22"/>
        </w:rPr>
      </w:pPr>
      <w:r w:rsidRPr="00820047">
        <w:rPr>
          <w:rFonts w:ascii="Arial" w:hAnsi="Arial" w:cs="Arial"/>
          <w:sz w:val="22"/>
          <w:szCs w:val="22"/>
          <w:lang w:val="es-ES_tradnl"/>
        </w:rPr>
        <w:t>Los</w:t>
      </w:r>
      <w:r w:rsidRPr="00820047">
        <w:rPr>
          <w:rFonts w:ascii="Arial" w:hAnsi="Arial" w:cs="Arial"/>
          <w:bCs/>
          <w:sz w:val="22"/>
          <w:szCs w:val="22"/>
          <w:lang w:val="es-ES_tradnl"/>
        </w:rPr>
        <w:t xml:space="preserve"> productos descritos en esta sección están en correspondencia con la Matriz de Política y la Matriz de Medios de Verificación</w:t>
      </w:r>
    </w:p>
    <w:p w14:paraId="2341A515" w14:textId="77777777" w:rsidR="005C46BA" w:rsidRPr="00820047" w:rsidRDefault="005C46BA" w:rsidP="00E14BC3">
      <w:pPr>
        <w:pStyle w:val="Paragraph"/>
        <w:tabs>
          <w:tab w:val="num" w:pos="720"/>
        </w:tabs>
        <w:ind w:left="720" w:hanging="720"/>
        <w:rPr>
          <w:rFonts w:ascii="Arial" w:hAnsi="Arial" w:cs="Arial"/>
          <w:bCs/>
          <w:sz w:val="22"/>
          <w:szCs w:val="22"/>
        </w:rPr>
      </w:pPr>
      <w:r w:rsidRPr="00820047">
        <w:rPr>
          <w:rFonts w:ascii="Arial" w:hAnsi="Arial" w:cs="Arial"/>
          <w:b/>
          <w:bCs/>
          <w:sz w:val="22"/>
          <w:szCs w:val="22"/>
        </w:rPr>
        <w:t>Componente 1</w:t>
      </w:r>
      <w:r w:rsidR="00D14DE6" w:rsidRPr="00820047">
        <w:rPr>
          <w:rFonts w:ascii="Arial" w:hAnsi="Arial" w:cs="Arial"/>
          <w:b/>
          <w:bCs/>
          <w:sz w:val="22"/>
          <w:szCs w:val="22"/>
        </w:rPr>
        <w:t xml:space="preserve">. </w:t>
      </w:r>
      <w:r w:rsidR="00CF4448" w:rsidRPr="00820047">
        <w:rPr>
          <w:rFonts w:ascii="Arial" w:hAnsi="Arial" w:cs="Arial"/>
          <w:b/>
          <w:bCs/>
          <w:sz w:val="22"/>
          <w:szCs w:val="22"/>
          <w:lang w:val="es-ES_tradnl"/>
        </w:rPr>
        <w:t xml:space="preserve">Estabilidad macroeconómica. </w:t>
      </w:r>
      <w:r w:rsidR="007E0E3B" w:rsidRPr="00820047">
        <w:rPr>
          <w:rFonts w:ascii="Arial" w:hAnsi="Arial" w:cs="Arial"/>
          <w:bCs/>
          <w:sz w:val="22"/>
          <w:szCs w:val="22"/>
        </w:rPr>
        <w:t xml:space="preserve">La Evaluación Independiente de las </w:t>
      </w:r>
      <w:r w:rsidR="00433D1E" w:rsidRPr="00820047">
        <w:rPr>
          <w:rFonts w:ascii="Arial" w:hAnsi="Arial" w:cs="Arial"/>
          <w:bCs/>
          <w:sz w:val="22"/>
          <w:szCs w:val="22"/>
        </w:rPr>
        <w:t>Condiciones</w:t>
      </w:r>
      <w:r w:rsidR="007E0E3B" w:rsidRPr="00820047">
        <w:rPr>
          <w:rFonts w:ascii="Arial" w:hAnsi="Arial" w:cs="Arial"/>
          <w:bCs/>
          <w:sz w:val="22"/>
          <w:szCs w:val="22"/>
        </w:rPr>
        <w:t xml:space="preserve"> Macroeconómicas (</w:t>
      </w:r>
      <w:r w:rsidR="00D14DE6" w:rsidRPr="00820047">
        <w:rPr>
          <w:rFonts w:ascii="Arial" w:eastAsia="Calibri" w:hAnsi="Arial" w:cs="Arial"/>
          <w:sz w:val="22"/>
          <w:szCs w:val="22"/>
          <w:lang w:val="es-BO"/>
        </w:rPr>
        <w:t>IAMC</w:t>
      </w:r>
      <w:r w:rsidR="007E0E3B" w:rsidRPr="00820047">
        <w:rPr>
          <w:rFonts w:ascii="Arial" w:eastAsia="Calibri" w:hAnsi="Arial" w:cs="Arial"/>
          <w:sz w:val="22"/>
          <w:szCs w:val="22"/>
          <w:lang w:val="es-BO"/>
        </w:rPr>
        <w:t>, por sus siglas en inglés),</w:t>
      </w:r>
      <w:r w:rsidR="00D14DE6" w:rsidRPr="00820047">
        <w:rPr>
          <w:rFonts w:ascii="Arial" w:eastAsia="Calibri" w:hAnsi="Arial" w:cs="Arial"/>
          <w:sz w:val="22"/>
          <w:szCs w:val="22"/>
          <w:lang w:val="es-BO"/>
        </w:rPr>
        <w:t xml:space="preserve"> ratifica </w:t>
      </w:r>
      <w:r w:rsidR="00433D1E" w:rsidRPr="00820047">
        <w:rPr>
          <w:rFonts w:ascii="Arial" w:eastAsia="Calibri" w:hAnsi="Arial" w:cs="Arial"/>
          <w:sz w:val="22"/>
          <w:szCs w:val="22"/>
          <w:lang w:val="es-BO"/>
        </w:rPr>
        <w:t xml:space="preserve">la </w:t>
      </w:r>
      <w:r w:rsidR="00D14DE6" w:rsidRPr="00820047">
        <w:rPr>
          <w:rFonts w:ascii="Arial" w:eastAsia="Calibri" w:hAnsi="Arial" w:cs="Arial"/>
          <w:sz w:val="22"/>
          <w:szCs w:val="22"/>
          <w:lang w:val="es-BO"/>
        </w:rPr>
        <w:t>estabilidad macroeconómica y marco conducente</w:t>
      </w:r>
      <w:r w:rsidR="00433D1E" w:rsidRPr="00820047">
        <w:rPr>
          <w:rFonts w:ascii="Arial" w:eastAsia="Calibri" w:hAnsi="Arial" w:cs="Arial"/>
          <w:sz w:val="22"/>
          <w:szCs w:val="22"/>
          <w:lang w:val="es-BO"/>
        </w:rPr>
        <w:t xml:space="preserve"> al logro de los objetivos.</w:t>
      </w:r>
    </w:p>
    <w:p w14:paraId="2341A516" w14:textId="77777777" w:rsidR="00AA5E38" w:rsidRPr="00AA5E38" w:rsidRDefault="00AA5E38" w:rsidP="00AA5E38">
      <w:pPr>
        <w:pStyle w:val="Paragraph"/>
        <w:tabs>
          <w:tab w:val="num" w:pos="720"/>
        </w:tabs>
        <w:ind w:left="720" w:hanging="720"/>
        <w:rPr>
          <w:rFonts w:ascii="Arial" w:hAnsi="Arial" w:cs="Arial"/>
          <w:bCs/>
          <w:sz w:val="22"/>
          <w:szCs w:val="22"/>
        </w:rPr>
      </w:pPr>
      <w:r w:rsidRPr="00AA5E38">
        <w:rPr>
          <w:rFonts w:ascii="Arial" w:hAnsi="Arial" w:cs="Arial"/>
          <w:b/>
          <w:bCs/>
          <w:sz w:val="22"/>
          <w:szCs w:val="22"/>
        </w:rPr>
        <w:t>Componente 2. Apoyo a la confiabilidad del abastecimiento eléctrico del SIN</w:t>
      </w:r>
      <w:r w:rsidRPr="00AA5E38">
        <w:rPr>
          <w:rFonts w:ascii="Arial" w:hAnsi="Arial" w:cs="Arial"/>
          <w:bCs/>
          <w:sz w:val="22"/>
          <w:szCs w:val="22"/>
        </w:rPr>
        <w:t>. Incluye los siguientes subcomponentes:</w:t>
      </w:r>
    </w:p>
    <w:p w14:paraId="2341A517" w14:textId="77777777" w:rsidR="00DB52EF" w:rsidRPr="00820047" w:rsidRDefault="005E6E5F" w:rsidP="00E14BC3">
      <w:pPr>
        <w:pStyle w:val="Paragraph"/>
        <w:tabs>
          <w:tab w:val="num" w:pos="720"/>
        </w:tabs>
        <w:ind w:left="720" w:hanging="720"/>
        <w:rPr>
          <w:rFonts w:ascii="Arial" w:hAnsi="Arial" w:cs="Arial"/>
          <w:bCs/>
          <w:sz w:val="22"/>
          <w:szCs w:val="22"/>
        </w:rPr>
      </w:pPr>
      <w:r>
        <w:rPr>
          <w:rFonts w:ascii="Arial" w:hAnsi="Arial" w:cs="Arial"/>
          <w:b/>
          <w:bCs/>
          <w:sz w:val="22"/>
          <w:szCs w:val="22"/>
        </w:rPr>
        <w:lastRenderedPageBreak/>
        <w:t>Subc</w:t>
      </w:r>
      <w:r w:rsidR="005C46BA" w:rsidRPr="00820047">
        <w:rPr>
          <w:rFonts w:ascii="Arial" w:hAnsi="Arial" w:cs="Arial"/>
          <w:b/>
          <w:bCs/>
          <w:sz w:val="22"/>
          <w:szCs w:val="22"/>
        </w:rPr>
        <w:t>omponente 2</w:t>
      </w:r>
      <w:r w:rsidR="005C46BA" w:rsidRPr="00820047">
        <w:rPr>
          <w:rFonts w:ascii="Arial" w:hAnsi="Arial" w:cs="Arial"/>
          <w:bCs/>
          <w:sz w:val="22"/>
          <w:szCs w:val="22"/>
        </w:rPr>
        <w:t>.</w:t>
      </w:r>
      <w:r>
        <w:rPr>
          <w:rFonts w:ascii="Arial" w:hAnsi="Arial" w:cs="Arial"/>
          <w:bCs/>
          <w:sz w:val="22"/>
          <w:szCs w:val="22"/>
        </w:rPr>
        <w:t xml:space="preserve">1. </w:t>
      </w:r>
      <w:r w:rsidR="005C46BA" w:rsidRPr="00820047">
        <w:rPr>
          <w:rFonts w:ascii="Arial" w:hAnsi="Arial" w:cs="Arial"/>
          <w:bCs/>
          <w:sz w:val="22"/>
          <w:szCs w:val="22"/>
        </w:rPr>
        <w:t xml:space="preserve"> </w:t>
      </w:r>
      <w:r w:rsidR="00CF4448" w:rsidRPr="00820047">
        <w:rPr>
          <w:rFonts w:ascii="Arial" w:hAnsi="Arial" w:cs="Arial"/>
          <w:b/>
          <w:bCs/>
          <w:sz w:val="22"/>
          <w:szCs w:val="22"/>
          <w:lang w:val="es-ES_tradnl"/>
        </w:rPr>
        <w:t xml:space="preserve">Apoyo a la diversificación de la matriz energética, a la </w:t>
      </w:r>
      <w:r w:rsidR="00CF4448" w:rsidRPr="00820047">
        <w:rPr>
          <w:rFonts w:ascii="Arial" w:hAnsi="Arial" w:cs="Arial"/>
          <w:bCs/>
          <w:sz w:val="22"/>
          <w:szCs w:val="22"/>
        </w:rPr>
        <w:t xml:space="preserve">confiabilidad eléctrica del SIN, y a la integración eléctrica regional. </w:t>
      </w:r>
      <w:r w:rsidR="00DB52EF" w:rsidRPr="00820047">
        <w:rPr>
          <w:rFonts w:ascii="Arial" w:hAnsi="Arial" w:cs="Arial"/>
          <w:bCs/>
          <w:sz w:val="22"/>
          <w:szCs w:val="22"/>
        </w:rPr>
        <w:t>Se  acorda</w:t>
      </w:r>
      <w:r w:rsidR="00CF4448" w:rsidRPr="00820047">
        <w:rPr>
          <w:rFonts w:ascii="Arial" w:hAnsi="Arial" w:cs="Arial"/>
          <w:bCs/>
          <w:sz w:val="22"/>
          <w:szCs w:val="22"/>
        </w:rPr>
        <w:t>ron</w:t>
      </w:r>
      <w:r w:rsidR="00DB52EF" w:rsidRPr="00820047">
        <w:rPr>
          <w:rFonts w:ascii="Arial" w:hAnsi="Arial" w:cs="Arial"/>
          <w:bCs/>
          <w:sz w:val="22"/>
          <w:szCs w:val="22"/>
        </w:rPr>
        <w:t xml:space="preserve"> los </w:t>
      </w:r>
      <w:r w:rsidR="00DB52EF" w:rsidRPr="002F5B3C">
        <w:rPr>
          <w:rFonts w:ascii="Arial" w:hAnsi="Arial" w:cs="Arial"/>
          <w:bCs/>
          <w:sz w:val="22"/>
          <w:szCs w:val="22"/>
        </w:rPr>
        <w:t>siguientes compromisos</w:t>
      </w:r>
      <w:r w:rsidR="00DB52EF" w:rsidRPr="00820047">
        <w:rPr>
          <w:rFonts w:ascii="Arial" w:hAnsi="Arial" w:cs="Arial"/>
          <w:bCs/>
          <w:sz w:val="22"/>
          <w:szCs w:val="22"/>
        </w:rPr>
        <w:t xml:space="preserve"> programáticos, correspondientes a la primera operación: (i) que para la promoción de FNCER, se hayan aprobado y se encuentran vigentes los siguientes reglamentos de la Ley 1715 de 2014: (a) definición de los lineamientos para la aplicación de los incentivos establecidos en el Capítulo III “Incentivos a la inversión en proyectos de Fuentes No Convencionales de Energía”; (b) procedimientos y requisitos para acceder a los incentivos a la inversión en proyectos FNCER; (c) establecimiento de condiciones de conexión y medida del autogenerador a gran escala al SIN; y (ii) que se hayan diseñado del Proyecto de Decisión del Marco Regulatorio para la interconexión</w:t>
      </w:r>
      <w:r w:rsidR="00DB52EF" w:rsidRPr="00820047">
        <w:rPr>
          <w:rFonts w:ascii="Arial" w:hAnsi="Arial" w:cs="Arial"/>
          <w:bCs/>
          <w:sz w:val="22"/>
          <w:szCs w:val="22"/>
          <w:lang w:val="es-ES_tradnl"/>
        </w:rPr>
        <w:t xml:space="preserve"> Subregional de los Sistemas Eléctricos e Intercambio Comunitario de Electricidad.</w:t>
      </w:r>
    </w:p>
    <w:p w14:paraId="2341A518" w14:textId="77777777" w:rsidR="00DB52EF" w:rsidRPr="00820047" w:rsidRDefault="00DB52EF" w:rsidP="00DB52EF">
      <w:pPr>
        <w:pStyle w:val="Paragraph"/>
        <w:tabs>
          <w:tab w:val="num" w:pos="720"/>
        </w:tabs>
        <w:ind w:left="720" w:hanging="720"/>
        <w:rPr>
          <w:rFonts w:ascii="Arial" w:hAnsi="Arial" w:cs="Arial"/>
          <w:sz w:val="22"/>
          <w:szCs w:val="22"/>
        </w:rPr>
      </w:pPr>
      <w:r w:rsidRPr="00820047">
        <w:rPr>
          <w:rFonts w:ascii="Arial" w:hAnsi="Arial" w:cs="Arial"/>
          <w:bCs/>
          <w:sz w:val="22"/>
          <w:szCs w:val="22"/>
        </w:rPr>
        <w:t xml:space="preserve">Los </w:t>
      </w:r>
      <w:r w:rsidRPr="00820047">
        <w:rPr>
          <w:rFonts w:ascii="Arial" w:hAnsi="Arial" w:cs="Arial"/>
          <w:bCs/>
          <w:sz w:val="22"/>
          <w:szCs w:val="22"/>
          <w:lang w:val="es-ES_tradnl"/>
        </w:rPr>
        <w:t xml:space="preserve">mecanismos activadores propuestos en este </w:t>
      </w:r>
      <w:r w:rsidR="00640108">
        <w:rPr>
          <w:rFonts w:ascii="Arial" w:hAnsi="Arial" w:cs="Arial"/>
          <w:bCs/>
          <w:sz w:val="22"/>
          <w:szCs w:val="22"/>
          <w:lang w:val="es-ES_tradnl"/>
        </w:rPr>
        <w:t>sub</w:t>
      </w:r>
      <w:r w:rsidRPr="00820047">
        <w:rPr>
          <w:rFonts w:ascii="Arial" w:hAnsi="Arial" w:cs="Arial"/>
          <w:bCs/>
          <w:sz w:val="22"/>
          <w:szCs w:val="22"/>
          <w:lang w:val="es-ES_tradnl"/>
        </w:rPr>
        <w:t>componente para el segundo préstamo son: (i) para la promoción de FNCER, que se hayan aprobado y se encuentran vigentes los siguientes reglamentos de la Ley 1715 de 2014: (a) implementación y puesta en marcha de un sistema informático para realizar los trámites de incentivos contenidos en la Ley 1715 de 2014; (b) que se encuentre en funcionamiento y con los recursos financieros asignados el Fondo de Energías No Convencionales y Gestión de la Energía; (c) programa de incentivos tributarios para FNCER y que esté operando; (d) la conexión de las FNCER del autogenerador a gran escala al SIN, mediante el establecimiento de requerimientos técnicos de las instalaciones que usen FNCER para generación eléctrica y procedimientos para la conexión y operación de autogeneradores; y el establecimiento de procedimientos para comercialización de la energía proveniente de los autogeneradores; y (ii) para la promoción de la integración eléctrica, que se haya iniciado la implementación de la hoja de ruta del SINEA y los estudios complementarios de las Interconexiones binacionales a que se refieren los estudios de la primera operación, en el marco del SINEA; y que Colombia haya firmado la Regulación de las interconexiones eléctricas y las transacciones de energía en la Comunidad Andina de Naciones (CAN) y Chile (SINEA)</w:t>
      </w:r>
      <w:r w:rsidR="005C46BA" w:rsidRPr="00820047">
        <w:rPr>
          <w:rFonts w:ascii="Arial" w:hAnsi="Arial" w:cs="Arial"/>
          <w:bCs/>
          <w:sz w:val="22"/>
          <w:szCs w:val="22"/>
          <w:lang w:val="es-ES_tradnl"/>
        </w:rPr>
        <w:t>.</w:t>
      </w:r>
    </w:p>
    <w:p w14:paraId="2341A519" w14:textId="77777777" w:rsidR="005C46BA" w:rsidRPr="00820047" w:rsidRDefault="005E6E5F" w:rsidP="005C46BA">
      <w:pPr>
        <w:pStyle w:val="Paragraph"/>
        <w:tabs>
          <w:tab w:val="num" w:pos="720"/>
        </w:tabs>
        <w:ind w:left="720" w:hanging="720"/>
        <w:rPr>
          <w:rFonts w:ascii="Arial" w:hAnsi="Arial" w:cs="Arial"/>
          <w:bCs/>
          <w:sz w:val="22"/>
          <w:szCs w:val="22"/>
          <w:lang w:val="es-ES_tradnl"/>
        </w:rPr>
      </w:pPr>
      <w:r>
        <w:rPr>
          <w:rFonts w:ascii="Arial" w:hAnsi="Arial" w:cs="Arial"/>
          <w:b/>
          <w:bCs/>
          <w:sz w:val="22"/>
          <w:szCs w:val="22"/>
        </w:rPr>
        <w:t>Subc</w:t>
      </w:r>
      <w:r w:rsidR="005C46BA" w:rsidRPr="00820047">
        <w:rPr>
          <w:rFonts w:ascii="Arial" w:hAnsi="Arial" w:cs="Arial"/>
          <w:b/>
          <w:bCs/>
          <w:sz w:val="22"/>
          <w:szCs w:val="22"/>
        </w:rPr>
        <w:t>ompone</w:t>
      </w:r>
      <w:r w:rsidR="00AD4B72" w:rsidRPr="00820047">
        <w:rPr>
          <w:rFonts w:ascii="Arial" w:hAnsi="Arial" w:cs="Arial"/>
          <w:b/>
          <w:bCs/>
          <w:sz w:val="22"/>
          <w:szCs w:val="22"/>
        </w:rPr>
        <w:t>n</w:t>
      </w:r>
      <w:r w:rsidR="005C46BA" w:rsidRPr="00820047">
        <w:rPr>
          <w:rFonts w:ascii="Arial" w:hAnsi="Arial" w:cs="Arial"/>
          <w:b/>
          <w:bCs/>
          <w:sz w:val="22"/>
          <w:szCs w:val="22"/>
        </w:rPr>
        <w:t xml:space="preserve">te </w:t>
      </w:r>
      <w:r>
        <w:rPr>
          <w:rFonts w:ascii="Arial" w:hAnsi="Arial" w:cs="Arial"/>
          <w:b/>
          <w:bCs/>
          <w:sz w:val="22"/>
          <w:szCs w:val="22"/>
        </w:rPr>
        <w:t>2.2</w:t>
      </w:r>
      <w:r w:rsidR="005C46BA" w:rsidRPr="00820047">
        <w:rPr>
          <w:rFonts w:ascii="Arial" w:hAnsi="Arial" w:cs="Arial"/>
          <w:bCs/>
          <w:sz w:val="22"/>
          <w:szCs w:val="22"/>
        </w:rPr>
        <w:t>.</w:t>
      </w:r>
      <w:r w:rsidR="00CF4448" w:rsidRPr="00820047">
        <w:rPr>
          <w:rFonts w:ascii="Arial" w:hAnsi="Arial" w:cs="Arial"/>
          <w:bCs/>
          <w:sz w:val="22"/>
          <w:szCs w:val="22"/>
        </w:rPr>
        <w:t xml:space="preserve"> </w:t>
      </w:r>
      <w:r w:rsidR="00CF4448" w:rsidRPr="00820047">
        <w:rPr>
          <w:rFonts w:ascii="Arial" w:hAnsi="Arial" w:cs="Arial"/>
          <w:b/>
          <w:bCs/>
          <w:sz w:val="22"/>
          <w:szCs w:val="22"/>
          <w:lang w:val="es-ES_tradnl"/>
        </w:rPr>
        <w:t>Fortalecimiento del mercado eléctrico</w:t>
      </w:r>
      <w:r w:rsidR="00CF4448" w:rsidRPr="00820047">
        <w:rPr>
          <w:rFonts w:ascii="Arial" w:hAnsi="Arial" w:cs="Arial"/>
          <w:bCs/>
          <w:sz w:val="22"/>
          <w:szCs w:val="22"/>
          <w:lang w:val="es-ES_tradnl"/>
        </w:rPr>
        <w:t xml:space="preserve">. </w:t>
      </w:r>
      <w:r w:rsidR="005C46BA" w:rsidRPr="00820047">
        <w:rPr>
          <w:rFonts w:ascii="Arial" w:hAnsi="Arial" w:cs="Arial"/>
          <w:bCs/>
          <w:sz w:val="22"/>
          <w:szCs w:val="22"/>
          <w:lang w:val="es-ES_tradnl"/>
        </w:rPr>
        <w:t xml:space="preserve">Para este primer préstamo se han acordado los siguientes compromisos: (i) criterios de ejecución diseñados, bajo los cuales se implementarán ajustes al esquema de comercialización mayorista de GN; Plan Transitorio de Abastecimiento de GN, adoptado; Gestor del Mercado de GN, en operación; (ii) instrumentos técnicos, jurídicos, económico-financieros, de planificación y de información para el PROURE para el período 2016-2021, desarrollados e implementados, contemplando que: se haya adoptado el Plan de Acción Indicativo para el desarrollo del PROURE con sus recursos  asociados; se haya elaborado la guía para la formulación e implementación de planes de GEDE en entidades públicas; se haya adoptado el sistema de etiquetado e información al consumidor sobre eficiencia energética; se haya publicado el Mapa de Ruta para la Implementación de Redes Inteligentes en Colombia; se hayan adoptado disposiciones en materia de implementación de mecanismos de respuesta de la demanda; se hayan diseñado los mecanismos para la desconexión voluntaria de la demanda como medio para dar confiabilidad al SIN; y (iii) estudios de diagnóstico, análisis y propuestas de modificación sobre el funcionamiento del MEM colombiano, completados, teniendo en cuenta los compromisos país de la COP 21 y su posible </w:t>
      </w:r>
      <w:r w:rsidR="005C46BA" w:rsidRPr="00820047">
        <w:rPr>
          <w:rFonts w:ascii="Arial" w:hAnsi="Arial" w:cs="Arial"/>
          <w:bCs/>
          <w:sz w:val="22"/>
          <w:szCs w:val="22"/>
          <w:lang w:val="es-ES_tradnl"/>
        </w:rPr>
        <w:lastRenderedPageBreak/>
        <w:t>ingreso a la OCDE; y se haya emitido y adoptado el Plan de Expansión de Generación y Transmisión del sector eléctrico 2015-2029.</w:t>
      </w:r>
    </w:p>
    <w:p w14:paraId="2341A51A" w14:textId="77777777" w:rsidR="005C46BA" w:rsidRPr="00820047" w:rsidRDefault="005C46BA" w:rsidP="005C46BA">
      <w:pPr>
        <w:pStyle w:val="Paragraph"/>
        <w:tabs>
          <w:tab w:val="num" w:pos="720"/>
        </w:tabs>
        <w:ind w:left="720" w:hanging="720"/>
        <w:rPr>
          <w:rFonts w:ascii="Arial" w:hAnsi="Arial" w:cs="Arial"/>
          <w:sz w:val="22"/>
          <w:szCs w:val="22"/>
        </w:rPr>
      </w:pPr>
      <w:r w:rsidRPr="00820047">
        <w:rPr>
          <w:rFonts w:ascii="Arial" w:hAnsi="Arial" w:cs="Arial"/>
          <w:bCs/>
          <w:sz w:val="22"/>
          <w:szCs w:val="22"/>
          <w:lang w:val="es-ES_tradnl"/>
        </w:rPr>
        <w:t xml:space="preserve">Los mecanismos activadores para este </w:t>
      </w:r>
      <w:r w:rsidR="00640108">
        <w:rPr>
          <w:rFonts w:ascii="Arial" w:hAnsi="Arial" w:cs="Arial"/>
          <w:bCs/>
          <w:sz w:val="22"/>
          <w:szCs w:val="22"/>
          <w:lang w:val="es-ES_tradnl"/>
        </w:rPr>
        <w:t>sub</w:t>
      </w:r>
      <w:r w:rsidRPr="00820047">
        <w:rPr>
          <w:rFonts w:ascii="Arial" w:hAnsi="Arial" w:cs="Arial"/>
          <w:bCs/>
          <w:sz w:val="22"/>
          <w:szCs w:val="22"/>
          <w:lang w:val="es-ES_tradnl"/>
        </w:rPr>
        <w:t xml:space="preserve">componente en el segundo préstamo están orientados a: (i) fortalecer el funcionamiento del mercado de GN mediante: regulación que incorpore ajustes a los mecanismos de comercialización del GN; la adopción del Plan Indicativo de Expansión de Cobertura de Gas; y que el Gestor de Mercado haya estabilizado su operación y esté generando indicadores de mercado con valor agregado; (ii) avanzar en la agenda de GEDE, actualizando el marco legal para el otorgamiento de incentivos tributarios para proyectos de GEDE; la presentación por parte de algunas entidades públicas, del diseño de sus planes de gestión de energía de acuerdo con los lineamientos de la guía realizada por UPME; el diseño de las herramientas (divulgación, capacitación) para la implementación del etiquetado entrada en vigencia la segunda etapa del etiquetado (2017); realización de estudio de la funcionalidad de la medición inteligente; Implementación y ajustes a los mecanismos de respuesta de la demanda; establecimiento de mecanismos para la desconexión voluntaria de la demanda para hacer mayor eficiencia del SIN y su confiabilidad; y (iii) aprobación de </w:t>
      </w:r>
      <w:hyperlink r:id="rId26" w:history="1">
        <w:r w:rsidRPr="00820047">
          <w:rPr>
            <w:rStyle w:val="Hyperlink"/>
            <w:rFonts w:ascii="Arial" w:hAnsi="Arial" w:cs="Arial"/>
            <w:bCs/>
            <w:sz w:val="22"/>
            <w:szCs w:val="22"/>
            <w:lang w:val="es-ES_tradnl"/>
          </w:rPr>
          <w:t>Agenda Regulatoria 2017 de la CREG</w:t>
        </w:r>
      </w:hyperlink>
      <w:r w:rsidRPr="00820047">
        <w:rPr>
          <w:rFonts w:ascii="Arial" w:hAnsi="Arial" w:cs="Arial"/>
          <w:bCs/>
          <w:sz w:val="22"/>
          <w:szCs w:val="22"/>
          <w:lang w:val="es-ES_tradnl"/>
        </w:rPr>
        <w:t xml:space="preserve"> para la implementación de las recomendaciones de reforma en el MEM, teniendo en cuenta los compromisos país de la COP 21 y su posible ingreso a la Organización para la Cooperación y el Desarrollo Económico; y adopción del plan de expansión de generación y transmisión del sector eléctrico.</w:t>
      </w:r>
    </w:p>
    <w:p w14:paraId="2341A51B" w14:textId="77777777" w:rsidR="005C46BA" w:rsidRPr="00820047" w:rsidRDefault="005C46BA" w:rsidP="00AC5DD0">
      <w:pPr>
        <w:pStyle w:val="Paragraph"/>
        <w:tabs>
          <w:tab w:val="num" w:pos="720"/>
        </w:tabs>
        <w:ind w:left="720" w:hanging="720"/>
        <w:rPr>
          <w:rFonts w:ascii="Arial" w:hAnsi="Arial" w:cs="Arial"/>
          <w:sz w:val="22"/>
          <w:szCs w:val="22"/>
        </w:rPr>
      </w:pPr>
      <w:r w:rsidRPr="00820047">
        <w:rPr>
          <w:rFonts w:ascii="Arial" w:hAnsi="Arial" w:cs="Arial"/>
          <w:b/>
          <w:bCs/>
          <w:sz w:val="22"/>
          <w:szCs w:val="22"/>
          <w:lang w:val="es-ES_tradnl"/>
        </w:rPr>
        <w:t xml:space="preserve">Componente </w:t>
      </w:r>
      <w:r w:rsidR="005E6E5F">
        <w:rPr>
          <w:rFonts w:ascii="Arial" w:hAnsi="Arial" w:cs="Arial"/>
          <w:b/>
          <w:bCs/>
          <w:sz w:val="22"/>
          <w:szCs w:val="22"/>
          <w:lang w:val="es-ES_tradnl"/>
        </w:rPr>
        <w:t>3</w:t>
      </w:r>
      <w:r w:rsidRPr="00820047">
        <w:rPr>
          <w:rFonts w:ascii="Arial" w:hAnsi="Arial" w:cs="Arial"/>
          <w:bCs/>
          <w:sz w:val="22"/>
          <w:szCs w:val="22"/>
          <w:lang w:val="es-ES_tradnl"/>
        </w:rPr>
        <w:t xml:space="preserve">. </w:t>
      </w:r>
      <w:r w:rsidR="00CF4448" w:rsidRPr="00820047">
        <w:rPr>
          <w:rFonts w:ascii="Arial" w:hAnsi="Arial" w:cs="Arial"/>
          <w:b/>
          <w:bCs/>
          <w:sz w:val="22"/>
          <w:szCs w:val="22"/>
          <w:lang w:val="es-ES_tradnl"/>
        </w:rPr>
        <w:t>Promoción del acceso a la energía en ZNI</w:t>
      </w:r>
      <w:r w:rsidR="00CF4448" w:rsidRPr="00820047">
        <w:rPr>
          <w:rFonts w:ascii="Arial" w:hAnsi="Arial" w:cs="Arial"/>
          <w:bCs/>
          <w:sz w:val="22"/>
          <w:szCs w:val="22"/>
          <w:lang w:val="es-ES_tradnl"/>
        </w:rPr>
        <w:t xml:space="preserve">. </w:t>
      </w:r>
      <w:r w:rsidRPr="00820047">
        <w:rPr>
          <w:rFonts w:ascii="Arial" w:hAnsi="Arial" w:cs="Arial"/>
          <w:bCs/>
          <w:sz w:val="22"/>
          <w:szCs w:val="22"/>
          <w:lang w:val="es-ES_tradnl"/>
        </w:rPr>
        <w:t>Para este primer préstamo del PBP se han acordado los siguientes compromisos incluidos en la Matriz de Política: (i) se han definido y aprobado los siguientes lineamientos de política energética, definidos en la Ley 1715 de 2014, referentes al uso de FCNER en las ZNI: (a) reglamentación para el Registro de Proyectos de Generación con FNCER conectables a la red y en las ZNI; y (b) se han adoptado los lineamientos de política para la expansión de la cobertura del servicio de energía eléctrica en el SIN y en las ZNI con FNCER.</w:t>
      </w:r>
    </w:p>
    <w:p w14:paraId="2341A51C" w14:textId="77777777" w:rsidR="005C46BA" w:rsidRPr="00820047" w:rsidRDefault="005C46BA" w:rsidP="005C46BA">
      <w:pPr>
        <w:pStyle w:val="Paragraph"/>
        <w:tabs>
          <w:tab w:val="num" w:pos="720"/>
        </w:tabs>
        <w:ind w:left="720" w:hanging="720"/>
        <w:rPr>
          <w:rFonts w:ascii="Arial" w:hAnsi="Arial" w:cs="Arial"/>
          <w:sz w:val="22"/>
          <w:szCs w:val="22"/>
        </w:rPr>
      </w:pPr>
      <w:r w:rsidRPr="00820047">
        <w:rPr>
          <w:rFonts w:ascii="Arial" w:hAnsi="Arial" w:cs="Arial"/>
          <w:bCs/>
          <w:sz w:val="22"/>
          <w:szCs w:val="22"/>
          <w:lang w:val="es-ES_tradnl"/>
        </w:rPr>
        <w:t>Los mecanismos activadores para el segundo préstamo están orientados a dar continuidad a las medidas que permitan extender la cobertura en ZNI con FNCER. Se incluye que: (i) esté en operación el registro de proyectos eléctricos para FNCER; y (ii) se haya concesionado, al menos, una ZNI como área de Servicio Exclusivo</w:t>
      </w:r>
      <w:r w:rsidR="00E14BC3" w:rsidRPr="00820047">
        <w:rPr>
          <w:rFonts w:ascii="Arial" w:hAnsi="Arial" w:cs="Arial"/>
          <w:bCs/>
          <w:sz w:val="22"/>
          <w:szCs w:val="22"/>
          <w:lang w:val="es-ES_tradnl"/>
        </w:rPr>
        <w:t>.</w:t>
      </w:r>
    </w:p>
    <w:p w14:paraId="2341A51D" w14:textId="77777777" w:rsidR="00ED751C" w:rsidRPr="00820047" w:rsidRDefault="00ED751C" w:rsidP="00ED751C">
      <w:pPr>
        <w:rPr>
          <w:rFonts w:ascii="Arial" w:hAnsi="Arial" w:cs="Arial"/>
          <w:sz w:val="22"/>
          <w:szCs w:val="22"/>
          <w:lang w:val="es-ES"/>
        </w:rPr>
      </w:pPr>
    </w:p>
    <w:p w14:paraId="2341A51E" w14:textId="77777777" w:rsidR="00716A0D" w:rsidRPr="00820047" w:rsidRDefault="00716A0D" w:rsidP="00ED751C">
      <w:pPr>
        <w:rPr>
          <w:rFonts w:ascii="Arial" w:hAnsi="Arial" w:cs="Arial"/>
          <w:sz w:val="22"/>
          <w:szCs w:val="22"/>
          <w:lang w:val="es-ES"/>
        </w:rPr>
      </w:pPr>
    </w:p>
    <w:p w14:paraId="2341A51F" w14:textId="77777777" w:rsidR="00716A0D" w:rsidRPr="00AD4B72" w:rsidRDefault="00716A0D" w:rsidP="00ED751C">
      <w:pPr>
        <w:rPr>
          <w:sz w:val="22"/>
          <w:szCs w:val="22"/>
          <w:lang w:val="es-ES"/>
        </w:rPr>
      </w:pPr>
    </w:p>
    <w:p w14:paraId="2341A520" w14:textId="77777777" w:rsidR="00716A0D" w:rsidRPr="00AD4B72" w:rsidRDefault="00716A0D" w:rsidP="00ED751C">
      <w:pPr>
        <w:rPr>
          <w:sz w:val="22"/>
          <w:szCs w:val="22"/>
          <w:lang w:val="es-ES"/>
        </w:rPr>
      </w:pPr>
    </w:p>
    <w:p w14:paraId="2341A521" w14:textId="77777777" w:rsidR="00716A0D" w:rsidRPr="00AD4B72" w:rsidRDefault="00716A0D">
      <w:pPr>
        <w:spacing w:after="200" w:line="276" w:lineRule="auto"/>
        <w:rPr>
          <w:sz w:val="22"/>
          <w:szCs w:val="22"/>
          <w:lang w:val="es-ES"/>
        </w:rPr>
      </w:pPr>
      <w:r w:rsidRPr="00AD4B72">
        <w:rPr>
          <w:sz w:val="22"/>
          <w:szCs w:val="22"/>
          <w:lang w:val="es-ES"/>
        </w:rPr>
        <w:br w:type="page"/>
      </w:r>
    </w:p>
    <w:p w14:paraId="2341A522" w14:textId="77777777" w:rsidR="00716A0D" w:rsidRDefault="00716A0D" w:rsidP="00716A0D">
      <w:pPr>
        <w:spacing w:after="200" w:line="276" w:lineRule="auto"/>
        <w:rPr>
          <w:lang w:val="es-ES"/>
        </w:rPr>
        <w:sectPr w:rsidR="00716A0D">
          <w:type w:val="continuous"/>
          <w:pgSz w:w="12240" w:h="15840" w:code="1"/>
          <w:pgMar w:top="1440" w:right="1800" w:bottom="1440" w:left="1800" w:header="706" w:footer="706" w:gutter="0"/>
          <w:cols w:space="720"/>
          <w:formProt w:val="0"/>
          <w:titlePg/>
        </w:sectPr>
      </w:pPr>
    </w:p>
    <w:tbl>
      <w:tblPr>
        <w:tblW w:w="1458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0"/>
        <w:gridCol w:w="1260"/>
        <w:gridCol w:w="1080"/>
        <w:gridCol w:w="900"/>
        <w:gridCol w:w="810"/>
        <w:gridCol w:w="900"/>
        <w:gridCol w:w="900"/>
        <w:gridCol w:w="2520"/>
        <w:gridCol w:w="1530"/>
      </w:tblGrid>
      <w:tr w:rsidR="00564572" w:rsidRPr="00564572" w14:paraId="2341A524" w14:textId="77777777" w:rsidTr="00564572">
        <w:trPr>
          <w:trHeight w:val="440"/>
        </w:trPr>
        <w:tc>
          <w:tcPr>
            <w:tcW w:w="14580" w:type="dxa"/>
            <w:gridSpan w:val="9"/>
            <w:tcBorders>
              <w:top w:val="nil"/>
              <w:left w:val="nil"/>
              <w:right w:val="nil"/>
            </w:tcBorders>
            <w:shd w:val="clear" w:color="auto" w:fill="auto"/>
            <w:vAlign w:val="center"/>
          </w:tcPr>
          <w:p w14:paraId="2341A523" w14:textId="77777777" w:rsidR="00564572" w:rsidRPr="00564572" w:rsidRDefault="00564572" w:rsidP="00564572">
            <w:pPr>
              <w:jc w:val="center"/>
              <w:rPr>
                <w:rFonts w:ascii="Arial" w:eastAsia="Calibri" w:hAnsi="Arial" w:cs="Arial"/>
                <w:b/>
                <w:sz w:val="20"/>
                <w:lang w:val="es-CR"/>
              </w:rPr>
            </w:pPr>
            <w:r>
              <w:rPr>
                <w:rFonts w:ascii="Arial" w:eastAsia="Calibri" w:hAnsi="Arial" w:cs="Arial"/>
                <w:b/>
                <w:sz w:val="20"/>
                <w:lang w:val="es-CR"/>
              </w:rPr>
              <w:lastRenderedPageBreak/>
              <w:t>Tabla 2.1 Productos</w:t>
            </w:r>
          </w:p>
        </w:tc>
      </w:tr>
      <w:tr w:rsidR="00564572" w:rsidRPr="00564572" w14:paraId="2341A532" w14:textId="77777777" w:rsidTr="00564572">
        <w:trPr>
          <w:trHeight w:val="1070"/>
        </w:trPr>
        <w:tc>
          <w:tcPr>
            <w:tcW w:w="4680" w:type="dxa"/>
            <w:shd w:val="clear" w:color="auto" w:fill="D9D9D9" w:themeFill="background1" w:themeFillShade="D9"/>
            <w:vAlign w:val="center"/>
          </w:tcPr>
          <w:p w14:paraId="2341A525" w14:textId="77777777" w:rsidR="00564572" w:rsidRPr="00564572" w:rsidRDefault="00564572" w:rsidP="00564572">
            <w:pPr>
              <w:jc w:val="center"/>
              <w:rPr>
                <w:rFonts w:ascii="Arial" w:eastAsia="Calibri" w:hAnsi="Arial" w:cs="Arial"/>
                <w:b/>
                <w:sz w:val="20"/>
                <w:lang w:val="es-CR"/>
              </w:rPr>
            </w:pPr>
            <w:r w:rsidRPr="00564572">
              <w:rPr>
                <w:rFonts w:ascii="Arial" w:eastAsia="Calibri" w:hAnsi="Arial" w:cs="Arial"/>
                <w:b/>
                <w:sz w:val="20"/>
                <w:lang w:val="es-CR"/>
              </w:rPr>
              <w:t>Indicador de Producto</w:t>
            </w:r>
          </w:p>
        </w:tc>
        <w:tc>
          <w:tcPr>
            <w:tcW w:w="1260" w:type="dxa"/>
            <w:shd w:val="clear" w:color="auto" w:fill="D9D9D9" w:themeFill="background1" w:themeFillShade="D9"/>
            <w:vAlign w:val="center"/>
          </w:tcPr>
          <w:p w14:paraId="2341A526" w14:textId="77777777" w:rsidR="00564572" w:rsidRPr="00564572" w:rsidRDefault="00564572" w:rsidP="00564572">
            <w:pPr>
              <w:jc w:val="center"/>
              <w:rPr>
                <w:rFonts w:ascii="Arial" w:eastAsia="Calibri" w:hAnsi="Arial" w:cs="Arial"/>
                <w:b/>
                <w:sz w:val="20"/>
                <w:lang w:val="es-CR"/>
              </w:rPr>
            </w:pPr>
            <w:r w:rsidRPr="00564572">
              <w:rPr>
                <w:rFonts w:ascii="Arial" w:eastAsia="Calibri" w:hAnsi="Arial" w:cs="Arial"/>
                <w:b/>
                <w:sz w:val="20"/>
                <w:lang w:val="es-CR"/>
              </w:rPr>
              <w:t>Unidad de  medida</w:t>
            </w:r>
          </w:p>
        </w:tc>
        <w:tc>
          <w:tcPr>
            <w:tcW w:w="1080" w:type="dxa"/>
            <w:shd w:val="clear" w:color="auto" w:fill="D9D9D9" w:themeFill="background1" w:themeFillShade="D9"/>
            <w:vAlign w:val="center"/>
          </w:tcPr>
          <w:p w14:paraId="2341A527" w14:textId="77777777" w:rsidR="00564572" w:rsidRPr="00564572" w:rsidRDefault="00564572" w:rsidP="00564572">
            <w:pPr>
              <w:jc w:val="center"/>
              <w:rPr>
                <w:rFonts w:ascii="Arial" w:eastAsia="Calibri" w:hAnsi="Arial" w:cs="Arial"/>
                <w:b/>
                <w:sz w:val="20"/>
                <w:lang w:val="es-CR"/>
              </w:rPr>
            </w:pPr>
            <w:r w:rsidRPr="00564572">
              <w:rPr>
                <w:rFonts w:ascii="Arial" w:eastAsia="Calibri" w:hAnsi="Arial" w:cs="Arial"/>
                <w:b/>
                <w:sz w:val="20"/>
                <w:lang w:val="es-CR"/>
              </w:rPr>
              <w:t>Línea de base</w:t>
            </w:r>
          </w:p>
          <w:p w14:paraId="2341A528" w14:textId="77777777" w:rsidR="00564572" w:rsidRPr="00564572" w:rsidRDefault="00564572" w:rsidP="00564572">
            <w:pPr>
              <w:ind w:left="-79"/>
              <w:jc w:val="center"/>
              <w:rPr>
                <w:rFonts w:ascii="Arial" w:eastAsia="Calibri" w:hAnsi="Arial" w:cs="Arial"/>
                <w:b/>
                <w:sz w:val="20"/>
                <w:lang w:val="es-CR"/>
              </w:rPr>
            </w:pPr>
            <w:r w:rsidRPr="00564572">
              <w:rPr>
                <w:rFonts w:ascii="Arial" w:eastAsia="Calibri" w:hAnsi="Arial" w:cs="Arial"/>
                <w:b/>
                <w:sz w:val="20"/>
                <w:lang w:val="es-CR"/>
              </w:rPr>
              <w:t>1/1/2015</w:t>
            </w:r>
          </w:p>
        </w:tc>
        <w:tc>
          <w:tcPr>
            <w:tcW w:w="900" w:type="dxa"/>
            <w:shd w:val="clear" w:color="auto" w:fill="D9D9D9" w:themeFill="background1" w:themeFillShade="D9"/>
            <w:vAlign w:val="center"/>
          </w:tcPr>
          <w:p w14:paraId="2341A529" w14:textId="77777777" w:rsidR="00564572" w:rsidRPr="00564572" w:rsidRDefault="00564572" w:rsidP="00564572">
            <w:pPr>
              <w:jc w:val="center"/>
              <w:rPr>
                <w:rFonts w:ascii="Arial" w:eastAsia="Calibri" w:hAnsi="Arial" w:cs="Arial"/>
                <w:b/>
                <w:sz w:val="20"/>
                <w:lang w:val="es-CR"/>
              </w:rPr>
            </w:pPr>
            <w:r w:rsidRPr="00564572">
              <w:rPr>
                <w:rFonts w:ascii="Arial" w:eastAsia="Calibri" w:hAnsi="Arial" w:cs="Arial"/>
                <w:b/>
                <w:sz w:val="20"/>
                <w:lang w:val="es-CR"/>
              </w:rPr>
              <w:t>Año</w:t>
            </w:r>
          </w:p>
          <w:p w14:paraId="2341A52A" w14:textId="77777777" w:rsidR="00564572" w:rsidRPr="00564572" w:rsidRDefault="00564572" w:rsidP="00564572">
            <w:pPr>
              <w:jc w:val="center"/>
              <w:rPr>
                <w:rFonts w:ascii="Arial" w:eastAsia="Calibri" w:hAnsi="Arial" w:cs="Arial"/>
                <w:b/>
                <w:sz w:val="20"/>
                <w:lang w:val="es-CR"/>
              </w:rPr>
            </w:pPr>
            <w:r w:rsidRPr="00564572">
              <w:rPr>
                <w:rFonts w:ascii="Arial" w:eastAsia="Calibri" w:hAnsi="Arial" w:cs="Arial"/>
                <w:b/>
                <w:sz w:val="20"/>
                <w:lang w:val="es-CR"/>
              </w:rPr>
              <w:t>Línea de Base</w:t>
            </w:r>
          </w:p>
        </w:tc>
        <w:tc>
          <w:tcPr>
            <w:tcW w:w="810" w:type="dxa"/>
            <w:shd w:val="clear" w:color="auto" w:fill="D9D9D9" w:themeFill="background1" w:themeFillShade="D9"/>
            <w:vAlign w:val="center"/>
          </w:tcPr>
          <w:p w14:paraId="2341A52B" w14:textId="77777777" w:rsidR="00564572" w:rsidRPr="00564572" w:rsidRDefault="00564572" w:rsidP="00564572">
            <w:pPr>
              <w:jc w:val="center"/>
              <w:rPr>
                <w:rFonts w:ascii="Arial" w:eastAsia="Calibri" w:hAnsi="Arial" w:cs="Arial"/>
                <w:b/>
                <w:sz w:val="20"/>
                <w:lang w:val="es-CR"/>
              </w:rPr>
            </w:pPr>
            <w:r w:rsidRPr="00564572">
              <w:rPr>
                <w:rFonts w:ascii="Arial" w:eastAsia="Calibri" w:hAnsi="Arial" w:cs="Arial"/>
                <w:b/>
                <w:sz w:val="20"/>
                <w:lang w:val="es-CR"/>
              </w:rPr>
              <w:t>Meta</w:t>
            </w:r>
          </w:p>
          <w:p w14:paraId="2341A52C" w14:textId="77777777" w:rsidR="00564572" w:rsidRPr="00564572" w:rsidRDefault="00564572" w:rsidP="00564572">
            <w:pPr>
              <w:jc w:val="center"/>
              <w:rPr>
                <w:rFonts w:ascii="Arial" w:eastAsia="Calibri" w:hAnsi="Arial" w:cs="Arial"/>
                <w:b/>
                <w:sz w:val="20"/>
                <w:lang w:val="es-CR"/>
              </w:rPr>
            </w:pPr>
            <w:r w:rsidRPr="00564572">
              <w:rPr>
                <w:rFonts w:ascii="Arial" w:eastAsia="Calibri" w:hAnsi="Arial" w:cs="Arial"/>
                <w:b/>
                <w:sz w:val="20"/>
                <w:lang w:val="es-CR"/>
              </w:rPr>
              <w:t>(2015)</w:t>
            </w:r>
          </w:p>
        </w:tc>
        <w:tc>
          <w:tcPr>
            <w:tcW w:w="900" w:type="dxa"/>
            <w:shd w:val="clear" w:color="auto" w:fill="D9D9D9" w:themeFill="background1" w:themeFillShade="D9"/>
            <w:vAlign w:val="center"/>
          </w:tcPr>
          <w:p w14:paraId="2341A52D" w14:textId="77777777" w:rsidR="00564572" w:rsidRPr="00564572" w:rsidRDefault="00564572" w:rsidP="00564572">
            <w:pPr>
              <w:jc w:val="center"/>
              <w:rPr>
                <w:rFonts w:ascii="Arial" w:eastAsia="Calibri" w:hAnsi="Arial" w:cs="Arial"/>
                <w:b/>
                <w:sz w:val="20"/>
                <w:lang w:val="es-CR"/>
              </w:rPr>
            </w:pPr>
            <w:r w:rsidRPr="00564572">
              <w:rPr>
                <w:rFonts w:ascii="Arial" w:eastAsia="Calibri" w:hAnsi="Arial" w:cs="Arial"/>
                <w:b/>
                <w:sz w:val="20"/>
                <w:lang w:val="es-CR"/>
              </w:rPr>
              <w:t>Meta (2016)</w:t>
            </w:r>
          </w:p>
        </w:tc>
        <w:tc>
          <w:tcPr>
            <w:tcW w:w="900" w:type="dxa"/>
            <w:shd w:val="clear" w:color="auto" w:fill="D9D9D9" w:themeFill="background1" w:themeFillShade="D9"/>
            <w:vAlign w:val="center"/>
          </w:tcPr>
          <w:p w14:paraId="2341A52E" w14:textId="77777777" w:rsidR="00564572" w:rsidRPr="00564572" w:rsidRDefault="00564572" w:rsidP="00564572">
            <w:pPr>
              <w:jc w:val="center"/>
              <w:rPr>
                <w:rFonts w:ascii="Arial" w:eastAsia="Calibri" w:hAnsi="Arial" w:cs="Arial"/>
                <w:b/>
                <w:sz w:val="20"/>
                <w:lang w:val="es-CR"/>
              </w:rPr>
            </w:pPr>
            <w:r w:rsidRPr="00564572">
              <w:rPr>
                <w:rFonts w:ascii="Arial" w:eastAsia="Calibri" w:hAnsi="Arial" w:cs="Arial"/>
                <w:b/>
                <w:sz w:val="20"/>
                <w:lang w:val="es-CR"/>
              </w:rPr>
              <w:t>Meta (2017)</w:t>
            </w:r>
          </w:p>
        </w:tc>
        <w:tc>
          <w:tcPr>
            <w:tcW w:w="2520" w:type="dxa"/>
            <w:shd w:val="clear" w:color="auto" w:fill="D9D9D9" w:themeFill="background1" w:themeFillShade="D9"/>
            <w:vAlign w:val="center"/>
          </w:tcPr>
          <w:p w14:paraId="2341A52F" w14:textId="77777777" w:rsidR="00564572" w:rsidRPr="00564572" w:rsidRDefault="00564572" w:rsidP="00564572">
            <w:pPr>
              <w:jc w:val="center"/>
              <w:rPr>
                <w:rFonts w:ascii="Arial" w:eastAsia="Calibri" w:hAnsi="Arial" w:cs="Arial"/>
                <w:b/>
                <w:sz w:val="20"/>
                <w:lang w:val="es-CR"/>
              </w:rPr>
            </w:pPr>
            <w:r w:rsidRPr="00564572">
              <w:rPr>
                <w:rFonts w:ascii="Arial" w:eastAsia="Calibri" w:hAnsi="Arial" w:cs="Arial"/>
                <w:b/>
                <w:sz w:val="20"/>
                <w:lang w:val="es-CR"/>
              </w:rPr>
              <w:t>Medios de verificación /</w:t>
            </w:r>
          </w:p>
          <w:p w14:paraId="2341A530" w14:textId="77777777" w:rsidR="00564572" w:rsidRPr="00564572" w:rsidRDefault="00564572" w:rsidP="00564572">
            <w:pPr>
              <w:ind w:right="-108"/>
              <w:jc w:val="center"/>
              <w:rPr>
                <w:rFonts w:ascii="Arial" w:eastAsia="Calibri" w:hAnsi="Arial" w:cs="Arial"/>
                <w:b/>
                <w:sz w:val="20"/>
                <w:lang w:val="es-CR"/>
              </w:rPr>
            </w:pPr>
            <w:r w:rsidRPr="00564572">
              <w:rPr>
                <w:rFonts w:ascii="Arial" w:eastAsia="Calibri" w:hAnsi="Arial" w:cs="Arial"/>
                <w:b/>
                <w:sz w:val="20"/>
                <w:lang w:val="es-CR"/>
              </w:rPr>
              <w:t>Observaciones</w:t>
            </w:r>
          </w:p>
        </w:tc>
        <w:tc>
          <w:tcPr>
            <w:tcW w:w="1530" w:type="dxa"/>
            <w:shd w:val="clear" w:color="auto" w:fill="D9D9D9" w:themeFill="background1" w:themeFillShade="D9"/>
            <w:vAlign w:val="center"/>
          </w:tcPr>
          <w:p w14:paraId="2341A531" w14:textId="77777777" w:rsidR="00564572" w:rsidRPr="00564572" w:rsidRDefault="00564572" w:rsidP="00564572">
            <w:pPr>
              <w:jc w:val="center"/>
              <w:rPr>
                <w:rFonts w:ascii="Arial" w:eastAsia="Calibri" w:hAnsi="Arial" w:cs="Arial"/>
                <w:b/>
                <w:sz w:val="20"/>
                <w:lang w:val="es-CR"/>
              </w:rPr>
            </w:pPr>
            <w:r w:rsidRPr="00564572">
              <w:rPr>
                <w:rFonts w:ascii="Arial" w:eastAsia="Calibri" w:hAnsi="Arial" w:cs="Arial"/>
                <w:b/>
                <w:sz w:val="20"/>
                <w:lang w:val="es-CR"/>
              </w:rPr>
              <w:t>Comentarios</w:t>
            </w:r>
            <w:r w:rsidRPr="00564572">
              <w:rPr>
                <w:rFonts w:ascii="Arial" w:eastAsia="Calibri" w:hAnsi="Arial" w:cs="Arial"/>
                <w:b/>
                <w:sz w:val="20"/>
                <w:vertAlign w:val="superscript"/>
                <w:lang w:val="es-CR"/>
              </w:rPr>
              <w:t>1</w:t>
            </w:r>
          </w:p>
        </w:tc>
      </w:tr>
      <w:tr w:rsidR="00564572" w:rsidRPr="004932D7" w14:paraId="2341A535" w14:textId="77777777" w:rsidTr="00564572">
        <w:trPr>
          <w:trHeight w:val="64"/>
        </w:trPr>
        <w:tc>
          <w:tcPr>
            <w:tcW w:w="13050" w:type="dxa"/>
            <w:gridSpan w:val="8"/>
            <w:shd w:val="clear" w:color="auto" w:fill="C6D9F1" w:themeFill="text2" w:themeFillTint="33"/>
          </w:tcPr>
          <w:p w14:paraId="2341A533" w14:textId="77777777" w:rsidR="00564572" w:rsidRPr="00564572" w:rsidRDefault="00564572" w:rsidP="00564572">
            <w:pPr>
              <w:rPr>
                <w:rFonts w:ascii="Arial" w:eastAsia="Calibri" w:hAnsi="Arial" w:cs="Arial"/>
                <w:b/>
                <w:sz w:val="20"/>
                <w:lang w:val="es-BO"/>
              </w:rPr>
            </w:pPr>
            <w:r w:rsidRPr="00564572">
              <w:rPr>
                <w:rFonts w:ascii="Arial" w:eastAsia="Calibri" w:hAnsi="Arial" w:cs="Arial"/>
                <w:b/>
                <w:sz w:val="20"/>
                <w:lang w:val="es-BO"/>
              </w:rPr>
              <w:t xml:space="preserve">Componente 2. </w:t>
            </w:r>
            <w:r w:rsidRPr="00564572">
              <w:rPr>
                <w:rFonts w:ascii="Arial" w:eastAsia="Calibri" w:hAnsi="Arial" w:cs="Arial"/>
                <w:b/>
                <w:sz w:val="20"/>
                <w:lang w:val="es-ES_tradnl"/>
              </w:rPr>
              <w:t>Apoyo a la confiabilidad del abastecimiento eléctrico del SIN</w:t>
            </w:r>
            <w:r w:rsidRPr="00564572">
              <w:rPr>
                <w:rFonts w:ascii="Arial" w:eastAsia="Calibri" w:hAnsi="Arial" w:cs="Arial"/>
                <w:b/>
                <w:sz w:val="20"/>
                <w:lang w:val="es-BO"/>
              </w:rPr>
              <w:t>.</w:t>
            </w:r>
          </w:p>
        </w:tc>
        <w:tc>
          <w:tcPr>
            <w:tcW w:w="1530" w:type="dxa"/>
            <w:shd w:val="clear" w:color="auto" w:fill="C6D9F1" w:themeFill="text2" w:themeFillTint="33"/>
          </w:tcPr>
          <w:p w14:paraId="2341A534" w14:textId="77777777" w:rsidR="00564572" w:rsidRPr="00564572" w:rsidRDefault="00564572" w:rsidP="00564572">
            <w:pPr>
              <w:rPr>
                <w:rFonts w:ascii="Arial" w:eastAsia="Calibri" w:hAnsi="Arial" w:cs="Arial"/>
                <w:b/>
                <w:sz w:val="20"/>
                <w:lang w:val="es-BO"/>
              </w:rPr>
            </w:pPr>
          </w:p>
        </w:tc>
      </w:tr>
      <w:tr w:rsidR="00564572" w:rsidRPr="004932D7" w14:paraId="2341A538" w14:textId="77777777" w:rsidTr="00564572">
        <w:trPr>
          <w:trHeight w:val="64"/>
        </w:trPr>
        <w:tc>
          <w:tcPr>
            <w:tcW w:w="13050" w:type="dxa"/>
            <w:gridSpan w:val="8"/>
            <w:shd w:val="clear" w:color="auto" w:fill="C6D9F1" w:themeFill="text2" w:themeFillTint="33"/>
          </w:tcPr>
          <w:p w14:paraId="2341A536" w14:textId="77777777" w:rsidR="00564572" w:rsidRPr="00564572" w:rsidRDefault="00564572" w:rsidP="00564572">
            <w:pPr>
              <w:ind w:left="720"/>
              <w:rPr>
                <w:rFonts w:ascii="Arial" w:eastAsia="Calibri" w:hAnsi="Arial" w:cs="Arial"/>
                <w:b/>
                <w:sz w:val="20"/>
                <w:lang w:val="es-ES_tradnl"/>
              </w:rPr>
            </w:pPr>
            <w:r w:rsidRPr="00564572">
              <w:rPr>
                <w:rFonts w:ascii="Arial" w:eastAsia="Calibri" w:hAnsi="Arial" w:cs="Arial"/>
                <w:b/>
                <w:sz w:val="20"/>
                <w:lang w:val="es-ES_tradnl"/>
              </w:rPr>
              <w:t>Subcomponente 2.1. Apoyo a la diversificación de la matriz energética y a la integración eléctrica regional</w:t>
            </w:r>
          </w:p>
        </w:tc>
        <w:tc>
          <w:tcPr>
            <w:tcW w:w="1530" w:type="dxa"/>
            <w:shd w:val="clear" w:color="auto" w:fill="C6D9F1" w:themeFill="text2" w:themeFillTint="33"/>
          </w:tcPr>
          <w:p w14:paraId="2341A537" w14:textId="77777777" w:rsidR="00564572" w:rsidRPr="00564572" w:rsidRDefault="00564572" w:rsidP="00564572">
            <w:pPr>
              <w:rPr>
                <w:rFonts w:ascii="Arial" w:eastAsia="Calibri" w:hAnsi="Arial" w:cs="Arial"/>
                <w:b/>
                <w:sz w:val="20"/>
                <w:lang w:val="es-BO"/>
              </w:rPr>
            </w:pPr>
          </w:p>
        </w:tc>
      </w:tr>
      <w:tr w:rsidR="00564572" w:rsidRPr="004932D7" w14:paraId="2341A542" w14:textId="77777777" w:rsidTr="00564572">
        <w:trPr>
          <w:trHeight w:val="1448"/>
        </w:trPr>
        <w:tc>
          <w:tcPr>
            <w:tcW w:w="4680" w:type="dxa"/>
            <w:vAlign w:val="center"/>
          </w:tcPr>
          <w:p w14:paraId="2341A539"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CO"/>
              </w:rPr>
            </w:pPr>
            <w:r w:rsidRPr="00564572">
              <w:rPr>
                <w:rFonts w:ascii="Arial" w:eastAsia="Calibri" w:hAnsi="Arial" w:cs="Arial"/>
                <w:sz w:val="20"/>
                <w:lang w:val="es-ES_tradnl"/>
              </w:rPr>
              <w:t>Decreto</w:t>
            </w:r>
            <w:r w:rsidRPr="00564572">
              <w:rPr>
                <w:rFonts w:ascii="Arial" w:eastAsia="Calibri" w:hAnsi="Arial" w:cs="Arial"/>
                <w:sz w:val="20"/>
                <w:lang w:val="es-BO"/>
              </w:rPr>
              <w:t xml:space="preserve"> expedido</w:t>
            </w:r>
            <w:r w:rsidRPr="00564572">
              <w:rPr>
                <w:rFonts w:ascii="Arial" w:eastAsia="Calibri" w:hAnsi="Arial" w:cs="Arial"/>
                <w:sz w:val="20"/>
                <w:vertAlign w:val="superscript"/>
                <w:lang w:val="es-BO"/>
              </w:rPr>
              <w:footnoteReference w:id="1"/>
            </w:r>
            <w:r w:rsidRPr="00564572">
              <w:rPr>
                <w:rFonts w:ascii="Arial" w:eastAsia="Calibri" w:hAnsi="Arial" w:cs="Arial"/>
                <w:sz w:val="20"/>
                <w:lang w:val="es-BO"/>
              </w:rPr>
              <w:t xml:space="preserve"> por el MME que define los </w:t>
            </w:r>
            <w:r w:rsidRPr="00564572">
              <w:rPr>
                <w:rFonts w:ascii="Arial" w:eastAsia="Calibri" w:hAnsi="Arial" w:cs="Arial"/>
                <w:sz w:val="20"/>
                <w:lang w:val="es-ES_tradnl"/>
              </w:rPr>
              <w:t>lineamientos</w:t>
            </w:r>
            <w:r w:rsidRPr="00564572">
              <w:rPr>
                <w:rFonts w:ascii="Arial" w:eastAsia="Calibri" w:hAnsi="Arial" w:cs="Arial"/>
                <w:sz w:val="20"/>
                <w:lang w:val="es-BO"/>
              </w:rPr>
              <w:t xml:space="preserve"> para la aplicación de los “Incentivos a la inversión en proyectos de Fuentes No Convencionales de Energía (FNCE)” (Capítulo III de la Ley 1715 de 2014).</w:t>
            </w:r>
          </w:p>
        </w:tc>
        <w:tc>
          <w:tcPr>
            <w:tcW w:w="1260" w:type="dxa"/>
            <w:vAlign w:val="center"/>
          </w:tcPr>
          <w:p w14:paraId="2341A53A"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Decreto</w:t>
            </w:r>
          </w:p>
        </w:tc>
        <w:tc>
          <w:tcPr>
            <w:tcW w:w="1080" w:type="dxa"/>
            <w:vAlign w:val="center"/>
          </w:tcPr>
          <w:p w14:paraId="2341A53B"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3C"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3D"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3E"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3F"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vAlign w:val="center"/>
          </w:tcPr>
          <w:p w14:paraId="2341A540" w14:textId="77777777" w:rsidR="00564572" w:rsidRPr="00564572" w:rsidRDefault="00564572" w:rsidP="00564572">
            <w:pPr>
              <w:jc w:val="both"/>
              <w:rPr>
                <w:rFonts w:ascii="Arial" w:eastAsia="Calibri" w:hAnsi="Arial" w:cs="Arial"/>
                <w:color w:val="0000FF"/>
                <w:sz w:val="20"/>
                <w:lang w:val="es-ES_tradnl"/>
              </w:rPr>
            </w:pPr>
            <w:r w:rsidRPr="00564572">
              <w:rPr>
                <w:rFonts w:ascii="Arial" w:eastAsia="Calibri" w:hAnsi="Arial" w:cs="Arial"/>
                <w:sz w:val="20"/>
                <w:lang w:val="es-ES_tradnl"/>
              </w:rPr>
              <w:t>El Decreto 2143 de 2015 del Ministerio de Minas y Energía (MME) define los lineamientos para la aplicación de los incentivos a la inversión en proyectos de FNCE.</w:t>
            </w:r>
          </w:p>
        </w:tc>
        <w:tc>
          <w:tcPr>
            <w:tcW w:w="1530" w:type="dxa"/>
          </w:tcPr>
          <w:p w14:paraId="2341A541" w14:textId="77777777" w:rsidR="00564572" w:rsidRPr="00564572" w:rsidRDefault="00564572" w:rsidP="00564572">
            <w:pPr>
              <w:spacing w:line="276" w:lineRule="auto"/>
              <w:jc w:val="center"/>
              <w:rPr>
                <w:rFonts w:ascii="Arial" w:eastAsia="Calibri" w:hAnsi="Arial" w:cs="Arial"/>
                <w:sz w:val="20"/>
                <w:lang w:val="es-ES_tradnl"/>
              </w:rPr>
            </w:pPr>
          </w:p>
        </w:tc>
      </w:tr>
      <w:tr w:rsidR="00564572" w:rsidRPr="004932D7" w14:paraId="2341A54C" w14:textId="77777777" w:rsidTr="00564572">
        <w:trPr>
          <w:trHeight w:val="467"/>
        </w:trPr>
        <w:tc>
          <w:tcPr>
            <w:tcW w:w="4680" w:type="dxa"/>
            <w:vAlign w:val="center"/>
          </w:tcPr>
          <w:p w14:paraId="2341A543"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ES_tradnl"/>
              </w:rPr>
            </w:pPr>
            <w:r w:rsidRPr="00564572">
              <w:rPr>
                <w:rFonts w:ascii="Arial" w:eastAsia="Calibri" w:hAnsi="Arial" w:cs="Arial"/>
                <w:sz w:val="20"/>
                <w:lang w:val="es-ES_tradnl"/>
              </w:rPr>
              <w:t>Resolución expedida por la UPME que regula los procedimientos y requisitos para avalar proyectos y acceder a los incentivos de la inversión en proyectos de FNCER.</w:t>
            </w:r>
          </w:p>
        </w:tc>
        <w:tc>
          <w:tcPr>
            <w:tcW w:w="1260" w:type="dxa"/>
            <w:vAlign w:val="center"/>
          </w:tcPr>
          <w:p w14:paraId="2341A544" w14:textId="77777777" w:rsidR="00564572" w:rsidRPr="00564572" w:rsidRDefault="00564572" w:rsidP="00564572">
            <w:pPr>
              <w:ind w:left="-87" w:hanging="90"/>
              <w:jc w:val="center"/>
              <w:rPr>
                <w:rFonts w:ascii="Arial" w:eastAsia="Calibri" w:hAnsi="Arial" w:cs="Arial"/>
                <w:sz w:val="20"/>
                <w:lang w:val="es-ES_tradnl"/>
              </w:rPr>
            </w:pPr>
            <w:r w:rsidRPr="00564572">
              <w:rPr>
                <w:rFonts w:ascii="Arial" w:eastAsia="Calibri" w:hAnsi="Arial" w:cs="Arial"/>
                <w:sz w:val="20"/>
                <w:lang w:val="es-BO"/>
              </w:rPr>
              <w:t>Resolución</w:t>
            </w:r>
          </w:p>
        </w:tc>
        <w:tc>
          <w:tcPr>
            <w:tcW w:w="1080" w:type="dxa"/>
            <w:vAlign w:val="center"/>
          </w:tcPr>
          <w:p w14:paraId="2341A545"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46"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47"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48"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49"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vAlign w:val="center"/>
          </w:tcPr>
          <w:p w14:paraId="2341A54A" w14:textId="77777777" w:rsidR="00564572" w:rsidRPr="00564572" w:rsidRDefault="00564572" w:rsidP="00564572">
            <w:pPr>
              <w:jc w:val="both"/>
              <w:rPr>
                <w:rFonts w:ascii="Arial" w:eastAsia="Calibri" w:hAnsi="Arial" w:cs="Arial"/>
                <w:sz w:val="20"/>
                <w:lang w:val="es-BO"/>
              </w:rPr>
            </w:pPr>
            <w:r w:rsidRPr="00564572">
              <w:rPr>
                <w:rFonts w:ascii="Arial" w:eastAsia="Calibri" w:hAnsi="Arial" w:cs="Arial"/>
                <w:sz w:val="20"/>
                <w:lang w:val="es-ES_tradnl"/>
              </w:rPr>
              <w:t>La Resolución UPME 045 de 2016 establece los procedimientos y requisitos para emitir la certificación y avalar los proyectos que buscan acceder a los incentivos de la inversión en FNCER.</w:t>
            </w:r>
          </w:p>
        </w:tc>
        <w:tc>
          <w:tcPr>
            <w:tcW w:w="1530" w:type="dxa"/>
          </w:tcPr>
          <w:p w14:paraId="2341A54B" w14:textId="77777777" w:rsidR="00564572" w:rsidRPr="00564572" w:rsidRDefault="00564572" w:rsidP="00564572">
            <w:pPr>
              <w:jc w:val="center"/>
              <w:rPr>
                <w:rFonts w:ascii="Arial" w:eastAsia="Calibri" w:hAnsi="Arial" w:cs="Arial"/>
                <w:sz w:val="20"/>
                <w:lang w:val="es-ES_tradnl"/>
              </w:rPr>
            </w:pPr>
          </w:p>
        </w:tc>
      </w:tr>
      <w:tr w:rsidR="00564572" w:rsidRPr="004932D7" w14:paraId="2341A557" w14:textId="77777777" w:rsidTr="00564572">
        <w:trPr>
          <w:trHeight w:val="530"/>
        </w:trPr>
        <w:tc>
          <w:tcPr>
            <w:tcW w:w="4680" w:type="dxa"/>
            <w:vAlign w:val="center"/>
          </w:tcPr>
          <w:p w14:paraId="2341A54D"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ES_tradnl"/>
              </w:rPr>
            </w:pPr>
            <w:r w:rsidRPr="00564572">
              <w:rPr>
                <w:rFonts w:ascii="Arial" w:eastAsia="Calibri" w:hAnsi="Arial" w:cs="Arial"/>
                <w:sz w:val="20"/>
                <w:lang w:val="es-ES_tradnl"/>
              </w:rPr>
              <w:t>Resolución expedida por la CREG que regula las condiciones para el proceso de conexión, medida y entrega de excedentes del autogenerador a gran escala al Sistema Interconectado Nacional (SIN).</w:t>
            </w:r>
          </w:p>
        </w:tc>
        <w:tc>
          <w:tcPr>
            <w:tcW w:w="1260" w:type="dxa"/>
            <w:vAlign w:val="center"/>
          </w:tcPr>
          <w:p w14:paraId="2341A54E"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Resolución</w:t>
            </w:r>
          </w:p>
        </w:tc>
        <w:tc>
          <w:tcPr>
            <w:tcW w:w="1080" w:type="dxa"/>
            <w:vAlign w:val="center"/>
          </w:tcPr>
          <w:p w14:paraId="2341A54F"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50"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51"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52"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53"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vAlign w:val="center"/>
          </w:tcPr>
          <w:p w14:paraId="2341A554" w14:textId="77777777" w:rsidR="00564572" w:rsidRDefault="00564572" w:rsidP="00564572">
            <w:pPr>
              <w:jc w:val="both"/>
              <w:rPr>
                <w:rFonts w:ascii="Arial" w:eastAsia="Calibri" w:hAnsi="Arial" w:cs="Arial"/>
                <w:sz w:val="20"/>
                <w:lang w:val="es-ES_tradnl"/>
              </w:rPr>
            </w:pPr>
            <w:r w:rsidRPr="00564572">
              <w:rPr>
                <w:rFonts w:ascii="Arial" w:eastAsia="Calibri" w:hAnsi="Arial" w:cs="Arial"/>
                <w:sz w:val="20"/>
                <w:lang w:val="es-ES_tradnl"/>
              </w:rPr>
              <w:t xml:space="preserve">La </w:t>
            </w:r>
            <w:hyperlink r:id="rId27" w:history="1">
              <w:r w:rsidRPr="00564572">
                <w:rPr>
                  <w:rFonts w:ascii="Arial" w:eastAsia="Calibri" w:hAnsi="Arial" w:cs="Arial"/>
                  <w:sz w:val="20"/>
                  <w:lang w:val="es-ES_tradnl"/>
                </w:rPr>
                <w:t>Resolución CREG 024 de 2015</w:t>
              </w:r>
            </w:hyperlink>
            <w:r w:rsidRPr="00564572">
              <w:rPr>
                <w:rFonts w:ascii="Arial" w:eastAsia="Calibri" w:hAnsi="Arial" w:cs="Arial"/>
                <w:sz w:val="20"/>
                <w:lang w:val="es-ES_tradnl"/>
              </w:rPr>
              <w:t xml:space="preserve"> que establece el proceso de conexión, medida y entrega de excedentes del autogenerador a gran escala al Sistema Interconectado Nacional</w:t>
            </w:r>
          </w:p>
          <w:p w14:paraId="2341A555" w14:textId="77777777" w:rsidR="00564572" w:rsidRPr="00564572" w:rsidRDefault="00564572" w:rsidP="00564572">
            <w:pPr>
              <w:jc w:val="both"/>
              <w:rPr>
                <w:rFonts w:ascii="Arial" w:eastAsia="Calibri" w:hAnsi="Arial" w:cs="Arial"/>
                <w:sz w:val="20"/>
                <w:lang w:val="es-ES"/>
              </w:rPr>
            </w:pPr>
          </w:p>
        </w:tc>
        <w:tc>
          <w:tcPr>
            <w:tcW w:w="1530" w:type="dxa"/>
          </w:tcPr>
          <w:p w14:paraId="2341A556" w14:textId="77777777" w:rsidR="00564572" w:rsidRPr="00564572" w:rsidRDefault="00564572" w:rsidP="00564572">
            <w:pPr>
              <w:jc w:val="center"/>
              <w:rPr>
                <w:rFonts w:ascii="Arial" w:eastAsia="Calibri" w:hAnsi="Arial" w:cs="Arial"/>
                <w:sz w:val="20"/>
                <w:lang w:val="es-ES_tradnl"/>
              </w:rPr>
            </w:pPr>
          </w:p>
        </w:tc>
      </w:tr>
      <w:tr w:rsidR="00564572" w:rsidRPr="004932D7" w14:paraId="2341A561" w14:textId="77777777" w:rsidTr="00564572">
        <w:trPr>
          <w:trHeight w:val="64"/>
        </w:trPr>
        <w:tc>
          <w:tcPr>
            <w:tcW w:w="4680" w:type="dxa"/>
            <w:vAlign w:val="center"/>
          </w:tcPr>
          <w:p w14:paraId="2341A558"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ES_tradnl"/>
              </w:rPr>
            </w:pPr>
            <w:r w:rsidRPr="00564572">
              <w:rPr>
                <w:rFonts w:ascii="Arial" w:eastAsia="Calibri" w:hAnsi="Arial" w:cs="Arial"/>
                <w:sz w:val="20"/>
                <w:lang w:val="es-CO"/>
              </w:rPr>
              <w:lastRenderedPageBreak/>
              <w:t xml:space="preserve">Acta firmada de la </w:t>
            </w:r>
            <w:r w:rsidRPr="00564572">
              <w:rPr>
                <w:rFonts w:ascii="Arial" w:eastAsia="Calibri" w:hAnsi="Arial" w:cs="Arial"/>
                <w:sz w:val="20"/>
                <w:lang w:val="es-ES_tradnl"/>
              </w:rPr>
              <w:t>Reunión del Comité Andino de Organismos Normativos y Organismos Reguladores de Servicios de Electricidad (CANREL) donde se aprueba el Proyecto de Decisión del Marco Regulatorio para la interconexión Subregional de los Sistemas Eléctricos e Intercambio Comunitario de Electricidad, aprobada y firmada por los delegados de los países miembros.</w:t>
            </w:r>
          </w:p>
        </w:tc>
        <w:tc>
          <w:tcPr>
            <w:tcW w:w="1260" w:type="dxa"/>
            <w:vAlign w:val="center"/>
          </w:tcPr>
          <w:p w14:paraId="2341A559"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Acta</w:t>
            </w:r>
          </w:p>
        </w:tc>
        <w:tc>
          <w:tcPr>
            <w:tcW w:w="1080" w:type="dxa"/>
            <w:vAlign w:val="center"/>
          </w:tcPr>
          <w:p w14:paraId="2341A55A"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5B"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5C"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5D"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5E"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vAlign w:val="center"/>
          </w:tcPr>
          <w:p w14:paraId="2341A55F" w14:textId="77777777" w:rsidR="00564572" w:rsidRPr="00564572" w:rsidRDefault="00564572" w:rsidP="00564572">
            <w:pPr>
              <w:jc w:val="both"/>
              <w:rPr>
                <w:rFonts w:ascii="Arial" w:eastAsia="Calibri" w:hAnsi="Arial" w:cs="Arial"/>
                <w:sz w:val="20"/>
                <w:lang w:val="es-BO"/>
              </w:rPr>
            </w:pPr>
            <w:r w:rsidRPr="00564572">
              <w:rPr>
                <w:rFonts w:ascii="Arial" w:eastAsia="Calibri" w:hAnsi="Arial" w:cs="Arial"/>
                <w:sz w:val="20"/>
                <w:lang w:val="es-BO"/>
              </w:rPr>
              <w:t>Acta de la Novena Reunión del CANREL realizada en el Bogotá, Colombia los días 5 y 16 de diciembre</w:t>
            </w:r>
            <w:r>
              <w:rPr>
                <w:rFonts w:ascii="Arial" w:eastAsia="Calibri" w:hAnsi="Arial" w:cs="Arial"/>
                <w:sz w:val="20"/>
                <w:lang w:val="es-BO"/>
              </w:rPr>
              <w:t xml:space="preserve"> </w:t>
            </w:r>
            <w:r w:rsidRPr="00564572">
              <w:rPr>
                <w:rFonts w:ascii="Arial" w:eastAsia="Calibri" w:hAnsi="Arial" w:cs="Arial"/>
                <w:sz w:val="20"/>
                <w:lang w:val="es-BO"/>
              </w:rPr>
              <w:t>de 2016.</w:t>
            </w:r>
          </w:p>
        </w:tc>
        <w:tc>
          <w:tcPr>
            <w:tcW w:w="1530" w:type="dxa"/>
          </w:tcPr>
          <w:p w14:paraId="2341A560" w14:textId="77777777" w:rsidR="00564572" w:rsidRPr="00564572" w:rsidRDefault="00564572" w:rsidP="00564572">
            <w:pPr>
              <w:jc w:val="center"/>
              <w:rPr>
                <w:rFonts w:ascii="Arial" w:eastAsia="Calibri" w:hAnsi="Arial" w:cs="Arial"/>
                <w:sz w:val="20"/>
                <w:lang w:val="es-BO"/>
              </w:rPr>
            </w:pPr>
          </w:p>
        </w:tc>
      </w:tr>
      <w:tr w:rsidR="00564572" w:rsidRPr="004932D7" w14:paraId="2341A564" w14:textId="77777777" w:rsidTr="00564572">
        <w:trPr>
          <w:trHeight w:val="368"/>
        </w:trPr>
        <w:tc>
          <w:tcPr>
            <w:tcW w:w="13050" w:type="dxa"/>
            <w:gridSpan w:val="8"/>
            <w:shd w:val="clear" w:color="auto" w:fill="C6D9F1" w:themeFill="text2" w:themeFillTint="33"/>
            <w:vAlign w:val="center"/>
          </w:tcPr>
          <w:p w14:paraId="2341A562" w14:textId="77777777" w:rsidR="00564572" w:rsidRPr="00564572" w:rsidRDefault="00564572" w:rsidP="00564572">
            <w:pPr>
              <w:tabs>
                <w:tab w:val="left" w:pos="354"/>
              </w:tabs>
              <w:ind w:left="720"/>
              <w:contextualSpacing/>
              <w:rPr>
                <w:rFonts w:ascii="Arial" w:eastAsia="Calibri" w:hAnsi="Arial" w:cs="Arial"/>
                <w:b/>
                <w:sz w:val="20"/>
                <w:lang w:val="es-CO"/>
              </w:rPr>
            </w:pPr>
            <w:r w:rsidRPr="00564572">
              <w:rPr>
                <w:rFonts w:ascii="Arial" w:eastAsia="Calibri" w:hAnsi="Arial" w:cs="Arial"/>
                <w:b/>
                <w:sz w:val="20"/>
                <w:lang w:val="es-CO"/>
              </w:rPr>
              <w:t>Subcomponente 2.2. Fortalecimiento del mercado eléctrico</w:t>
            </w:r>
          </w:p>
        </w:tc>
        <w:tc>
          <w:tcPr>
            <w:tcW w:w="1530" w:type="dxa"/>
            <w:shd w:val="clear" w:color="auto" w:fill="C6D9F1" w:themeFill="text2" w:themeFillTint="33"/>
          </w:tcPr>
          <w:p w14:paraId="2341A563" w14:textId="77777777" w:rsidR="00564572" w:rsidRPr="00564572" w:rsidRDefault="00564572" w:rsidP="00564572">
            <w:pPr>
              <w:tabs>
                <w:tab w:val="left" w:pos="354"/>
              </w:tabs>
              <w:contextualSpacing/>
              <w:rPr>
                <w:rFonts w:ascii="Arial" w:eastAsia="Calibri" w:hAnsi="Arial" w:cs="Arial"/>
                <w:b/>
                <w:sz w:val="20"/>
                <w:lang w:val="es-CO"/>
              </w:rPr>
            </w:pPr>
          </w:p>
        </w:tc>
      </w:tr>
      <w:tr w:rsidR="00564572" w:rsidRPr="004932D7" w14:paraId="2341A56E" w14:textId="77777777" w:rsidTr="00564572">
        <w:trPr>
          <w:trHeight w:val="1016"/>
        </w:trPr>
        <w:tc>
          <w:tcPr>
            <w:tcW w:w="4680" w:type="dxa"/>
            <w:vAlign w:val="center"/>
          </w:tcPr>
          <w:p w14:paraId="2341A565"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ES_tradnl"/>
              </w:rPr>
            </w:pPr>
            <w:r w:rsidRPr="00564572">
              <w:rPr>
                <w:rFonts w:ascii="Arial" w:eastAsia="Calibri" w:hAnsi="Arial" w:cs="Arial"/>
                <w:sz w:val="20"/>
                <w:lang w:val="es-ES_tradnl"/>
              </w:rPr>
              <w:t xml:space="preserve">Decreto expedido por el MME que adoptan los criterios de ejecución bajo los cuales se implementarán ajustes al esquema de </w:t>
            </w:r>
            <w:r w:rsidRPr="00564572">
              <w:rPr>
                <w:rFonts w:ascii="Arial" w:eastAsia="Calibri" w:hAnsi="Arial" w:cs="Arial"/>
                <w:sz w:val="20"/>
                <w:lang w:val="es-ES"/>
              </w:rPr>
              <w:t>comercialización</w:t>
            </w:r>
            <w:r w:rsidRPr="00564572">
              <w:rPr>
                <w:rFonts w:ascii="Arial" w:eastAsia="Calibri" w:hAnsi="Arial" w:cs="Arial"/>
                <w:sz w:val="20"/>
                <w:lang w:val="es-ES_tradnl"/>
              </w:rPr>
              <w:t xml:space="preserve"> mayorista de GN.</w:t>
            </w:r>
          </w:p>
        </w:tc>
        <w:tc>
          <w:tcPr>
            <w:tcW w:w="1260" w:type="dxa"/>
            <w:vAlign w:val="center"/>
          </w:tcPr>
          <w:p w14:paraId="2341A566"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 xml:space="preserve">Decreto </w:t>
            </w:r>
          </w:p>
        </w:tc>
        <w:tc>
          <w:tcPr>
            <w:tcW w:w="1080" w:type="dxa"/>
            <w:vAlign w:val="center"/>
          </w:tcPr>
          <w:p w14:paraId="2341A567"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68"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69"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6A"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6B"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vAlign w:val="center"/>
          </w:tcPr>
          <w:p w14:paraId="2341A56C" w14:textId="77777777" w:rsidR="00564572" w:rsidRPr="00564572" w:rsidRDefault="00564572" w:rsidP="00564572">
            <w:pPr>
              <w:jc w:val="both"/>
              <w:rPr>
                <w:rFonts w:ascii="Arial" w:eastAsia="Calibri" w:hAnsi="Arial" w:cs="Arial"/>
                <w:sz w:val="20"/>
                <w:lang w:val="es-ES_tradnl"/>
              </w:rPr>
            </w:pPr>
            <w:r w:rsidRPr="00564572">
              <w:rPr>
                <w:rFonts w:ascii="Arial" w:eastAsia="Calibri" w:hAnsi="Arial" w:cs="Arial"/>
                <w:sz w:val="20"/>
                <w:lang w:val="es-ES_tradnl"/>
              </w:rPr>
              <w:t xml:space="preserve">El </w:t>
            </w:r>
            <w:hyperlink r:id="rId28" w:history="1">
              <w:r w:rsidRPr="00564572">
                <w:rPr>
                  <w:rFonts w:ascii="Arial" w:eastAsia="Calibri" w:hAnsi="Arial" w:cs="Arial"/>
                  <w:sz w:val="20"/>
                  <w:lang w:val="es-ES_tradnl"/>
                </w:rPr>
                <w:t>Decreto MME 2345 de 2015</w:t>
              </w:r>
            </w:hyperlink>
            <w:r w:rsidRPr="00564572">
              <w:rPr>
                <w:rFonts w:ascii="Arial" w:eastAsia="Calibri" w:hAnsi="Arial" w:cs="Arial"/>
                <w:sz w:val="20"/>
                <w:lang w:val="es-ES_tradnl"/>
              </w:rPr>
              <w:t xml:space="preserve"> adoptan los criterios de ejecución bajo los cuales se implementarán ajustes al esquema de comercialización mayorista de GN.</w:t>
            </w:r>
          </w:p>
        </w:tc>
        <w:tc>
          <w:tcPr>
            <w:tcW w:w="1530" w:type="dxa"/>
          </w:tcPr>
          <w:p w14:paraId="2341A56D" w14:textId="77777777" w:rsidR="00564572" w:rsidRPr="00564572" w:rsidRDefault="00564572" w:rsidP="00564572">
            <w:pPr>
              <w:jc w:val="center"/>
              <w:rPr>
                <w:rFonts w:ascii="Arial" w:eastAsia="Calibri" w:hAnsi="Arial" w:cs="Arial"/>
                <w:sz w:val="20"/>
                <w:lang w:val="es-ES_tradnl"/>
              </w:rPr>
            </w:pPr>
          </w:p>
        </w:tc>
      </w:tr>
      <w:tr w:rsidR="00564572" w:rsidRPr="004932D7" w14:paraId="2341A578" w14:textId="77777777" w:rsidTr="00564572">
        <w:trPr>
          <w:trHeight w:val="1016"/>
        </w:trPr>
        <w:tc>
          <w:tcPr>
            <w:tcW w:w="4680" w:type="dxa"/>
            <w:vAlign w:val="center"/>
          </w:tcPr>
          <w:p w14:paraId="2341A56F"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ES"/>
              </w:rPr>
            </w:pPr>
            <w:r w:rsidRPr="00564572">
              <w:rPr>
                <w:rFonts w:ascii="Arial" w:eastAsia="Calibri" w:hAnsi="Arial" w:cs="Arial"/>
                <w:sz w:val="20"/>
                <w:lang w:val="es-ES"/>
              </w:rPr>
              <w:t>Resolución expedida por la MME que establece lineamientos para la elaboración del Plan de Abastecimiento de GN</w:t>
            </w:r>
          </w:p>
        </w:tc>
        <w:tc>
          <w:tcPr>
            <w:tcW w:w="1260" w:type="dxa"/>
            <w:vAlign w:val="center"/>
          </w:tcPr>
          <w:p w14:paraId="2341A570"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Resolución</w:t>
            </w:r>
          </w:p>
        </w:tc>
        <w:tc>
          <w:tcPr>
            <w:tcW w:w="1080" w:type="dxa"/>
            <w:vAlign w:val="center"/>
          </w:tcPr>
          <w:p w14:paraId="2341A571"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72"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73"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74"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75"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vAlign w:val="center"/>
          </w:tcPr>
          <w:p w14:paraId="2341A576" w14:textId="77777777" w:rsidR="00564572" w:rsidRPr="00564572" w:rsidRDefault="004932D7" w:rsidP="00564572">
            <w:pPr>
              <w:jc w:val="both"/>
              <w:rPr>
                <w:rFonts w:ascii="Arial" w:eastAsia="Calibri" w:hAnsi="Arial" w:cs="Arial"/>
                <w:sz w:val="20"/>
                <w:lang w:val="es-ES_tradnl"/>
              </w:rPr>
            </w:pPr>
            <w:hyperlink r:id="rId29" w:history="1">
              <w:r w:rsidR="00564572" w:rsidRPr="00564572">
                <w:rPr>
                  <w:rFonts w:ascii="Arial" w:eastAsia="Calibri" w:hAnsi="Arial" w:cs="Arial"/>
                  <w:sz w:val="20"/>
                  <w:lang w:val="es-ES_tradnl"/>
                </w:rPr>
                <w:t>Resolución MME 40052 de 2016</w:t>
              </w:r>
            </w:hyperlink>
            <w:r w:rsidR="00564572" w:rsidRPr="00564572">
              <w:rPr>
                <w:rFonts w:ascii="Arial" w:eastAsia="Calibri" w:hAnsi="Arial" w:cs="Arial"/>
                <w:sz w:val="20"/>
                <w:lang w:val="es-ES_tradnl"/>
              </w:rPr>
              <w:t xml:space="preserve"> que establece lineamientos para la elaboración del Plan de Abastecimiento de GN</w:t>
            </w:r>
          </w:p>
        </w:tc>
        <w:tc>
          <w:tcPr>
            <w:tcW w:w="1530" w:type="dxa"/>
          </w:tcPr>
          <w:p w14:paraId="2341A577" w14:textId="77777777" w:rsidR="00564572" w:rsidRPr="00564572" w:rsidRDefault="00564572" w:rsidP="00564572">
            <w:pPr>
              <w:jc w:val="center"/>
              <w:rPr>
                <w:rFonts w:ascii="Arial" w:eastAsia="Calibri" w:hAnsi="Arial" w:cs="Arial"/>
                <w:sz w:val="20"/>
                <w:lang w:val="es-ES_tradnl"/>
              </w:rPr>
            </w:pPr>
          </w:p>
        </w:tc>
      </w:tr>
      <w:tr w:rsidR="00564572" w:rsidRPr="004932D7" w14:paraId="2341A582" w14:textId="77777777" w:rsidTr="00564572">
        <w:trPr>
          <w:trHeight w:val="1016"/>
        </w:trPr>
        <w:tc>
          <w:tcPr>
            <w:tcW w:w="4680" w:type="dxa"/>
            <w:vAlign w:val="center"/>
          </w:tcPr>
          <w:p w14:paraId="2341A579"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ES"/>
              </w:rPr>
            </w:pPr>
            <w:r w:rsidRPr="00564572">
              <w:rPr>
                <w:rFonts w:ascii="Arial" w:eastAsia="Calibri" w:hAnsi="Arial" w:cs="Arial"/>
                <w:sz w:val="20"/>
                <w:lang w:val="es-ES"/>
              </w:rPr>
              <w:t>Resolución MME que adopta el Plan Transitorio de Abastecimiento de GN.</w:t>
            </w:r>
          </w:p>
        </w:tc>
        <w:tc>
          <w:tcPr>
            <w:tcW w:w="1260" w:type="dxa"/>
            <w:vAlign w:val="center"/>
          </w:tcPr>
          <w:p w14:paraId="2341A57A" w14:textId="77777777" w:rsidR="00564572" w:rsidRPr="00564572" w:rsidRDefault="00564572" w:rsidP="00564572">
            <w:pPr>
              <w:jc w:val="center"/>
              <w:rPr>
                <w:rFonts w:ascii="Arial" w:eastAsia="Calibri" w:hAnsi="Arial" w:cs="Arial"/>
                <w:sz w:val="20"/>
                <w:lang w:val="es-ES"/>
              </w:rPr>
            </w:pPr>
            <w:r w:rsidRPr="00564572">
              <w:rPr>
                <w:rFonts w:ascii="Arial" w:eastAsia="Calibri" w:hAnsi="Arial" w:cs="Arial"/>
                <w:sz w:val="20"/>
                <w:lang w:val="es-ES"/>
              </w:rPr>
              <w:t>Resolución</w:t>
            </w:r>
          </w:p>
        </w:tc>
        <w:tc>
          <w:tcPr>
            <w:tcW w:w="1080" w:type="dxa"/>
            <w:vAlign w:val="center"/>
          </w:tcPr>
          <w:p w14:paraId="2341A57B"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7C"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7D"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7E"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7F"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2520" w:type="dxa"/>
            <w:vAlign w:val="center"/>
          </w:tcPr>
          <w:p w14:paraId="2341A580" w14:textId="77777777" w:rsidR="00564572" w:rsidRPr="00564572" w:rsidRDefault="00564572" w:rsidP="00564572">
            <w:pPr>
              <w:jc w:val="both"/>
              <w:rPr>
                <w:rFonts w:ascii="Arial" w:eastAsia="Calibri" w:hAnsi="Arial" w:cs="Arial"/>
                <w:sz w:val="20"/>
                <w:lang w:val="es-ES_tradnl"/>
              </w:rPr>
            </w:pPr>
            <w:r w:rsidRPr="00564572">
              <w:rPr>
                <w:rFonts w:ascii="Arial" w:eastAsia="Calibri" w:hAnsi="Arial" w:cs="Arial"/>
                <w:sz w:val="20"/>
                <w:lang w:val="es-ES_tradnl"/>
              </w:rPr>
              <w:t>La Resolución 40006 de 4 de enero 2017 adopta el Plan Transitorio de Abastecimiento de GN.</w:t>
            </w:r>
          </w:p>
        </w:tc>
        <w:tc>
          <w:tcPr>
            <w:tcW w:w="1530" w:type="dxa"/>
          </w:tcPr>
          <w:p w14:paraId="2341A581" w14:textId="77777777" w:rsidR="00564572" w:rsidRPr="00564572" w:rsidRDefault="00564572" w:rsidP="00564572">
            <w:pPr>
              <w:jc w:val="center"/>
              <w:rPr>
                <w:rFonts w:ascii="Arial" w:eastAsia="Calibri" w:hAnsi="Arial" w:cs="Arial"/>
                <w:sz w:val="20"/>
                <w:lang w:val="es-ES_tradnl"/>
              </w:rPr>
            </w:pPr>
          </w:p>
        </w:tc>
      </w:tr>
      <w:tr w:rsidR="00564572" w:rsidRPr="004932D7" w14:paraId="2341A58C" w14:textId="77777777" w:rsidTr="00564572">
        <w:trPr>
          <w:trHeight w:val="1016"/>
        </w:trPr>
        <w:tc>
          <w:tcPr>
            <w:tcW w:w="4680" w:type="dxa"/>
            <w:vAlign w:val="center"/>
          </w:tcPr>
          <w:p w14:paraId="2341A583"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ES"/>
              </w:rPr>
            </w:pPr>
            <w:r w:rsidRPr="00564572">
              <w:rPr>
                <w:rFonts w:ascii="Arial" w:eastAsia="Calibri" w:hAnsi="Arial" w:cs="Arial"/>
                <w:sz w:val="20"/>
                <w:lang w:val="es-ES"/>
              </w:rPr>
              <w:t xml:space="preserve">Boletín Electrónico Central publicado por el Gestor del Mercado de GN, encargado de gestionar los mercados primario y secundario de GN, y responsable de recopilar, centralizar y hacer pública la información transaccional y operativa del sector, publicado en su página web </w:t>
            </w:r>
          </w:p>
        </w:tc>
        <w:tc>
          <w:tcPr>
            <w:tcW w:w="1260" w:type="dxa"/>
            <w:vAlign w:val="center"/>
          </w:tcPr>
          <w:p w14:paraId="2341A584"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Boletín Electrónico</w:t>
            </w:r>
          </w:p>
        </w:tc>
        <w:tc>
          <w:tcPr>
            <w:tcW w:w="1080" w:type="dxa"/>
            <w:vAlign w:val="center"/>
          </w:tcPr>
          <w:p w14:paraId="2341A585"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86"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87"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88"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89"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vAlign w:val="center"/>
          </w:tcPr>
          <w:p w14:paraId="2341A58A" w14:textId="77777777" w:rsidR="00564572" w:rsidRPr="00564572" w:rsidRDefault="00564572" w:rsidP="00564572">
            <w:pPr>
              <w:jc w:val="both"/>
              <w:rPr>
                <w:rFonts w:ascii="Arial" w:eastAsia="Calibri" w:hAnsi="Arial" w:cs="Arial"/>
                <w:sz w:val="20"/>
                <w:lang w:val="es-ES_tradnl"/>
              </w:rPr>
            </w:pPr>
            <w:r w:rsidRPr="00564572">
              <w:rPr>
                <w:rFonts w:ascii="Arial" w:eastAsia="Calibri" w:hAnsi="Arial" w:cs="Arial"/>
                <w:sz w:val="20"/>
                <w:lang w:val="es-ES_tradnl"/>
              </w:rPr>
              <w:t>Boletín Electrónico Central del Gestor del Mercado de GN publicado en www.bmcbec.com.co</w:t>
            </w:r>
          </w:p>
        </w:tc>
        <w:tc>
          <w:tcPr>
            <w:tcW w:w="1530" w:type="dxa"/>
          </w:tcPr>
          <w:p w14:paraId="2341A58B" w14:textId="77777777" w:rsidR="00564572" w:rsidRPr="00564572" w:rsidRDefault="00564572" w:rsidP="00564572">
            <w:pPr>
              <w:jc w:val="center"/>
              <w:rPr>
                <w:rFonts w:ascii="Arial" w:eastAsia="Calibri" w:hAnsi="Arial" w:cs="Arial"/>
                <w:sz w:val="20"/>
                <w:lang w:val="es-ES_tradnl"/>
              </w:rPr>
            </w:pPr>
          </w:p>
        </w:tc>
      </w:tr>
      <w:tr w:rsidR="00564572" w:rsidRPr="004932D7" w14:paraId="2341A596" w14:textId="77777777" w:rsidTr="00564572">
        <w:trPr>
          <w:trHeight w:val="1016"/>
        </w:trPr>
        <w:tc>
          <w:tcPr>
            <w:tcW w:w="4680" w:type="dxa"/>
            <w:vAlign w:val="center"/>
          </w:tcPr>
          <w:p w14:paraId="2341A58D"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ES"/>
              </w:rPr>
            </w:pPr>
            <w:r w:rsidRPr="00564572">
              <w:rPr>
                <w:rFonts w:ascii="Arial" w:eastAsia="Calibri" w:hAnsi="Arial" w:cs="Arial"/>
                <w:sz w:val="20"/>
                <w:lang w:val="es-ES"/>
              </w:rPr>
              <w:lastRenderedPageBreak/>
              <w:t>Resolución expedida por el MME que adopta un Plan de Acción Indicativo para el desarrollo del PROURE, con sus  recursos  asociados.</w:t>
            </w:r>
          </w:p>
        </w:tc>
        <w:tc>
          <w:tcPr>
            <w:tcW w:w="1260" w:type="dxa"/>
            <w:vAlign w:val="center"/>
          </w:tcPr>
          <w:p w14:paraId="2341A58E"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Resolución</w:t>
            </w:r>
          </w:p>
        </w:tc>
        <w:tc>
          <w:tcPr>
            <w:tcW w:w="1080" w:type="dxa"/>
            <w:vAlign w:val="center"/>
          </w:tcPr>
          <w:p w14:paraId="2341A58F"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90"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91"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92"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93"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2520" w:type="dxa"/>
            <w:vAlign w:val="center"/>
          </w:tcPr>
          <w:p w14:paraId="2341A594" w14:textId="77777777" w:rsidR="00564572" w:rsidRPr="00564572" w:rsidRDefault="00564572" w:rsidP="00564572">
            <w:pPr>
              <w:jc w:val="both"/>
              <w:rPr>
                <w:rFonts w:ascii="Arial" w:eastAsia="Calibri" w:hAnsi="Arial" w:cs="Arial"/>
                <w:b/>
                <w:color w:val="0000FF"/>
                <w:sz w:val="20"/>
                <w:lang w:val="es-ES_tradnl"/>
              </w:rPr>
            </w:pPr>
            <w:r w:rsidRPr="00564572">
              <w:rPr>
                <w:rFonts w:ascii="Arial" w:eastAsia="Calibri" w:hAnsi="Arial" w:cs="Arial"/>
                <w:sz w:val="20"/>
                <w:lang w:val="es-ES_tradnl"/>
              </w:rPr>
              <w:t xml:space="preserve">La Resolución </w:t>
            </w:r>
            <w:r w:rsidRPr="00564572">
              <w:rPr>
                <w:rFonts w:ascii="Arial" w:eastAsia="Calibri" w:hAnsi="Arial" w:cs="Arial"/>
                <w:sz w:val="20"/>
                <w:lang w:val="es-ES"/>
              </w:rPr>
              <w:t>41286 del 30 de diciembre de 2016</w:t>
            </w:r>
            <w:r w:rsidRPr="00564572">
              <w:rPr>
                <w:rFonts w:ascii="Arial" w:eastAsia="Calibri" w:hAnsi="Arial" w:cs="Arial"/>
                <w:sz w:val="20"/>
                <w:lang w:val="es-ES_tradnl"/>
              </w:rPr>
              <w:t>, adopta el Plan de Acción Indicativo de Eficiencia Energética 2016-2021</w:t>
            </w:r>
          </w:p>
        </w:tc>
        <w:tc>
          <w:tcPr>
            <w:tcW w:w="1530" w:type="dxa"/>
          </w:tcPr>
          <w:p w14:paraId="2341A595" w14:textId="77777777" w:rsidR="00564572" w:rsidRPr="00564572" w:rsidRDefault="00564572" w:rsidP="00564572">
            <w:pPr>
              <w:jc w:val="center"/>
              <w:rPr>
                <w:rFonts w:ascii="Arial" w:eastAsia="Calibri" w:hAnsi="Arial" w:cs="Arial"/>
                <w:sz w:val="20"/>
                <w:lang w:val="es-ES_tradnl"/>
              </w:rPr>
            </w:pPr>
          </w:p>
        </w:tc>
      </w:tr>
      <w:tr w:rsidR="00564572" w:rsidRPr="004932D7" w14:paraId="2341A5A0" w14:textId="77777777" w:rsidTr="00564572">
        <w:trPr>
          <w:trHeight w:val="1016"/>
        </w:trPr>
        <w:tc>
          <w:tcPr>
            <w:tcW w:w="4680" w:type="dxa"/>
            <w:vAlign w:val="center"/>
          </w:tcPr>
          <w:p w14:paraId="2341A597"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ES"/>
              </w:rPr>
            </w:pPr>
            <w:r w:rsidRPr="00564572">
              <w:rPr>
                <w:rFonts w:ascii="Arial" w:eastAsia="Calibri" w:hAnsi="Arial" w:cs="Arial"/>
                <w:sz w:val="20"/>
                <w:lang w:val="es-ES"/>
              </w:rPr>
              <w:t>Informe publicado por la UPME que presenta la guía para la formulación e implementación de planes de gestión eficiente de la energía en entidades públicas.</w:t>
            </w:r>
          </w:p>
        </w:tc>
        <w:tc>
          <w:tcPr>
            <w:tcW w:w="1260" w:type="dxa"/>
            <w:vAlign w:val="center"/>
          </w:tcPr>
          <w:p w14:paraId="2341A598"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Informe</w:t>
            </w:r>
          </w:p>
        </w:tc>
        <w:tc>
          <w:tcPr>
            <w:tcW w:w="1080" w:type="dxa"/>
            <w:vAlign w:val="center"/>
          </w:tcPr>
          <w:p w14:paraId="2341A599"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9A"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9B"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9C"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9D"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2520" w:type="dxa"/>
            <w:vAlign w:val="center"/>
          </w:tcPr>
          <w:p w14:paraId="2341A59E" w14:textId="77777777" w:rsidR="00564572" w:rsidRPr="00564572" w:rsidRDefault="00564572" w:rsidP="00564572">
            <w:pPr>
              <w:jc w:val="both"/>
              <w:rPr>
                <w:rFonts w:ascii="Arial" w:eastAsia="Calibri" w:hAnsi="Arial" w:cs="Arial"/>
                <w:b/>
                <w:color w:val="0000FF"/>
                <w:sz w:val="20"/>
                <w:lang w:val="es-ES_tradnl"/>
              </w:rPr>
            </w:pPr>
            <w:r w:rsidRPr="00564572">
              <w:rPr>
                <w:rFonts w:ascii="Arial" w:eastAsia="Calibri" w:hAnsi="Arial" w:cs="Arial"/>
                <w:sz w:val="20"/>
                <w:lang w:val="es-ES_tradnl"/>
              </w:rPr>
              <w:t>El informe presentará la Guía para la elaboración de un plan de gestión eficiente de la energía.</w:t>
            </w:r>
          </w:p>
        </w:tc>
        <w:tc>
          <w:tcPr>
            <w:tcW w:w="1530" w:type="dxa"/>
          </w:tcPr>
          <w:p w14:paraId="2341A59F" w14:textId="77777777" w:rsidR="00564572" w:rsidRPr="00564572" w:rsidRDefault="00564572" w:rsidP="00564572">
            <w:pPr>
              <w:jc w:val="center"/>
              <w:rPr>
                <w:rFonts w:ascii="Arial" w:eastAsia="Calibri" w:hAnsi="Arial" w:cs="Arial"/>
                <w:sz w:val="20"/>
                <w:highlight w:val="yellow"/>
                <w:lang w:val="es-ES_tradnl"/>
              </w:rPr>
            </w:pPr>
          </w:p>
        </w:tc>
      </w:tr>
      <w:tr w:rsidR="00564572" w:rsidRPr="004932D7" w14:paraId="2341A5AA" w14:textId="77777777" w:rsidTr="00564572">
        <w:trPr>
          <w:trHeight w:val="64"/>
        </w:trPr>
        <w:tc>
          <w:tcPr>
            <w:tcW w:w="4680" w:type="dxa"/>
            <w:vAlign w:val="center"/>
          </w:tcPr>
          <w:p w14:paraId="2341A5A1"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ES_tradnl"/>
              </w:rPr>
            </w:pPr>
            <w:r w:rsidRPr="00564572">
              <w:rPr>
                <w:rFonts w:ascii="Arial" w:eastAsia="Calibri" w:hAnsi="Arial" w:cs="Arial"/>
                <w:sz w:val="20"/>
                <w:lang w:val="es-ES"/>
              </w:rPr>
              <w:t>Resolución</w:t>
            </w:r>
            <w:r w:rsidRPr="00564572">
              <w:rPr>
                <w:rFonts w:ascii="Arial" w:eastAsia="Calibri" w:hAnsi="Arial" w:cs="Arial"/>
                <w:sz w:val="20"/>
                <w:lang w:val="es-ES_tradnl"/>
              </w:rPr>
              <w:t xml:space="preserve"> expedida por el MME que adopta el sistema de etiquetado e información al consumidor sobre eficiencia energética.</w:t>
            </w:r>
          </w:p>
        </w:tc>
        <w:tc>
          <w:tcPr>
            <w:tcW w:w="1260" w:type="dxa"/>
            <w:vAlign w:val="center"/>
          </w:tcPr>
          <w:p w14:paraId="2341A5A2"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Resolución</w:t>
            </w:r>
          </w:p>
        </w:tc>
        <w:tc>
          <w:tcPr>
            <w:tcW w:w="1080" w:type="dxa"/>
            <w:vAlign w:val="center"/>
          </w:tcPr>
          <w:p w14:paraId="2341A5A3"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A4"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A5"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A6"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A7"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tcPr>
          <w:p w14:paraId="2341A5A8" w14:textId="77777777" w:rsidR="00564572" w:rsidRPr="00564572" w:rsidRDefault="00564572" w:rsidP="00564572">
            <w:pPr>
              <w:jc w:val="both"/>
              <w:rPr>
                <w:rFonts w:ascii="Arial" w:eastAsia="Calibri" w:hAnsi="Arial" w:cs="Arial"/>
                <w:b/>
                <w:color w:val="0000FF"/>
                <w:sz w:val="20"/>
                <w:lang w:val="es-ES_tradnl"/>
              </w:rPr>
            </w:pPr>
            <w:r w:rsidRPr="00564572">
              <w:rPr>
                <w:rFonts w:ascii="Arial" w:eastAsia="Calibri" w:hAnsi="Arial" w:cs="Arial"/>
                <w:sz w:val="20"/>
                <w:lang w:val="es-ES_tradnl"/>
              </w:rPr>
              <w:t xml:space="preserve">La </w:t>
            </w:r>
            <w:hyperlink r:id="rId30" w:history="1">
              <w:r w:rsidRPr="00564572">
                <w:rPr>
                  <w:rFonts w:ascii="Arial" w:eastAsia="Calibri" w:hAnsi="Arial" w:cs="Arial"/>
                  <w:sz w:val="20"/>
                  <w:lang w:val="es-ES_tradnl"/>
                </w:rPr>
                <w:t>Resolución MME 41012 de 2015</w:t>
              </w:r>
            </w:hyperlink>
            <w:r w:rsidRPr="00564572">
              <w:rPr>
                <w:rFonts w:ascii="Arial" w:eastAsia="Calibri" w:hAnsi="Arial" w:cs="Arial"/>
                <w:sz w:val="20"/>
                <w:lang w:val="es-ES_tradnl"/>
              </w:rPr>
              <w:t xml:space="preserve"> expide el Reglamento Técnico de Etiquetado (RETIQ) con fines de uso racional de energía</w:t>
            </w:r>
          </w:p>
        </w:tc>
        <w:tc>
          <w:tcPr>
            <w:tcW w:w="1530" w:type="dxa"/>
          </w:tcPr>
          <w:p w14:paraId="2341A5A9" w14:textId="77777777" w:rsidR="00564572" w:rsidRPr="00564572" w:rsidRDefault="00564572" w:rsidP="00564572">
            <w:pPr>
              <w:jc w:val="center"/>
              <w:rPr>
                <w:rFonts w:ascii="Arial" w:eastAsia="Calibri" w:hAnsi="Arial" w:cs="Arial"/>
                <w:sz w:val="20"/>
                <w:lang w:val="es-ES_tradnl"/>
              </w:rPr>
            </w:pPr>
          </w:p>
        </w:tc>
      </w:tr>
      <w:tr w:rsidR="00564572" w:rsidRPr="004932D7" w14:paraId="2341A5B4" w14:textId="77777777" w:rsidTr="00564572">
        <w:trPr>
          <w:trHeight w:val="917"/>
        </w:trPr>
        <w:tc>
          <w:tcPr>
            <w:tcW w:w="4680" w:type="dxa"/>
            <w:vAlign w:val="center"/>
          </w:tcPr>
          <w:p w14:paraId="2341A5AB"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CO"/>
              </w:rPr>
            </w:pPr>
            <w:r w:rsidRPr="00564572">
              <w:rPr>
                <w:rFonts w:ascii="Arial" w:eastAsia="Calibri" w:hAnsi="Arial" w:cs="Arial"/>
                <w:sz w:val="20"/>
                <w:lang w:val="es-ES"/>
              </w:rPr>
              <w:t>Informe publicado por la UPME que presenta el Mapa de Ruta para la Implementación de Redes Inteligentes que inducen al ahorro energético, publicado en la página web de la entidad.</w:t>
            </w:r>
          </w:p>
        </w:tc>
        <w:tc>
          <w:tcPr>
            <w:tcW w:w="1260" w:type="dxa"/>
            <w:vAlign w:val="center"/>
          </w:tcPr>
          <w:p w14:paraId="2341A5AC"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Informe</w:t>
            </w:r>
          </w:p>
        </w:tc>
        <w:tc>
          <w:tcPr>
            <w:tcW w:w="1080" w:type="dxa"/>
            <w:vAlign w:val="center"/>
          </w:tcPr>
          <w:p w14:paraId="2341A5AD"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AE"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AF"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B0"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B1"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vAlign w:val="center"/>
          </w:tcPr>
          <w:p w14:paraId="2341A5B2" w14:textId="77777777" w:rsidR="00564572" w:rsidRPr="00564572" w:rsidRDefault="00564572" w:rsidP="00564572">
            <w:pPr>
              <w:jc w:val="both"/>
              <w:rPr>
                <w:rFonts w:ascii="Arial" w:eastAsia="Calibri" w:hAnsi="Arial" w:cs="Arial"/>
                <w:sz w:val="20"/>
                <w:lang w:val="es-MX"/>
              </w:rPr>
            </w:pPr>
            <w:r w:rsidRPr="00564572">
              <w:rPr>
                <w:rFonts w:ascii="Arial" w:eastAsia="Calibri" w:hAnsi="Arial" w:cs="Arial"/>
                <w:sz w:val="20"/>
                <w:lang w:val="es-ES_tradnl"/>
              </w:rPr>
              <w:t xml:space="preserve">El informe publicado en la página web de la UPME presenta </w:t>
            </w:r>
            <w:hyperlink r:id="rId31" w:history="1">
              <w:r w:rsidRPr="00564572">
                <w:rPr>
                  <w:rFonts w:ascii="Arial" w:eastAsia="Calibri" w:hAnsi="Arial" w:cs="Arial"/>
                  <w:sz w:val="20"/>
                  <w:lang w:val="es-ES_tradnl"/>
                </w:rPr>
                <w:t>el Mapa de Ruta</w:t>
              </w:r>
            </w:hyperlink>
          </w:p>
        </w:tc>
        <w:tc>
          <w:tcPr>
            <w:tcW w:w="1530" w:type="dxa"/>
          </w:tcPr>
          <w:p w14:paraId="2341A5B3" w14:textId="77777777" w:rsidR="00564572" w:rsidRPr="00564572" w:rsidRDefault="00564572" w:rsidP="00564572">
            <w:pPr>
              <w:jc w:val="center"/>
              <w:rPr>
                <w:rFonts w:ascii="Arial" w:eastAsia="Calibri" w:hAnsi="Arial" w:cs="Arial"/>
                <w:sz w:val="20"/>
                <w:lang w:val="es-ES_tradnl"/>
              </w:rPr>
            </w:pPr>
          </w:p>
        </w:tc>
      </w:tr>
      <w:tr w:rsidR="00564572" w:rsidRPr="004932D7" w14:paraId="2341A5BE" w14:textId="77777777" w:rsidTr="00564572">
        <w:trPr>
          <w:trHeight w:val="64"/>
        </w:trPr>
        <w:tc>
          <w:tcPr>
            <w:tcW w:w="4680" w:type="dxa"/>
            <w:vAlign w:val="center"/>
          </w:tcPr>
          <w:p w14:paraId="2341A5B5"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CO"/>
              </w:rPr>
            </w:pPr>
            <w:r w:rsidRPr="00564572">
              <w:rPr>
                <w:rFonts w:ascii="Arial" w:eastAsia="Calibri" w:hAnsi="Arial" w:cs="Arial"/>
                <w:sz w:val="20"/>
                <w:lang w:val="es-ES"/>
              </w:rPr>
              <w:t>Decreto expedida por el MME que adopta disposiciones en materia de implementación de mecanismos de respuesta de la demanda.</w:t>
            </w:r>
          </w:p>
        </w:tc>
        <w:tc>
          <w:tcPr>
            <w:tcW w:w="1260" w:type="dxa"/>
            <w:vAlign w:val="center"/>
          </w:tcPr>
          <w:p w14:paraId="2341A5B6"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 xml:space="preserve">Decreto </w:t>
            </w:r>
          </w:p>
        </w:tc>
        <w:tc>
          <w:tcPr>
            <w:tcW w:w="1080" w:type="dxa"/>
            <w:vAlign w:val="center"/>
          </w:tcPr>
          <w:p w14:paraId="2341A5B7"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tcPr>
          <w:p w14:paraId="2341A5B8"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B9"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BA"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BB"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tcPr>
          <w:p w14:paraId="2341A5BC" w14:textId="77777777" w:rsidR="00564572" w:rsidRPr="00564572" w:rsidRDefault="00564572" w:rsidP="00564572">
            <w:pPr>
              <w:jc w:val="both"/>
              <w:rPr>
                <w:rFonts w:ascii="Arial" w:eastAsia="Calibri" w:hAnsi="Arial" w:cs="Arial"/>
                <w:sz w:val="20"/>
                <w:lang w:val="es-BO"/>
              </w:rPr>
            </w:pPr>
            <w:r w:rsidRPr="00564572">
              <w:rPr>
                <w:rFonts w:ascii="Arial" w:eastAsia="Calibri" w:hAnsi="Arial" w:cs="Arial"/>
                <w:sz w:val="20"/>
                <w:lang w:val="es-ES_tradnl"/>
              </w:rPr>
              <w:t>El Decreto MME 2492 de 2014 adopta disposiciones en materia de implementación de mecanismos de respuesta a la demanda</w:t>
            </w:r>
          </w:p>
        </w:tc>
        <w:tc>
          <w:tcPr>
            <w:tcW w:w="1530" w:type="dxa"/>
          </w:tcPr>
          <w:p w14:paraId="2341A5BD" w14:textId="77777777" w:rsidR="00564572" w:rsidRPr="00564572" w:rsidRDefault="00564572" w:rsidP="00564572">
            <w:pPr>
              <w:jc w:val="center"/>
              <w:rPr>
                <w:rFonts w:ascii="Arial" w:eastAsia="Calibri" w:hAnsi="Arial" w:cs="Arial"/>
                <w:sz w:val="20"/>
                <w:highlight w:val="yellow"/>
                <w:lang w:val="es-ES_tradnl"/>
              </w:rPr>
            </w:pPr>
          </w:p>
        </w:tc>
      </w:tr>
      <w:tr w:rsidR="00564572" w:rsidRPr="004932D7" w14:paraId="2341A5C8" w14:textId="77777777" w:rsidTr="00564572">
        <w:trPr>
          <w:trHeight w:val="64"/>
        </w:trPr>
        <w:tc>
          <w:tcPr>
            <w:tcW w:w="4680" w:type="dxa"/>
            <w:vAlign w:val="center"/>
          </w:tcPr>
          <w:p w14:paraId="2341A5BF"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ES"/>
              </w:rPr>
            </w:pPr>
            <w:r w:rsidRPr="00564572">
              <w:rPr>
                <w:rFonts w:ascii="Arial" w:eastAsia="Calibri" w:hAnsi="Arial" w:cs="Arial"/>
                <w:sz w:val="20"/>
                <w:lang w:val="es-ES"/>
              </w:rPr>
              <w:t xml:space="preserve">Resolución expedida por la CREG que </w:t>
            </w:r>
            <w:r w:rsidRPr="00564572">
              <w:rPr>
                <w:rFonts w:ascii="Arial" w:eastAsia="Calibri" w:hAnsi="Arial" w:cs="Arial"/>
                <w:sz w:val="20"/>
                <w:lang w:val="es-ES_tradnl"/>
              </w:rPr>
              <w:t>regula el programa de respuesta de la demanda para el mercado diario en condición crítica</w:t>
            </w:r>
          </w:p>
        </w:tc>
        <w:tc>
          <w:tcPr>
            <w:tcW w:w="1260" w:type="dxa"/>
            <w:vAlign w:val="center"/>
          </w:tcPr>
          <w:p w14:paraId="2341A5C0"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Resolución</w:t>
            </w:r>
          </w:p>
        </w:tc>
        <w:tc>
          <w:tcPr>
            <w:tcW w:w="1080" w:type="dxa"/>
            <w:vAlign w:val="center"/>
          </w:tcPr>
          <w:p w14:paraId="2341A5C1" w14:textId="77777777" w:rsidR="00564572" w:rsidRPr="00564572" w:rsidRDefault="00564572" w:rsidP="00564572">
            <w:pPr>
              <w:jc w:val="center"/>
              <w:rPr>
                <w:rFonts w:ascii="Arial" w:eastAsia="Calibri" w:hAnsi="Arial" w:cs="Arial"/>
                <w:sz w:val="20"/>
                <w:highlight w:val="yellow"/>
                <w:lang w:val="es-BO"/>
              </w:rPr>
            </w:pPr>
            <w:r w:rsidRPr="00564572">
              <w:rPr>
                <w:rFonts w:ascii="Arial" w:eastAsia="Calibri" w:hAnsi="Arial" w:cs="Arial"/>
                <w:sz w:val="20"/>
                <w:lang w:val="es-BO"/>
              </w:rPr>
              <w:t>0</w:t>
            </w:r>
          </w:p>
        </w:tc>
        <w:tc>
          <w:tcPr>
            <w:tcW w:w="900" w:type="dxa"/>
          </w:tcPr>
          <w:p w14:paraId="2341A5C2"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C3"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C4"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C5"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tcPr>
          <w:p w14:paraId="2341A5C6" w14:textId="77777777" w:rsidR="00564572" w:rsidRPr="00564572" w:rsidRDefault="00564572" w:rsidP="00564572">
            <w:pPr>
              <w:jc w:val="both"/>
              <w:rPr>
                <w:rFonts w:ascii="Arial" w:eastAsia="Calibri" w:hAnsi="Arial" w:cs="Arial"/>
                <w:sz w:val="20"/>
                <w:highlight w:val="yellow"/>
                <w:lang w:val="es-ES_tradnl"/>
              </w:rPr>
            </w:pPr>
            <w:r w:rsidRPr="00564572">
              <w:rPr>
                <w:rFonts w:ascii="Arial" w:eastAsia="Calibri" w:hAnsi="Arial" w:cs="Arial"/>
                <w:sz w:val="20"/>
                <w:lang w:val="es-ES_tradnl"/>
              </w:rPr>
              <w:t xml:space="preserve">La </w:t>
            </w:r>
            <w:hyperlink r:id="rId32" w:history="1">
              <w:r w:rsidRPr="00564572">
                <w:rPr>
                  <w:rFonts w:ascii="Arial" w:eastAsia="Calibri" w:hAnsi="Arial" w:cs="Arial"/>
                  <w:sz w:val="20"/>
                  <w:lang w:val="es-ES_tradnl"/>
                </w:rPr>
                <w:t>Resolución CREG 11 de 2015</w:t>
              </w:r>
            </w:hyperlink>
            <w:r w:rsidRPr="00564572">
              <w:rPr>
                <w:rFonts w:ascii="Arial" w:eastAsia="Calibri" w:hAnsi="Arial" w:cs="Arial"/>
                <w:sz w:val="20"/>
                <w:lang w:val="es-ES_tradnl"/>
              </w:rPr>
              <w:t xml:space="preserve"> regula el programa de respuesta de la demanda para el mercado diario en condición crítica</w:t>
            </w:r>
          </w:p>
        </w:tc>
        <w:tc>
          <w:tcPr>
            <w:tcW w:w="1530" w:type="dxa"/>
          </w:tcPr>
          <w:p w14:paraId="2341A5C7" w14:textId="77777777" w:rsidR="00564572" w:rsidRPr="00564572" w:rsidRDefault="00564572" w:rsidP="00564572">
            <w:pPr>
              <w:jc w:val="center"/>
              <w:rPr>
                <w:rFonts w:ascii="Arial" w:eastAsia="Calibri" w:hAnsi="Arial" w:cs="Arial"/>
                <w:sz w:val="20"/>
                <w:highlight w:val="yellow"/>
                <w:lang w:val="es-ES_tradnl"/>
              </w:rPr>
            </w:pPr>
          </w:p>
        </w:tc>
      </w:tr>
      <w:tr w:rsidR="00564572" w:rsidRPr="004932D7" w14:paraId="2341A5D2" w14:textId="77777777" w:rsidTr="00564572">
        <w:trPr>
          <w:trHeight w:val="1538"/>
        </w:trPr>
        <w:tc>
          <w:tcPr>
            <w:tcW w:w="4680" w:type="dxa"/>
            <w:vAlign w:val="center"/>
          </w:tcPr>
          <w:p w14:paraId="2341A5C9"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CO"/>
              </w:rPr>
            </w:pPr>
            <w:r w:rsidRPr="00564572">
              <w:rPr>
                <w:rFonts w:ascii="Arial" w:eastAsia="Calibri" w:hAnsi="Arial" w:cs="Arial"/>
                <w:sz w:val="20"/>
                <w:lang w:val="es-CO"/>
              </w:rPr>
              <w:lastRenderedPageBreak/>
              <w:t>Resolución expedida por la CREG que regula los mecanismos para la desconexión voluntaria de la demanda como medio para dar confiabilidad al SIN</w:t>
            </w:r>
          </w:p>
        </w:tc>
        <w:tc>
          <w:tcPr>
            <w:tcW w:w="1260" w:type="dxa"/>
            <w:vAlign w:val="center"/>
          </w:tcPr>
          <w:p w14:paraId="2341A5CA"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Resolución</w:t>
            </w:r>
          </w:p>
        </w:tc>
        <w:tc>
          <w:tcPr>
            <w:tcW w:w="1080" w:type="dxa"/>
            <w:vAlign w:val="center"/>
          </w:tcPr>
          <w:p w14:paraId="2341A5CB"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CC"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CD"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CE"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CF"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vAlign w:val="center"/>
          </w:tcPr>
          <w:p w14:paraId="2341A5D0" w14:textId="77777777" w:rsidR="00564572" w:rsidRPr="00564572" w:rsidRDefault="00564572" w:rsidP="00564572">
            <w:pPr>
              <w:jc w:val="both"/>
              <w:rPr>
                <w:rFonts w:ascii="Arial" w:eastAsia="Calibri" w:hAnsi="Arial" w:cs="Arial"/>
                <w:b/>
                <w:color w:val="0000FF"/>
                <w:sz w:val="20"/>
                <w:lang w:val="es-ES_tradnl"/>
              </w:rPr>
            </w:pPr>
            <w:r w:rsidRPr="00564572">
              <w:rPr>
                <w:rFonts w:ascii="Arial" w:eastAsia="Calibri" w:hAnsi="Arial" w:cs="Arial"/>
                <w:sz w:val="20"/>
                <w:lang w:val="es-ES_tradnl"/>
              </w:rPr>
              <w:t xml:space="preserve">La </w:t>
            </w:r>
            <w:hyperlink r:id="rId33" w:history="1">
              <w:r w:rsidRPr="00564572">
                <w:rPr>
                  <w:rFonts w:ascii="Arial" w:eastAsia="Calibri" w:hAnsi="Arial" w:cs="Arial"/>
                  <w:sz w:val="20"/>
                  <w:lang w:val="es-ES_tradnl"/>
                </w:rPr>
                <w:t>Resolución CREG 029 de 2016</w:t>
              </w:r>
            </w:hyperlink>
            <w:r w:rsidRPr="00564572">
              <w:rPr>
                <w:rFonts w:ascii="Arial" w:eastAsia="Calibri" w:hAnsi="Arial" w:cs="Arial"/>
                <w:sz w:val="20"/>
                <w:lang w:val="es-ES_tradnl"/>
              </w:rPr>
              <w:t xml:space="preserve"> define un esquema de tarifas diferenciales para establecer los costos de prestación del servicio de energía eléctrica a usuarios regulados en el SIN para promover el ahorro voluntario de energía</w:t>
            </w:r>
          </w:p>
        </w:tc>
        <w:tc>
          <w:tcPr>
            <w:tcW w:w="1530" w:type="dxa"/>
          </w:tcPr>
          <w:p w14:paraId="2341A5D1" w14:textId="77777777" w:rsidR="00564572" w:rsidRPr="00564572" w:rsidRDefault="00564572" w:rsidP="00564572">
            <w:pPr>
              <w:jc w:val="center"/>
              <w:rPr>
                <w:rFonts w:ascii="Arial" w:eastAsia="Calibri" w:hAnsi="Arial" w:cs="Arial"/>
                <w:sz w:val="20"/>
                <w:lang w:val="es-ES_tradnl"/>
              </w:rPr>
            </w:pPr>
          </w:p>
        </w:tc>
      </w:tr>
      <w:tr w:rsidR="00564572" w:rsidRPr="004932D7" w14:paraId="2341A5DE" w14:textId="77777777" w:rsidTr="00564572">
        <w:trPr>
          <w:trHeight w:val="64"/>
        </w:trPr>
        <w:tc>
          <w:tcPr>
            <w:tcW w:w="4680" w:type="dxa"/>
            <w:vAlign w:val="center"/>
          </w:tcPr>
          <w:p w14:paraId="2341A5D3"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CO"/>
              </w:rPr>
            </w:pPr>
            <w:r w:rsidRPr="00564572">
              <w:rPr>
                <w:rFonts w:ascii="Arial" w:eastAsia="Calibri" w:hAnsi="Arial" w:cs="Arial"/>
                <w:sz w:val="20"/>
                <w:lang w:val="es-CO"/>
              </w:rPr>
              <w:t>Circular expedida por la CREG que autoriza publicar los documentos de los estudios de diagnóstico, análisis y propuestas de modificación sobre el funcionamiento del MEM colombiano.</w:t>
            </w:r>
          </w:p>
        </w:tc>
        <w:tc>
          <w:tcPr>
            <w:tcW w:w="1260" w:type="dxa"/>
            <w:vAlign w:val="center"/>
          </w:tcPr>
          <w:p w14:paraId="2341A5D4"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Circular</w:t>
            </w:r>
          </w:p>
        </w:tc>
        <w:tc>
          <w:tcPr>
            <w:tcW w:w="1080" w:type="dxa"/>
            <w:vAlign w:val="center"/>
          </w:tcPr>
          <w:p w14:paraId="2341A5D5"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D6"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D7"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D8"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D9"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vAlign w:val="center"/>
          </w:tcPr>
          <w:p w14:paraId="2341A5DA" w14:textId="77777777" w:rsidR="00564572" w:rsidRPr="00564572" w:rsidRDefault="00564572" w:rsidP="00564572">
            <w:pPr>
              <w:jc w:val="both"/>
              <w:rPr>
                <w:rFonts w:ascii="Arial" w:eastAsia="Calibri" w:hAnsi="Arial" w:cs="Arial"/>
                <w:sz w:val="20"/>
                <w:lang w:val="es-ES_tradnl"/>
              </w:rPr>
            </w:pPr>
            <w:r w:rsidRPr="00564572">
              <w:rPr>
                <w:rFonts w:ascii="Arial" w:eastAsia="Calibri" w:hAnsi="Arial" w:cs="Arial"/>
                <w:sz w:val="20"/>
                <w:lang w:val="es-ES_tradnl"/>
              </w:rPr>
              <w:t xml:space="preserve">La </w:t>
            </w:r>
            <w:hyperlink r:id="rId34" w:history="1">
              <w:r w:rsidRPr="00564572">
                <w:rPr>
                  <w:rFonts w:ascii="Arial" w:eastAsia="Calibri" w:hAnsi="Arial" w:cs="Arial"/>
                  <w:sz w:val="20"/>
                  <w:lang w:val="es-ES_tradnl"/>
                </w:rPr>
                <w:t>Circular CREG 039 de 2016</w:t>
              </w:r>
            </w:hyperlink>
            <w:r w:rsidRPr="00564572">
              <w:rPr>
                <w:rFonts w:ascii="Arial" w:eastAsia="Calibri" w:hAnsi="Arial" w:cs="Arial"/>
                <w:sz w:val="20"/>
                <w:lang w:val="es-ES_tradnl"/>
              </w:rPr>
              <w:t xml:space="preserve"> autoriza publicación de análisis de expertos de propuestas regulatorias para modificar el mercado de energía mayorista: </w:t>
            </w:r>
          </w:p>
          <w:p w14:paraId="2341A5DB" w14:textId="77777777" w:rsidR="00564572" w:rsidRPr="00564572" w:rsidRDefault="00564572" w:rsidP="00564572">
            <w:pPr>
              <w:jc w:val="both"/>
              <w:rPr>
                <w:rFonts w:ascii="Arial" w:eastAsia="Calibri" w:hAnsi="Arial" w:cs="Arial"/>
                <w:sz w:val="20"/>
                <w:lang w:val="es-ES_tradnl"/>
              </w:rPr>
            </w:pPr>
            <w:r w:rsidRPr="00564572">
              <w:rPr>
                <w:rFonts w:ascii="Arial" w:eastAsia="Calibri" w:hAnsi="Arial" w:cs="Arial"/>
                <w:sz w:val="20"/>
                <w:lang w:val="es-ES_tradnl"/>
              </w:rPr>
              <w:t>Doc. 04B y 022 de 2016: propuestas para la implementación de un despacho vinculante y mercado organizado de contratos de energía respectivamente.</w:t>
            </w:r>
          </w:p>
          <w:p w14:paraId="2341A5DC" w14:textId="77777777" w:rsidR="00564572" w:rsidRPr="00564572" w:rsidRDefault="00564572" w:rsidP="00564572">
            <w:pPr>
              <w:spacing w:line="276" w:lineRule="auto"/>
              <w:jc w:val="both"/>
              <w:rPr>
                <w:rFonts w:ascii="Arial" w:eastAsia="Calibri" w:hAnsi="Arial" w:cs="Arial"/>
                <w:sz w:val="20"/>
                <w:lang w:val="es-ES_tradnl"/>
              </w:rPr>
            </w:pPr>
            <w:r w:rsidRPr="00564572">
              <w:rPr>
                <w:rFonts w:ascii="Arial" w:eastAsia="Calibri" w:hAnsi="Arial" w:cs="Arial"/>
                <w:sz w:val="20"/>
                <w:lang w:val="es-ES_tradnl"/>
              </w:rPr>
              <w:t>Estudio de Ernst</w:t>
            </w:r>
            <w:r>
              <w:rPr>
                <w:rFonts w:ascii="Arial" w:eastAsia="Calibri" w:hAnsi="Arial" w:cs="Arial"/>
                <w:sz w:val="20"/>
                <w:lang w:val="es-ES_tradnl"/>
              </w:rPr>
              <w:t>&amp;</w:t>
            </w:r>
            <w:r w:rsidRPr="00564572">
              <w:rPr>
                <w:rFonts w:ascii="Arial" w:eastAsia="Calibri" w:hAnsi="Arial" w:cs="Arial"/>
                <w:sz w:val="20"/>
                <w:lang w:val="es-ES_tradnl"/>
              </w:rPr>
              <w:t xml:space="preserve"> Young sobre </w:t>
            </w:r>
            <w:r>
              <w:rPr>
                <w:rFonts w:ascii="Arial" w:eastAsia="Calibri" w:hAnsi="Arial" w:cs="Arial"/>
                <w:sz w:val="20"/>
                <w:lang w:val="es-ES_tradnl"/>
              </w:rPr>
              <w:t>MME</w:t>
            </w:r>
            <w:r w:rsidRPr="00564572">
              <w:rPr>
                <w:rFonts w:ascii="Arial" w:eastAsia="Calibri" w:hAnsi="Arial" w:cs="Arial"/>
                <w:sz w:val="20"/>
                <w:lang w:val="es-ES_tradnl"/>
              </w:rPr>
              <w:t>, recibido por el Banco.</w:t>
            </w:r>
          </w:p>
        </w:tc>
        <w:tc>
          <w:tcPr>
            <w:tcW w:w="1530" w:type="dxa"/>
          </w:tcPr>
          <w:p w14:paraId="2341A5DD" w14:textId="77777777" w:rsidR="00564572" w:rsidRPr="00564572" w:rsidRDefault="00564572" w:rsidP="00564572">
            <w:pPr>
              <w:jc w:val="center"/>
              <w:rPr>
                <w:rFonts w:ascii="Arial" w:eastAsia="Calibri" w:hAnsi="Arial" w:cs="Arial"/>
                <w:sz w:val="20"/>
                <w:lang w:val="es-ES_tradnl"/>
              </w:rPr>
            </w:pPr>
          </w:p>
        </w:tc>
      </w:tr>
      <w:tr w:rsidR="00564572" w:rsidRPr="004932D7" w14:paraId="2341A5EB" w14:textId="77777777" w:rsidTr="00564572">
        <w:trPr>
          <w:trHeight w:val="64"/>
        </w:trPr>
        <w:tc>
          <w:tcPr>
            <w:tcW w:w="4680" w:type="dxa"/>
            <w:vAlign w:val="center"/>
          </w:tcPr>
          <w:p w14:paraId="2341A5DF"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CO"/>
              </w:rPr>
            </w:pPr>
            <w:r w:rsidRPr="00564572">
              <w:rPr>
                <w:rFonts w:ascii="Arial" w:eastAsia="Calibri" w:hAnsi="Arial" w:cs="Arial"/>
                <w:sz w:val="20"/>
                <w:lang w:val="es-CO"/>
              </w:rPr>
              <w:t>Resolución expedida por el MME que adopta el Plan de Expansión de Referencia Generación y Transmisión 2015-2029.</w:t>
            </w:r>
          </w:p>
        </w:tc>
        <w:tc>
          <w:tcPr>
            <w:tcW w:w="1260" w:type="dxa"/>
            <w:vAlign w:val="center"/>
          </w:tcPr>
          <w:p w14:paraId="2341A5E0"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Resolución</w:t>
            </w:r>
          </w:p>
        </w:tc>
        <w:tc>
          <w:tcPr>
            <w:tcW w:w="1080" w:type="dxa"/>
            <w:vAlign w:val="center"/>
          </w:tcPr>
          <w:p w14:paraId="2341A5E1"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E2"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E3"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E4"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E5"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vAlign w:val="center"/>
          </w:tcPr>
          <w:p w14:paraId="2341A5E6" w14:textId="77777777" w:rsidR="00564572" w:rsidRDefault="00564572" w:rsidP="00564572">
            <w:pPr>
              <w:jc w:val="both"/>
              <w:rPr>
                <w:rFonts w:ascii="Arial" w:eastAsia="Calibri" w:hAnsi="Arial" w:cs="Arial"/>
                <w:sz w:val="20"/>
                <w:lang w:val="es-ES_tradnl"/>
              </w:rPr>
            </w:pPr>
            <w:r w:rsidRPr="00564572">
              <w:rPr>
                <w:rFonts w:ascii="Arial" w:eastAsia="Calibri" w:hAnsi="Arial" w:cs="Arial"/>
                <w:sz w:val="20"/>
                <w:lang w:val="es-ES_tradnl"/>
              </w:rPr>
              <w:t xml:space="preserve">La </w:t>
            </w:r>
            <w:hyperlink r:id="rId35" w:history="1">
              <w:r w:rsidRPr="00564572">
                <w:rPr>
                  <w:rFonts w:ascii="Arial" w:eastAsia="Calibri" w:hAnsi="Arial" w:cs="Arial"/>
                  <w:sz w:val="20"/>
                  <w:lang w:val="es-ES_tradnl"/>
                </w:rPr>
                <w:t>Resolución MME 40095 de 2016</w:t>
              </w:r>
            </w:hyperlink>
            <w:r w:rsidRPr="00564572">
              <w:rPr>
                <w:rFonts w:ascii="Arial" w:eastAsia="Calibri" w:hAnsi="Arial" w:cs="Arial"/>
                <w:sz w:val="20"/>
                <w:lang w:val="es-ES_tradnl"/>
              </w:rPr>
              <w:t xml:space="preserve"> adopta el Plan de Expansión de Referencia Generación y Transmisión 2015-2029</w:t>
            </w:r>
          </w:p>
          <w:p w14:paraId="2341A5E7" w14:textId="77777777" w:rsidR="00C016AC" w:rsidRDefault="00C016AC" w:rsidP="00564572">
            <w:pPr>
              <w:jc w:val="both"/>
              <w:rPr>
                <w:rFonts w:ascii="Arial" w:eastAsia="Calibri" w:hAnsi="Arial" w:cs="Arial"/>
                <w:sz w:val="20"/>
                <w:lang w:val="es-ES_tradnl"/>
              </w:rPr>
            </w:pPr>
          </w:p>
          <w:p w14:paraId="2341A5E8" w14:textId="77777777" w:rsidR="00C016AC" w:rsidRDefault="00C016AC" w:rsidP="00564572">
            <w:pPr>
              <w:jc w:val="both"/>
              <w:rPr>
                <w:rFonts w:ascii="Arial" w:eastAsia="Calibri" w:hAnsi="Arial" w:cs="Arial"/>
                <w:sz w:val="20"/>
                <w:lang w:val="es-ES_tradnl"/>
              </w:rPr>
            </w:pPr>
          </w:p>
          <w:p w14:paraId="2341A5E9" w14:textId="77777777" w:rsidR="00564572" w:rsidRPr="00564572" w:rsidRDefault="00564572" w:rsidP="00564572">
            <w:pPr>
              <w:jc w:val="both"/>
              <w:rPr>
                <w:rFonts w:ascii="Arial" w:eastAsia="Calibri" w:hAnsi="Arial" w:cs="Arial"/>
                <w:sz w:val="20"/>
                <w:lang w:val="es-ES_tradnl"/>
              </w:rPr>
            </w:pPr>
          </w:p>
        </w:tc>
        <w:tc>
          <w:tcPr>
            <w:tcW w:w="1530" w:type="dxa"/>
          </w:tcPr>
          <w:p w14:paraId="2341A5EA" w14:textId="77777777" w:rsidR="00564572" w:rsidRPr="00564572" w:rsidRDefault="00564572" w:rsidP="00564572">
            <w:pPr>
              <w:jc w:val="center"/>
              <w:rPr>
                <w:rFonts w:ascii="Arial" w:eastAsia="Calibri" w:hAnsi="Arial" w:cs="Arial"/>
                <w:sz w:val="20"/>
                <w:lang w:val="es-ES_tradnl"/>
              </w:rPr>
            </w:pPr>
          </w:p>
        </w:tc>
      </w:tr>
      <w:tr w:rsidR="00564572" w:rsidRPr="004932D7" w14:paraId="2341A5EE" w14:textId="77777777" w:rsidTr="00564572">
        <w:trPr>
          <w:trHeight w:val="278"/>
        </w:trPr>
        <w:tc>
          <w:tcPr>
            <w:tcW w:w="13050" w:type="dxa"/>
            <w:gridSpan w:val="8"/>
            <w:shd w:val="clear" w:color="auto" w:fill="C6D9F1" w:themeFill="text2" w:themeFillTint="33"/>
            <w:vAlign w:val="center"/>
          </w:tcPr>
          <w:p w14:paraId="2341A5EC" w14:textId="77777777" w:rsidR="00564572" w:rsidRPr="00564572" w:rsidRDefault="00564572" w:rsidP="00564572">
            <w:pPr>
              <w:rPr>
                <w:rFonts w:ascii="Arial" w:eastAsia="Calibri" w:hAnsi="Arial" w:cs="Arial"/>
                <w:b/>
                <w:sz w:val="20"/>
                <w:lang w:val="es-ES_tradnl"/>
              </w:rPr>
            </w:pPr>
            <w:r w:rsidRPr="00564572">
              <w:rPr>
                <w:rFonts w:ascii="Arial" w:eastAsia="Calibri" w:hAnsi="Arial" w:cs="Arial"/>
                <w:b/>
                <w:sz w:val="20"/>
                <w:lang w:val="es-ES_tradnl"/>
              </w:rPr>
              <w:t>Componente 3. Promoción del acceso a la energía en ZNI</w:t>
            </w:r>
          </w:p>
        </w:tc>
        <w:tc>
          <w:tcPr>
            <w:tcW w:w="1530" w:type="dxa"/>
            <w:shd w:val="clear" w:color="auto" w:fill="C6D9F1" w:themeFill="text2" w:themeFillTint="33"/>
          </w:tcPr>
          <w:p w14:paraId="2341A5ED" w14:textId="77777777" w:rsidR="00564572" w:rsidRPr="00564572" w:rsidRDefault="00564572" w:rsidP="00564572">
            <w:pPr>
              <w:rPr>
                <w:rFonts w:ascii="Arial" w:eastAsia="Calibri" w:hAnsi="Arial" w:cs="Arial"/>
                <w:b/>
                <w:sz w:val="20"/>
                <w:lang w:val="es-ES_tradnl"/>
              </w:rPr>
            </w:pPr>
          </w:p>
        </w:tc>
      </w:tr>
      <w:tr w:rsidR="00564572" w:rsidRPr="004932D7" w14:paraId="2341A5F8" w14:textId="77777777" w:rsidTr="00564572">
        <w:trPr>
          <w:trHeight w:val="64"/>
        </w:trPr>
        <w:tc>
          <w:tcPr>
            <w:tcW w:w="4680" w:type="dxa"/>
            <w:vAlign w:val="center"/>
          </w:tcPr>
          <w:p w14:paraId="2341A5EF"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CO"/>
              </w:rPr>
            </w:pPr>
            <w:r w:rsidRPr="00564572">
              <w:rPr>
                <w:rFonts w:ascii="Arial" w:eastAsia="Calibri" w:hAnsi="Arial" w:cs="Arial"/>
                <w:sz w:val="20"/>
                <w:lang w:val="es-ES"/>
              </w:rPr>
              <w:lastRenderedPageBreak/>
              <w:t>Resolución expedida por la UPME que establece los formatos y procedimientos para el registro de proyectos de generación con FNCER conectables a la red y en ZNI reglamentado.</w:t>
            </w:r>
          </w:p>
        </w:tc>
        <w:tc>
          <w:tcPr>
            <w:tcW w:w="1260" w:type="dxa"/>
            <w:vAlign w:val="center"/>
          </w:tcPr>
          <w:p w14:paraId="2341A5F0"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Resolución</w:t>
            </w:r>
          </w:p>
        </w:tc>
        <w:tc>
          <w:tcPr>
            <w:tcW w:w="1080" w:type="dxa"/>
            <w:vAlign w:val="center"/>
          </w:tcPr>
          <w:p w14:paraId="2341A5F1"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F2"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F3"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F4"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F5"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tcPr>
          <w:p w14:paraId="2341A5F6"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ES_tradnl"/>
              </w:rPr>
              <w:t xml:space="preserve">La </w:t>
            </w:r>
            <w:hyperlink r:id="rId36" w:history="1">
              <w:r w:rsidRPr="00564572">
                <w:rPr>
                  <w:rFonts w:ascii="Arial" w:eastAsia="Calibri" w:hAnsi="Arial" w:cs="Arial"/>
                  <w:sz w:val="20"/>
                  <w:lang w:val="es-ES_tradnl"/>
                </w:rPr>
                <w:t>Resolución UPME 146 de 2016</w:t>
              </w:r>
            </w:hyperlink>
            <w:r w:rsidRPr="00564572">
              <w:rPr>
                <w:rFonts w:ascii="Arial" w:eastAsia="Calibri" w:hAnsi="Arial" w:cs="Arial"/>
                <w:sz w:val="20"/>
                <w:lang w:val="es-ES_tradnl"/>
              </w:rPr>
              <w:t xml:space="preserve"> establece los formatos y procedimientos para el registro de proyectos de generación con FNCER conectables a la red y en ZNI reglamentado.</w:t>
            </w:r>
          </w:p>
        </w:tc>
        <w:tc>
          <w:tcPr>
            <w:tcW w:w="1530" w:type="dxa"/>
          </w:tcPr>
          <w:p w14:paraId="2341A5F7" w14:textId="77777777" w:rsidR="00564572" w:rsidRPr="00564572" w:rsidRDefault="00564572" w:rsidP="00564572">
            <w:pPr>
              <w:jc w:val="center"/>
              <w:rPr>
                <w:rFonts w:ascii="Arial" w:eastAsia="Calibri" w:hAnsi="Arial" w:cs="Arial"/>
                <w:sz w:val="20"/>
                <w:lang w:val="es-ES_tradnl"/>
              </w:rPr>
            </w:pPr>
          </w:p>
        </w:tc>
      </w:tr>
      <w:tr w:rsidR="00564572" w:rsidRPr="004932D7" w14:paraId="2341A602" w14:textId="77777777" w:rsidTr="00564572">
        <w:trPr>
          <w:trHeight w:val="64"/>
        </w:trPr>
        <w:tc>
          <w:tcPr>
            <w:tcW w:w="4680" w:type="dxa"/>
            <w:vAlign w:val="center"/>
          </w:tcPr>
          <w:p w14:paraId="2341A5F9"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CO"/>
              </w:rPr>
            </w:pPr>
            <w:r w:rsidRPr="00564572">
              <w:rPr>
                <w:rFonts w:ascii="Arial" w:eastAsia="Calibri" w:hAnsi="Arial" w:cs="Arial"/>
                <w:sz w:val="20"/>
                <w:lang w:val="es-ES"/>
              </w:rPr>
              <w:t>Decretos expedida  por el  MME que adoptan los lineamientos de política para la expansión de la cobertura del servicio de energía eléctrica en el SIN y en las ZNI con FNCER.</w:t>
            </w:r>
          </w:p>
        </w:tc>
        <w:tc>
          <w:tcPr>
            <w:tcW w:w="1260" w:type="dxa"/>
            <w:vAlign w:val="center"/>
          </w:tcPr>
          <w:p w14:paraId="2341A5FA"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Decreto</w:t>
            </w:r>
          </w:p>
        </w:tc>
        <w:tc>
          <w:tcPr>
            <w:tcW w:w="1080" w:type="dxa"/>
            <w:vAlign w:val="center"/>
          </w:tcPr>
          <w:p w14:paraId="2341A5FB"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5FC"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5FD"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5FE"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5FF"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tcPr>
          <w:p w14:paraId="2341A600" w14:textId="77777777" w:rsidR="00564572" w:rsidRPr="00564572" w:rsidRDefault="004932D7" w:rsidP="00564572">
            <w:pPr>
              <w:jc w:val="center"/>
              <w:rPr>
                <w:rFonts w:ascii="Arial" w:eastAsia="Calibri" w:hAnsi="Arial" w:cs="Arial"/>
                <w:sz w:val="20"/>
                <w:lang w:val="es-BO"/>
              </w:rPr>
            </w:pPr>
            <w:hyperlink r:id="rId37" w:history="1">
              <w:r w:rsidR="00564572" w:rsidRPr="00564572">
                <w:rPr>
                  <w:rFonts w:ascii="Arial" w:eastAsia="Calibri" w:hAnsi="Arial" w:cs="Arial"/>
                  <w:sz w:val="20"/>
                  <w:lang w:val="es-ES_tradnl"/>
                </w:rPr>
                <w:t>Decreto MME 1623 de 2015</w:t>
              </w:r>
            </w:hyperlink>
            <w:r w:rsidR="00564572" w:rsidRPr="00564572">
              <w:rPr>
                <w:rFonts w:ascii="Arial" w:eastAsia="Calibri" w:hAnsi="Arial" w:cs="Arial"/>
                <w:sz w:val="20"/>
                <w:lang w:val="es-ES_tradnl"/>
              </w:rPr>
              <w:t xml:space="preserve"> que establece los lineamientos de política para la expansión de la cobertura del servicio de energía eléctrica en el SIN y en las ZNI con FNCER.</w:t>
            </w:r>
          </w:p>
        </w:tc>
        <w:tc>
          <w:tcPr>
            <w:tcW w:w="1530" w:type="dxa"/>
          </w:tcPr>
          <w:p w14:paraId="2341A601" w14:textId="77777777" w:rsidR="00564572" w:rsidRPr="00564572" w:rsidRDefault="00564572" w:rsidP="00564572">
            <w:pPr>
              <w:jc w:val="center"/>
              <w:rPr>
                <w:rFonts w:ascii="Arial" w:eastAsia="Calibri" w:hAnsi="Arial" w:cs="Arial"/>
                <w:sz w:val="20"/>
                <w:lang w:val="es-ES_tradnl"/>
              </w:rPr>
            </w:pPr>
          </w:p>
        </w:tc>
      </w:tr>
      <w:tr w:rsidR="00564572" w:rsidRPr="004932D7" w14:paraId="2341A60C" w14:textId="77777777" w:rsidTr="00564572">
        <w:trPr>
          <w:trHeight w:val="64"/>
        </w:trPr>
        <w:tc>
          <w:tcPr>
            <w:tcW w:w="4680" w:type="dxa"/>
            <w:vAlign w:val="center"/>
          </w:tcPr>
          <w:p w14:paraId="2341A603"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ES"/>
              </w:rPr>
            </w:pPr>
            <w:r w:rsidRPr="00564572">
              <w:rPr>
                <w:rFonts w:ascii="Arial" w:eastAsia="Calibri" w:hAnsi="Arial" w:cs="Arial"/>
                <w:sz w:val="20"/>
                <w:lang w:val="es-ES_tradnl"/>
              </w:rPr>
              <w:t xml:space="preserve">Decreto expedido por el MME que modifica los </w:t>
            </w:r>
            <w:r w:rsidRPr="00564572">
              <w:rPr>
                <w:rFonts w:ascii="Arial" w:eastAsia="Calibri" w:hAnsi="Arial" w:cs="Arial"/>
                <w:sz w:val="20"/>
                <w:lang w:val="es-ES"/>
              </w:rPr>
              <w:t>lineamientos de política para la expansión de la cobertura del servicio de energía eléctrica en el SIN y en las ZNI con FNCER.</w:t>
            </w:r>
          </w:p>
        </w:tc>
        <w:tc>
          <w:tcPr>
            <w:tcW w:w="1260" w:type="dxa"/>
            <w:vAlign w:val="center"/>
          </w:tcPr>
          <w:p w14:paraId="2341A604" w14:textId="77777777" w:rsidR="00564572" w:rsidRPr="00564572" w:rsidRDefault="00564572" w:rsidP="00564572">
            <w:pPr>
              <w:jc w:val="center"/>
              <w:rPr>
                <w:rFonts w:ascii="Arial" w:eastAsia="Calibri" w:hAnsi="Arial" w:cs="Arial"/>
                <w:sz w:val="20"/>
                <w:lang w:val="es-BO"/>
              </w:rPr>
            </w:pPr>
          </w:p>
        </w:tc>
        <w:tc>
          <w:tcPr>
            <w:tcW w:w="1080" w:type="dxa"/>
            <w:vAlign w:val="center"/>
          </w:tcPr>
          <w:p w14:paraId="2341A605"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606"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607"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608"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609"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tcPr>
          <w:p w14:paraId="2341A60A" w14:textId="77777777" w:rsidR="00564572" w:rsidRPr="00564572" w:rsidRDefault="00564572" w:rsidP="00564572">
            <w:pPr>
              <w:jc w:val="center"/>
              <w:rPr>
                <w:rFonts w:ascii="Calibri" w:eastAsia="Calibri" w:hAnsi="Calibri"/>
                <w:sz w:val="22"/>
                <w:szCs w:val="22"/>
                <w:lang w:val="es-ES_tradnl"/>
              </w:rPr>
            </w:pPr>
            <w:r w:rsidRPr="00564572">
              <w:rPr>
                <w:rFonts w:ascii="Arial" w:eastAsia="Calibri" w:hAnsi="Arial" w:cs="Arial"/>
                <w:sz w:val="20"/>
                <w:lang w:val="es-ES_tradnl"/>
              </w:rPr>
              <w:t xml:space="preserve">Decreto 1513 de 2016 que establece modificaciones a </w:t>
            </w:r>
            <w:r w:rsidRPr="00564572">
              <w:rPr>
                <w:rFonts w:ascii="Arial" w:eastAsia="Calibri" w:hAnsi="Arial" w:cs="Arial"/>
                <w:sz w:val="20"/>
                <w:lang w:val="es-ES"/>
              </w:rPr>
              <w:t>lineamientos de política para la expansión de la cobertura del servicio de energía eléctrica en el SIN y en las ZNI con FNCER.</w:t>
            </w:r>
          </w:p>
        </w:tc>
        <w:tc>
          <w:tcPr>
            <w:tcW w:w="1530" w:type="dxa"/>
          </w:tcPr>
          <w:p w14:paraId="2341A60B" w14:textId="77777777" w:rsidR="00564572" w:rsidRPr="00564572" w:rsidRDefault="00564572" w:rsidP="00564572">
            <w:pPr>
              <w:jc w:val="center"/>
              <w:rPr>
                <w:rFonts w:ascii="Arial" w:eastAsia="Calibri" w:hAnsi="Arial" w:cs="Arial"/>
                <w:sz w:val="20"/>
                <w:lang w:val="es-ES_tradnl"/>
              </w:rPr>
            </w:pPr>
          </w:p>
        </w:tc>
      </w:tr>
      <w:tr w:rsidR="00564572" w:rsidRPr="00564572" w14:paraId="2341A616" w14:textId="77777777" w:rsidTr="00564572">
        <w:trPr>
          <w:trHeight w:val="64"/>
        </w:trPr>
        <w:tc>
          <w:tcPr>
            <w:tcW w:w="4680" w:type="dxa"/>
            <w:vAlign w:val="center"/>
          </w:tcPr>
          <w:p w14:paraId="2341A60D" w14:textId="77777777" w:rsidR="00564572" w:rsidRPr="00564572" w:rsidRDefault="00564572" w:rsidP="00564572">
            <w:pPr>
              <w:numPr>
                <w:ilvl w:val="0"/>
                <w:numId w:val="4"/>
              </w:numPr>
              <w:tabs>
                <w:tab w:val="left" w:pos="354"/>
              </w:tabs>
              <w:spacing w:after="200" w:line="276" w:lineRule="auto"/>
              <w:ind w:left="360"/>
              <w:contextualSpacing/>
              <w:jc w:val="both"/>
              <w:rPr>
                <w:rFonts w:ascii="Arial" w:eastAsia="Calibri" w:hAnsi="Arial" w:cs="Arial"/>
                <w:sz w:val="20"/>
                <w:lang w:val="es-ES"/>
              </w:rPr>
            </w:pPr>
            <w:r w:rsidRPr="00564572">
              <w:rPr>
                <w:rFonts w:ascii="Arial" w:eastAsia="Calibri" w:hAnsi="Arial" w:cs="Arial"/>
                <w:sz w:val="20"/>
                <w:lang w:val="es-ES"/>
              </w:rPr>
              <w:t>Resolución expedida por el MME que adopta el Plan de Expansión de Referencia de Generación Transmisión 2015-2029</w:t>
            </w:r>
          </w:p>
        </w:tc>
        <w:tc>
          <w:tcPr>
            <w:tcW w:w="1260" w:type="dxa"/>
            <w:vAlign w:val="center"/>
          </w:tcPr>
          <w:p w14:paraId="2341A60E" w14:textId="77777777" w:rsidR="00564572" w:rsidRPr="00564572" w:rsidRDefault="00564572" w:rsidP="00564572">
            <w:pPr>
              <w:jc w:val="center"/>
              <w:rPr>
                <w:rFonts w:ascii="Arial" w:eastAsia="Calibri" w:hAnsi="Arial" w:cs="Arial"/>
                <w:sz w:val="20"/>
                <w:lang w:val="es-BO"/>
              </w:rPr>
            </w:pPr>
          </w:p>
        </w:tc>
        <w:tc>
          <w:tcPr>
            <w:tcW w:w="1080" w:type="dxa"/>
            <w:vAlign w:val="center"/>
          </w:tcPr>
          <w:p w14:paraId="2341A60F"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tcPr>
          <w:p w14:paraId="2341A610" w14:textId="77777777" w:rsidR="00564572" w:rsidRPr="00564572" w:rsidRDefault="00564572" w:rsidP="00564572">
            <w:pPr>
              <w:jc w:val="center"/>
              <w:rPr>
                <w:rFonts w:ascii="Arial" w:eastAsia="Calibri" w:hAnsi="Arial" w:cs="Arial"/>
                <w:sz w:val="20"/>
                <w:lang w:val="es-BO"/>
              </w:rPr>
            </w:pPr>
          </w:p>
        </w:tc>
        <w:tc>
          <w:tcPr>
            <w:tcW w:w="810" w:type="dxa"/>
            <w:vAlign w:val="center"/>
          </w:tcPr>
          <w:p w14:paraId="2341A611"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900" w:type="dxa"/>
            <w:vAlign w:val="center"/>
          </w:tcPr>
          <w:p w14:paraId="2341A612"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1</w:t>
            </w:r>
          </w:p>
        </w:tc>
        <w:tc>
          <w:tcPr>
            <w:tcW w:w="900" w:type="dxa"/>
            <w:vAlign w:val="center"/>
          </w:tcPr>
          <w:p w14:paraId="2341A613" w14:textId="77777777" w:rsidR="00564572" w:rsidRPr="00564572" w:rsidRDefault="00564572" w:rsidP="00564572">
            <w:pPr>
              <w:jc w:val="center"/>
              <w:rPr>
                <w:rFonts w:ascii="Arial" w:eastAsia="Calibri" w:hAnsi="Arial" w:cs="Arial"/>
                <w:sz w:val="20"/>
                <w:lang w:val="es-BO"/>
              </w:rPr>
            </w:pPr>
            <w:r w:rsidRPr="00564572">
              <w:rPr>
                <w:rFonts w:ascii="Arial" w:eastAsia="Calibri" w:hAnsi="Arial" w:cs="Arial"/>
                <w:sz w:val="20"/>
                <w:lang w:val="es-BO"/>
              </w:rPr>
              <w:t>0</w:t>
            </w:r>
          </w:p>
        </w:tc>
        <w:tc>
          <w:tcPr>
            <w:tcW w:w="2520" w:type="dxa"/>
          </w:tcPr>
          <w:p w14:paraId="2341A614" w14:textId="77777777" w:rsidR="00564572" w:rsidRPr="00564572" w:rsidRDefault="004932D7" w:rsidP="00564572">
            <w:pPr>
              <w:jc w:val="center"/>
              <w:rPr>
                <w:rFonts w:ascii="Calibri" w:eastAsia="Calibri" w:hAnsi="Calibri"/>
                <w:sz w:val="22"/>
                <w:szCs w:val="22"/>
              </w:rPr>
            </w:pPr>
            <w:hyperlink r:id="rId38" w:history="1">
              <w:r w:rsidR="00564572" w:rsidRPr="00564572">
                <w:rPr>
                  <w:rFonts w:ascii="Arial" w:eastAsia="Calibri" w:hAnsi="Arial" w:cs="Arial"/>
                  <w:sz w:val="20"/>
                  <w:lang w:val="es-ES_tradnl"/>
                </w:rPr>
                <w:t>Resolución MME 41039 de 2016</w:t>
              </w:r>
            </w:hyperlink>
          </w:p>
        </w:tc>
        <w:tc>
          <w:tcPr>
            <w:tcW w:w="1530" w:type="dxa"/>
          </w:tcPr>
          <w:p w14:paraId="2341A615" w14:textId="77777777" w:rsidR="00564572" w:rsidRPr="00564572" w:rsidRDefault="00564572" w:rsidP="00564572">
            <w:pPr>
              <w:jc w:val="center"/>
              <w:rPr>
                <w:rFonts w:ascii="Arial" w:eastAsia="Calibri" w:hAnsi="Arial" w:cs="Arial"/>
                <w:sz w:val="20"/>
                <w:lang w:val="es-ES_tradnl"/>
              </w:rPr>
            </w:pPr>
          </w:p>
        </w:tc>
      </w:tr>
    </w:tbl>
    <w:p w14:paraId="2341A617" w14:textId="77777777" w:rsidR="00AC5DD0" w:rsidRDefault="00AC5DD0" w:rsidP="00AC5DD0">
      <w:pPr>
        <w:spacing w:after="200" w:line="276" w:lineRule="auto"/>
        <w:rPr>
          <w:rFonts w:ascii="Arial" w:eastAsia="Calibri" w:hAnsi="Arial" w:cs="Arial"/>
          <w:sz w:val="20"/>
          <w:lang w:val="es-ES_tradnl"/>
        </w:rPr>
        <w:sectPr w:rsidR="00AC5DD0" w:rsidSect="00AC5DD0">
          <w:pgSz w:w="15840" w:h="12240" w:orient="landscape" w:code="1"/>
          <w:pgMar w:top="1800" w:right="1440" w:bottom="1800" w:left="1440" w:header="706" w:footer="706" w:gutter="0"/>
          <w:cols w:space="720"/>
          <w:formProt w:val="0"/>
          <w:titlePg/>
          <w:docGrid w:linePitch="326"/>
        </w:sectPr>
      </w:pPr>
    </w:p>
    <w:p w14:paraId="2341A618" w14:textId="77777777" w:rsidR="00ED751C" w:rsidRPr="009E34EC" w:rsidRDefault="00AC5DD0" w:rsidP="00ED751C">
      <w:pPr>
        <w:pStyle w:val="Chapter"/>
        <w:rPr>
          <w:rFonts w:ascii="Arial" w:hAnsi="Arial" w:cs="Arial"/>
          <w:sz w:val="22"/>
          <w:szCs w:val="22"/>
        </w:rPr>
      </w:pPr>
      <w:bookmarkStart w:id="7" w:name="_Toc473464954"/>
      <w:r w:rsidRPr="009E34EC">
        <w:rPr>
          <w:rFonts w:ascii="Arial" w:hAnsi="Arial" w:cs="Arial"/>
          <w:sz w:val="22"/>
          <w:szCs w:val="22"/>
        </w:rPr>
        <w:lastRenderedPageBreak/>
        <w:t>Plan de Evaluación</w:t>
      </w:r>
      <w:bookmarkEnd w:id="7"/>
    </w:p>
    <w:p w14:paraId="2341A619" w14:textId="77777777" w:rsidR="00ED751C" w:rsidRPr="009E34EC" w:rsidRDefault="00E3347F" w:rsidP="00AC4D46">
      <w:pPr>
        <w:pStyle w:val="FirstHeading"/>
        <w:ind w:left="720"/>
        <w:rPr>
          <w:rFonts w:ascii="Arial" w:hAnsi="Arial" w:cs="Arial"/>
          <w:sz w:val="22"/>
          <w:szCs w:val="22"/>
        </w:rPr>
      </w:pPr>
      <w:r w:rsidRPr="009E34EC">
        <w:rPr>
          <w:rFonts w:ascii="Arial" w:hAnsi="Arial" w:cs="Arial"/>
          <w:sz w:val="22"/>
          <w:szCs w:val="22"/>
        </w:rPr>
        <w:fldChar w:fldCharType="begin"/>
      </w:r>
      <w:r w:rsidR="00ED751C" w:rsidRPr="009E34EC">
        <w:rPr>
          <w:rFonts w:ascii="Arial" w:hAnsi="Arial" w:cs="Arial"/>
          <w:sz w:val="22"/>
          <w:szCs w:val="22"/>
        </w:rPr>
        <w:instrText xml:space="preserve"> SEQ "</w:instrText>
      </w:r>
      <w:r w:rsidR="007F016F" w:rsidRPr="009E34EC">
        <w:rPr>
          <w:rFonts w:ascii="Arial" w:hAnsi="Arial" w:cs="Arial"/>
          <w:sz w:val="22"/>
          <w:szCs w:val="22"/>
        </w:rPr>
        <w:fldChar w:fldCharType="begin"/>
      </w:r>
      <w:r w:rsidR="007F016F" w:rsidRPr="009E34EC">
        <w:rPr>
          <w:rFonts w:ascii="Arial" w:hAnsi="Arial" w:cs="Arial"/>
          <w:sz w:val="22"/>
          <w:szCs w:val="22"/>
        </w:rPr>
        <w:instrText xml:space="preserve"> SECTION  \* MERGEFORMAT </w:instrText>
      </w:r>
      <w:r w:rsidR="007F016F" w:rsidRPr="009E34EC">
        <w:rPr>
          <w:rFonts w:ascii="Arial" w:hAnsi="Arial" w:cs="Arial"/>
          <w:sz w:val="22"/>
          <w:szCs w:val="22"/>
        </w:rPr>
        <w:fldChar w:fldCharType="separate"/>
      </w:r>
      <w:r w:rsidR="00ED751C" w:rsidRPr="009E34EC">
        <w:rPr>
          <w:rFonts w:ascii="Arial" w:hAnsi="Arial" w:cs="Arial"/>
          <w:sz w:val="22"/>
          <w:szCs w:val="22"/>
        </w:rPr>
        <w:instrText>7</w:instrText>
      </w:r>
      <w:r w:rsidR="007F016F" w:rsidRPr="009E34EC">
        <w:rPr>
          <w:rFonts w:ascii="Arial" w:hAnsi="Arial" w:cs="Arial"/>
          <w:sz w:val="22"/>
          <w:szCs w:val="22"/>
        </w:rPr>
        <w:fldChar w:fldCharType="end"/>
      </w:r>
      <w:r w:rsidR="00ED751C" w:rsidRPr="009E34EC">
        <w:rPr>
          <w:rFonts w:ascii="Arial" w:hAnsi="Arial" w:cs="Arial"/>
          <w:sz w:val="22"/>
          <w:szCs w:val="22"/>
        </w:rPr>
        <w:instrText xml:space="preserve">#"\* ALPHABETIC \* MERGEFORMAT </w:instrText>
      </w:r>
      <w:r w:rsidRPr="009E34EC">
        <w:rPr>
          <w:rFonts w:ascii="Arial" w:hAnsi="Arial" w:cs="Arial"/>
          <w:sz w:val="22"/>
          <w:szCs w:val="22"/>
        </w:rPr>
        <w:fldChar w:fldCharType="separate"/>
      </w:r>
      <w:bookmarkStart w:id="8" w:name="_Toc473464955"/>
      <w:r w:rsidR="00ED751C" w:rsidRPr="009E34EC">
        <w:rPr>
          <w:rFonts w:ascii="Arial" w:hAnsi="Arial" w:cs="Arial"/>
          <w:noProof/>
          <w:sz w:val="22"/>
          <w:szCs w:val="22"/>
        </w:rPr>
        <w:t>A</w:t>
      </w:r>
      <w:r w:rsidRPr="009E34EC">
        <w:rPr>
          <w:rFonts w:ascii="Arial" w:hAnsi="Arial" w:cs="Arial"/>
          <w:sz w:val="22"/>
          <w:szCs w:val="22"/>
        </w:rPr>
        <w:fldChar w:fldCharType="end"/>
      </w:r>
      <w:r w:rsidR="00ED751C" w:rsidRPr="009E34EC">
        <w:rPr>
          <w:rFonts w:ascii="Arial" w:hAnsi="Arial" w:cs="Arial"/>
          <w:sz w:val="22"/>
          <w:szCs w:val="22"/>
        </w:rPr>
        <w:t>.</w:t>
      </w:r>
      <w:r w:rsidR="00ED751C" w:rsidRPr="009E34EC">
        <w:rPr>
          <w:rFonts w:ascii="Arial" w:hAnsi="Arial" w:cs="Arial"/>
          <w:sz w:val="22"/>
          <w:szCs w:val="22"/>
        </w:rPr>
        <w:tab/>
      </w:r>
      <w:r w:rsidR="00AC4D46" w:rsidRPr="009E34EC">
        <w:rPr>
          <w:rFonts w:ascii="Arial" w:hAnsi="Arial" w:cs="Arial"/>
          <w:sz w:val="22"/>
          <w:szCs w:val="22"/>
        </w:rPr>
        <w:t>Introducción</w:t>
      </w:r>
      <w:bookmarkEnd w:id="8"/>
    </w:p>
    <w:p w14:paraId="2341A61A" w14:textId="77777777" w:rsidR="00ED751C" w:rsidRPr="009E34EC" w:rsidRDefault="00CA1893" w:rsidP="00AC4D46">
      <w:pPr>
        <w:pStyle w:val="Paragraph"/>
        <w:tabs>
          <w:tab w:val="num" w:pos="720"/>
        </w:tabs>
        <w:ind w:left="720" w:hanging="720"/>
        <w:rPr>
          <w:rFonts w:ascii="Arial" w:hAnsi="Arial" w:cs="Arial"/>
          <w:sz w:val="22"/>
          <w:szCs w:val="22"/>
        </w:rPr>
      </w:pPr>
      <w:r w:rsidRPr="009E34EC">
        <w:rPr>
          <w:rFonts w:ascii="Arial" w:hAnsi="Arial" w:cs="Arial"/>
          <w:sz w:val="22"/>
          <w:szCs w:val="22"/>
        </w:rPr>
        <w:t>Esta</w:t>
      </w:r>
      <w:r w:rsidR="00AC4D46" w:rsidRPr="009E34EC">
        <w:rPr>
          <w:rFonts w:ascii="Arial" w:hAnsi="Arial" w:cs="Arial"/>
          <w:sz w:val="22"/>
          <w:szCs w:val="22"/>
        </w:rPr>
        <w:t xml:space="preserve"> sección presenta la metodología </w:t>
      </w:r>
      <w:r w:rsidRPr="009E34EC">
        <w:rPr>
          <w:rFonts w:ascii="Arial" w:hAnsi="Arial" w:cs="Arial"/>
          <w:sz w:val="22"/>
          <w:szCs w:val="22"/>
        </w:rPr>
        <w:t xml:space="preserve">para evaluar el logro de los resultados y objetivos </w:t>
      </w:r>
      <w:r w:rsidR="00AC4D46" w:rsidRPr="009E34EC">
        <w:rPr>
          <w:rFonts w:ascii="Arial" w:hAnsi="Arial" w:cs="Arial"/>
          <w:sz w:val="22"/>
          <w:szCs w:val="22"/>
        </w:rPr>
        <w:t>del programa</w:t>
      </w:r>
      <w:r w:rsidR="00820047" w:rsidRPr="009E34EC">
        <w:rPr>
          <w:rFonts w:ascii="Arial" w:hAnsi="Arial" w:cs="Arial"/>
          <w:sz w:val="22"/>
          <w:szCs w:val="22"/>
        </w:rPr>
        <w:t>.  El plan se basa en</w:t>
      </w:r>
      <w:r w:rsidR="009E34EC" w:rsidRPr="009E34EC">
        <w:rPr>
          <w:rFonts w:ascii="Arial" w:hAnsi="Arial" w:cs="Arial"/>
          <w:sz w:val="22"/>
          <w:szCs w:val="22"/>
        </w:rPr>
        <w:t>: (i)</w:t>
      </w:r>
      <w:r w:rsidR="00820047" w:rsidRPr="009E34EC">
        <w:rPr>
          <w:rFonts w:ascii="Arial" w:hAnsi="Arial" w:cs="Arial"/>
          <w:sz w:val="22"/>
          <w:szCs w:val="22"/>
        </w:rPr>
        <w:t xml:space="preserve"> </w:t>
      </w:r>
      <w:r w:rsidR="00AC4D46" w:rsidRPr="009E34EC">
        <w:rPr>
          <w:rFonts w:ascii="Arial" w:hAnsi="Arial" w:cs="Arial"/>
          <w:sz w:val="22"/>
          <w:szCs w:val="22"/>
        </w:rPr>
        <w:t xml:space="preserve">las preguntas </w:t>
      </w:r>
      <w:r w:rsidRPr="009E34EC">
        <w:rPr>
          <w:rFonts w:ascii="Arial" w:hAnsi="Arial" w:cs="Arial"/>
          <w:sz w:val="22"/>
          <w:szCs w:val="22"/>
        </w:rPr>
        <w:t>que se requiere responder en la</w:t>
      </w:r>
      <w:r w:rsidR="00AC4D46" w:rsidRPr="009E34EC">
        <w:rPr>
          <w:rFonts w:ascii="Arial" w:hAnsi="Arial" w:cs="Arial"/>
          <w:sz w:val="22"/>
          <w:szCs w:val="22"/>
        </w:rPr>
        <w:t xml:space="preserve"> evaluación</w:t>
      </w:r>
      <w:r w:rsidR="00820047" w:rsidRPr="009E34EC">
        <w:rPr>
          <w:rFonts w:ascii="Arial" w:hAnsi="Arial" w:cs="Arial"/>
          <w:sz w:val="22"/>
          <w:szCs w:val="22"/>
        </w:rPr>
        <w:t xml:space="preserve">, relacionadas con el logro de los </w:t>
      </w:r>
      <w:r w:rsidR="00AC4D46" w:rsidRPr="009E34EC">
        <w:rPr>
          <w:rFonts w:ascii="Arial" w:hAnsi="Arial" w:cs="Arial"/>
          <w:sz w:val="22"/>
          <w:szCs w:val="22"/>
        </w:rPr>
        <w:t>resultado</w:t>
      </w:r>
      <w:r w:rsidR="00820047" w:rsidRPr="009E34EC">
        <w:rPr>
          <w:rFonts w:ascii="Arial" w:hAnsi="Arial" w:cs="Arial"/>
          <w:sz w:val="22"/>
          <w:szCs w:val="22"/>
        </w:rPr>
        <w:t>s</w:t>
      </w:r>
      <w:r w:rsidR="00AC4D46" w:rsidRPr="009E34EC">
        <w:rPr>
          <w:rFonts w:ascii="Arial" w:hAnsi="Arial" w:cs="Arial"/>
          <w:sz w:val="22"/>
          <w:szCs w:val="22"/>
        </w:rPr>
        <w:t xml:space="preserve"> e </w:t>
      </w:r>
      <w:r w:rsidR="00820047" w:rsidRPr="009E34EC">
        <w:rPr>
          <w:rFonts w:ascii="Arial" w:hAnsi="Arial" w:cs="Arial"/>
          <w:sz w:val="22"/>
          <w:szCs w:val="22"/>
        </w:rPr>
        <w:t>impactos esperados</w:t>
      </w:r>
      <w:r w:rsidR="009E34EC" w:rsidRPr="009E34EC">
        <w:rPr>
          <w:rFonts w:ascii="Arial" w:hAnsi="Arial" w:cs="Arial"/>
          <w:sz w:val="22"/>
          <w:szCs w:val="22"/>
        </w:rPr>
        <w:t xml:space="preserve">; (ii) </w:t>
      </w:r>
      <w:r w:rsidR="00820047" w:rsidRPr="009E34EC">
        <w:rPr>
          <w:rFonts w:ascii="Arial" w:hAnsi="Arial" w:cs="Arial"/>
          <w:sz w:val="22"/>
          <w:szCs w:val="22"/>
        </w:rPr>
        <w:t>los indicadores que permiten medir la respuesta a esas preguntas</w:t>
      </w:r>
      <w:r w:rsidR="009E34EC" w:rsidRPr="009E34EC">
        <w:rPr>
          <w:rFonts w:ascii="Arial" w:hAnsi="Arial" w:cs="Arial"/>
          <w:sz w:val="22"/>
          <w:szCs w:val="22"/>
        </w:rPr>
        <w:t>; y (iii)</w:t>
      </w:r>
      <w:r w:rsidR="00820047" w:rsidRPr="009E34EC">
        <w:rPr>
          <w:rFonts w:ascii="Arial" w:hAnsi="Arial" w:cs="Arial"/>
          <w:sz w:val="22"/>
          <w:szCs w:val="22"/>
        </w:rPr>
        <w:t xml:space="preserve"> la forma de medirlos.</w:t>
      </w:r>
    </w:p>
    <w:p w14:paraId="2341A61B" w14:textId="77777777" w:rsidR="00ED751C" w:rsidRPr="009E34EC" w:rsidRDefault="00E3347F" w:rsidP="00AC4D46">
      <w:pPr>
        <w:pStyle w:val="FirstHeading"/>
        <w:spacing w:before="240"/>
        <w:ind w:left="720"/>
        <w:rPr>
          <w:rFonts w:ascii="Arial" w:hAnsi="Arial" w:cs="Arial"/>
          <w:sz w:val="22"/>
          <w:szCs w:val="22"/>
        </w:rPr>
      </w:pPr>
      <w:r w:rsidRPr="009E34EC">
        <w:rPr>
          <w:rFonts w:ascii="Arial" w:hAnsi="Arial" w:cs="Arial"/>
          <w:sz w:val="22"/>
          <w:szCs w:val="22"/>
        </w:rPr>
        <w:fldChar w:fldCharType="begin"/>
      </w:r>
      <w:r w:rsidR="00ED751C" w:rsidRPr="009E34EC">
        <w:rPr>
          <w:rFonts w:ascii="Arial" w:hAnsi="Arial" w:cs="Arial"/>
          <w:sz w:val="22"/>
          <w:szCs w:val="22"/>
        </w:rPr>
        <w:instrText xml:space="preserve"> SEQ "</w:instrText>
      </w:r>
      <w:r w:rsidR="007F016F" w:rsidRPr="009E34EC">
        <w:rPr>
          <w:rFonts w:ascii="Arial" w:hAnsi="Arial" w:cs="Arial"/>
          <w:sz w:val="22"/>
          <w:szCs w:val="22"/>
        </w:rPr>
        <w:fldChar w:fldCharType="begin"/>
      </w:r>
      <w:r w:rsidR="007F016F" w:rsidRPr="009E34EC">
        <w:rPr>
          <w:rFonts w:ascii="Arial" w:hAnsi="Arial" w:cs="Arial"/>
          <w:sz w:val="22"/>
          <w:szCs w:val="22"/>
        </w:rPr>
        <w:instrText xml:space="preserve"> SECTION  \* MERGEFORMAT </w:instrText>
      </w:r>
      <w:r w:rsidR="007F016F" w:rsidRPr="009E34EC">
        <w:rPr>
          <w:rFonts w:ascii="Arial" w:hAnsi="Arial" w:cs="Arial"/>
          <w:sz w:val="22"/>
          <w:szCs w:val="22"/>
        </w:rPr>
        <w:fldChar w:fldCharType="separate"/>
      </w:r>
      <w:r w:rsidR="00ED751C" w:rsidRPr="009E34EC">
        <w:rPr>
          <w:rFonts w:ascii="Arial" w:hAnsi="Arial" w:cs="Arial"/>
          <w:sz w:val="22"/>
          <w:szCs w:val="22"/>
        </w:rPr>
        <w:instrText>7</w:instrText>
      </w:r>
      <w:r w:rsidR="007F016F" w:rsidRPr="009E34EC">
        <w:rPr>
          <w:rFonts w:ascii="Arial" w:hAnsi="Arial" w:cs="Arial"/>
          <w:sz w:val="22"/>
          <w:szCs w:val="22"/>
        </w:rPr>
        <w:fldChar w:fldCharType="end"/>
      </w:r>
      <w:r w:rsidR="00ED751C" w:rsidRPr="009E34EC">
        <w:rPr>
          <w:rFonts w:ascii="Arial" w:hAnsi="Arial" w:cs="Arial"/>
          <w:sz w:val="22"/>
          <w:szCs w:val="22"/>
        </w:rPr>
        <w:instrText xml:space="preserve">#"\* ALPHABETIC \* MERGEFORMAT </w:instrText>
      </w:r>
      <w:r w:rsidRPr="009E34EC">
        <w:rPr>
          <w:rFonts w:ascii="Arial" w:hAnsi="Arial" w:cs="Arial"/>
          <w:sz w:val="22"/>
          <w:szCs w:val="22"/>
        </w:rPr>
        <w:fldChar w:fldCharType="separate"/>
      </w:r>
      <w:bookmarkStart w:id="9" w:name="_Toc473464956"/>
      <w:r w:rsidR="00ED751C" w:rsidRPr="009E34EC">
        <w:rPr>
          <w:rFonts w:ascii="Arial" w:hAnsi="Arial" w:cs="Arial"/>
          <w:noProof/>
          <w:sz w:val="22"/>
          <w:szCs w:val="22"/>
        </w:rPr>
        <w:t>B</w:t>
      </w:r>
      <w:r w:rsidRPr="009E34EC">
        <w:rPr>
          <w:rFonts w:ascii="Arial" w:hAnsi="Arial" w:cs="Arial"/>
          <w:sz w:val="22"/>
          <w:szCs w:val="22"/>
        </w:rPr>
        <w:fldChar w:fldCharType="end"/>
      </w:r>
      <w:r w:rsidR="00ED751C" w:rsidRPr="009E34EC">
        <w:rPr>
          <w:rFonts w:ascii="Arial" w:hAnsi="Arial" w:cs="Arial"/>
          <w:sz w:val="22"/>
          <w:szCs w:val="22"/>
        </w:rPr>
        <w:t>.</w:t>
      </w:r>
      <w:r w:rsidR="00ED751C" w:rsidRPr="009E34EC">
        <w:rPr>
          <w:rFonts w:ascii="Arial" w:hAnsi="Arial" w:cs="Arial"/>
          <w:sz w:val="22"/>
          <w:szCs w:val="22"/>
        </w:rPr>
        <w:tab/>
      </w:r>
      <w:r w:rsidR="00AC4D46" w:rsidRPr="009E34EC">
        <w:rPr>
          <w:rFonts w:ascii="Arial" w:hAnsi="Arial" w:cs="Arial"/>
          <w:sz w:val="22"/>
          <w:szCs w:val="22"/>
          <w:lang w:val="es-ES_tradnl"/>
        </w:rPr>
        <w:t>Principales preguntas de evaluación</w:t>
      </w:r>
      <w:bookmarkEnd w:id="9"/>
    </w:p>
    <w:p w14:paraId="2341A61C" w14:textId="77777777" w:rsidR="00AC4D46" w:rsidRPr="009E34EC" w:rsidRDefault="00AC4D46" w:rsidP="00AC4D46">
      <w:pPr>
        <w:pStyle w:val="Paragraph"/>
        <w:tabs>
          <w:tab w:val="num" w:pos="720"/>
        </w:tabs>
        <w:ind w:left="720" w:hanging="720"/>
        <w:rPr>
          <w:rFonts w:ascii="Arial" w:hAnsi="Arial" w:cs="Arial"/>
          <w:sz w:val="22"/>
          <w:szCs w:val="22"/>
        </w:rPr>
      </w:pPr>
      <w:r w:rsidRPr="009E34EC">
        <w:rPr>
          <w:rFonts w:ascii="Arial" w:hAnsi="Arial" w:cs="Arial"/>
          <w:sz w:val="22"/>
          <w:szCs w:val="22"/>
          <w:lang w:val="es-ES_tradnl"/>
        </w:rPr>
        <w:t xml:space="preserve">El objetivo de la evaluación es determinar y valorar los resultados del programa, considerando las dos operaciones que lo constituyen, a ser desarrolladas en forma secuencial. La evaluación se basará en la </w:t>
      </w:r>
      <w:r w:rsidR="00CA1893" w:rsidRPr="009E34EC">
        <w:rPr>
          <w:rFonts w:ascii="Arial" w:hAnsi="Arial" w:cs="Arial"/>
          <w:sz w:val="22"/>
          <w:szCs w:val="22"/>
          <w:lang w:val="es-ES_tradnl"/>
        </w:rPr>
        <w:t xml:space="preserve">determinar la </w:t>
      </w:r>
      <w:r w:rsidRPr="009E34EC">
        <w:rPr>
          <w:rFonts w:ascii="Arial" w:hAnsi="Arial" w:cs="Arial"/>
          <w:sz w:val="22"/>
          <w:szCs w:val="22"/>
          <w:lang w:val="es-ES_tradnl"/>
        </w:rPr>
        <w:t xml:space="preserve">medida en que se logra </w:t>
      </w:r>
      <w:r w:rsidRPr="009E34EC">
        <w:rPr>
          <w:rFonts w:ascii="Arial" w:hAnsi="Arial" w:cs="Arial"/>
          <w:sz w:val="22"/>
          <w:szCs w:val="22"/>
        </w:rPr>
        <w:t>asegurar la oferta eficiente de energía eléctrica en el SIN y las ZNI, a fin de reducir la vulnerabilidad del sector frente a los efectos del cambio climático</w:t>
      </w:r>
      <w:r w:rsidR="00CA1893" w:rsidRPr="009E34EC">
        <w:rPr>
          <w:rFonts w:ascii="Arial" w:hAnsi="Arial" w:cs="Arial"/>
          <w:sz w:val="22"/>
          <w:szCs w:val="22"/>
        </w:rPr>
        <w:t>;</w:t>
      </w:r>
      <w:r w:rsidRPr="009E34EC">
        <w:rPr>
          <w:rFonts w:ascii="Arial" w:hAnsi="Arial" w:cs="Arial"/>
          <w:sz w:val="22"/>
          <w:szCs w:val="22"/>
        </w:rPr>
        <w:t xml:space="preserve"> y </w:t>
      </w:r>
      <w:r w:rsidR="00CA1893" w:rsidRPr="009E34EC">
        <w:rPr>
          <w:rFonts w:ascii="Arial" w:hAnsi="Arial" w:cs="Arial"/>
          <w:sz w:val="22"/>
          <w:szCs w:val="22"/>
        </w:rPr>
        <w:t xml:space="preserve">de </w:t>
      </w:r>
      <w:r w:rsidRPr="009E34EC">
        <w:rPr>
          <w:rFonts w:ascii="Arial" w:hAnsi="Arial" w:cs="Arial"/>
          <w:sz w:val="22"/>
          <w:szCs w:val="22"/>
        </w:rPr>
        <w:t>aumentar el acceso al servicio eléctrico de la población.</w:t>
      </w:r>
    </w:p>
    <w:p w14:paraId="2341A61D" w14:textId="77777777" w:rsidR="00AC4D46" w:rsidRPr="009E34EC" w:rsidRDefault="00435742" w:rsidP="00AC4D46">
      <w:pPr>
        <w:pStyle w:val="Paragraph"/>
        <w:tabs>
          <w:tab w:val="num" w:pos="720"/>
        </w:tabs>
        <w:ind w:left="720" w:hanging="720"/>
        <w:rPr>
          <w:rFonts w:ascii="Arial" w:hAnsi="Arial" w:cs="Arial"/>
          <w:sz w:val="22"/>
          <w:szCs w:val="22"/>
        </w:rPr>
      </w:pPr>
      <w:r w:rsidRPr="009E34EC">
        <w:rPr>
          <w:rFonts w:ascii="Arial" w:hAnsi="Arial" w:cs="Arial"/>
          <w:sz w:val="22"/>
          <w:szCs w:val="22"/>
        </w:rPr>
        <w:t>Con base en el impacto y resultados esperados, l</w:t>
      </w:r>
      <w:r w:rsidR="00AC4D46" w:rsidRPr="009E34EC">
        <w:rPr>
          <w:rFonts w:ascii="Arial" w:hAnsi="Arial" w:cs="Arial"/>
          <w:sz w:val="22"/>
          <w:szCs w:val="22"/>
        </w:rPr>
        <w:t>as siguientes</w:t>
      </w:r>
      <w:r w:rsidR="00CA1893" w:rsidRPr="009E34EC">
        <w:rPr>
          <w:rFonts w:ascii="Arial" w:hAnsi="Arial" w:cs="Arial"/>
          <w:sz w:val="22"/>
          <w:szCs w:val="22"/>
        </w:rPr>
        <w:t xml:space="preserve"> son las</w:t>
      </w:r>
      <w:r w:rsidR="00AC4D46" w:rsidRPr="009E34EC">
        <w:rPr>
          <w:rFonts w:ascii="Arial" w:hAnsi="Arial" w:cs="Arial"/>
          <w:sz w:val="22"/>
          <w:szCs w:val="22"/>
        </w:rPr>
        <w:t xml:space="preserve"> principales preguntas </w:t>
      </w:r>
      <w:r w:rsidR="00CA1893" w:rsidRPr="009E34EC">
        <w:rPr>
          <w:rFonts w:ascii="Arial" w:hAnsi="Arial" w:cs="Arial"/>
          <w:sz w:val="22"/>
          <w:szCs w:val="22"/>
        </w:rPr>
        <w:t xml:space="preserve">que </w:t>
      </w:r>
      <w:r w:rsidR="00AC4D46" w:rsidRPr="009E34EC">
        <w:rPr>
          <w:rFonts w:ascii="Arial" w:hAnsi="Arial" w:cs="Arial"/>
          <w:sz w:val="22"/>
          <w:szCs w:val="22"/>
        </w:rPr>
        <w:t xml:space="preserve">serán empleadas para guiar el proceso de evaluación de las actividades apoyadas por el programa: </w:t>
      </w:r>
    </w:p>
    <w:p w14:paraId="2341A61E" w14:textId="77777777" w:rsidR="00AC4D46" w:rsidRPr="009E34EC" w:rsidRDefault="00AC4D46" w:rsidP="009E3F81">
      <w:pPr>
        <w:numPr>
          <w:ilvl w:val="0"/>
          <w:numId w:val="5"/>
        </w:numPr>
        <w:tabs>
          <w:tab w:val="left" w:pos="0"/>
        </w:tabs>
        <w:spacing w:before="100" w:after="100"/>
        <w:jc w:val="both"/>
        <w:outlineLvl w:val="1"/>
        <w:rPr>
          <w:rFonts w:ascii="Arial" w:hAnsi="Arial" w:cs="Arial"/>
          <w:sz w:val="22"/>
          <w:szCs w:val="22"/>
          <w:lang w:val="es-ES"/>
        </w:rPr>
      </w:pPr>
      <w:r w:rsidRPr="009E34EC">
        <w:rPr>
          <w:rFonts w:ascii="Arial" w:hAnsi="Arial" w:cs="Arial"/>
          <w:sz w:val="22"/>
          <w:szCs w:val="22"/>
          <w:lang w:val="es-ES"/>
        </w:rPr>
        <w:t>Se ha expandido la capacidad nominal de generación del SIN</w:t>
      </w:r>
    </w:p>
    <w:p w14:paraId="2341A61F" w14:textId="77777777" w:rsidR="00435742" w:rsidRPr="009E34EC" w:rsidRDefault="00435742" w:rsidP="009E3F81">
      <w:pPr>
        <w:numPr>
          <w:ilvl w:val="0"/>
          <w:numId w:val="5"/>
        </w:numPr>
        <w:tabs>
          <w:tab w:val="left" w:pos="0"/>
        </w:tabs>
        <w:spacing w:before="100" w:after="100"/>
        <w:jc w:val="both"/>
        <w:outlineLvl w:val="1"/>
        <w:rPr>
          <w:rFonts w:ascii="Arial" w:hAnsi="Arial" w:cs="Arial"/>
          <w:sz w:val="22"/>
          <w:szCs w:val="22"/>
          <w:lang w:val="es-ES"/>
        </w:rPr>
      </w:pPr>
      <w:r w:rsidRPr="009E34EC">
        <w:rPr>
          <w:rFonts w:ascii="Arial" w:hAnsi="Arial" w:cs="Arial"/>
          <w:sz w:val="22"/>
          <w:szCs w:val="22"/>
          <w:lang w:val="es-BO"/>
        </w:rPr>
        <w:t>Precio promedio ponderado (5 años) de bolsa del mercado de energía mayorista.</w:t>
      </w:r>
    </w:p>
    <w:p w14:paraId="2341A620" w14:textId="77777777" w:rsidR="00AC4D46" w:rsidRPr="009E34EC" w:rsidRDefault="00AC4D46" w:rsidP="009E3F81">
      <w:pPr>
        <w:numPr>
          <w:ilvl w:val="0"/>
          <w:numId w:val="5"/>
        </w:numPr>
        <w:tabs>
          <w:tab w:val="left" w:pos="0"/>
        </w:tabs>
        <w:spacing w:before="100" w:after="100"/>
        <w:jc w:val="both"/>
        <w:outlineLvl w:val="1"/>
        <w:rPr>
          <w:rFonts w:ascii="Arial" w:hAnsi="Arial" w:cs="Arial"/>
          <w:sz w:val="22"/>
          <w:szCs w:val="22"/>
          <w:lang w:val="es-ES"/>
        </w:rPr>
      </w:pPr>
      <w:r w:rsidRPr="009E34EC">
        <w:rPr>
          <w:rFonts w:ascii="Arial" w:hAnsi="Arial" w:cs="Arial"/>
          <w:sz w:val="22"/>
          <w:szCs w:val="22"/>
          <w:lang w:val="es-ES_tradnl"/>
        </w:rPr>
        <w:t>Se ha logrado un  precio de mercado más competitivo</w:t>
      </w:r>
    </w:p>
    <w:p w14:paraId="2341A621" w14:textId="77777777" w:rsidR="00AC4D46" w:rsidRPr="009E34EC" w:rsidRDefault="006D4260" w:rsidP="009E3F81">
      <w:pPr>
        <w:numPr>
          <w:ilvl w:val="0"/>
          <w:numId w:val="5"/>
        </w:numPr>
        <w:tabs>
          <w:tab w:val="left" w:pos="0"/>
        </w:tabs>
        <w:spacing w:before="100" w:after="100"/>
        <w:jc w:val="both"/>
        <w:outlineLvl w:val="1"/>
        <w:rPr>
          <w:rFonts w:ascii="Arial" w:hAnsi="Arial" w:cs="Arial"/>
          <w:sz w:val="22"/>
          <w:szCs w:val="22"/>
          <w:lang w:val="es-ES"/>
        </w:rPr>
      </w:pPr>
      <w:r w:rsidRPr="009E34EC">
        <w:rPr>
          <w:rFonts w:ascii="Arial" w:hAnsi="Arial" w:cs="Arial"/>
          <w:sz w:val="22"/>
          <w:szCs w:val="22"/>
          <w:lang w:val="es-ES"/>
        </w:rPr>
        <w:t>Ha</w:t>
      </w:r>
      <w:r w:rsidR="00AC4D46" w:rsidRPr="009E34EC">
        <w:rPr>
          <w:rFonts w:ascii="Arial" w:hAnsi="Arial" w:cs="Arial"/>
          <w:sz w:val="22"/>
          <w:szCs w:val="22"/>
          <w:lang w:val="es-ES"/>
        </w:rPr>
        <w:t xml:space="preserve"> aumentado el </w:t>
      </w:r>
      <w:r w:rsidR="00AC4D46" w:rsidRPr="009E34EC">
        <w:rPr>
          <w:rFonts w:ascii="Arial" w:hAnsi="Arial" w:cs="Arial"/>
          <w:sz w:val="22"/>
          <w:szCs w:val="22"/>
          <w:lang w:val="es-ES_tradnl"/>
        </w:rPr>
        <w:t>porcentaje de generación eléctrica con FNCER en la matriz energética</w:t>
      </w:r>
    </w:p>
    <w:p w14:paraId="2341A622" w14:textId="77777777" w:rsidR="00AC4D46" w:rsidRPr="009E34EC" w:rsidRDefault="00435742" w:rsidP="009E3F81">
      <w:pPr>
        <w:numPr>
          <w:ilvl w:val="0"/>
          <w:numId w:val="5"/>
        </w:numPr>
        <w:tabs>
          <w:tab w:val="left" w:pos="0"/>
        </w:tabs>
        <w:spacing w:before="100" w:after="100"/>
        <w:jc w:val="both"/>
        <w:outlineLvl w:val="1"/>
        <w:rPr>
          <w:rFonts w:ascii="Arial" w:hAnsi="Arial" w:cs="Arial"/>
          <w:sz w:val="22"/>
          <w:szCs w:val="22"/>
          <w:lang w:val="es-ES"/>
        </w:rPr>
      </w:pPr>
      <w:r w:rsidRPr="009E34EC">
        <w:rPr>
          <w:rFonts w:ascii="Arial" w:hAnsi="Arial" w:cs="Arial"/>
          <w:sz w:val="22"/>
          <w:szCs w:val="22"/>
          <w:lang w:val="es-ES_tradnl"/>
        </w:rPr>
        <w:t>Ha</w:t>
      </w:r>
      <w:r w:rsidR="00AC4D46" w:rsidRPr="009E34EC">
        <w:rPr>
          <w:rFonts w:ascii="Arial" w:hAnsi="Arial" w:cs="Arial"/>
          <w:sz w:val="22"/>
          <w:szCs w:val="22"/>
          <w:lang w:val="es-ES_tradnl"/>
        </w:rPr>
        <w:t xml:space="preserve"> aumentado el número de proyectos de FNCER presentados</w:t>
      </w:r>
    </w:p>
    <w:p w14:paraId="2341A623" w14:textId="77777777" w:rsidR="00AC4D46" w:rsidRPr="009E34EC" w:rsidRDefault="00AC4D46" w:rsidP="009E3F81">
      <w:pPr>
        <w:numPr>
          <w:ilvl w:val="0"/>
          <w:numId w:val="5"/>
        </w:numPr>
        <w:tabs>
          <w:tab w:val="left" w:pos="0"/>
        </w:tabs>
        <w:spacing w:before="100" w:after="100"/>
        <w:jc w:val="both"/>
        <w:outlineLvl w:val="1"/>
        <w:rPr>
          <w:rFonts w:ascii="Arial" w:hAnsi="Arial" w:cs="Arial"/>
          <w:sz w:val="22"/>
          <w:szCs w:val="22"/>
          <w:lang w:val="es-ES"/>
        </w:rPr>
      </w:pPr>
      <w:r w:rsidRPr="009E34EC">
        <w:rPr>
          <w:rFonts w:ascii="Arial" w:hAnsi="Arial" w:cs="Arial"/>
          <w:sz w:val="22"/>
          <w:szCs w:val="22"/>
          <w:lang w:val="es-ES_tradnl"/>
        </w:rPr>
        <w:t>Hay un mayor número de conexiones de autogeneradores a gran escala al Sistema Interconectado Nacional (SIN)</w:t>
      </w:r>
    </w:p>
    <w:p w14:paraId="2341A624" w14:textId="77777777" w:rsidR="00AC4D46" w:rsidRPr="009E34EC" w:rsidRDefault="00AC4D46" w:rsidP="009E3F81">
      <w:pPr>
        <w:numPr>
          <w:ilvl w:val="0"/>
          <w:numId w:val="5"/>
        </w:numPr>
        <w:tabs>
          <w:tab w:val="left" w:pos="0"/>
        </w:tabs>
        <w:spacing w:before="100" w:after="100"/>
        <w:jc w:val="both"/>
        <w:outlineLvl w:val="1"/>
        <w:rPr>
          <w:rFonts w:ascii="Arial" w:hAnsi="Arial" w:cs="Arial"/>
          <w:sz w:val="22"/>
          <w:szCs w:val="22"/>
          <w:lang w:val="es-ES"/>
        </w:rPr>
      </w:pPr>
      <w:r w:rsidRPr="009E34EC">
        <w:rPr>
          <w:rFonts w:ascii="Arial" w:hAnsi="Arial" w:cs="Arial"/>
          <w:sz w:val="22"/>
          <w:szCs w:val="22"/>
          <w:lang w:val="es-BO"/>
        </w:rPr>
        <w:t>Se dio un aumento en las transacciones con Ecuador</w:t>
      </w:r>
    </w:p>
    <w:p w14:paraId="2341A625" w14:textId="77777777" w:rsidR="00AC4D46" w:rsidRPr="009E34EC" w:rsidRDefault="00AC4D46" w:rsidP="009E3F81">
      <w:pPr>
        <w:numPr>
          <w:ilvl w:val="0"/>
          <w:numId w:val="5"/>
        </w:numPr>
        <w:tabs>
          <w:tab w:val="left" w:pos="0"/>
        </w:tabs>
        <w:spacing w:before="100" w:after="100"/>
        <w:jc w:val="both"/>
        <w:outlineLvl w:val="1"/>
        <w:rPr>
          <w:rFonts w:ascii="Arial" w:hAnsi="Arial" w:cs="Arial"/>
          <w:sz w:val="22"/>
          <w:szCs w:val="22"/>
          <w:lang w:val="es-ES"/>
        </w:rPr>
      </w:pPr>
      <w:r w:rsidRPr="009E34EC">
        <w:rPr>
          <w:rFonts w:ascii="Arial" w:hAnsi="Arial" w:cs="Arial"/>
          <w:sz w:val="22"/>
          <w:szCs w:val="22"/>
          <w:lang w:val="es-ES"/>
        </w:rPr>
        <w:t>Aumentó el potencial de oferta de GN</w:t>
      </w:r>
      <w:r w:rsidR="00435742" w:rsidRPr="009E34EC">
        <w:rPr>
          <w:rFonts w:ascii="Arial" w:hAnsi="Arial" w:cs="Arial"/>
          <w:sz w:val="22"/>
          <w:szCs w:val="22"/>
          <w:lang w:val="es-ES"/>
        </w:rPr>
        <w:t xml:space="preserve"> para generación</w:t>
      </w:r>
    </w:p>
    <w:p w14:paraId="2341A626" w14:textId="77777777" w:rsidR="00AC4D46" w:rsidRPr="009E34EC" w:rsidRDefault="00AC4D46" w:rsidP="009E3F81">
      <w:pPr>
        <w:numPr>
          <w:ilvl w:val="0"/>
          <w:numId w:val="5"/>
        </w:numPr>
        <w:tabs>
          <w:tab w:val="left" w:pos="0"/>
        </w:tabs>
        <w:spacing w:before="100" w:after="100"/>
        <w:jc w:val="both"/>
        <w:outlineLvl w:val="1"/>
        <w:rPr>
          <w:rFonts w:ascii="Arial" w:hAnsi="Arial" w:cs="Arial"/>
          <w:sz w:val="22"/>
          <w:szCs w:val="22"/>
          <w:lang w:val="es-ES"/>
        </w:rPr>
      </w:pPr>
      <w:r w:rsidRPr="009E34EC">
        <w:rPr>
          <w:rFonts w:ascii="Arial" w:hAnsi="Arial" w:cs="Arial"/>
          <w:sz w:val="22"/>
          <w:szCs w:val="22"/>
          <w:lang w:val="es-ES"/>
        </w:rPr>
        <w:t xml:space="preserve">Se ha reducido el consumo eléctrico </w:t>
      </w:r>
      <w:r w:rsidR="002F5B3C">
        <w:rPr>
          <w:rFonts w:ascii="Arial" w:hAnsi="Arial" w:cs="Arial"/>
          <w:sz w:val="22"/>
          <w:szCs w:val="22"/>
          <w:lang w:val="es-ES"/>
        </w:rPr>
        <w:t>como ahorro por medidas GEDE</w:t>
      </w:r>
      <w:r w:rsidRPr="009E34EC">
        <w:rPr>
          <w:rFonts w:ascii="Arial" w:hAnsi="Arial" w:cs="Arial"/>
          <w:sz w:val="22"/>
          <w:szCs w:val="22"/>
          <w:lang w:val="es-ES"/>
        </w:rPr>
        <w:t xml:space="preserve"> </w:t>
      </w:r>
    </w:p>
    <w:p w14:paraId="2341A627" w14:textId="77777777" w:rsidR="00AC4D46" w:rsidRPr="009E34EC" w:rsidRDefault="00AC4D46" w:rsidP="009E3F81">
      <w:pPr>
        <w:numPr>
          <w:ilvl w:val="0"/>
          <w:numId w:val="5"/>
        </w:numPr>
        <w:tabs>
          <w:tab w:val="left" w:pos="0"/>
        </w:tabs>
        <w:spacing w:before="100" w:after="100"/>
        <w:jc w:val="both"/>
        <w:outlineLvl w:val="1"/>
        <w:rPr>
          <w:rFonts w:ascii="Arial" w:hAnsi="Arial" w:cs="Arial"/>
          <w:sz w:val="22"/>
          <w:szCs w:val="22"/>
          <w:lang w:val="es-ES"/>
        </w:rPr>
      </w:pPr>
      <w:r w:rsidRPr="009E34EC">
        <w:rPr>
          <w:rFonts w:ascii="Arial" w:hAnsi="Arial" w:cs="Arial"/>
          <w:sz w:val="22"/>
          <w:szCs w:val="22"/>
          <w:lang w:val="es-ES"/>
        </w:rPr>
        <w:t xml:space="preserve">Se incrementó la </w:t>
      </w:r>
      <w:r w:rsidR="00435742" w:rsidRPr="009E34EC">
        <w:rPr>
          <w:rFonts w:ascii="Arial" w:hAnsi="Arial" w:cs="Arial"/>
          <w:sz w:val="22"/>
          <w:szCs w:val="22"/>
          <w:lang w:val="es-ES"/>
        </w:rPr>
        <w:t>capacidad instalada de FNCER en las ZNI</w:t>
      </w:r>
    </w:p>
    <w:p w14:paraId="2341A628" w14:textId="77777777" w:rsidR="00ED751C" w:rsidRPr="009E34EC" w:rsidRDefault="00E3347F" w:rsidP="00B922D9">
      <w:pPr>
        <w:pStyle w:val="FirstHeading"/>
        <w:spacing w:before="240"/>
        <w:ind w:left="720"/>
        <w:rPr>
          <w:rFonts w:ascii="Arial" w:hAnsi="Arial" w:cs="Arial"/>
          <w:sz w:val="22"/>
          <w:szCs w:val="22"/>
        </w:rPr>
      </w:pPr>
      <w:r w:rsidRPr="009E34EC">
        <w:rPr>
          <w:rFonts w:ascii="Arial" w:hAnsi="Arial" w:cs="Arial"/>
          <w:noProof/>
          <w:sz w:val="22"/>
          <w:szCs w:val="22"/>
        </w:rPr>
        <w:fldChar w:fldCharType="begin"/>
      </w:r>
      <w:r w:rsidR="00ED751C" w:rsidRPr="009E34EC">
        <w:rPr>
          <w:rFonts w:ascii="Arial" w:hAnsi="Arial" w:cs="Arial"/>
          <w:noProof/>
          <w:sz w:val="22"/>
          <w:szCs w:val="22"/>
        </w:rPr>
        <w:instrText xml:space="preserve"> SEQ "</w:instrText>
      </w:r>
      <w:r w:rsidR="007F016F" w:rsidRPr="009E34EC">
        <w:rPr>
          <w:rFonts w:ascii="Arial" w:hAnsi="Arial" w:cs="Arial"/>
          <w:noProof/>
          <w:sz w:val="22"/>
          <w:szCs w:val="22"/>
        </w:rPr>
        <w:fldChar w:fldCharType="begin"/>
      </w:r>
      <w:r w:rsidR="007F016F" w:rsidRPr="009E34EC">
        <w:rPr>
          <w:rFonts w:ascii="Arial" w:hAnsi="Arial" w:cs="Arial"/>
          <w:noProof/>
          <w:sz w:val="22"/>
          <w:szCs w:val="22"/>
        </w:rPr>
        <w:instrText xml:space="preserve"> SECTION  \* MERGEFORMAT </w:instrText>
      </w:r>
      <w:r w:rsidR="007F016F" w:rsidRPr="009E34EC">
        <w:rPr>
          <w:rFonts w:ascii="Arial" w:hAnsi="Arial" w:cs="Arial"/>
          <w:noProof/>
          <w:sz w:val="22"/>
          <w:szCs w:val="22"/>
        </w:rPr>
        <w:fldChar w:fldCharType="separate"/>
      </w:r>
      <w:r w:rsidR="00ED751C" w:rsidRPr="009E34EC">
        <w:rPr>
          <w:rFonts w:ascii="Arial" w:hAnsi="Arial" w:cs="Arial"/>
          <w:noProof/>
          <w:sz w:val="22"/>
          <w:szCs w:val="22"/>
        </w:rPr>
        <w:instrText>7</w:instrText>
      </w:r>
      <w:r w:rsidR="007F016F" w:rsidRPr="009E34EC">
        <w:rPr>
          <w:rFonts w:ascii="Arial" w:hAnsi="Arial" w:cs="Arial"/>
          <w:noProof/>
          <w:sz w:val="22"/>
          <w:szCs w:val="22"/>
        </w:rPr>
        <w:fldChar w:fldCharType="end"/>
      </w:r>
      <w:r w:rsidR="00ED751C" w:rsidRPr="009E34EC">
        <w:rPr>
          <w:rFonts w:ascii="Arial" w:hAnsi="Arial" w:cs="Arial"/>
          <w:noProof/>
          <w:sz w:val="22"/>
          <w:szCs w:val="22"/>
        </w:rPr>
        <w:instrText xml:space="preserve">#"\* ALPHABETIC \* MERGEFORMAT </w:instrText>
      </w:r>
      <w:r w:rsidRPr="009E34EC">
        <w:rPr>
          <w:rFonts w:ascii="Arial" w:hAnsi="Arial" w:cs="Arial"/>
          <w:noProof/>
          <w:sz w:val="22"/>
          <w:szCs w:val="22"/>
        </w:rPr>
        <w:fldChar w:fldCharType="separate"/>
      </w:r>
      <w:bookmarkStart w:id="10" w:name="_Toc473464957"/>
      <w:r w:rsidR="00ED751C" w:rsidRPr="009E34EC">
        <w:rPr>
          <w:rFonts w:ascii="Arial" w:hAnsi="Arial" w:cs="Arial"/>
          <w:noProof/>
          <w:sz w:val="22"/>
          <w:szCs w:val="22"/>
        </w:rPr>
        <w:t>C</w:t>
      </w:r>
      <w:r w:rsidRPr="009E34EC">
        <w:rPr>
          <w:rFonts w:ascii="Arial" w:hAnsi="Arial" w:cs="Arial"/>
          <w:noProof/>
          <w:sz w:val="22"/>
          <w:szCs w:val="22"/>
        </w:rPr>
        <w:fldChar w:fldCharType="end"/>
      </w:r>
      <w:r w:rsidR="00B922D9" w:rsidRPr="009E34EC">
        <w:rPr>
          <w:rFonts w:ascii="Arial" w:hAnsi="Arial" w:cs="Arial"/>
          <w:sz w:val="22"/>
          <w:szCs w:val="22"/>
        </w:rPr>
        <w:t>.</w:t>
      </w:r>
      <w:r w:rsidR="00B922D9" w:rsidRPr="009E34EC">
        <w:rPr>
          <w:rFonts w:ascii="Arial" w:hAnsi="Arial" w:cs="Arial"/>
          <w:sz w:val="22"/>
          <w:szCs w:val="22"/>
        </w:rPr>
        <w:tab/>
      </w:r>
      <w:r w:rsidR="00AC4D46" w:rsidRPr="009E34EC">
        <w:rPr>
          <w:rFonts w:ascii="Arial" w:hAnsi="Arial" w:cs="Arial"/>
          <w:sz w:val="22"/>
          <w:szCs w:val="22"/>
          <w:lang w:val="es-ES_tradnl"/>
        </w:rPr>
        <w:t>Indicadores</w:t>
      </w:r>
      <w:r w:rsidR="00AC4D46" w:rsidRPr="009E34EC">
        <w:rPr>
          <w:rFonts w:ascii="Arial" w:hAnsi="Arial" w:cs="Arial"/>
          <w:sz w:val="22"/>
          <w:szCs w:val="22"/>
          <w:lang w:val="es-BO"/>
        </w:rPr>
        <w:t xml:space="preserve"> principales para la evaluación</w:t>
      </w:r>
      <w:bookmarkEnd w:id="10"/>
    </w:p>
    <w:p w14:paraId="2341A629" w14:textId="77777777" w:rsidR="00ED751C" w:rsidRPr="009E34EC" w:rsidRDefault="00AC4D46" w:rsidP="00AC4D46">
      <w:pPr>
        <w:pStyle w:val="Paragraph"/>
        <w:tabs>
          <w:tab w:val="num" w:pos="720"/>
        </w:tabs>
        <w:ind w:left="720" w:hanging="720"/>
        <w:rPr>
          <w:rFonts w:ascii="Arial" w:hAnsi="Arial" w:cs="Arial"/>
          <w:sz w:val="22"/>
          <w:szCs w:val="22"/>
        </w:rPr>
      </w:pPr>
      <w:r w:rsidRPr="009E34EC">
        <w:rPr>
          <w:rFonts w:ascii="Arial" w:hAnsi="Arial" w:cs="Arial"/>
          <w:sz w:val="22"/>
          <w:szCs w:val="22"/>
        </w:rPr>
        <w:t>Los indicadores principales considerados para la evaluación del programa</w:t>
      </w:r>
      <w:r w:rsidR="00CA1893" w:rsidRPr="009E34EC">
        <w:rPr>
          <w:rFonts w:ascii="Arial" w:hAnsi="Arial" w:cs="Arial"/>
          <w:sz w:val="22"/>
          <w:szCs w:val="22"/>
        </w:rPr>
        <w:t>,</w:t>
      </w:r>
      <w:r w:rsidRPr="009E34EC">
        <w:rPr>
          <w:rFonts w:ascii="Arial" w:hAnsi="Arial" w:cs="Arial"/>
          <w:sz w:val="22"/>
          <w:szCs w:val="22"/>
        </w:rPr>
        <w:t xml:space="preserve"> </w:t>
      </w:r>
      <w:r w:rsidR="00CA1893" w:rsidRPr="009E34EC">
        <w:rPr>
          <w:rFonts w:ascii="Arial" w:hAnsi="Arial" w:cs="Arial"/>
          <w:sz w:val="22"/>
          <w:szCs w:val="22"/>
        </w:rPr>
        <w:t>fueron</w:t>
      </w:r>
      <w:r w:rsidR="009E3F81" w:rsidRPr="009E34EC">
        <w:rPr>
          <w:rFonts w:ascii="Arial" w:hAnsi="Arial" w:cs="Arial"/>
          <w:sz w:val="22"/>
          <w:szCs w:val="22"/>
        </w:rPr>
        <w:t xml:space="preserve"> acordados en la Matriz de Resultados para medir el impacto y los resultados de las medidas de reforma.  </w:t>
      </w:r>
      <w:r w:rsidR="009E3F81" w:rsidRPr="009E34EC">
        <w:rPr>
          <w:rFonts w:ascii="Arial" w:hAnsi="Arial" w:cs="Arial"/>
          <w:sz w:val="22"/>
          <w:szCs w:val="22"/>
          <w:lang w:val="es-ES_tradnl"/>
        </w:rPr>
        <w:t>Los diferentes productos o compromisos</w:t>
      </w:r>
      <w:r w:rsidR="00E50057" w:rsidRPr="009E34EC">
        <w:rPr>
          <w:rFonts w:ascii="Arial" w:hAnsi="Arial" w:cs="Arial"/>
          <w:sz w:val="22"/>
          <w:szCs w:val="22"/>
          <w:lang w:val="es-ES_tradnl"/>
        </w:rPr>
        <w:t xml:space="preserve"> del programa, mencionados en la sección anterior,</w:t>
      </w:r>
      <w:r w:rsidR="009E3F81" w:rsidRPr="009E34EC">
        <w:rPr>
          <w:rFonts w:ascii="Arial" w:hAnsi="Arial" w:cs="Arial"/>
          <w:sz w:val="22"/>
          <w:szCs w:val="22"/>
          <w:lang w:val="es-ES_tradnl"/>
        </w:rPr>
        <w:t xml:space="preserve"> están vinculados</w:t>
      </w:r>
      <w:r w:rsidR="00E50057" w:rsidRPr="009E34EC">
        <w:rPr>
          <w:rFonts w:ascii="Arial" w:hAnsi="Arial" w:cs="Arial"/>
          <w:sz w:val="22"/>
          <w:szCs w:val="22"/>
          <w:lang w:val="es-ES_tradnl"/>
        </w:rPr>
        <w:t xml:space="preserve"> a la inducción de</w:t>
      </w:r>
      <w:r w:rsidR="009E3F81" w:rsidRPr="009E34EC">
        <w:rPr>
          <w:rFonts w:ascii="Arial" w:hAnsi="Arial" w:cs="Arial"/>
          <w:sz w:val="22"/>
          <w:szCs w:val="22"/>
          <w:lang w:val="es-ES_tradnl"/>
        </w:rPr>
        <w:t xml:space="preserve"> </w:t>
      </w:r>
      <w:r w:rsidR="009E34EC">
        <w:rPr>
          <w:rFonts w:ascii="Arial" w:hAnsi="Arial" w:cs="Arial"/>
          <w:sz w:val="22"/>
          <w:szCs w:val="22"/>
          <w:lang w:val="es-ES_tradnl"/>
        </w:rPr>
        <w:t>estos</w:t>
      </w:r>
      <w:r w:rsidR="009E3F81" w:rsidRPr="009E34EC">
        <w:rPr>
          <w:rFonts w:ascii="Arial" w:hAnsi="Arial" w:cs="Arial"/>
          <w:sz w:val="22"/>
          <w:szCs w:val="22"/>
          <w:lang w:val="es-ES_tradnl"/>
        </w:rPr>
        <w:t xml:space="preserve"> resultados, los cuales tienen asociada una línea base (2015) y </w:t>
      </w:r>
      <w:r w:rsidR="00E50057" w:rsidRPr="009E34EC">
        <w:rPr>
          <w:rFonts w:ascii="Arial" w:hAnsi="Arial" w:cs="Arial"/>
          <w:sz w:val="22"/>
          <w:szCs w:val="22"/>
          <w:lang w:val="es-ES_tradnl"/>
        </w:rPr>
        <w:t>una medida de</w:t>
      </w:r>
      <w:r w:rsidR="009E3F81" w:rsidRPr="009E34EC">
        <w:rPr>
          <w:rFonts w:ascii="Arial" w:hAnsi="Arial" w:cs="Arial"/>
          <w:sz w:val="22"/>
          <w:szCs w:val="22"/>
          <w:lang w:val="es-ES_tradnl"/>
        </w:rPr>
        <w:t xml:space="preserve"> su avance anual hasta 2020, teniendo en cuenta los compromisos establecidos para las dos operaciones. El Cuadro III-1 muestra dichos resultados con los indicadores asociados y los mecanismos de verificación o fuentes de información respectivos</w:t>
      </w:r>
      <w:r w:rsidR="001033AB" w:rsidRPr="009E34EC">
        <w:rPr>
          <w:rFonts w:ascii="Arial" w:hAnsi="Arial" w:cs="Arial"/>
          <w:sz w:val="22"/>
          <w:szCs w:val="22"/>
        </w:rPr>
        <w:t>:</w:t>
      </w:r>
    </w:p>
    <w:p w14:paraId="2341A62A" w14:textId="77777777" w:rsidR="001033AB" w:rsidRDefault="001033AB" w:rsidP="001033AB">
      <w:pPr>
        <w:pStyle w:val="Paragraph"/>
        <w:numPr>
          <w:ilvl w:val="0"/>
          <w:numId w:val="0"/>
        </w:numPr>
        <w:ind w:left="720"/>
        <w:rPr>
          <w:rFonts w:ascii="Arial" w:hAnsi="Arial" w:cs="Arial"/>
          <w:sz w:val="22"/>
          <w:szCs w:val="22"/>
        </w:rPr>
        <w:sectPr w:rsidR="001033AB" w:rsidSect="00AC5DD0">
          <w:pgSz w:w="12240" w:h="15840" w:code="1"/>
          <w:pgMar w:top="1440" w:right="1800" w:bottom="1440" w:left="1800" w:header="706" w:footer="706" w:gutter="0"/>
          <w:cols w:space="720"/>
          <w:formProt w:val="0"/>
          <w:titlePg/>
          <w:docGrid w:linePitch="326"/>
        </w:sectPr>
      </w:pPr>
    </w:p>
    <w:p w14:paraId="2341A62B" w14:textId="77777777" w:rsidR="001033AB" w:rsidRPr="001033AB" w:rsidRDefault="009E3F81" w:rsidP="001033AB">
      <w:pPr>
        <w:autoSpaceDE w:val="0"/>
        <w:autoSpaceDN w:val="0"/>
        <w:adjustRightInd w:val="0"/>
        <w:spacing w:after="120"/>
        <w:jc w:val="center"/>
        <w:rPr>
          <w:rFonts w:ascii="Arial" w:hAnsi="Arial" w:cs="Arial"/>
          <w:b/>
          <w:smallCaps/>
          <w:sz w:val="20"/>
          <w:lang w:val="es-BO"/>
        </w:rPr>
      </w:pPr>
      <w:r>
        <w:rPr>
          <w:rFonts w:ascii="Arial" w:hAnsi="Arial" w:cs="Arial"/>
          <w:b/>
          <w:smallCaps/>
          <w:sz w:val="20"/>
          <w:lang w:val="es-BO"/>
        </w:rPr>
        <w:lastRenderedPageBreak/>
        <w:t xml:space="preserve">Cuadro </w:t>
      </w:r>
      <w:r w:rsidR="00EE3314">
        <w:rPr>
          <w:rFonts w:ascii="Arial" w:hAnsi="Arial" w:cs="Arial"/>
          <w:b/>
          <w:smallCaps/>
          <w:sz w:val="20"/>
          <w:lang w:val="es-BO"/>
        </w:rPr>
        <w:t>3</w:t>
      </w:r>
      <w:r>
        <w:rPr>
          <w:rFonts w:ascii="Arial" w:hAnsi="Arial" w:cs="Arial"/>
          <w:b/>
          <w:smallCaps/>
          <w:sz w:val="20"/>
          <w:lang w:val="es-BO"/>
        </w:rPr>
        <w:t xml:space="preserve">-1  Indicadores de </w:t>
      </w:r>
      <w:r w:rsidR="001033AB" w:rsidRPr="001033AB">
        <w:rPr>
          <w:rFonts w:ascii="Arial" w:hAnsi="Arial" w:cs="Arial"/>
          <w:b/>
          <w:smallCaps/>
          <w:sz w:val="20"/>
          <w:lang w:val="es-BO"/>
        </w:rPr>
        <w:t xml:space="preserve">Impacto </w:t>
      </w:r>
      <w:r>
        <w:rPr>
          <w:rFonts w:ascii="Arial" w:hAnsi="Arial" w:cs="Arial"/>
          <w:b/>
          <w:smallCaps/>
          <w:sz w:val="20"/>
          <w:lang w:val="es-BO"/>
        </w:rPr>
        <w:t xml:space="preserve">y Resultados </w:t>
      </w:r>
      <w:r w:rsidR="001033AB" w:rsidRPr="001033AB">
        <w:rPr>
          <w:rFonts w:ascii="Arial" w:hAnsi="Arial" w:cs="Arial"/>
          <w:b/>
          <w:smallCaps/>
          <w:sz w:val="20"/>
          <w:lang w:val="es-BO"/>
        </w:rPr>
        <w:t>esperado</w:t>
      </w:r>
      <w:r>
        <w:rPr>
          <w:rFonts w:ascii="Arial" w:hAnsi="Arial" w:cs="Arial"/>
          <w:b/>
          <w:smallCaps/>
          <w:sz w:val="20"/>
          <w:lang w:val="es-BO"/>
        </w:rPr>
        <w:t>s</w:t>
      </w:r>
    </w:p>
    <w:tbl>
      <w:tblPr>
        <w:tblW w:w="1483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1620"/>
        <w:gridCol w:w="1980"/>
        <w:gridCol w:w="1543"/>
        <w:gridCol w:w="3150"/>
        <w:gridCol w:w="2760"/>
      </w:tblGrid>
      <w:tr w:rsidR="00131FFA" w:rsidRPr="00131FFA" w14:paraId="2341A633" w14:textId="77777777" w:rsidTr="00131FFA">
        <w:trPr>
          <w:trHeight w:val="467"/>
        </w:trPr>
        <w:tc>
          <w:tcPr>
            <w:tcW w:w="3780" w:type="dxa"/>
            <w:shd w:val="clear" w:color="auto" w:fill="D9D9D9" w:themeFill="background1" w:themeFillShade="D9"/>
            <w:vAlign w:val="center"/>
          </w:tcPr>
          <w:p w14:paraId="2341A62C" w14:textId="77777777" w:rsidR="00131FFA" w:rsidRPr="00131FFA" w:rsidRDefault="00131FFA" w:rsidP="00131FFA">
            <w:pPr>
              <w:jc w:val="center"/>
              <w:rPr>
                <w:rFonts w:ascii="Arial" w:eastAsia="Calibri" w:hAnsi="Arial" w:cs="Arial"/>
                <w:b/>
                <w:sz w:val="20"/>
                <w:lang w:val="es-BO"/>
              </w:rPr>
            </w:pPr>
            <w:r w:rsidRPr="00131FFA">
              <w:rPr>
                <w:rFonts w:ascii="Arial" w:eastAsia="Calibri" w:hAnsi="Arial" w:cs="Arial"/>
                <w:b/>
                <w:sz w:val="20"/>
                <w:lang w:val="es-BO"/>
              </w:rPr>
              <w:t>Indicador</w:t>
            </w:r>
          </w:p>
        </w:tc>
        <w:tc>
          <w:tcPr>
            <w:tcW w:w="1620" w:type="dxa"/>
            <w:shd w:val="clear" w:color="auto" w:fill="D9D9D9" w:themeFill="background1" w:themeFillShade="D9"/>
            <w:vAlign w:val="center"/>
          </w:tcPr>
          <w:p w14:paraId="2341A62D" w14:textId="77777777" w:rsidR="00131FFA" w:rsidRPr="00131FFA" w:rsidRDefault="00131FFA" w:rsidP="00131FFA">
            <w:pPr>
              <w:jc w:val="center"/>
              <w:rPr>
                <w:rFonts w:ascii="Arial" w:eastAsia="Calibri" w:hAnsi="Arial" w:cs="Arial"/>
                <w:b/>
                <w:sz w:val="20"/>
                <w:lang w:val="es-BO"/>
              </w:rPr>
            </w:pPr>
            <w:r w:rsidRPr="00131FFA">
              <w:rPr>
                <w:rFonts w:ascii="Arial" w:eastAsia="Calibri" w:hAnsi="Arial" w:cs="Arial"/>
                <w:b/>
                <w:sz w:val="20"/>
                <w:lang w:val="es-BO"/>
              </w:rPr>
              <w:t>Unidad de medida</w:t>
            </w:r>
          </w:p>
        </w:tc>
        <w:tc>
          <w:tcPr>
            <w:tcW w:w="1980" w:type="dxa"/>
            <w:shd w:val="clear" w:color="auto" w:fill="D9D9D9" w:themeFill="background1" w:themeFillShade="D9"/>
            <w:vAlign w:val="center"/>
          </w:tcPr>
          <w:p w14:paraId="2341A62E" w14:textId="77777777" w:rsidR="00131FFA" w:rsidRPr="00131FFA" w:rsidRDefault="00131FFA" w:rsidP="00131FFA">
            <w:pPr>
              <w:jc w:val="center"/>
              <w:rPr>
                <w:rFonts w:ascii="Arial" w:eastAsia="Calibri" w:hAnsi="Arial" w:cs="Arial"/>
                <w:b/>
                <w:sz w:val="20"/>
                <w:lang w:val="es-BO"/>
              </w:rPr>
            </w:pPr>
            <w:r w:rsidRPr="00131FFA">
              <w:rPr>
                <w:rFonts w:ascii="Arial" w:eastAsia="Calibri" w:hAnsi="Arial" w:cs="Arial"/>
                <w:b/>
                <w:sz w:val="20"/>
                <w:lang w:val="es-BO"/>
              </w:rPr>
              <w:t>Línea de base (2015)</w:t>
            </w:r>
          </w:p>
        </w:tc>
        <w:tc>
          <w:tcPr>
            <w:tcW w:w="1543" w:type="dxa"/>
            <w:shd w:val="clear" w:color="auto" w:fill="D9D9D9" w:themeFill="background1" w:themeFillShade="D9"/>
            <w:vAlign w:val="center"/>
          </w:tcPr>
          <w:p w14:paraId="2341A62F" w14:textId="77777777" w:rsidR="00131FFA" w:rsidRPr="00131FFA" w:rsidRDefault="00131FFA" w:rsidP="00131FFA">
            <w:pPr>
              <w:jc w:val="center"/>
              <w:rPr>
                <w:rFonts w:ascii="Arial" w:eastAsia="Calibri" w:hAnsi="Arial" w:cs="Arial"/>
                <w:b/>
                <w:sz w:val="20"/>
                <w:lang w:val="es-BO"/>
              </w:rPr>
            </w:pPr>
            <w:r w:rsidRPr="00131FFA">
              <w:rPr>
                <w:rFonts w:ascii="Arial" w:eastAsia="Calibri" w:hAnsi="Arial" w:cs="Arial"/>
                <w:b/>
                <w:sz w:val="20"/>
                <w:lang w:val="es-BO"/>
              </w:rPr>
              <w:t>Meta Final (2020)</w:t>
            </w:r>
          </w:p>
        </w:tc>
        <w:tc>
          <w:tcPr>
            <w:tcW w:w="3150" w:type="dxa"/>
            <w:shd w:val="clear" w:color="auto" w:fill="D9D9D9" w:themeFill="background1" w:themeFillShade="D9"/>
            <w:vAlign w:val="center"/>
          </w:tcPr>
          <w:p w14:paraId="2341A630" w14:textId="77777777" w:rsidR="00131FFA" w:rsidRPr="00131FFA" w:rsidRDefault="00131FFA" w:rsidP="00131FFA">
            <w:pPr>
              <w:jc w:val="center"/>
              <w:rPr>
                <w:rFonts w:ascii="Arial" w:eastAsia="Calibri" w:hAnsi="Arial" w:cs="Arial"/>
                <w:b/>
                <w:sz w:val="20"/>
              </w:rPr>
            </w:pPr>
            <w:r w:rsidRPr="00131FFA">
              <w:rPr>
                <w:rFonts w:ascii="Arial" w:eastAsia="Calibri" w:hAnsi="Arial" w:cs="Arial"/>
                <w:b/>
                <w:sz w:val="20"/>
                <w:lang w:val="es-BO"/>
              </w:rPr>
              <w:t>Medios de verificación/</w:t>
            </w:r>
          </w:p>
          <w:p w14:paraId="2341A631" w14:textId="77777777" w:rsidR="00131FFA" w:rsidRPr="00131FFA" w:rsidRDefault="00131FFA" w:rsidP="00131FFA">
            <w:pPr>
              <w:jc w:val="center"/>
              <w:rPr>
                <w:rFonts w:ascii="Arial" w:eastAsia="Calibri" w:hAnsi="Arial" w:cs="Arial"/>
                <w:b/>
                <w:sz w:val="20"/>
              </w:rPr>
            </w:pPr>
            <w:r w:rsidRPr="00131FFA">
              <w:rPr>
                <w:rFonts w:ascii="Arial" w:eastAsia="Calibri" w:hAnsi="Arial" w:cs="Arial"/>
                <w:b/>
                <w:sz w:val="20"/>
                <w:lang w:val="es-CO"/>
              </w:rPr>
              <w:t>Observaciones</w:t>
            </w:r>
          </w:p>
        </w:tc>
        <w:tc>
          <w:tcPr>
            <w:tcW w:w="2760" w:type="dxa"/>
            <w:shd w:val="clear" w:color="auto" w:fill="D9D9D9" w:themeFill="background1" w:themeFillShade="D9"/>
            <w:vAlign w:val="center"/>
          </w:tcPr>
          <w:p w14:paraId="2341A632" w14:textId="77777777" w:rsidR="00131FFA" w:rsidRPr="00131FFA" w:rsidRDefault="00131FFA" w:rsidP="00131FFA">
            <w:pPr>
              <w:jc w:val="center"/>
              <w:rPr>
                <w:rFonts w:ascii="Arial" w:eastAsia="Calibri" w:hAnsi="Arial" w:cs="Arial"/>
                <w:b/>
                <w:sz w:val="20"/>
                <w:lang w:val="es-CO"/>
              </w:rPr>
            </w:pPr>
            <w:r w:rsidRPr="00131FFA">
              <w:rPr>
                <w:rFonts w:ascii="Arial" w:eastAsia="Calibri" w:hAnsi="Arial" w:cs="Arial"/>
                <w:b/>
                <w:sz w:val="20"/>
                <w:lang w:val="es-CO"/>
              </w:rPr>
              <w:t>Comentarios</w:t>
            </w:r>
          </w:p>
        </w:tc>
      </w:tr>
      <w:tr w:rsidR="00131FFA" w:rsidRPr="009F52DA" w14:paraId="2341A636" w14:textId="77777777" w:rsidTr="00131FFA">
        <w:trPr>
          <w:trHeight w:val="215"/>
        </w:trPr>
        <w:tc>
          <w:tcPr>
            <w:tcW w:w="12073" w:type="dxa"/>
            <w:gridSpan w:val="5"/>
            <w:shd w:val="clear" w:color="auto" w:fill="C6D9F1" w:themeFill="text2" w:themeFillTint="33"/>
          </w:tcPr>
          <w:p w14:paraId="2341A634" w14:textId="77777777" w:rsidR="00131FFA" w:rsidRPr="00131FFA" w:rsidRDefault="00131FFA" w:rsidP="00131FFA">
            <w:pPr>
              <w:numPr>
                <w:ilvl w:val="0"/>
                <w:numId w:val="6"/>
              </w:numPr>
              <w:spacing w:before="120" w:after="120" w:line="276" w:lineRule="auto"/>
              <w:ind w:left="360"/>
              <w:rPr>
                <w:rFonts w:ascii="Arial" w:eastAsia="Calibri" w:hAnsi="Arial" w:cs="Arial"/>
                <w:b/>
                <w:i/>
                <w:sz w:val="20"/>
                <w:lang w:val="es-BO"/>
              </w:rPr>
            </w:pPr>
            <w:r w:rsidRPr="00131FFA">
              <w:rPr>
                <w:rFonts w:ascii="Arial" w:eastAsia="Calibri" w:hAnsi="Arial" w:cs="Arial"/>
                <w:b/>
                <w:i/>
                <w:sz w:val="20"/>
                <w:lang w:val="es-BO"/>
              </w:rPr>
              <w:t>Asegurar oferta de energía eléctrica eficiente</w:t>
            </w:r>
          </w:p>
        </w:tc>
        <w:tc>
          <w:tcPr>
            <w:tcW w:w="2760" w:type="dxa"/>
            <w:shd w:val="clear" w:color="auto" w:fill="C6D9F1" w:themeFill="text2" w:themeFillTint="33"/>
          </w:tcPr>
          <w:p w14:paraId="2341A635" w14:textId="77777777" w:rsidR="00131FFA" w:rsidRPr="00131FFA" w:rsidRDefault="00131FFA" w:rsidP="00131FFA">
            <w:pPr>
              <w:spacing w:before="120" w:after="120"/>
              <w:ind w:left="360"/>
              <w:rPr>
                <w:rFonts w:ascii="Arial" w:eastAsia="Calibri" w:hAnsi="Arial" w:cs="Arial"/>
                <w:b/>
                <w:i/>
                <w:sz w:val="20"/>
                <w:lang w:val="es-BO"/>
              </w:rPr>
            </w:pPr>
          </w:p>
        </w:tc>
      </w:tr>
      <w:tr w:rsidR="00131FFA" w:rsidRPr="009F52DA" w14:paraId="2341A63D" w14:textId="77777777" w:rsidTr="00131FFA">
        <w:trPr>
          <w:trHeight w:val="719"/>
        </w:trPr>
        <w:tc>
          <w:tcPr>
            <w:tcW w:w="3780" w:type="dxa"/>
            <w:vAlign w:val="center"/>
          </w:tcPr>
          <w:p w14:paraId="2341A637" w14:textId="77777777" w:rsidR="00131FFA" w:rsidRPr="00131FFA" w:rsidRDefault="00131FFA" w:rsidP="00131FFA">
            <w:pPr>
              <w:contextualSpacing/>
              <w:rPr>
                <w:rFonts w:ascii="Arial" w:eastAsia="Calibri" w:hAnsi="Arial" w:cs="Arial"/>
                <w:sz w:val="20"/>
                <w:lang w:val="es-BO"/>
              </w:rPr>
            </w:pPr>
            <w:r w:rsidRPr="00131FFA">
              <w:rPr>
                <w:rFonts w:ascii="Arial" w:eastAsia="Calibri" w:hAnsi="Arial" w:cs="Arial"/>
                <w:sz w:val="20"/>
                <w:lang w:val="es-BO"/>
              </w:rPr>
              <w:t>1.1 Capacidad nominal de generación en el SIN</w:t>
            </w:r>
          </w:p>
        </w:tc>
        <w:tc>
          <w:tcPr>
            <w:tcW w:w="1620" w:type="dxa"/>
            <w:vAlign w:val="center"/>
          </w:tcPr>
          <w:p w14:paraId="2341A638" w14:textId="77777777" w:rsidR="00131FFA" w:rsidRPr="00131FFA" w:rsidRDefault="00131FFA" w:rsidP="00131FFA">
            <w:pPr>
              <w:jc w:val="center"/>
              <w:rPr>
                <w:rFonts w:ascii="Arial" w:eastAsia="Calibri" w:hAnsi="Arial" w:cs="Arial"/>
                <w:sz w:val="20"/>
                <w:lang w:val="es-BO"/>
              </w:rPr>
            </w:pPr>
            <w:r w:rsidRPr="00131FFA">
              <w:rPr>
                <w:rFonts w:ascii="Arial" w:eastAsia="Calibri" w:hAnsi="Arial" w:cs="Arial"/>
                <w:sz w:val="20"/>
                <w:lang w:val="es-BO"/>
              </w:rPr>
              <w:t>MW</w:t>
            </w:r>
          </w:p>
        </w:tc>
        <w:tc>
          <w:tcPr>
            <w:tcW w:w="1980" w:type="dxa"/>
            <w:vAlign w:val="center"/>
          </w:tcPr>
          <w:p w14:paraId="2341A639" w14:textId="77777777" w:rsidR="00131FFA" w:rsidRPr="00131FFA" w:rsidRDefault="00131FFA" w:rsidP="00131FFA">
            <w:pPr>
              <w:ind w:left="-117"/>
              <w:jc w:val="center"/>
              <w:rPr>
                <w:rFonts w:ascii="Arial" w:eastAsia="Calibri" w:hAnsi="Arial" w:cs="Arial"/>
                <w:sz w:val="20"/>
                <w:lang w:val="es-ES_tradnl"/>
              </w:rPr>
            </w:pPr>
            <w:r w:rsidRPr="00131FFA">
              <w:rPr>
                <w:rFonts w:ascii="Arial" w:eastAsia="Calibri" w:hAnsi="Arial" w:cs="Arial"/>
                <w:sz w:val="20"/>
                <w:lang w:val="es-ES_tradnl"/>
              </w:rPr>
              <w:t>16.420</w:t>
            </w:r>
          </w:p>
        </w:tc>
        <w:tc>
          <w:tcPr>
            <w:tcW w:w="1543" w:type="dxa"/>
            <w:vAlign w:val="center"/>
          </w:tcPr>
          <w:p w14:paraId="2341A63A"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20.968</w:t>
            </w:r>
          </w:p>
        </w:tc>
        <w:tc>
          <w:tcPr>
            <w:tcW w:w="3150" w:type="dxa"/>
            <w:vAlign w:val="center"/>
          </w:tcPr>
          <w:p w14:paraId="2341A63B" w14:textId="77777777" w:rsidR="00131FFA" w:rsidRPr="00131FFA" w:rsidRDefault="00131FFA" w:rsidP="00472C9E">
            <w:pPr>
              <w:spacing w:line="276" w:lineRule="auto"/>
              <w:jc w:val="center"/>
              <w:rPr>
                <w:rFonts w:ascii="Arial" w:eastAsia="Calibri" w:hAnsi="Arial" w:cs="Arial"/>
                <w:sz w:val="20"/>
                <w:lang w:val="es-ES_tradnl"/>
              </w:rPr>
            </w:pPr>
            <w:r w:rsidRPr="00131FFA">
              <w:rPr>
                <w:rFonts w:ascii="Arial" w:eastAsia="Calibri" w:hAnsi="Arial" w:cs="Arial"/>
                <w:sz w:val="20"/>
                <w:lang w:val="es-ES_tradnl"/>
              </w:rPr>
              <w:t>Plan Indicativo de Expansión Generación -Transmisión UPME 2016 (Escenario 0)</w:t>
            </w:r>
          </w:p>
        </w:tc>
        <w:tc>
          <w:tcPr>
            <w:tcW w:w="2760" w:type="dxa"/>
          </w:tcPr>
          <w:p w14:paraId="2341A63C" w14:textId="77777777" w:rsidR="00131FFA" w:rsidRPr="00131FFA" w:rsidRDefault="00131FFA" w:rsidP="00131FFA">
            <w:pPr>
              <w:spacing w:after="200" w:line="276" w:lineRule="auto"/>
              <w:rPr>
                <w:rFonts w:ascii="Arial" w:eastAsia="Calibri" w:hAnsi="Arial" w:cs="Arial"/>
                <w:sz w:val="20"/>
                <w:lang w:val="es-ES_tradnl"/>
              </w:rPr>
            </w:pPr>
          </w:p>
        </w:tc>
      </w:tr>
      <w:tr w:rsidR="00131FFA" w:rsidRPr="005E03D2" w14:paraId="2341A649" w14:textId="77777777" w:rsidTr="00131FFA">
        <w:trPr>
          <w:trHeight w:val="989"/>
        </w:trPr>
        <w:tc>
          <w:tcPr>
            <w:tcW w:w="3780" w:type="dxa"/>
          </w:tcPr>
          <w:p w14:paraId="2341A63E" w14:textId="77777777" w:rsidR="00131FFA" w:rsidRPr="00131FFA" w:rsidRDefault="00131FFA" w:rsidP="00472C9E">
            <w:pPr>
              <w:contextualSpacing/>
              <w:rPr>
                <w:rFonts w:ascii="Arial" w:eastAsia="Calibri" w:hAnsi="Arial" w:cs="Arial"/>
                <w:sz w:val="20"/>
                <w:lang w:val="es-BO"/>
              </w:rPr>
            </w:pPr>
            <w:r w:rsidRPr="00131FFA">
              <w:rPr>
                <w:rFonts w:ascii="Arial" w:eastAsia="Calibri" w:hAnsi="Arial" w:cs="Arial"/>
                <w:sz w:val="20"/>
                <w:lang w:val="es-BO"/>
              </w:rPr>
              <w:t>1.2 Costo marginal de la operación del sistema a largo plazo (CMLP)</w:t>
            </w:r>
          </w:p>
        </w:tc>
        <w:tc>
          <w:tcPr>
            <w:tcW w:w="1620" w:type="dxa"/>
          </w:tcPr>
          <w:p w14:paraId="2341A63F" w14:textId="77777777" w:rsidR="00131FFA" w:rsidRDefault="00131FFA" w:rsidP="00131FFA">
            <w:pPr>
              <w:jc w:val="center"/>
              <w:rPr>
                <w:rFonts w:ascii="Arial" w:eastAsia="Calibri" w:hAnsi="Arial" w:cs="Arial"/>
                <w:sz w:val="20"/>
                <w:lang w:val="es-BO"/>
              </w:rPr>
            </w:pPr>
          </w:p>
          <w:p w14:paraId="2341A640" w14:textId="77777777" w:rsidR="00131FFA" w:rsidRPr="00131FFA" w:rsidRDefault="00131FFA" w:rsidP="00131FFA">
            <w:pPr>
              <w:jc w:val="center"/>
              <w:rPr>
                <w:rFonts w:ascii="Arial" w:eastAsia="Calibri" w:hAnsi="Arial" w:cs="Arial"/>
                <w:sz w:val="20"/>
                <w:lang w:val="es-BO"/>
              </w:rPr>
            </w:pPr>
            <w:r w:rsidRPr="00131FFA">
              <w:rPr>
                <w:rFonts w:ascii="Arial" w:eastAsia="Calibri" w:hAnsi="Arial" w:cs="Arial"/>
                <w:sz w:val="20"/>
                <w:lang w:val="es-BO"/>
              </w:rPr>
              <w:t>US$/MWh</w:t>
            </w:r>
          </w:p>
        </w:tc>
        <w:tc>
          <w:tcPr>
            <w:tcW w:w="1980" w:type="dxa"/>
          </w:tcPr>
          <w:p w14:paraId="2341A641" w14:textId="77777777" w:rsidR="00131FFA" w:rsidRPr="00131FFA" w:rsidRDefault="00131FFA" w:rsidP="00131FFA">
            <w:pPr>
              <w:ind w:left="-117" w:right="-99"/>
              <w:jc w:val="center"/>
              <w:rPr>
                <w:rFonts w:ascii="Arial" w:eastAsia="Calibri" w:hAnsi="Arial" w:cs="Arial"/>
                <w:sz w:val="20"/>
                <w:lang w:val="es-ES_tradnl"/>
              </w:rPr>
            </w:pPr>
            <w:r w:rsidRPr="00131FFA">
              <w:rPr>
                <w:rFonts w:ascii="Arial" w:eastAsia="Calibri" w:hAnsi="Arial" w:cs="Arial"/>
                <w:sz w:val="20"/>
                <w:lang w:val="es-ES_tradnl"/>
              </w:rPr>
              <w:t>64,5</w:t>
            </w:r>
          </w:p>
          <w:p w14:paraId="2341A642" w14:textId="77777777" w:rsidR="00131FFA" w:rsidRPr="00131FFA" w:rsidRDefault="00131FFA" w:rsidP="00131FFA">
            <w:pPr>
              <w:ind w:left="-117" w:right="-99"/>
              <w:jc w:val="center"/>
              <w:rPr>
                <w:rFonts w:ascii="Arial" w:eastAsia="Calibri" w:hAnsi="Arial" w:cs="Arial"/>
                <w:sz w:val="20"/>
                <w:lang w:val="es-ES_tradnl"/>
              </w:rPr>
            </w:pPr>
            <w:r w:rsidRPr="00131FFA">
              <w:rPr>
                <w:rFonts w:ascii="Arial" w:eastAsia="Calibri" w:hAnsi="Arial" w:cs="Arial"/>
                <w:sz w:val="20"/>
                <w:lang w:val="es-ES_tradnl"/>
              </w:rPr>
              <w:t>precios diciembre 2014</w:t>
            </w:r>
          </w:p>
        </w:tc>
        <w:tc>
          <w:tcPr>
            <w:tcW w:w="1543" w:type="dxa"/>
          </w:tcPr>
          <w:p w14:paraId="2341A643"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54,79</w:t>
            </w:r>
          </w:p>
          <w:p w14:paraId="2341A644" w14:textId="77777777" w:rsidR="00131FFA" w:rsidRPr="00131FFA" w:rsidRDefault="00EA570C" w:rsidP="00131FFA">
            <w:pPr>
              <w:jc w:val="center"/>
              <w:rPr>
                <w:rFonts w:ascii="Arial" w:eastAsia="Calibri" w:hAnsi="Arial" w:cs="Arial"/>
                <w:sz w:val="20"/>
                <w:lang w:val="es-ES_tradnl"/>
              </w:rPr>
            </w:pPr>
            <w:r>
              <w:rPr>
                <w:rFonts w:ascii="Arial" w:eastAsia="Calibri" w:hAnsi="Arial" w:cs="Arial"/>
                <w:sz w:val="20"/>
                <w:lang w:val="es-ES_tradnl"/>
              </w:rPr>
              <w:t xml:space="preserve">A </w:t>
            </w:r>
            <w:r w:rsidR="00131FFA" w:rsidRPr="00131FFA">
              <w:rPr>
                <w:rFonts w:ascii="Arial" w:eastAsia="Calibri" w:hAnsi="Arial" w:cs="Arial"/>
                <w:sz w:val="20"/>
                <w:lang w:val="es-ES_tradnl"/>
              </w:rPr>
              <w:t>precios de diciembre 2015</w:t>
            </w:r>
          </w:p>
          <w:p w14:paraId="2341A645" w14:textId="77777777" w:rsidR="00131FFA" w:rsidRPr="00131FFA" w:rsidRDefault="00131FFA" w:rsidP="00131FFA">
            <w:pPr>
              <w:ind w:right="-108"/>
              <w:jc w:val="center"/>
              <w:rPr>
                <w:rFonts w:ascii="Arial" w:eastAsia="Calibri" w:hAnsi="Arial" w:cs="Arial"/>
                <w:sz w:val="20"/>
                <w:lang w:val="es-ES_tradnl"/>
              </w:rPr>
            </w:pPr>
          </w:p>
        </w:tc>
        <w:tc>
          <w:tcPr>
            <w:tcW w:w="3150" w:type="dxa"/>
          </w:tcPr>
          <w:p w14:paraId="2341A646" w14:textId="77777777" w:rsidR="00131FFA" w:rsidRDefault="00131FFA" w:rsidP="00131FFA">
            <w:pPr>
              <w:jc w:val="center"/>
              <w:rPr>
                <w:rFonts w:ascii="Arial" w:eastAsia="Calibri" w:hAnsi="Arial" w:cs="Arial"/>
                <w:sz w:val="20"/>
                <w:lang w:val="es-ES_tradnl"/>
              </w:rPr>
            </w:pPr>
            <w:r>
              <w:rPr>
                <w:rFonts w:ascii="Arial" w:eastAsia="Calibri" w:hAnsi="Arial" w:cs="Arial"/>
                <w:sz w:val="20"/>
                <w:lang w:val="es-ES_tradnl"/>
              </w:rPr>
              <w:t>Costo línea base:</w:t>
            </w:r>
            <w:r w:rsidRPr="00131FFA">
              <w:rPr>
                <w:rFonts w:ascii="Arial" w:eastAsia="Calibri" w:hAnsi="Arial" w:cs="Arial"/>
                <w:sz w:val="20"/>
                <w:lang w:val="es-ES_tradnl"/>
              </w:rPr>
              <w:t xml:space="preserve"> Plan Indicativo de Expansión 2015-19</w:t>
            </w:r>
          </w:p>
          <w:p w14:paraId="2341A647" w14:textId="77777777" w:rsidR="00131FFA" w:rsidRPr="00131FFA" w:rsidRDefault="00131FFA" w:rsidP="00131FFA">
            <w:pPr>
              <w:spacing w:before="60" w:line="276" w:lineRule="auto"/>
              <w:jc w:val="center"/>
              <w:rPr>
                <w:rFonts w:ascii="Arial" w:eastAsia="Calibri" w:hAnsi="Arial" w:cs="Arial"/>
                <w:sz w:val="20"/>
                <w:lang w:val="es-ES_tradnl"/>
              </w:rPr>
            </w:pPr>
            <w:r w:rsidRPr="00131FFA">
              <w:rPr>
                <w:rFonts w:ascii="Arial" w:eastAsia="Calibri" w:hAnsi="Arial" w:cs="Arial"/>
                <w:sz w:val="20"/>
                <w:lang w:val="es-ES_tradnl"/>
              </w:rPr>
              <w:t>Costo 20</w:t>
            </w:r>
            <w:r>
              <w:rPr>
                <w:rFonts w:ascii="Arial" w:eastAsia="Calibri" w:hAnsi="Arial" w:cs="Arial"/>
                <w:sz w:val="20"/>
                <w:lang w:val="es-ES_tradnl"/>
              </w:rPr>
              <w:t xml:space="preserve">20: </w:t>
            </w:r>
            <w:r w:rsidRPr="00131FFA">
              <w:rPr>
                <w:rFonts w:ascii="Arial" w:eastAsia="Calibri" w:hAnsi="Arial" w:cs="Arial"/>
                <w:sz w:val="20"/>
                <w:lang w:val="es-ES_tradnl"/>
              </w:rPr>
              <w:t>Plan Indicativo de Expansión 2016 - 2030</w:t>
            </w:r>
          </w:p>
        </w:tc>
        <w:tc>
          <w:tcPr>
            <w:tcW w:w="2760" w:type="dxa"/>
          </w:tcPr>
          <w:p w14:paraId="2341A648"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Promedio de los valores esperados del costo marginal mensual del año 2020</w:t>
            </w:r>
          </w:p>
        </w:tc>
      </w:tr>
      <w:tr w:rsidR="00131FFA" w:rsidRPr="005E03D2" w14:paraId="2341A64C" w14:textId="77777777" w:rsidTr="00131FFA">
        <w:trPr>
          <w:trHeight w:val="161"/>
        </w:trPr>
        <w:tc>
          <w:tcPr>
            <w:tcW w:w="12073" w:type="dxa"/>
            <w:gridSpan w:val="5"/>
            <w:shd w:val="clear" w:color="auto" w:fill="C6D9F1" w:themeFill="text2" w:themeFillTint="33"/>
            <w:vAlign w:val="center"/>
          </w:tcPr>
          <w:p w14:paraId="2341A64A" w14:textId="77777777" w:rsidR="00131FFA" w:rsidRPr="00131FFA" w:rsidRDefault="00131FFA" w:rsidP="00131FFA">
            <w:pPr>
              <w:numPr>
                <w:ilvl w:val="0"/>
                <w:numId w:val="6"/>
              </w:numPr>
              <w:spacing w:before="120" w:after="120" w:line="276" w:lineRule="auto"/>
              <w:ind w:left="360"/>
              <w:rPr>
                <w:rFonts w:ascii="Arial" w:eastAsia="Calibri" w:hAnsi="Arial" w:cs="Arial"/>
                <w:b/>
                <w:i/>
                <w:sz w:val="20"/>
                <w:lang w:val="es-BO"/>
              </w:rPr>
            </w:pPr>
            <w:r w:rsidRPr="00131FFA">
              <w:rPr>
                <w:rFonts w:ascii="Arial" w:eastAsia="Calibri" w:hAnsi="Arial" w:cs="Arial"/>
                <w:b/>
                <w:i/>
                <w:color w:val="000000"/>
                <w:sz w:val="20"/>
                <w:lang w:val="es-ES_tradnl"/>
              </w:rPr>
              <w:t>Reducción de emisiones de Gases Efecto Invernadero (GEI)</w:t>
            </w:r>
          </w:p>
        </w:tc>
        <w:tc>
          <w:tcPr>
            <w:tcW w:w="2760" w:type="dxa"/>
            <w:shd w:val="clear" w:color="auto" w:fill="C6D9F1" w:themeFill="text2" w:themeFillTint="33"/>
          </w:tcPr>
          <w:p w14:paraId="2341A64B" w14:textId="77777777" w:rsidR="00131FFA" w:rsidRPr="00131FFA" w:rsidRDefault="00131FFA" w:rsidP="00131FFA">
            <w:pPr>
              <w:spacing w:before="120" w:after="120"/>
              <w:ind w:left="360"/>
              <w:rPr>
                <w:rFonts w:ascii="Arial" w:eastAsia="Calibri" w:hAnsi="Arial" w:cs="Arial"/>
                <w:b/>
                <w:i/>
                <w:color w:val="000000"/>
                <w:sz w:val="20"/>
                <w:lang w:val="es-ES_tradnl"/>
              </w:rPr>
            </w:pPr>
          </w:p>
        </w:tc>
      </w:tr>
      <w:tr w:rsidR="00131FFA" w:rsidRPr="005E03D2" w14:paraId="2341A653" w14:textId="77777777" w:rsidTr="00131FFA">
        <w:trPr>
          <w:trHeight w:val="719"/>
        </w:trPr>
        <w:tc>
          <w:tcPr>
            <w:tcW w:w="3780" w:type="dxa"/>
            <w:vAlign w:val="center"/>
          </w:tcPr>
          <w:p w14:paraId="2341A64D" w14:textId="77777777" w:rsidR="00131FFA" w:rsidRPr="00131FFA" w:rsidRDefault="00131FFA" w:rsidP="00131FFA">
            <w:pPr>
              <w:contextualSpacing/>
              <w:rPr>
                <w:rFonts w:ascii="Arial" w:eastAsia="Calibri" w:hAnsi="Arial" w:cs="Arial"/>
                <w:sz w:val="20"/>
                <w:lang w:val="es-BO"/>
              </w:rPr>
            </w:pPr>
            <w:r w:rsidRPr="00131FFA">
              <w:rPr>
                <w:rFonts w:ascii="Arial" w:eastAsia="Calibri" w:hAnsi="Arial" w:cs="Arial"/>
                <w:sz w:val="20"/>
                <w:lang w:val="es-BO"/>
              </w:rPr>
              <w:t>2.1 E</w:t>
            </w:r>
            <w:r w:rsidRPr="00131FFA">
              <w:rPr>
                <w:rFonts w:ascii="Arial" w:eastAsia="Calibri" w:hAnsi="Arial" w:cs="Arial"/>
                <w:color w:val="000000"/>
                <w:sz w:val="20"/>
                <w:lang w:val="es-ES_tradnl"/>
              </w:rPr>
              <w:t>misiones de Gases Efecto Invernadero (GEI)</w:t>
            </w:r>
            <w:r w:rsidRPr="00131FFA">
              <w:rPr>
                <w:rFonts w:ascii="Arial" w:eastAsia="Calibri" w:hAnsi="Arial" w:cs="Arial"/>
                <w:color w:val="000000"/>
                <w:sz w:val="20"/>
                <w:vertAlign w:val="superscript"/>
                <w:lang w:val="es-ES_tradnl"/>
              </w:rPr>
              <w:footnoteReference w:id="2"/>
            </w:r>
            <w:r w:rsidRPr="00131FFA">
              <w:rPr>
                <w:rFonts w:ascii="Arial" w:eastAsia="Calibri" w:hAnsi="Arial" w:cs="Arial"/>
                <w:color w:val="000000"/>
                <w:sz w:val="20"/>
                <w:lang w:val="es-ES_tradnl"/>
              </w:rPr>
              <w:t xml:space="preserve">. </w:t>
            </w:r>
            <w:r w:rsidRPr="00131FFA">
              <w:rPr>
                <w:rFonts w:ascii="Arial" w:eastAsia="Calibri" w:hAnsi="Arial" w:cs="Arial"/>
                <w:sz w:val="20"/>
                <w:lang w:val="es-ES_tradnl"/>
              </w:rPr>
              <w:t>Sector Eléctrico</w:t>
            </w:r>
          </w:p>
        </w:tc>
        <w:tc>
          <w:tcPr>
            <w:tcW w:w="1620" w:type="dxa"/>
            <w:vAlign w:val="center"/>
          </w:tcPr>
          <w:p w14:paraId="2341A64E" w14:textId="77777777" w:rsidR="00131FFA" w:rsidRPr="00131FFA" w:rsidRDefault="00131FFA" w:rsidP="00472C9E">
            <w:pPr>
              <w:ind w:left="-108"/>
              <w:jc w:val="center"/>
              <w:rPr>
                <w:rFonts w:ascii="Arial" w:eastAsia="Calibri" w:hAnsi="Arial" w:cs="Arial"/>
                <w:sz w:val="20"/>
                <w:lang w:val="es-BO"/>
              </w:rPr>
            </w:pPr>
            <w:r w:rsidRPr="00131FFA">
              <w:rPr>
                <w:rFonts w:ascii="Arial" w:eastAsia="Calibri" w:hAnsi="Arial" w:cs="Arial"/>
                <w:sz w:val="20"/>
                <w:lang w:val="es-ES"/>
              </w:rPr>
              <w:t>Emisiones CO</w:t>
            </w:r>
            <w:r w:rsidRPr="00131FFA">
              <w:rPr>
                <w:rFonts w:ascii="Arial" w:eastAsia="Calibri" w:hAnsi="Arial" w:cs="Arial"/>
                <w:sz w:val="20"/>
                <w:vertAlign w:val="subscript"/>
                <w:lang w:val="es-ES"/>
              </w:rPr>
              <w:t>2</w:t>
            </w:r>
            <w:r w:rsidRPr="00131FFA">
              <w:rPr>
                <w:rFonts w:ascii="Arial" w:eastAsia="Calibri" w:hAnsi="Arial" w:cs="Arial"/>
                <w:sz w:val="20"/>
                <w:lang w:val="es-ES"/>
              </w:rPr>
              <w:t xml:space="preserve"> (tCO2e/millones)</w:t>
            </w:r>
          </w:p>
        </w:tc>
        <w:tc>
          <w:tcPr>
            <w:tcW w:w="1980" w:type="dxa"/>
            <w:vAlign w:val="center"/>
          </w:tcPr>
          <w:p w14:paraId="2341A64F" w14:textId="77777777" w:rsidR="00131FFA" w:rsidRPr="00131FFA" w:rsidRDefault="00131FFA" w:rsidP="00131FFA">
            <w:pPr>
              <w:jc w:val="center"/>
              <w:rPr>
                <w:rFonts w:ascii="Arial" w:eastAsia="Calibri" w:hAnsi="Arial" w:cs="Arial"/>
                <w:sz w:val="20"/>
                <w:lang w:val="es-BO"/>
              </w:rPr>
            </w:pPr>
            <w:r w:rsidRPr="00131FFA">
              <w:rPr>
                <w:rFonts w:ascii="Arial" w:eastAsia="Calibri" w:hAnsi="Arial" w:cs="Arial"/>
                <w:sz w:val="20"/>
                <w:lang w:val="es-BO"/>
              </w:rPr>
              <w:t>14,6</w:t>
            </w:r>
          </w:p>
        </w:tc>
        <w:tc>
          <w:tcPr>
            <w:tcW w:w="1543" w:type="dxa"/>
            <w:vAlign w:val="center"/>
          </w:tcPr>
          <w:p w14:paraId="2341A650" w14:textId="77777777" w:rsidR="00131FFA" w:rsidRPr="00131FFA" w:rsidRDefault="00131FFA" w:rsidP="00131FFA">
            <w:pPr>
              <w:jc w:val="center"/>
              <w:rPr>
                <w:rFonts w:ascii="Arial" w:eastAsia="Calibri" w:hAnsi="Arial" w:cs="Arial"/>
                <w:sz w:val="20"/>
                <w:highlight w:val="yellow"/>
                <w:lang w:val="es-BO"/>
              </w:rPr>
            </w:pPr>
            <w:r w:rsidRPr="00131FFA">
              <w:rPr>
                <w:rFonts w:ascii="Arial" w:eastAsia="Calibri" w:hAnsi="Arial" w:cs="Arial"/>
                <w:sz w:val="20"/>
                <w:lang w:val="es-BO"/>
              </w:rPr>
              <w:t>8,3</w:t>
            </w:r>
          </w:p>
        </w:tc>
        <w:tc>
          <w:tcPr>
            <w:tcW w:w="3150" w:type="dxa"/>
            <w:vAlign w:val="center"/>
          </w:tcPr>
          <w:p w14:paraId="2341A651" w14:textId="77777777" w:rsidR="00131FFA" w:rsidRPr="00131FFA" w:rsidRDefault="00131FFA" w:rsidP="00131FFA">
            <w:pPr>
              <w:spacing w:before="120" w:after="120"/>
              <w:jc w:val="center"/>
              <w:rPr>
                <w:rFonts w:ascii="Arial" w:eastAsia="Calibri" w:hAnsi="Arial" w:cs="Arial"/>
                <w:sz w:val="20"/>
                <w:lang w:val="es-BO"/>
              </w:rPr>
            </w:pPr>
            <w:r w:rsidRPr="00131FFA">
              <w:rPr>
                <w:rFonts w:ascii="Arial" w:eastAsia="Calibri" w:hAnsi="Arial" w:cs="Arial"/>
                <w:sz w:val="20"/>
                <w:lang w:val="es-ES_tradnl"/>
              </w:rPr>
              <w:t>Plan Indicativo de Expansión UPME 2016 (Escenario 0)</w:t>
            </w:r>
          </w:p>
        </w:tc>
        <w:tc>
          <w:tcPr>
            <w:tcW w:w="2760" w:type="dxa"/>
          </w:tcPr>
          <w:p w14:paraId="2341A652" w14:textId="77777777" w:rsidR="00131FFA" w:rsidRPr="00131FFA" w:rsidRDefault="00131FFA" w:rsidP="00131FFA">
            <w:pPr>
              <w:spacing w:before="120" w:after="120"/>
              <w:jc w:val="center"/>
              <w:rPr>
                <w:rFonts w:ascii="Arial" w:eastAsia="Calibri" w:hAnsi="Arial" w:cs="Arial"/>
                <w:sz w:val="20"/>
                <w:lang w:val="es-ES_tradnl"/>
              </w:rPr>
            </w:pPr>
          </w:p>
        </w:tc>
      </w:tr>
    </w:tbl>
    <w:p w14:paraId="2341A654" w14:textId="77777777" w:rsidR="00131FFA" w:rsidRPr="00131FFA" w:rsidRDefault="00131FFA" w:rsidP="00131FFA">
      <w:pPr>
        <w:autoSpaceDE w:val="0"/>
        <w:autoSpaceDN w:val="0"/>
        <w:adjustRightInd w:val="0"/>
        <w:spacing w:after="120"/>
        <w:jc w:val="center"/>
        <w:rPr>
          <w:rFonts w:ascii="Arial" w:eastAsia="Calibri" w:hAnsi="Arial" w:cs="Arial"/>
          <w:b/>
          <w:smallCaps/>
          <w:color w:val="000000"/>
          <w:sz w:val="20"/>
          <w:lang w:val="es-ES_tradnl"/>
        </w:rPr>
      </w:pPr>
    </w:p>
    <w:p w14:paraId="2341A655" w14:textId="77777777" w:rsidR="00131FFA" w:rsidRPr="00131FFA" w:rsidRDefault="00131FFA" w:rsidP="00131FFA">
      <w:pPr>
        <w:autoSpaceDE w:val="0"/>
        <w:autoSpaceDN w:val="0"/>
        <w:adjustRightInd w:val="0"/>
        <w:spacing w:after="120"/>
        <w:jc w:val="center"/>
        <w:rPr>
          <w:rFonts w:ascii="Arial" w:eastAsia="Calibri" w:hAnsi="Arial" w:cs="Arial"/>
          <w:b/>
          <w:smallCaps/>
          <w:color w:val="000000"/>
          <w:sz w:val="20"/>
          <w:lang w:val="es-ES"/>
        </w:rPr>
      </w:pPr>
      <w:r w:rsidRPr="00131FFA">
        <w:rPr>
          <w:rFonts w:ascii="Arial" w:eastAsia="Calibri" w:hAnsi="Arial" w:cs="Arial"/>
          <w:b/>
          <w:smallCaps/>
          <w:color w:val="000000"/>
          <w:sz w:val="20"/>
          <w:lang w:val="es-ES"/>
        </w:rPr>
        <w:t>Resultados Esperados</w:t>
      </w:r>
    </w:p>
    <w:tbl>
      <w:tblPr>
        <w:tblW w:w="1458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80"/>
        <w:gridCol w:w="1530"/>
        <w:gridCol w:w="1800"/>
        <w:gridCol w:w="1530"/>
        <w:gridCol w:w="2070"/>
        <w:gridCol w:w="2430"/>
        <w:gridCol w:w="2340"/>
      </w:tblGrid>
      <w:tr w:rsidR="00131FFA" w:rsidRPr="00131FFA" w14:paraId="2341A65E" w14:textId="77777777" w:rsidTr="000860D0">
        <w:trPr>
          <w:trHeight w:val="251"/>
        </w:trPr>
        <w:tc>
          <w:tcPr>
            <w:tcW w:w="2880" w:type="dxa"/>
            <w:shd w:val="clear" w:color="auto" w:fill="D9D9D9" w:themeFill="background1" w:themeFillShade="D9"/>
            <w:vAlign w:val="center"/>
          </w:tcPr>
          <w:p w14:paraId="2341A656" w14:textId="77777777" w:rsidR="00131FFA" w:rsidRPr="00131FFA" w:rsidRDefault="00131FFA" w:rsidP="00131FFA">
            <w:pPr>
              <w:jc w:val="center"/>
              <w:rPr>
                <w:rFonts w:ascii="Arial" w:eastAsia="Calibri" w:hAnsi="Arial" w:cs="Arial"/>
                <w:b/>
                <w:sz w:val="20"/>
                <w:lang w:val="es-ES"/>
              </w:rPr>
            </w:pPr>
            <w:r w:rsidRPr="00131FFA">
              <w:rPr>
                <w:rFonts w:ascii="Arial" w:eastAsia="Calibri" w:hAnsi="Arial" w:cs="Arial"/>
                <w:b/>
                <w:sz w:val="20"/>
                <w:lang w:val="es-ES"/>
              </w:rPr>
              <w:t xml:space="preserve">Resultado / Indicador </w:t>
            </w:r>
          </w:p>
        </w:tc>
        <w:tc>
          <w:tcPr>
            <w:tcW w:w="1530" w:type="dxa"/>
            <w:shd w:val="clear" w:color="auto" w:fill="D9D9D9" w:themeFill="background1" w:themeFillShade="D9"/>
            <w:vAlign w:val="center"/>
          </w:tcPr>
          <w:p w14:paraId="2341A657" w14:textId="77777777" w:rsidR="00131FFA" w:rsidRPr="00131FFA" w:rsidRDefault="00131FFA" w:rsidP="00131FFA">
            <w:pPr>
              <w:jc w:val="center"/>
              <w:rPr>
                <w:rFonts w:ascii="Arial" w:eastAsia="Calibri" w:hAnsi="Arial" w:cs="Arial"/>
                <w:b/>
                <w:sz w:val="20"/>
                <w:lang w:val="es-ES"/>
              </w:rPr>
            </w:pPr>
            <w:r w:rsidRPr="00131FFA">
              <w:rPr>
                <w:rFonts w:ascii="Arial" w:eastAsia="Calibri" w:hAnsi="Arial" w:cs="Arial"/>
                <w:b/>
                <w:sz w:val="20"/>
                <w:lang w:val="es-ES"/>
              </w:rPr>
              <w:t>Unidad de  medida</w:t>
            </w:r>
          </w:p>
        </w:tc>
        <w:tc>
          <w:tcPr>
            <w:tcW w:w="1800" w:type="dxa"/>
            <w:shd w:val="clear" w:color="auto" w:fill="D9D9D9" w:themeFill="background1" w:themeFillShade="D9"/>
            <w:vAlign w:val="center"/>
          </w:tcPr>
          <w:p w14:paraId="2341A658" w14:textId="77777777" w:rsidR="00131FFA" w:rsidRPr="00131FFA" w:rsidRDefault="00131FFA" w:rsidP="00131FFA">
            <w:pPr>
              <w:jc w:val="center"/>
              <w:rPr>
                <w:rFonts w:ascii="Arial" w:eastAsia="Calibri" w:hAnsi="Arial" w:cs="Arial"/>
                <w:b/>
                <w:sz w:val="20"/>
                <w:lang w:val="es-ES"/>
              </w:rPr>
            </w:pPr>
            <w:r w:rsidRPr="00131FFA">
              <w:rPr>
                <w:rFonts w:ascii="Arial" w:eastAsia="Calibri" w:hAnsi="Arial" w:cs="Arial"/>
                <w:b/>
                <w:sz w:val="20"/>
                <w:lang w:val="es-ES"/>
              </w:rPr>
              <w:t>Línea de base (2015)</w:t>
            </w:r>
          </w:p>
        </w:tc>
        <w:tc>
          <w:tcPr>
            <w:tcW w:w="1530" w:type="dxa"/>
            <w:shd w:val="clear" w:color="auto" w:fill="D9D9D9" w:themeFill="background1" w:themeFillShade="D9"/>
            <w:vAlign w:val="center"/>
          </w:tcPr>
          <w:p w14:paraId="2341A659" w14:textId="77777777" w:rsidR="00131FFA" w:rsidRPr="00131FFA" w:rsidRDefault="00131FFA" w:rsidP="00131FFA">
            <w:pPr>
              <w:jc w:val="center"/>
              <w:rPr>
                <w:rFonts w:ascii="Arial" w:eastAsia="Calibri" w:hAnsi="Arial" w:cs="Arial"/>
                <w:b/>
                <w:sz w:val="20"/>
                <w:lang w:val="es-ES"/>
              </w:rPr>
            </w:pPr>
            <w:r w:rsidRPr="00131FFA">
              <w:rPr>
                <w:rFonts w:ascii="Arial" w:eastAsia="Calibri" w:hAnsi="Arial" w:cs="Arial"/>
                <w:b/>
                <w:sz w:val="20"/>
                <w:lang w:val="es-ES"/>
              </w:rPr>
              <w:t>Meta (2017)</w:t>
            </w:r>
          </w:p>
        </w:tc>
        <w:tc>
          <w:tcPr>
            <w:tcW w:w="2070" w:type="dxa"/>
            <w:shd w:val="clear" w:color="auto" w:fill="D9D9D9" w:themeFill="background1" w:themeFillShade="D9"/>
            <w:vAlign w:val="center"/>
          </w:tcPr>
          <w:p w14:paraId="2341A65A" w14:textId="77777777" w:rsidR="00131FFA" w:rsidRPr="00131FFA" w:rsidRDefault="00131FFA" w:rsidP="00131FFA">
            <w:pPr>
              <w:jc w:val="center"/>
              <w:rPr>
                <w:rFonts w:ascii="Arial" w:eastAsia="Calibri" w:hAnsi="Arial" w:cs="Arial"/>
                <w:b/>
                <w:sz w:val="20"/>
                <w:lang w:val="es-ES"/>
              </w:rPr>
            </w:pPr>
            <w:r w:rsidRPr="00131FFA">
              <w:rPr>
                <w:rFonts w:ascii="Arial" w:eastAsia="Calibri" w:hAnsi="Arial" w:cs="Arial"/>
                <w:b/>
                <w:sz w:val="20"/>
                <w:lang w:val="es-ES"/>
              </w:rPr>
              <w:t>Meta (2020)</w:t>
            </w:r>
          </w:p>
        </w:tc>
        <w:tc>
          <w:tcPr>
            <w:tcW w:w="2430" w:type="dxa"/>
            <w:shd w:val="clear" w:color="auto" w:fill="D9D9D9" w:themeFill="background1" w:themeFillShade="D9"/>
            <w:vAlign w:val="center"/>
          </w:tcPr>
          <w:p w14:paraId="2341A65B" w14:textId="77777777" w:rsidR="00131FFA" w:rsidRPr="00131FFA" w:rsidRDefault="00131FFA" w:rsidP="00131FFA">
            <w:pPr>
              <w:jc w:val="center"/>
              <w:rPr>
                <w:rFonts w:ascii="Arial" w:eastAsia="Calibri" w:hAnsi="Arial" w:cs="Arial"/>
                <w:b/>
                <w:sz w:val="20"/>
                <w:lang w:val="es-ES"/>
              </w:rPr>
            </w:pPr>
            <w:r w:rsidRPr="00131FFA">
              <w:rPr>
                <w:rFonts w:ascii="Arial" w:eastAsia="Calibri" w:hAnsi="Arial" w:cs="Arial"/>
                <w:b/>
                <w:sz w:val="20"/>
                <w:lang w:val="es-ES"/>
              </w:rPr>
              <w:t>Medios de verificación/</w:t>
            </w:r>
          </w:p>
          <w:p w14:paraId="2341A65C" w14:textId="77777777" w:rsidR="00131FFA" w:rsidRPr="00131FFA" w:rsidRDefault="00131FFA" w:rsidP="00131FFA">
            <w:pPr>
              <w:jc w:val="center"/>
              <w:rPr>
                <w:rFonts w:ascii="Arial" w:eastAsia="Calibri" w:hAnsi="Arial" w:cs="Arial"/>
                <w:b/>
                <w:sz w:val="20"/>
                <w:lang w:val="es-ES"/>
              </w:rPr>
            </w:pPr>
            <w:r w:rsidRPr="00131FFA">
              <w:rPr>
                <w:rFonts w:ascii="Arial" w:eastAsia="Calibri" w:hAnsi="Arial" w:cs="Arial"/>
                <w:b/>
                <w:sz w:val="20"/>
                <w:lang w:val="es-ES"/>
              </w:rPr>
              <w:t>Observaciones</w:t>
            </w:r>
          </w:p>
        </w:tc>
        <w:tc>
          <w:tcPr>
            <w:tcW w:w="2340" w:type="dxa"/>
            <w:shd w:val="clear" w:color="auto" w:fill="D9D9D9" w:themeFill="background1" w:themeFillShade="D9"/>
            <w:vAlign w:val="center"/>
          </w:tcPr>
          <w:p w14:paraId="2341A65D" w14:textId="77777777" w:rsidR="00131FFA" w:rsidRPr="00131FFA" w:rsidRDefault="00131FFA" w:rsidP="00131FFA">
            <w:pPr>
              <w:jc w:val="center"/>
              <w:rPr>
                <w:rFonts w:ascii="Arial" w:eastAsia="Calibri" w:hAnsi="Arial" w:cs="Arial"/>
                <w:b/>
                <w:sz w:val="20"/>
                <w:lang w:val="es-ES"/>
              </w:rPr>
            </w:pPr>
            <w:r w:rsidRPr="00131FFA">
              <w:rPr>
                <w:rFonts w:ascii="Arial" w:eastAsia="Calibri" w:hAnsi="Arial" w:cs="Arial"/>
                <w:b/>
                <w:sz w:val="20"/>
                <w:lang w:val="es-ES"/>
              </w:rPr>
              <w:t>Comentarios</w:t>
            </w:r>
            <w:r w:rsidRPr="00131FFA">
              <w:rPr>
                <w:rFonts w:ascii="Arial" w:eastAsia="Calibri" w:hAnsi="Arial" w:cs="Arial"/>
                <w:b/>
                <w:sz w:val="20"/>
                <w:vertAlign w:val="superscript"/>
                <w:lang w:val="es-ES"/>
              </w:rPr>
              <w:t>1</w:t>
            </w:r>
          </w:p>
        </w:tc>
      </w:tr>
      <w:tr w:rsidR="00131FFA" w:rsidRPr="005E03D2" w14:paraId="2341A661" w14:textId="77777777" w:rsidTr="000860D0">
        <w:trPr>
          <w:trHeight w:val="260"/>
        </w:trPr>
        <w:tc>
          <w:tcPr>
            <w:tcW w:w="12240" w:type="dxa"/>
            <w:gridSpan w:val="6"/>
            <w:shd w:val="clear" w:color="auto" w:fill="C6D9F1" w:themeFill="text2" w:themeFillTint="33"/>
          </w:tcPr>
          <w:p w14:paraId="2341A65F" w14:textId="77777777" w:rsidR="00131FFA" w:rsidRPr="00131FFA" w:rsidRDefault="00131FFA" w:rsidP="00131FFA">
            <w:pPr>
              <w:numPr>
                <w:ilvl w:val="0"/>
                <w:numId w:val="7"/>
              </w:numPr>
              <w:spacing w:before="120" w:after="120" w:line="276" w:lineRule="auto"/>
              <w:ind w:left="711"/>
              <w:rPr>
                <w:rFonts w:ascii="Arial" w:eastAsia="Calibri" w:hAnsi="Arial" w:cs="Arial"/>
                <w:b/>
                <w:i/>
                <w:sz w:val="20"/>
                <w:lang w:val="es-ES"/>
              </w:rPr>
            </w:pPr>
            <w:r w:rsidRPr="00131FFA">
              <w:rPr>
                <w:rFonts w:ascii="Arial" w:eastAsia="Calibri" w:hAnsi="Arial" w:cs="Arial"/>
                <w:b/>
                <w:i/>
                <w:sz w:val="20"/>
                <w:lang w:val="es-ES"/>
              </w:rPr>
              <w:t>El marco macroeconómico es consistente con los objetivos del programa y la Carta de Políticas</w:t>
            </w:r>
          </w:p>
        </w:tc>
        <w:tc>
          <w:tcPr>
            <w:tcW w:w="2340" w:type="dxa"/>
            <w:shd w:val="clear" w:color="auto" w:fill="C6D9F1" w:themeFill="text2" w:themeFillTint="33"/>
          </w:tcPr>
          <w:p w14:paraId="2341A660" w14:textId="77777777" w:rsidR="00131FFA" w:rsidRPr="00131FFA" w:rsidRDefault="00131FFA" w:rsidP="00131FFA">
            <w:pPr>
              <w:spacing w:before="120" w:after="120"/>
              <w:ind w:left="351"/>
              <w:rPr>
                <w:rFonts w:ascii="Arial" w:eastAsia="Calibri" w:hAnsi="Arial" w:cs="Arial"/>
                <w:b/>
                <w:i/>
                <w:sz w:val="20"/>
                <w:lang w:val="es-BO"/>
              </w:rPr>
            </w:pPr>
          </w:p>
        </w:tc>
      </w:tr>
      <w:tr w:rsidR="00131FFA" w:rsidRPr="005E03D2" w14:paraId="2341A66D" w14:textId="77777777" w:rsidTr="000860D0">
        <w:trPr>
          <w:trHeight w:val="547"/>
        </w:trPr>
        <w:tc>
          <w:tcPr>
            <w:tcW w:w="2880" w:type="dxa"/>
            <w:vAlign w:val="center"/>
          </w:tcPr>
          <w:p w14:paraId="2341A662" w14:textId="77777777" w:rsidR="00131FFA" w:rsidRPr="00131FFA" w:rsidRDefault="00131FFA" w:rsidP="00131FFA">
            <w:pPr>
              <w:contextualSpacing/>
              <w:rPr>
                <w:rFonts w:ascii="Arial" w:eastAsia="Calibri" w:hAnsi="Arial" w:cs="Arial"/>
                <w:sz w:val="20"/>
                <w:lang w:val="es-BO"/>
              </w:rPr>
            </w:pPr>
            <w:r w:rsidRPr="00131FFA">
              <w:rPr>
                <w:rFonts w:ascii="Arial" w:eastAsia="Calibri" w:hAnsi="Arial" w:cs="Arial"/>
                <w:sz w:val="20"/>
                <w:lang w:val="es-BO"/>
              </w:rPr>
              <w:t xml:space="preserve">1.1 </w:t>
            </w:r>
            <w:r w:rsidRPr="00131FFA">
              <w:rPr>
                <w:rFonts w:ascii="Arial" w:eastAsia="Calibri" w:hAnsi="Arial" w:cs="Arial"/>
                <w:sz w:val="20"/>
                <w:lang w:val="es-ES_tradnl"/>
              </w:rPr>
              <w:t>IAMC ratifica la estabilidad macroeconómica y marco conducente al logro de los objetivos.</w:t>
            </w:r>
          </w:p>
        </w:tc>
        <w:tc>
          <w:tcPr>
            <w:tcW w:w="1530" w:type="dxa"/>
            <w:vAlign w:val="center"/>
          </w:tcPr>
          <w:p w14:paraId="2341A663" w14:textId="77777777" w:rsidR="00131FFA" w:rsidRPr="00131FFA" w:rsidRDefault="00131FFA" w:rsidP="00131FFA">
            <w:pPr>
              <w:jc w:val="center"/>
              <w:rPr>
                <w:rFonts w:ascii="Arial" w:eastAsia="Calibri" w:hAnsi="Arial" w:cs="Arial"/>
                <w:sz w:val="20"/>
                <w:lang w:val="es-BO"/>
              </w:rPr>
            </w:pPr>
            <w:r w:rsidRPr="00131FFA">
              <w:rPr>
                <w:rFonts w:ascii="Arial" w:eastAsia="Calibri" w:hAnsi="Arial" w:cs="Arial"/>
                <w:sz w:val="20"/>
                <w:lang w:val="es-BO"/>
              </w:rPr>
              <w:t>IAMC ratifica estabilidad macroeconómica y marco conducente</w:t>
            </w:r>
          </w:p>
        </w:tc>
        <w:tc>
          <w:tcPr>
            <w:tcW w:w="1800" w:type="dxa"/>
            <w:vAlign w:val="center"/>
          </w:tcPr>
          <w:p w14:paraId="2341A664" w14:textId="77777777" w:rsidR="00131FFA" w:rsidRPr="00131FFA" w:rsidRDefault="00131FFA" w:rsidP="00131FFA">
            <w:pPr>
              <w:spacing w:line="276" w:lineRule="auto"/>
              <w:jc w:val="center"/>
              <w:rPr>
                <w:rFonts w:ascii="Arial" w:eastAsia="Calibri" w:hAnsi="Arial" w:cs="Arial"/>
                <w:sz w:val="20"/>
                <w:lang w:val="es-BO"/>
              </w:rPr>
            </w:pPr>
            <w:r w:rsidRPr="00131FFA">
              <w:rPr>
                <w:rFonts w:ascii="Arial" w:eastAsia="Calibri" w:hAnsi="Arial" w:cs="Arial"/>
                <w:sz w:val="20"/>
                <w:lang w:val="es-BO"/>
              </w:rPr>
              <w:t>Vigente</w:t>
            </w:r>
          </w:p>
        </w:tc>
        <w:tc>
          <w:tcPr>
            <w:tcW w:w="1530" w:type="dxa"/>
            <w:vAlign w:val="center"/>
          </w:tcPr>
          <w:p w14:paraId="2341A665" w14:textId="77777777" w:rsidR="00131FFA" w:rsidRPr="00131FFA" w:rsidRDefault="00131FFA" w:rsidP="00131FFA">
            <w:pPr>
              <w:spacing w:line="276" w:lineRule="auto"/>
              <w:jc w:val="center"/>
              <w:rPr>
                <w:rFonts w:ascii="Arial" w:eastAsia="Calibri" w:hAnsi="Arial" w:cs="Arial"/>
                <w:sz w:val="20"/>
                <w:lang w:val="es-BO"/>
              </w:rPr>
            </w:pPr>
            <w:r w:rsidRPr="00131FFA">
              <w:rPr>
                <w:rFonts w:ascii="Arial" w:eastAsia="Calibri" w:hAnsi="Arial" w:cs="Arial"/>
                <w:sz w:val="20"/>
                <w:lang w:val="es-BO"/>
              </w:rPr>
              <w:t>Vigente</w:t>
            </w:r>
          </w:p>
        </w:tc>
        <w:tc>
          <w:tcPr>
            <w:tcW w:w="2070" w:type="dxa"/>
            <w:vAlign w:val="center"/>
          </w:tcPr>
          <w:p w14:paraId="2341A666" w14:textId="77777777" w:rsidR="00131FFA" w:rsidRPr="00131FFA" w:rsidRDefault="00131FFA" w:rsidP="00131FFA">
            <w:pPr>
              <w:spacing w:line="276" w:lineRule="auto"/>
              <w:jc w:val="center"/>
              <w:rPr>
                <w:rFonts w:ascii="Arial" w:eastAsia="Calibri" w:hAnsi="Arial" w:cs="Arial"/>
                <w:sz w:val="20"/>
                <w:lang w:val="es-BO"/>
              </w:rPr>
            </w:pPr>
            <w:r w:rsidRPr="00131FFA">
              <w:rPr>
                <w:rFonts w:ascii="Arial" w:eastAsia="Calibri" w:hAnsi="Arial" w:cs="Arial"/>
                <w:sz w:val="20"/>
                <w:lang w:val="es-BO"/>
              </w:rPr>
              <w:t>Vigente</w:t>
            </w:r>
          </w:p>
        </w:tc>
        <w:tc>
          <w:tcPr>
            <w:tcW w:w="2430" w:type="dxa"/>
            <w:vAlign w:val="center"/>
          </w:tcPr>
          <w:p w14:paraId="2341A667" w14:textId="77777777" w:rsidR="00472C9E" w:rsidRDefault="00472C9E" w:rsidP="00131FFA">
            <w:pPr>
              <w:jc w:val="center"/>
              <w:rPr>
                <w:rFonts w:ascii="Arial" w:eastAsia="Calibri" w:hAnsi="Arial" w:cs="Arial"/>
                <w:sz w:val="20"/>
                <w:lang w:val="es-ES_tradnl"/>
              </w:rPr>
            </w:pPr>
          </w:p>
          <w:p w14:paraId="2341A668" w14:textId="77777777" w:rsid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IAMC vigente al momento del desembolso.</w:t>
            </w:r>
          </w:p>
          <w:p w14:paraId="2341A669" w14:textId="77777777" w:rsidR="00472C9E" w:rsidRDefault="00472C9E" w:rsidP="00131FFA">
            <w:pPr>
              <w:jc w:val="center"/>
              <w:rPr>
                <w:rFonts w:ascii="Arial" w:eastAsia="Calibri" w:hAnsi="Arial" w:cs="Arial"/>
                <w:sz w:val="20"/>
                <w:lang w:val="es-ES_tradnl"/>
              </w:rPr>
            </w:pPr>
          </w:p>
          <w:p w14:paraId="2341A66A" w14:textId="77777777" w:rsidR="00472C9E" w:rsidRDefault="00472C9E" w:rsidP="00131FFA">
            <w:pPr>
              <w:jc w:val="center"/>
              <w:rPr>
                <w:rFonts w:ascii="Arial" w:eastAsia="Calibri" w:hAnsi="Arial" w:cs="Arial"/>
                <w:sz w:val="20"/>
                <w:lang w:val="es-ES_tradnl"/>
              </w:rPr>
            </w:pPr>
          </w:p>
          <w:p w14:paraId="2341A66B" w14:textId="77777777" w:rsidR="00472C9E" w:rsidRPr="00131FFA" w:rsidRDefault="00472C9E" w:rsidP="00131FFA">
            <w:pPr>
              <w:jc w:val="center"/>
              <w:rPr>
                <w:rFonts w:ascii="Arial" w:eastAsia="Calibri" w:hAnsi="Arial" w:cs="Arial"/>
                <w:sz w:val="20"/>
                <w:lang w:val="es-ES_tradnl"/>
              </w:rPr>
            </w:pPr>
          </w:p>
        </w:tc>
        <w:tc>
          <w:tcPr>
            <w:tcW w:w="2340" w:type="dxa"/>
          </w:tcPr>
          <w:p w14:paraId="2341A66C" w14:textId="77777777" w:rsidR="00131FFA" w:rsidRPr="00131FFA" w:rsidRDefault="00131FFA" w:rsidP="00131FFA">
            <w:pPr>
              <w:jc w:val="center"/>
              <w:rPr>
                <w:rFonts w:ascii="Arial" w:eastAsia="Calibri" w:hAnsi="Arial" w:cs="Arial"/>
                <w:sz w:val="20"/>
                <w:lang w:val="es-ES_tradnl"/>
              </w:rPr>
            </w:pPr>
          </w:p>
        </w:tc>
      </w:tr>
      <w:tr w:rsidR="00131FFA" w:rsidRPr="00131FFA" w14:paraId="2341A676" w14:textId="77777777" w:rsidTr="000860D0">
        <w:trPr>
          <w:trHeight w:val="547"/>
        </w:trPr>
        <w:tc>
          <w:tcPr>
            <w:tcW w:w="2880" w:type="dxa"/>
            <w:shd w:val="clear" w:color="auto" w:fill="D9D9D9" w:themeFill="background1" w:themeFillShade="D9"/>
            <w:vAlign w:val="center"/>
          </w:tcPr>
          <w:p w14:paraId="2341A66E" w14:textId="77777777" w:rsidR="00131FFA" w:rsidRPr="00131FFA" w:rsidRDefault="00131FFA" w:rsidP="00131FFA">
            <w:pPr>
              <w:jc w:val="center"/>
              <w:rPr>
                <w:rFonts w:ascii="Arial" w:eastAsia="Calibri" w:hAnsi="Arial" w:cs="Arial"/>
                <w:b/>
                <w:sz w:val="20"/>
                <w:lang w:val="es-CR"/>
              </w:rPr>
            </w:pPr>
            <w:r w:rsidRPr="00131FFA">
              <w:rPr>
                <w:rFonts w:ascii="Arial" w:eastAsia="Calibri" w:hAnsi="Arial" w:cs="Arial"/>
                <w:b/>
                <w:sz w:val="20"/>
                <w:lang w:val="es-CR"/>
              </w:rPr>
              <w:lastRenderedPageBreak/>
              <w:t xml:space="preserve">Resultado / Indicador </w:t>
            </w:r>
          </w:p>
        </w:tc>
        <w:tc>
          <w:tcPr>
            <w:tcW w:w="1530" w:type="dxa"/>
            <w:shd w:val="clear" w:color="auto" w:fill="D9D9D9" w:themeFill="background1" w:themeFillShade="D9"/>
            <w:vAlign w:val="center"/>
          </w:tcPr>
          <w:p w14:paraId="2341A66F" w14:textId="77777777" w:rsidR="00131FFA" w:rsidRPr="00131FFA" w:rsidRDefault="00131FFA" w:rsidP="00131FFA">
            <w:pPr>
              <w:jc w:val="center"/>
              <w:rPr>
                <w:rFonts w:ascii="Arial" w:eastAsia="Calibri" w:hAnsi="Arial" w:cs="Arial"/>
                <w:b/>
                <w:sz w:val="20"/>
                <w:lang w:val="es-CR"/>
              </w:rPr>
            </w:pPr>
            <w:r w:rsidRPr="00131FFA">
              <w:rPr>
                <w:rFonts w:ascii="Arial" w:eastAsia="Calibri" w:hAnsi="Arial" w:cs="Arial"/>
                <w:b/>
                <w:sz w:val="20"/>
                <w:lang w:val="es-CR"/>
              </w:rPr>
              <w:t>Unidad de  medida</w:t>
            </w:r>
          </w:p>
        </w:tc>
        <w:tc>
          <w:tcPr>
            <w:tcW w:w="1800" w:type="dxa"/>
            <w:shd w:val="clear" w:color="auto" w:fill="D9D9D9" w:themeFill="background1" w:themeFillShade="D9"/>
            <w:vAlign w:val="center"/>
          </w:tcPr>
          <w:p w14:paraId="2341A670" w14:textId="77777777" w:rsidR="00131FFA" w:rsidRPr="00131FFA" w:rsidRDefault="00131FFA" w:rsidP="00131FFA">
            <w:pPr>
              <w:jc w:val="center"/>
              <w:rPr>
                <w:rFonts w:ascii="Arial" w:eastAsia="Calibri" w:hAnsi="Arial" w:cs="Arial"/>
                <w:b/>
                <w:sz w:val="20"/>
                <w:lang w:val="es-CR"/>
              </w:rPr>
            </w:pPr>
            <w:r w:rsidRPr="00131FFA">
              <w:rPr>
                <w:rFonts w:ascii="Arial" w:eastAsia="Calibri" w:hAnsi="Arial" w:cs="Arial"/>
                <w:b/>
                <w:sz w:val="20"/>
                <w:lang w:val="es-CR"/>
              </w:rPr>
              <w:t>Línea de base (2015)</w:t>
            </w:r>
          </w:p>
        </w:tc>
        <w:tc>
          <w:tcPr>
            <w:tcW w:w="1530" w:type="dxa"/>
            <w:shd w:val="clear" w:color="auto" w:fill="D9D9D9" w:themeFill="background1" w:themeFillShade="D9"/>
            <w:vAlign w:val="center"/>
          </w:tcPr>
          <w:p w14:paraId="2341A671" w14:textId="77777777" w:rsidR="00131FFA" w:rsidRPr="00131FFA" w:rsidRDefault="00131FFA" w:rsidP="00131FFA">
            <w:pPr>
              <w:jc w:val="center"/>
              <w:rPr>
                <w:rFonts w:ascii="Arial" w:eastAsia="Calibri" w:hAnsi="Arial" w:cs="Arial"/>
                <w:b/>
                <w:sz w:val="20"/>
                <w:lang w:val="es-CR"/>
              </w:rPr>
            </w:pPr>
            <w:r w:rsidRPr="00131FFA">
              <w:rPr>
                <w:rFonts w:ascii="Arial" w:eastAsia="Calibri" w:hAnsi="Arial" w:cs="Arial"/>
                <w:b/>
                <w:sz w:val="20"/>
                <w:lang w:val="es-CR"/>
              </w:rPr>
              <w:t>Meta (2017)</w:t>
            </w:r>
          </w:p>
        </w:tc>
        <w:tc>
          <w:tcPr>
            <w:tcW w:w="2070" w:type="dxa"/>
            <w:shd w:val="clear" w:color="auto" w:fill="D9D9D9" w:themeFill="background1" w:themeFillShade="D9"/>
            <w:vAlign w:val="center"/>
          </w:tcPr>
          <w:p w14:paraId="2341A672" w14:textId="77777777" w:rsidR="00131FFA" w:rsidRPr="00131FFA" w:rsidRDefault="00131FFA" w:rsidP="00131FFA">
            <w:pPr>
              <w:jc w:val="center"/>
              <w:rPr>
                <w:rFonts w:ascii="Arial" w:eastAsia="Calibri" w:hAnsi="Arial" w:cs="Arial"/>
                <w:b/>
                <w:sz w:val="20"/>
                <w:lang w:val="es-CR"/>
              </w:rPr>
            </w:pPr>
            <w:r w:rsidRPr="00131FFA">
              <w:rPr>
                <w:rFonts w:ascii="Arial" w:eastAsia="Calibri" w:hAnsi="Arial" w:cs="Arial"/>
                <w:b/>
                <w:sz w:val="20"/>
                <w:lang w:val="es-CR"/>
              </w:rPr>
              <w:t>Meta (2020)</w:t>
            </w:r>
          </w:p>
        </w:tc>
        <w:tc>
          <w:tcPr>
            <w:tcW w:w="2430" w:type="dxa"/>
            <w:shd w:val="clear" w:color="auto" w:fill="D9D9D9" w:themeFill="background1" w:themeFillShade="D9"/>
            <w:vAlign w:val="center"/>
          </w:tcPr>
          <w:p w14:paraId="2341A673" w14:textId="77777777" w:rsidR="00131FFA" w:rsidRPr="00131FFA" w:rsidRDefault="00131FFA" w:rsidP="00131FFA">
            <w:pPr>
              <w:jc w:val="center"/>
              <w:rPr>
                <w:rFonts w:ascii="Arial" w:eastAsia="Calibri" w:hAnsi="Arial" w:cs="Arial"/>
                <w:b/>
                <w:sz w:val="20"/>
                <w:lang w:val="es-CR"/>
              </w:rPr>
            </w:pPr>
            <w:r w:rsidRPr="00131FFA">
              <w:rPr>
                <w:rFonts w:ascii="Arial" w:eastAsia="Calibri" w:hAnsi="Arial" w:cs="Arial"/>
                <w:b/>
                <w:sz w:val="20"/>
                <w:lang w:val="es-CR"/>
              </w:rPr>
              <w:t xml:space="preserve">Medios de verificación / </w:t>
            </w:r>
          </w:p>
          <w:p w14:paraId="2341A674" w14:textId="77777777" w:rsidR="00131FFA" w:rsidRPr="00131FFA" w:rsidRDefault="00131FFA" w:rsidP="00131FFA">
            <w:pPr>
              <w:jc w:val="center"/>
              <w:rPr>
                <w:rFonts w:ascii="Arial" w:eastAsia="Calibri" w:hAnsi="Arial" w:cs="Arial"/>
                <w:b/>
                <w:sz w:val="20"/>
                <w:lang w:val="es-CR"/>
              </w:rPr>
            </w:pPr>
            <w:r w:rsidRPr="00131FFA">
              <w:rPr>
                <w:rFonts w:ascii="Arial" w:eastAsia="Calibri" w:hAnsi="Arial" w:cs="Arial"/>
                <w:b/>
                <w:sz w:val="20"/>
                <w:lang w:val="es-CR"/>
              </w:rPr>
              <w:t>Observaciones</w:t>
            </w:r>
          </w:p>
        </w:tc>
        <w:tc>
          <w:tcPr>
            <w:tcW w:w="2340" w:type="dxa"/>
            <w:shd w:val="clear" w:color="auto" w:fill="D9D9D9" w:themeFill="background1" w:themeFillShade="D9"/>
          </w:tcPr>
          <w:p w14:paraId="2341A675" w14:textId="77777777" w:rsidR="00131FFA" w:rsidRPr="00131FFA" w:rsidRDefault="00131FFA" w:rsidP="00131FFA">
            <w:pPr>
              <w:jc w:val="center"/>
              <w:rPr>
                <w:rFonts w:ascii="Arial" w:eastAsia="Calibri" w:hAnsi="Arial" w:cs="Arial"/>
                <w:b/>
                <w:sz w:val="20"/>
                <w:lang w:val="es-BO"/>
              </w:rPr>
            </w:pPr>
          </w:p>
        </w:tc>
      </w:tr>
      <w:tr w:rsidR="00131FFA" w:rsidRPr="005E03D2" w14:paraId="2341A679" w14:textId="77777777" w:rsidTr="000860D0">
        <w:trPr>
          <w:trHeight w:val="368"/>
        </w:trPr>
        <w:tc>
          <w:tcPr>
            <w:tcW w:w="12240" w:type="dxa"/>
            <w:gridSpan w:val="6"/>
            <w:shd w:val="clear" w:color="auto" w:fill="C6D9F1" w:themeFill="text2" w:themeFillTint="33"/>
            <w:vAlign w:val="center"/>
          </w:tcPr>
          <w:p w14:paraId="2341A677" w14:textId="77777777" w:rsidR="00131FFA" w:rsidRPr="00131FFA" w:rsidRDefault="00131FFA" w:rsidP="00131FFA">
            <w:pPr>
              <w:numPr>
                <w:ilvl w:val="0"/>
                <w:numId w:val="7"/>
              </w:numPr>
              <w:spacing w:after="200" w:line="276" w:lineRule="auto"/>
              <w:ind w:left="711"/>
              <w:rPr>
                <w:rFonts w:ascii="Arial" w:eastAsia="Calibri" w:hAnsi="Arial" w:cs="Arial"/>
                <w:b/>
                <w:i/>
                <w:sz w:val="20"/>
                <w:lang w:val="es-BO"/>
              </w:rPr>
            </w:pPr>
            <w:r w:rsidRPr="00131FFA">
              <w:rPr>
                <w:rFonts w:ascii="Arial" w:eastAsia="Calibri" w:hAnsi="Arial" w:cs="Arial"/>
                <w:b/>
                <w:bCs/>
                <w:i/>
                <w:sz w:val="20"/>
                <w:lang w:val="es-ES_tradnl"/>
              </w:rPr>
              <w:t>Apoyo a la confiabilidad del abastecimiento eléctrico del Sistema Interconectado Nacional (SIN)</w:t>
            </w:r>
          </w:p>
        </w:tc>
        <w:tc>
          <w:tcPr>
            <w:tcW w:w="2340" w:type="dxa"/>
            <w:shd w:val="clear" w:color="auto" w:fill="C6D9F1" w:themeFill="text2" w:themeFillTint="33"/>
          </w:tcPr>
          <w:p w14:paraId="2341A678" w14:textId="77777777" w:rsidR="00131FFA" w:rsidRPr="00131FFA" w:rsidRDefault="00131FFA" w:rsidP="00131FFA">
            <w:pPr>
              <w:ind w:left="351"/>
              <w:rPr>
                <w:rFonts w:ascii="Arial" w:eastAsia="Calibri" w:hAnsi="Arial" w:cs="Arial"/>
                <w:b/>
                <w:bCs/>
                <w:i/>
                <w:sz w:val="20"/>
                <w:lang w:val="es-ES_tradnl"/>
              </w:rPr>
            </w:pPr>
          </w:p>
        </w:tc>
      </w:tr>
      <w:tr w:rsidR="00131FFA" w:rsidRPr="005E03D2" w14:paraId="2341A67C" w14:textId="77777777" w:rsidTr="000860D0">
        <w:trPr>
          <w:trHeight w:val="368"/>
        </w:trPr>
        <w:tc>
          <w:tcPr>
            <w:tcW w:w="12240" w:type="dxa"/>
            <w:gridSpan w:val="6"/>
            <w:shd w:val="clear" w:color="auto" w:fill="C6D9F1" w:themeFill="text2" w:themeFillTint="33"/>
            <w:vAlign w:val="center"/>
          </w:tcPr>
          <w:p w14:paraId="2341A67A" w14:textId="77777777" w:rsidR="00131FFA" w:rsidRPr="00131FFA" w:rsidRDefault="00131FFA" w:rsidP="00131FFA">
            <w:pPr>
              <w:ind w:left="720"/>
              <w:rPr>
                <w:rFonts w:ascii="Arial" w:eastAsia="Calibri" w:hAnsi="Arial" w:cs="Arial"/>
                <w:b/>
                <w:bCs/>
                <w:i/>
                <w:sz w:val="20"/>
                <w:lang w:val="es-ES_tradnl"/>
              </w:rPr>
            </w:pPr>
            <w:r w:rsidRPr="00131FFA">
              <w:rPr>
                <w:rFonts w:ascii="Arial" w:eastAsia="Calibri" w:hAnsi="Arial" w:cs="Arial"/>
                <w:b/>
                <w:bCs/>
                <w:i/>
                <w:sz w:val="20"/>
                <w:lang w:val="es-ES_tradnl"/>
              </w:rPr>
              <w:t>2.1</w:t>
            </w:r>
            <w:r w:rsidRPr="00131FFA">
              <w:rPr>
                <w:rFonts w:ascii="Arial" w:hAnsi="Arial" w:cs="Arial"/>
                <w:b/>
                <w:sz w:val="22"/>
                <w:szCs w:val="22"/>
                <w:lang w:val="es-ES_tradnl"/>
              </w:rPr>
              <w:t xml:space="preserve"> </w:t>
            </w:r>
            <w:r w:rsidRPr="00131FFA">
              <w:rPr>
                <w:rFonts w:ascii="Arial" w:eastAsia="Calibri" w:hAnsi="Arial" w:cs="Arial"/>
                <w:b/>
                <w:bCs/>
                <w:i/>
                <w:sz w:val="20"/>
                <w:lang w:val="es-ES_tradnl"/>
              </w:rPr>
              <w:t>Apoyo a la diversificación de la matriz energética y a la integración eléctrica regional</w:t>
            </w:r>
          </w:p>
        </w:tc>
        <w:tc>
          <w:tcPr>
            <w:tcW w:w="2340" w:type="dxa"/>
            <w:shd w:val="clear" w:color="auto" w:fill="C6D9F1" w:themeFill="text2" w:themeFillTint="33"/>
          </w:tcPr>
          <w:p w14:paraId="2341A67B" w14:textId="77777777" w:rsidR="00131FFA" w:rsidRPr="00131FFA" w:rsidRDefault="00131FFA" w:rsidP="00131FFA">
            <w:pPr>
              <w:ind w:left="351"/>
              <w:rPr>
                <w:rFonts w:ascii="Arial" w:eastAsia="Calibri" w:hAnsi="Arial" w:cs="Arial"/>
                <w:b/>
                <w:bCs/>
                <w:i/>
                <w:sz w:val="20"/>
                <w:lang w:val="es-ES_tradnl"/>
              </w:rPr>
            </w:pPr>
          </w:p>
        </w:tc>
      </w:tr>
      <w:tr w:rsidR="00131FFA" w:rsidRPr="00131FFA" w14:paraId="2341A684" w14:textId="77777777" w:rsidTr="000860D0">
        <w:trPr>
          <w:trHeight w:val="962"/>
        </w:trPr>
        <w:tc>
          <w:tcPr>
            <w:tcW w:w="2880" w:type="dxa"/>
          </w:tcPr>
          <w:p w14:paraId="2341A67D" w14:textId="77777777" w:rsidR="00131FFA" w:rsidRPr="00131FFA" w:rsidRDefault="00131FFA" w:rsidP="00131FFA">
            <w:pPr>
              <w:spacing w:before="60"/>
              <w:rPr>
                <w:rFonts w:ascii="Arial" w:eastAsia="Calibri" w:hAnsi="Arial" w:cs="Arial"/>
                <w:sz w:val="20"/>
                <w:lang w:val="es-ES_tradnl"/>
              </w:rPr>
            </w:pPr>
            <w:r w:rsidRPr="00131FFA">
              <w:rPr>
                <w:rFonts w:ascii="Arial" w:eastAsia="Calibri" w:hAnsi="Arial" w:cs="Arial"/>
                <w:sz w:val="20"/>
                <w:lang w:val="es-ES_tradnl"/>
              </w:rPr>
              <w:t>2.1 Incremento en la capacidad instalada en FNCER en el SIN</w:t>
            </w:r>
          </w:p>
        </w:tc>
        <w:tc>
          <w:tcPr>
            <w:tcW w:w="1530" w:type="dxa"/>
          </w:tcPr>
          <w:p w14:paraId="2341A67E" w14:textId="77777777" w:rsidR="00131FFA" w:rsidRPr="00131FFA" w:rsidRDefault="00131FFA" w:rsidP="00472C9E">
            <w:pPr>
              <w:jc w:val="center"/>
              <w:rPr>
                <w:rFonts w:ascii="Arial" w:eastAsia="Calibri" w:hAnsi="Arial" w:cs="Arial"/>
                <w:sz w:val="20"/>
                <w:lang w:val="es-CO"/>
              </w:rPr>
            </w:pPr>
            <w:r w:rsidRPr="00131FFA">
              <w:rPr>
                <w:rFonts w:ascii="Arial" w:eastAsia="Calibri" w:hAnsi="Arial" w:cs="Arial"/>
                <w:sz w:val="20"/>
                <w:lang w:val="es-CO"/>
              </w:rPr>
              <w:t>Incremento Capacidad Instalada (MW)</w:t>
            </w:r>
          </w:p>
        </w:tc>
        <w:tc>
          <w:tcPr>
            <w:tcW w:w="1800" w:type="dxa"/>
            <w:vAlign w:val="center"/>
          </w:tcPr>
          <w:p w14:paraId="2341A67F" w14:textId="77777777" w:rsidR="00131FFA" w:rsidRPr="00131FFA" w:rsidRDefault="00131FFA" w:rsidP="00131FFA">
            <w:pPr>
              <w:jc w:val="center"/>
              <w:rPr>
                <w:rFonts w:ascii="Arial" w:eastAsia="Calibri" w:hAnsi="Arial" w:cs="Arial"/>
                <w:sz w:val="20"/>
              </w:rPr>
            </w:pPr>
            <w:r w:rsidRPr="00131FFA">
              <w:rPr>
                <w:rFonts w:ascii="Arial" w:eastAsia="Calibri" w:hAnsi="Arial" w:cs="Arial"/>
                <w:sz w:val="20"/>
              </w:rPr>
              <w:t>0</w:t>
            </w:r>
          </w:p>
        </w:tc>
        <w:tc>
          <w:tcPr>
            <w:tcW w:w="1530" w:type="dxa"/>
            <w:vAlign w:val="center"/>
          </w:tcPr>
          <w:p w14:paraId="2341A680" w14:textId="77777777" w:rsidR="00131FFA" w:rsidRPr="00131FFA" w:rsidRDefault="00131FFA" w:rsidP="00131FFA">
            <w:pPr>
              <w:jc w:val="center"/>
              <w:rPr>
                <w:rFonts w:ascii="Arial" w:eastAsia="Calibri" w:hAnsi="Arial" w:cs="Arial"/>
                <w:sz w:val="20"/>
                <w:highlight w:val="yellow"/>
              </w:rPr>
            </w:pPr>
            <w:r w:rsidRPr="00131FFA">
              <w:rPr>
                <w:rFonts w:ascii="Arial" w:eastAsia="Calibri" w:hAnsi="Arial" w:cs="Arial"/>
                <w:sz w:val="20"/>
              </w:rPr>
              <w:t>109,1</w:t>
            </w:r>
          </w:p>
        </w:tc>
        <w:tc>
          <w:tcPr>
            <w:tcW w:w="2070" w:type="dxa"/>
            <w:vAlign w:val="center"/>
          </w:tcPr>
          <w:p w14:paraId="2341A681" w14:textId="77777777" w:rsidR="00131FFA" w:rsidRPr="00131FFA" w:rsidRDefault="00131FFA" w:rsidP="00131FFA">
            <w:pPr>
              <w:jc w:val="center"/>
              <w:rPr>
                <w:rFonts w:ascii="Arial" w:eastAsia="Calibri" w:hAnsi="Arial" w:cs="Arial"/>
                <w:sz w:val="20"/>
                <w:highlight w:val="yellow"/>
              </w:rPr>
            </w:pPr>
            <w:r w:rsidRPr="00131FFA">
              <w:rPr>
                <w:rFonts w:ascii="Arial" w:eastAsia="Calibri" w:hAnsi="Arial" w:cs="Arial"/>
                <w:sz w:val="20"/>
              </w:rPr>
              <w:t>888,7</w:t>
            </w:r>
          </w:p>
        </w:tc>
        <w:tc>
          <w:tcPr>
            <w:tcW w:w="2430" w:type="dxa"/>
          </w:tcPr>
          <w:p w14:paraId="2341A682" w14:textId="77777777" w:rsidR="00131FFA" w:rsidRPr="00131FFA" w:rsidRDefault="00131FFA" w:rsidP="00131FFA">
            <w:pPr>
              <w:rPr>
                <w:rFonts w:ascii="Arial" w:eastAsia="Calibri" w:hAnsi="Arial" w:cs="Arial"/>
                <w:sz w:val="20"/>
                <w:lang w:val="es-ES_tradnl"/>
              </w:rPr>
            </w:pPr>
            <w:r w:rsidRPr="00131FFA">
              <w:rPr>
                <w:rFonts w:ascii="Arial" w:eastAsia="Calibri" w:hAnsi="Arial" w:cs="Arial"/>
                <w:sz w:val="20"/>
                <w:lang w:val="es-ES_tradnl"/>
              </w:rPr>
              <w:t>Plan Indicativo de Expansión G-T UPME 2016 – 2030 (Escenario 0)</w:t>
            </w:r>
          </w:p>
        </w:tc>
        <w:tc>
          <w:tcPr>
            <w:tcW w:w="2340" w:type="dxa"/>
          </w:tcPr>
          <w:p w14:paraId="2341A683" w14:textId="77777777" w:rsidR="00131FFA" w:rsidRPr="00131FFA" w:rsidRDefault="00131FFA" w:rsidP="00131FFA">
            <w:pPr>
              <w:rPr>
                <w:rFonts w:ascii="Arial" w:eastAsia="Calibri" w:hAnsi="Arial" w:cs="Arial"/>
                <w:sz w:val="20"/>
                <w:lang w:val="es-ES_tradnl"/>
              </w:rPr>
            </w:pPr>
            <w:r w:rsidRPr="00131FFA">
              <w:rPr>
                <w:rFonts w:ascii="Arial" w:eastAsia="Calibri" w:hAnsi="Arial" w:cs="Arial"/>
                <w:sz w:val="20"/>
                <w:lang w:val="es-ES_tradnl"/>
              </w:rPr>
              <w:t xml:space="preserve">Considera </w:t>
            </w:r>
            <w:r>
              <w:rPr>
                <w:rFonts w:ascii="Arial" w:eastAsia="Calibri" w:hAnsi="Arial" w:cs="Arial"/>
                <w:sz w:val="20"/>
                <w:lang w:val="es-ES_tradnl"/>
              </w:rPr>
              <w:t>FNCER</w:t>
            </w:r>
            <w:r w:rsidRPr="00131FFA">
              <w:rPr>
                <w:rFonts w:ascii="Arial" w:eastAsia="Calibri" w:hAnsi="Arial" w:cs="Arial"/>
                <w:sz w:val="20"/>
                <w:lang w:val="es-ES_tradnl"/>
              </w:rPr>
              <w:t xml:space="preserve"> como geotermia, biomasa, eólica y solar fotovoltaica distribuida</w:t>
            </w:r>
          </w:p>
        </w:tc>
      </w:tr>
      <w:tr w:rsidR="00131FFA" w:rsidRPr="005E03D2" w14:paraId="2341A68C" w14:textId="77777777" w:rsidTr="000860D0">
        <w:trPr>
          <w:trHeight w:val="719"/>
        </w:trPr>
        <w:tc>
          <w:tcPr>
            <w:tcW w:w="2880" w:type="dxa"/>
            <w:vAlign w:val="center"/>
          </w:tcPr>
          <w:p w14:paraId="2341A685" w14:textId="77777777" w:rsidR="00131FFA" w:rsidRPr="00131FFA" w:rsidRDefault="00131FFA" w:rsidP="00131FFA">
            <w:pPr>
              <w:spacing w:before="60"/>
              <w:rPr>
                <w:rFonts w:ascii="Arial" w:eastAsia="Calibri" w:hAnsi="Arial" w:cs="Arial"/>
                <w:sz w:val="20"/>
                <w:lang w:val="es-BO"/>
              </w:rPr>
            </w:pPr>
            <w:r w:rsidRPr="00131FFA">
              <w:rPr>
                <w:rFonts w:ascii="Arial" w:eastAsia="Calibri" w:hAnsi="Arial" w:cs="Arial"/>
                <w:sz w:val="20"/>
                <w:lang w:val="es-BO"/>
              </w:rPr>
              <w:t>2.2 Capacidad Efectiva Neta de Cogeneración</w:t>
            </w:r>
            <w:r w:rsidRPr="00131FFA">
              <w:rPr>
                <w:rFonts w:ascii="Arial" w:eastAsia="Calibri" w:hAnsi="Arial" w:cs="Arial"/>
                <w:sz w:val="20"/>
                <w:lang w:val="es-ES_tradnl"/>
              </w:rPr>
              <w:t xml:space="preserve"> a gran escala al </w:t>
            </w:r>
            <w:r>
              <w:rPr>
                <w:rFonts w:ascii="Arial" w:eastAsia="Calibri" w:hAnsi="Arial" w:cs="Arial"/>
                <w:sz w:val="20"/>
                <w:lang w:val="es-ES_tradnl"/>
              </w:rPr>
              <w:t>SIN</w:t>
            </w:r>
            <w:r w:rsidRPr="00131FFA">
              <w:rPr>
                <w:rFonts w:ascii="Arial" w:eastAsia="Calibri" w:hAnsi="Arial" w:cs="Arial"/>
                <w:sz w:val="20"/>
                <w:lang w:val="es-ES_tradnl"/>
              </w:rPr>
              <w:t>.</w:t>
            </w:r>
          </w:p>
        </w:tc>
        <w:tc>
          <w:tcPr>
            <w:tcW w:w="1530" w:type="dxa"/>
            <w:vAlign w:val="center"/>
          </w:tcPr>
          <w:p w14:paraId="2341A686" w14:textId="77777777" w:rsidR="00131FFA" w:rsidRPr="00131FFA" w:rsidRDefault="00131FFA" w:rsidP="00131FFA">
            <w:pPr>
              <w:jc w:val="center"/>
              <w:rPr>
                <w:rFonts w:ascii="Arial" w:eastAsia="Calibri" w:hAnsi="Arial" w:cs="Arial"/>
                <w:sz w:val="20"/>
                <w:lang w:val="es-BO"/>
              </w:rPr>
            </w:pPr>
            <w:r w:rsidRPr="00131FFA">
              <w:rPr>
                <w:rFonts w:ascii="Arial" w:eastAsia="Calibri" w:hAnsi="Arial" w:cs="Arial"/>
                <w:sz w:val="20"/>
                <w:lang w:val="es-ES_tradnl"/>
              </w:rPr>
              <w:t>MW</w:t>
            </w:r>
          </w:p>
        </w:tc>
        <w:tc>
          <w:tcPr>
            <w:tcW w:w="1800" w:type="dxa"/>
            <w:vAlign w:val="center"/>
          </w:tcPr>
          <w:p w14:paraId="2341A687"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86.6</w:t>
            </w:r>
          </w:p>
        </w:tc>
        <w:tc>
          <w:tcPr>
            <w:tcW w:w="1530" w:type="dxa"/>
            <w:vAlign w:val="center"/>
          </w:tcPr>
          <w:p w14:paraId="2341A688"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105.1</w:t>
            </w:r>
          </w:p>
        </w:tc>
        <w:tc>
          <w:tcPr>
            <w:tcW w:w="2070" w:type="dxa"/>
            <w:vAlign w:val="center"/>
          </w:tcPr>
          <w:p w14:paraId="2341A689"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285</w:t>
            </w:r>
          </w:p>
        </w:tc>
        <w:tc>
          <w:tcPr>
            <w:tcW w:w="2430" w:type="dxa"/>
            <w:vAlign w:val="center"/>
          </w:tcPr>
          <w:p w14:paraId="2341A68A" w14:textId="77777777" w:rsidR="00131FFA" w:rsidRPr="00131FFA" w:rsidRDefault="00131FFA" w:rsidP="00131FFA">
            <w:pPr>
              <w:jc w:val="center"/>
              <w:rPr>
                <w:rFonts w:ascii="Arial" w:eastAsia="Calibri" w:hAnsi="Arial" w:cs="Arial"/>
                <w:sz w:val="20"/>
                <w:lang w:val="es-BO"/>
              </w:rPr>
            </w:pPr>
            <w:r w:rsidRPr="00131FFA">
              <w:rPr>
                <w:rFonts w:ascii="Arial" w:eastAsia="Calibri" w:hAnsi="Arial" w:cs="Arial"/>
                <w:sz w:val="20"/>
                <w:lang w:val="es-ES_tradnl"/>
              </w:rPr>
              <w:t>Informe Anual de operación del Mercado de Energía XM</w:t>
            </w:r>
          </w:p>
        </w:tc>
        <w:tc>
          <w:tcPr>
            <w:tcW w:w="2340" w:type="dxa"/>
          </w:tcPr>
          <w:p w14:paraId="2341A68B" w14:textId="77777777" w:rsidR="00131FFA" w:rsidRPr="00131FFA" w:rsidRDefault="00131FFA" w:rsidP="00131FFA">
            <w:pPr>
              <w:jc w:val="center"/>
              <w:rPr>
                <w:rFonts w:ascii="Arial" w:eastAsia="Calibri" w:hAnsi="Arial" w:cs="Arial"/>
                <w:sz w:val="20"/>
                <w:lang w:val="es-ES_tradnl"/>
              </w:rPr>
            </w:pPr>
          </w:p>
        </w:tc>
      </w:tr>
      <w:tr w:rsidR="00131FFA" w:rsidRPr="005E03D2" w14:paraId="2341A694" w14:textId="77777777" w:rsidTr="000860D0">
        <w:trPr>
          <w:trHeight w:val="287"/>
        </w:trPr>
        <w:tc>
          <w:tcPr>
            <w:tcW w:w="2880" w:type="dxa"/>
            <w:vAlign w:val="center"/>
          </w:tcPr>
          <w:p w14:paraId="2341A68D" w14:textId="77777777" w:rsidR="00131FFA" w:rsidRPr="00131FFA" w:rsidRDefault="00131FFA" w:rsidP="00131FFA">
            <w:pPr>
              <w:spacing w:before="60"/>
              <w:rPr>
                <w:rFonts w:ascii="Arial" w:eastAsia="Calibri" w:hAnsi="Arial" w:cs="Arial"/>
                <w:sz w:val="20"/>
                <w:lang w:val="es-BO"/>
              </w:rPr>
            </w:pPr>
            <w:r w:rsidRPr="00131FFA">
              <w:rPr>
                <w:rFonts w:ascii="Arial" w:eastAsia="Calibri" w:hAnsi="Arial" w:cs="Arial"/>
                <w:sz w:val="20"/>
                <w:lang w:val="es-BO"/>
              </w:rPr>
              <w:t>2.3 Volumen energía eléctrica transada binacionalmente con Ecuador por año</w:t>
            </w:r>
            <w:r w:rsidRPr="00131FFA">
              <w:rPr>
                <w:rFonts w:ascii="Calibri" w:eastAsia="Calibri" w:hAnsi="Calibri"/>
                <w:sz w:val="22"/>
                <w:szCs w:val="22"/>
                <w:lang w:val="es-CO"/>
              </w:rPr>
              <w:t xml:space="preserve"> (</w:t>
            </w:r>
            <w:r w:rsidRPr="00131FFA">
              <w:rPr>
                <w:rFonts w:ascii="Arial" w:eastAsia="Calibri" w:hAnsi="Arial" w:cs="Arial"/>
                <w:sz w:val="20"/>
                <w:lang w:val="es-BO"/>
              </w:rPr>
              <w:t xml:space="preserve">Exportaciones e Importaciones de Energía con Ecuador) </w:t>
            </w:r>
          </w:p>
        </w:tc>
        <w:tc>
          <w:tcPr>
            <w:tcW w:w="1530" w:type="dxa"/>
            <w:vAlign w:val="center"/>
          </w:tcPr>
          <w:p w14:paraId="2341A68E" w14:textId="77777777" w:rsidR="00131FFA" w:rsidRPr="00131FFA" w:rsidRDefault="00131FFA" w:rsidP="00131FFA">
            <w:pPr>
              <w:jc w:val="center"/>
              <w:rPr>
                <w:rFonts w:ascii="Arial" w:eastAsia="Calibri" w:hAnsi="Arial" w:cs="Arial"/>
                <w:sz w:val="20"/>
                <w:lang w:eastAsia="zh-CN"/>
              </w:rPr>
            </w:pPr>
            <w:r w:rsidRPr="00131FFA">
              <w:rPr>
                <w:rFonts w:ascii="Arial" w:eastAsia="Calibri" w:hAnsi="Arial" w:cs="Arial"/>
                <w:sz w:val="20"/>
                <w:lang w:eastAsia="zh-CN"/>
              </w:rPr>
              <w:t>GWh/año</w:t>
            </w:r>
          </w:p>
        </w:tc>
        <w:tc>
          <w:tcPr>
            <w:tcW w:w="1800" w:type="dxa"/>
            <w:vAlign w:val="center"/>
          </w:tcPr>
          <w:p w14:paraId="2341A68F"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502.4</w:t>
            </w:r>
          </w:p>
        </w:tc>
        <w:tc>
          <w:tcPr>
            <w:tcW w:w="1530" w:type="dxa"/>
            <w:vAlign w:val="center"/>
          </w:tcPr>
          <w:p w14:paraId="2341A690"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3.498,8</w:t>
            </w:r>
          </w:p>
        </w:tc>
        <w:tc>
          <w:tcPr>
            <w:tcW w:w="2070" w:type="dxa"/>
            <w:vAlign w:val="center"/>
          </w:tcPr>
          <w:p w14:paraId="2341A691"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3.443.3</w:t>
            </w:r>
          </w:p>
        </w:tc>
        <w:tc>
          <w:tcPr>
            <w:tcW w:w="2430" w:type="dxa"/>
            <w:vAlign w:val="center"/>
          </w:tcPr>
          <w:p w14:paraId="2341A692" w14:textId="77777777" w:rsidR="00131FFA" w:rsidRPr="00131FFA" w:rsidRDefault="00131FFA" w:rsidP="00131FFA">
            <w:pPr>
              <w:jc w:val="center"/>
              <w:rPr>
                <w:rFonts w:ascii="Arial" w:eastAsia="Calibri" w:hAnsi="Arial" w:cs="Arial"/>
                <w:sz w:val="20"/>
                <w:lang w:val="es-BO"/>
              </w:rPr>
            </w:pPr>
            <w:r w:rsidRPr="00131FFA">
              <w:rPr>
                <w:rFonts w:ascii="Arial" w:eastAsia="Calibri" w:hAnsi="Arial" w:cs="Arial"/>
                <w:sz w:val="20"/>
                <w:lang w:val="es-ES_tradnl"/>
              </w:rPr>
              <w:t>Informe Anual de operación del Mercado de Energía XM</w:t>
            </w:r>
            <w:r w:rsidRPr="00131FFA">
              <w:rPr>
                <w:rFonts w:ascii="Arial" w:eastAsia="Calibri" w:hAnsi="Arial" w:cs="Arial"/>
                <w:sz w:val="20"/>
                <w:lang w:val="es-BO"/>
              </w:rPr>
              <w:t xml:space="preserve"> </w:t>
            </w:r>
          </w:p>
        </w:tc>
        <w:tc>
          <w:tcPr>
            <w:tcW w:w="2340" w:type="dxa"/>
          </w:tcPr>
          <w:p w14:paraId="2341A693" w14:textId="77777777" w:rsidR="00131FFA" w:rsidRPr="00131FFA" w:rsidRDefault="00131FFA" w:rsidP="00131FFA">
            <w:pPr>
              <w:jc w:val="center"/>
              <w:rPr>
                <w:rFonts w:ascii="Arial" w:eastAsia="Calibri" w:hAnsi="Arial" w:cs="Arial"/>
                <w:sz w:val="20"/>
                <w:lang w:val="es-BO"/>
              </w:rPr>
            </w:pPr>
          </w:p>
        </w:tc>
      </w:tr>
      <w:tr w:rsidR="00131FFA" w:rsidRPr="00131FFA" w14:paraId="2341A697" w14:textId="77777777" w:rsidTr="000860D0">
        <w:trPr>
          <w:trHeight w:val="64"/>
        </w:trPr>
        <w:tc>
          <w:tcPr>
            <w:tcW w:w="12240" w:type="dxa"/>
            <w:gridSpan w:val="6"/>
            <w:shd w:val="clear" w:color="auto" w:fill="C6D9F1" w:themeFill="text2" w:themeFillTint="33"/>
          </w:tcPr>
          <w:p w14:paraId="2341A695" w14:textId="77777777" w:rsidR="00131FFA" w:rsidRPr="00131FFA" w:rsidRDefault="00131FFA" w:rsidP="00131FFA">
            <w:pPr>
              <w:ind w:left="720"/>
              <w:rPr>
                <w:rFonts w:ascii="Arial" w:eastAsia="Calibri" w:hAnsi="Arial" w:cs="Arial"/>
                <w:i/>
                <w:sz w:val="20"/>
                <w:lang w:val="es-BO"/>
              </w:rPr>
            </w:pPr>
            <w:r w:rsidRPr="00131FFA">
              <w:rPr>
                <w:rFonts w:ascii="Arial" w:eastAsia="Calibri" w:hAnsi="Arial" w:cs="Arial"/>
                <w:b/>
                <w:i/>
                <w:sz w:val="20"/>
                <w:lang w:val="es-CO"/>
              </w:rPr>
              <w:t>2.2    Fortalecimiento del mercado eléctrico</w:t>
            </w:r>
          </w:p>
        </w:tc>
        <w:tc>
          <w:tcPr>
            <w:tcW w:w="2340" w:type="dxa"/>
            <w:shd w:val="clear" w:color="auto" w:fill="C6D9F1" w:themeFill="text2" w:themeFillTint="33"/>
          </w:tcPr>
          <w:p w14:paraId="2341A696" w14:textId="77777777" w:rsidR="00131FFA" w:rsidRPr="00131FFA" w:rsidRDefault="00131FFA" w:rsidP="00131FFA">
            <w:pPr>
              <w:ind w:left="351"/>
              <w:rPr>
                <w:rFonts w:ascii="Arial" w:eastAsia="Calibri" w:hAnsi="Arial" w:cs="Arial"/>
                <w:b/>
                <w:i/>
                <w:sz w:val="20"/>
                <w:lang w:val="es-CO"/>
              </w:rPr>
            </w:pPr>
          </w:p>
        </w:tc>
      </w:tr>
      <w:tr w:rsidR="00131FFA" w:rsidRPr="005E03D2" w14:paraId="2341A6A0" w14:textId="77777777" w:rsidTr="000860D0">
        <w:trPr>
          <w:trHeight w:val="64"/>
        </w:trPr>
        <w:tc>
          <w:tcPr>
            <w:tcW w:w="2880" w:type="dxa"/>
            <w:shd w:val="clear" w:color="auto" w:fill="auto"/>
            <w:vAlign w:val="center"/>
          </w:tcPr>
          <w:p w14:paraId="2341A698" w14:textId="77777777" w:rsidR="00131FFA" w:rsidRPr="00131FFA" w:rsidRDefault="0011752D" w:rsidP="00131FFA">
            <w:pPr>
              <w:spacing w:before="60"/>
              <w:rPr>
                <w:rFonts w:ascii="Arial" w:eastAsia="Calibri" w:hAnsi="Arial" w:cs="Arial"/>
                <w:sz w:val="20"/>
                <w:lang w:val="es-BO"/>
              </w:rPr>
            </w:pPr>
            <w:r>
              <w:rPr>
                <w:rFonts w:ascii="Arial" w:eastAsia="Calibri" w:hAnsi="Arial" w:cs="Arial"/>
                <w:sz w:val="20"/>
                <w:lang w:val="es-BO"/>
              </w:rPr>
              <w:t>2.4</w:t>
            </w:r>
            <w:r w:rsidR="00131FFA" w:rsidRPr="00131FFA">
              <w:rPr>
                <w:rFonts w:ascii="Arial" w:eastAsia="Calibri" w:hAnsi="Arial" w:cs="Arial"/>
                <w:sz w:val="20"/>
                <w:lang w:val="es-BO"/>
              </w:rPr>
              <w:t xml:space="preserve"> Volumen anual de oferta de Gas Natural para generación</w:t>
            </w:r>
          </w:p>
        </w:tc>
        <w:tc>
          <w:tcPr>
            <w:tcW w:w="1530" w:type="dxa"/>
            <w:shd w:val="clear" w:color="auto" w:fill="auto"/>
            <w:vAlign w:val="center"/>
          </w:tcPr>
          <w:p w14:paraId="2341A699" w14:textId="77777777" w:rsidR="00131FFA" w:rsidRPr="00131FFA" w:rsidRDefault="00131FFA" w:rsidP="00131FFA">
            <w:pPr>
              <w:jc w:val="center"/>
              <w:rPr>
                <w:rFonts w:ascii="Arial" w:eastAsia="Calibri" w:hAnsi="Arial" w:cs="Arial"/>
                <w:sz w:val="20"/>
                <w:lang w:val="es-BO"/>
              </w:rPr>
            </w:pPr>
            <w:r w:rsidRPr="00131FFA">
              <w:rPr>
                <w:rFonts w:ascii="Arial" w:eastAsia="Calibri" w:hAnsi="Arial" w:cs="Arial"/>
                <w:sz w:val="20"/>
                <w:lang w:val="es-BO"/>
              </w:rPr>
              <w:t>Millones de Pies Cúbicos Día (MMCD)</w:t>
            </w:r>
          </w:p>
        </w:tc>
        <w:tc>
          <w:tcPr>
            <w:tcW w:w="1800" w:type="dxa"/>
            <w:shd w:val="clear" w:color="auto" w:fill="auto"/>
            <w:vAlign w:val="center"/>
          </w:tcPr>
          <w:p w14:paraId="2341A69A"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1.000</w:t>
            </w:r>
          </w:p>
        </w:tc>
        <w:tc>
          <w:tcPr>
            <w:tcW w:w="1530" w:type="dxa"/>
            <w:vAlign w:val="center"/>
          </w:tcPr>
          <w:p w14:paraId="2341A69B"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1.640</w:t>
            </w:r>
          </w:p>
        </w:tc>
        <w:tc>
          <w:tcPr>
            <w:tcW w:w="2070" w:type="dxa"/>
            <w:shd w:val="clear" w:color="auto" w:fill="auto"/>
            <w:vAlign w:val="center"/>
          </w:tcPr>
          <w:p w14:paraId="2341A69C"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1.430</w:t>
            </w:r>
          </w:p>
        </w:tc>
        <w:tc>
          <w:tcPr>
            <w:tcW w:w="2430" w:type="dxa"/>
            <w:shd w:val="clear" w:color="auto" w:fill="auto"/>
            <w:vAlign w:val="center"/>
          </w:tcPr>
          <w:p w14:paraId="2341A69D" w14:textId="77777777" w:rsidR="00131FFA" w:rsidRPr="00131FFA" w:rsidRDefault="00131FFA" w:rsidP="00131FFA">
            <w:pPr>
              <w:jc w:val="center"/>
              <w:rPr>
                <w:rFonts w:ascii="Arial" w:eastAsia="Calibri" w:hAnsi="Arial" w:cs="Arial"/>
                <w:sz w:val="20"/>
                <w:lang w:val="es-BO"/>
              </w:rPr>
            </w:pPr>
            <w:r w:rsidRPr="00131FFA">
              <w:rPr>
                <w:rFonts w:ascii="Arial" w:eastAsia="Calibri" w:hAnsi="Arial" w:cs="Arial"/>
                <w:sz w:val="20"/>
                <w:lang w:val="es-BO"/>
              </w:rPr>
              <w:t xml:space="preserve">Plan Transitorio de Abastecimiento y Transporte Gas Natural </w:t>
            </w:r>
          </w:p>
          <w:p w14:paraId="2341A69E" w14:textId="77777777" w:rsidR="00131FFA" w:rsidRPr="00131FFA" w:rsidRDefault="00131FFA" w:rsidP="00131FFA">
            <w:pPr>
              <w:jc w:val="center"/>
              <w:rPr>
                <w:rFonts w:ascii="Arial" w:eastAsia="Calibri" w:hAnsi="Arial" w:cs="Arial"/>
                <w:sz w:val="20"/>
                <w:lang w:val="es-BO"/>
              </w:rPr>
            </w:pPr>
            <w:r w:rsidRPr="00131FFA">
              <w:rPr>
                <w:rFonts w:ascii="Arial" w:eastAsia="Calibri" w:hAnsi="Arial" w:cs="Arial"/>
                <w:sz w:val="20"/>
                <w:lang w:val="es-BO"/>
              </w:rPr>
              <w:t>(Oferta incluye Planta</w:t>
            </w:r>
            <w:r>
              <w:rPr>
                <w:rFonts w:ascii="Arial" w:eastAsia="Calibri" w:hAnsi="Arial" w:cs="Arial"/>
                <w:sz w:val="20"/>
                <w:lang w:val="es-BO"/>
              </w:rPr>
              <w:t>s</w:t>
            </w:r>
            <w:r w:rsidRPr="00131FFA">
              <w:rPr>
                <w:rFonts w:ascii="Arial" w:eastAsia="Calibri" w:hAnsi="Arial" w:cs="Arial"/>
                <w:sz w:val="20"/>
                <w:lang w:val="es-BO"/>
              </w:rPr>
              <w:t xml:space="preserve"> GNL de Caribe y Pacífico)</w:t>
            </w:r>
          </w:p>
        </w:tc>
        <w:tc>
          <w:tcPr>
            <w:tcW w:w="2340" w:type="dxa"/>
          </w:tcPr>
          <w:p w14:paraId="2341A69F" w14:textId="77777777" w:rsidR="00131FFA" w:rsidRPr="00131FFA" w:rsidRDefault="00131FFA" w:rsidP="00131FFA">
            <w:pPr>
              <w:jc w:val="center"/>
              <w:rPr>
                <w:rFonts w:ascii="Arial" w:eastAsia="Calibri" w:hAnsi="Arial" w:cs="Arial"/>
                <w:sz w:val="20"/>
                <w:lang w:val="es-BO"/>
              </w:rPr>
            </w:pPr>
          </w:p>
        </w:tc>
      </w:tr>
      <w:tr w:rsidR="00131FFA" w:rsidRPr="005E03D2" w14:paraId="2341A6A9" w14:textId="77777777" w:rsidTr="000860D0">
        <w:trPr>
          <w:trHeight w:val="64"/>
        </w:trPr>
        <w:tc>
          <w:tcPr>
            <w:tcW w:w="2880" w:type="dxa"/>
            <w:tcBorders>
              <w:bottom w:val="single" w:sz="4" w:space="0" w:color="000000"/>
            </w:tcBorders>
            <w:shd w:val="clear" w:color="auto" w:fill="auto"/>
            <w:vAlign w:val="center"/>
          </w:tcPr>
          <w:p w14:paraId="2341A6A1" w14:textId="77777777" w:rsidR="00131FFA" w:rsidRPr="00131FFA" w:rsidRDefault="0011752D" w:rsidP="00131FFA">
            <w:pPr>
              <w:contextualSpacing/>
              <w:rPr>
                <w:rFonts w:ascii="Arial" w:eastAsia="Calibri" w:hAnsi="Arial" w:cs="Arial"/>
                <w:sz w:val="20"/>
                <w:lang w:val="es-ES_tradnl"/>
              </w:rPr>
            </w:pPr>
            <w:r>
              <w:rPr>
                <w:rFonts w:ascii="Arial" w:eastAsia="Calibri" w:hAnsi="Arial" w:cs="Arial"/>
                <w:sz w:val="20"/>
                <w:lang w:val="es-ES_tradnl"/>
              </w:rPr>
              <w:t>2.5</w:t>
            </w:r>
            <w:r w:rsidR="00131FFA" w:rsidRPr="00131FFA">
              <w:rPr>
                <w:rFonts w:ascii="Arial" w:eastAsia="Calibri" w:hAnsi="Arial" w:cs="Arial"/>
                <w:sz w:val="20"/>
                <w:lang w:val="es-ES_tradnl"/>
              </w:rPr>
              <w:t xml:space="preserve"> Consumo de electricidad</w:t>
            </w:r>
            <w:r w:rsidR="001524D6">
              <w:rPr>
                <w:rFonts w:ascii="Arial" w:eastAsia="Calibri" w:hAnsi="Arial" w:cs="Arial"/>
                <w:sz w:val="20"/>
                <w:lang w:val="es-ES_tradnl"/>
              </w:rPr>
              <w:t xml:space="preserve"> sector industrial</w:t>
            </w:r>
          </w:p>
        </w:tc>
        <w:tc>
          <w:tcPr>
            <w:tcW w:w="1530" w:type="dxa"/>
            <w:tcBorders>
              <w:bottom w:val="single" w:sz="4" w:space="0" w:color="000000"/>
            </w:tcBorders>
            <w:shd w:val="clear" w:color="auto" w:fill="auto"/>
            <w:vAlign w:val="center"/>
          </w:tcPr>
          <w:p w14:paraId="2341A6A2" w14:textId="77777777" w:rsidR="00131FFA" w:rsidRPr="00131FFA" w:rsidRDefault="00131FFA" w:rsidP="00131FFA">
            <w:pPr>
              <w:jc w:val="center"/>
              <w:rPr>
                <w:rFonts w:ascii="Arial" w:eastAsia="Calibri" w:hAnsi="Arial" w:cs="Arial"/>
                <w:sz w:val="20"/>
                <w:lang w:val="es-ES_tradnl" w:eastAsia="zh-CN"/>
              </w:rPr>
            </w:pPr>
            <w:r w:rsidRPr="00131FFA">
              <w:rPr>
                <w:rFonts w:ascii="Arial" w:eastAsia="Calibri" w:hAnsi="Arial" w:cs="Arial"/>
                <w:sz w:val="20"/>
                <w:lang w:val="es-ES_tradnl" w:eastAsia="zh-CN"/>
              </w:rPr>
              <w:t>TJ/año</w:t>
            </w:r>
          </w:p>
        </w:tc>
        <w:tc>
          <w:tcPr>
            <w:tcW w:w="1800" w:type="dxa"/>
            <w:tcBorders>
              <w:bottom w:val="single" w:sz="4" w:space="0" w:color="000000"/>
            </w:tcBorders>
            <w:shd w:val="clear" w:color="auto" w:fill="auto"/>
            <w:vAlign w:val="center"/>
          </w:tcPr>
          <w:p w14:paraId="2341A6A3"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57.388</w:t>
            </w:r>
          </w:p>
        </w:tc>
        <w:tc>
          <w:tcPr>
            <w:tcW w:w="1530" w:type="dxa"/>
            <w:tcBorders>
              <w:bottom w:val="single" w:sz="4" w:space="0" w:color="000000"/>
            </w:tcBorders>
            <w:vAlign w:val="center"/>
          </w:tcPr>
          <w:p w14:paraId="2341A6A4"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57.455</w:t>
            </w:r>
          </w:p>
        </w:tc>
        <w:tc>
          <w:tcPr>
            <w:tcW w:w="2070" w:type="dxa"/>
            <w:tcBorders>
              <w:bottom w:val="single" w:sz="4" w:space="0" w:color="000000"/>
            </w:tcBorders>
            <w:shd w:val="clear" w:color="auto" w:fill="auto"/>
            <w:vAlign w:val="center"/>
          </w:tcPr>
          <w:p w14:paraId="2341A6A5"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53.993</w:t>
            </w:r>
          </w:p>
        </w:tc>
        <w:tc>
          <w:tcPr>
            <w:tcW w:w="2430" w:type="dxa"/>
            <w:tcBorders>
              <w:bottom w:val="single" w:sz="4" w:space="0" w:color="000000"/>
            </w:tcBorders>
            <w:shd w:val="clear" w:color="auto" w:fill="auto"/>
            <w:vAlign w:val="center"/>
          </w:tcPr>
          <w:p w14:paraId="2341A6A6" w14:textId="77777777" w:rsidR="00131FFA" w:rsidRPr="00131FFA" w:rsidRDefault="00131FFA" w:rsidP="00131FFA">
            <w:pPr>
              <w:jc w:val="center"/>
              <w:rPr>
                <w:rFonts w:ascii="Arial" w:eastAsia="Calibri" w:hAnsi="Arial" w:cs="Arial"/>
                <w:sz w:val="20"/>
                <w:lang w:val="es-BO"/>
              </w:rPr>
            </w:pPr>
            <w:r w:rsidRPr="00131FFA">
              <w:rPr>
                <w:rFonts w:ascii="Arial" w:eastAsia="Calibri" w:hAnsi="Arial" w:cs="Arial"/>
                <w:sz w:val="20"/>
                <w:lang w:val="es-BO"/>
              </w:rPr>
              <w:t>Plan de Acción Indicativo</w:t>
            </w:r>
          </w:p>
          <w:p w14:paraId="2341A6A7" w14:textId="77777777" w:rsidR="00131FFA" w:rsidRPr="00131FFA" w:rsidRDefault="00131FFA" w:rsidP="00131FFA">
            <w:pPr>
              <w:jc w:val="center"/>
              <w:rPr>
                <w:rFonts w:ascii="Arial" w:eastAsia="Calibri" w:hAnsi="Arial" w:cs="Arial"/>
                <w:sz w:val="20"/>
                <w:lang w:val="es-BO"/>
              </w:rPr>
            </w:pPr>
            <w:r w:rsidRPr="00131FFA">
              <w:rPr>
                <w:rFonts w:ascii="Arial" w:eastAsia="Calibri" w:hAnsi="Arial" w:cs="Arial"/>
                <w:sz w:val="20"/>
                <w:lang w:val="es-BO"/>
              </w:rPr>
              <w:t xml:space="preserve"> PROURE</w:t>
            </w:r>
          </w:p>
        </w:tc>
        <w:tc>
          <w:tcPr>
            <w:tcW w:w="2340" w:type="dxa"/>
            <w:tcBorders>
              <w:bottom w:val="single" w:sz="4" w:space="0" w:color="000000"/>
            </w:tcBorders>
          </w:tcPr>
          <w:p w14:paraId="2341A6A8" w14:textId="77777777" w:rsidR="00131FFA" w:rsidRPr="00131FFA" w:rsidRDefault="00131FFA" w:rsidP="00131FFA">
            <w:pPr>
              <w:jc w:val="center"/>
              <w:rPr>
                <w:rFonts w:ascii="Arial" w:eastAsia="Calibri" w:hAnsi="Arial" w:cs="Arial"/>
                <w:sz w:val="20"/>
                <w:lang w:val="es-BO"/>
              </w:rPr>
            </w:pPr>
          </w:p>
        </w:tc>
      </w:tr>
      <w:tr w:rsidR="00131FFA" w:rsidRPr="005E03D2" w14:paraId="2341A6AC" w14:textId="77777777" w:rsidTr="000860D0">
        <w:trPr>
          <w:trHeight w:val="368"/>
        </w:trPr>
        <w:tc>
          <w:tcPr>
            <w:tcW w:w="12240" w:type="dxa"/>
            <w:gridSpan w:val="6"/>
            <w:shd w:val="clear" w:color="auto" w:fill="C6D9F1" w:themeFill="text2" w:themeFillTint="33"/>
          </w:tcPr>
          <w:p w14:paraId="2341A6AA" w14:textId="77777777" w:rsidR="00131FFA" w:rsidRPr="00131FFA" w:rsidRDefault="00131FFA" w:rsidP="00472C9E">
            <w:pPr>
              <w:numPr>
                <w:ilvl w:val="0"/>
                <w:numId w:val="7"/>
              </w:numPr>
              <w:spacing w:before="60" w:line="276" w:lineRule="auto"/>
              <w:ind w:left="706"/>
              <w:rPr>
                <w:rFonts w:ascii="Arial" w:eastAsia="Calibri" w:hAnsi="Arial" w:cs="Arial"/>
                <w:b/>
                <w:i/>
                <w:sz w:val="20"/>
                <w:lang w:val="es-BO"/>
              </w:rPr>
            </w:pPr>
            <w:r w:rsidRPr="00131FFA">
              <w:rPr>
                <w:rFonts w:ascii="Arial" w:eastAsia="Calibri" w:hAnsi="Arial" w:cs="Arial"/>
                <w:b/>
                <w:i/>
                <w:sz w:val="20"/>
                <w:lang w:val="es-CO"/>
              </w:rPr>
              <w:t>Promoción del acceso a la energía en ZNI</w:t>
            </w:r>
          </w:p>
        </w:tc>
        <w:tc>
          <w:tcPr>
            <w:tcW w:w="2340" w:type="dxa"/>
            <w:shd w:val="clear" w:color="auto" w:fill="C6D9F1" w:themeFill="text2" w:themeFillTint="33"/>
          </w:tcPr>
          <w:p w14:paraId="2341A6AB" w14:textId="77777777" w:rsidR="00131FFA" w:rsidRPr="00131FFA" w:rsidRDefault="00131FFA" w:rsidP="00131FFA">
            <w:pPr>
              <w:rPr>
                <w:rFonts w:ascii="Arial" w:eastAsia="Calibri" w:hAnsi="Arial" w:cs="Arial"/>
                <w:b/>
                <w:i/>
                <w:sz w:val="20"/>
                <w:lang w:val="es-CO"/>
              </w:rPr>
            </w:pPr>
          </w:p>
        </w:tc>
      </w:tr>
      <w:tr w:rsidR="00131FFA" w:rsidRPr="005E03D2" w14:paraId="2341A6B5" w14:textId="77777777" w:rsidTr="000860D0">
        <w:trPr>
          <w:trHeight w:val="64"/>
        </w:trPr>
        <w:tc>
          <w:tcPr>
            <w:tcW w:w="2880" w:type="dxa"/>
            <w:vAlign w:val="center"/>
          </w:tcPr>
          <w:p w14:paraId="2341A6AD" w14:textId="77777777" w:rsidR="00131FFA" w:rsidRPr="00131FFA" w:rsidRDefault="00131FFA" w:rsidP="00131FFA">
            <w:pPr>
              <w:contextualSpacing/>
              <w:rPr>
                <w:rFonts w:ascii="Arial" w:eastAsia="Calibri" w:hAnsi="Arial" w:cs="Arial"/>
                <w:sz w:val="20"/>
                <w:lang w:val="es-ES_tradnl"/>
              </w:rPr>
            </w:pPr>
            <w:r w:rsidRPr="00131FFA">
              <w:rPr>
                <w:rFonts w:ascii="Arial" w:eastAsia="Calibri" w:hAnsi="Arial" w:cs="Arial"/>
                <w:sz w:val="20"/>
                <w:lang w:val="es-ES_tradnl"/>
              </w:rPr>
              <w:t xml:space="preserve">4.1 Capacidad instalada de FNCER en ZNI </w:t>
            </w:r>
          </w:p>
        </w:tc>
        <w:tc>
          <w:tcPr>
            <w:tcW w:w="1530" w:type="dxa"/>
            <w:vAlign w:val="center"/>
          </w:tcPr>
          <w:p w14:paraId="2341A6AE"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MW</w:t>
            </w:r>
          </w:p>
        </w:tc>
        <w:tc>
          <w:tcPr>
            <w:tcW w:w="1800" w:type="dxa"/>
            <w:vAlign w:val="center"/>
          </w:tcPr>
          <w:p w14:paraId="2341A6AF"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2,8 (2013)</w:t>
            </w:r>
          </w:p>
        </w:tc>
        <w:tc>
          <w:tcPr>
            <w:tcW w:w="1530" w:type="dxa"/>
            <w:vAlign w:val="center"/>
          </w:tcPr>
          <w:p w14:paraId="2341A6B0"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w:t>
            </w:r>
          </w:p>
        </w:tc>
        <w:tc>
          <w:tcPr>
            <w:tcW w:w="2070" w:type="dxa"/>
            <w:vAlign w:val="center"/>
          </w:tcPr>
          <w:p w14:paraId="2341A6B1" w14:textId="77777777" w:rsidR="00131FFA" w:rsidRPr="00131FFA" w:rsidRDefault="00131FFA" w:rsidP="00131FFA">
            <w:pPr>
              <w:jc w:val="center"/>
              <w:rPr>
                <w:rFonts w:ascii="Arial" w:eastAsia="Calibri" w:hAnsi="Arial" w:cs="Arial"/>
                <w:sz w:val="20"/>
                <w:lang w:val="es-ES_tradnl"/>
              </w:rPr>
            </w:pPr>
            <w:r w:rsidRPr="00131FFA">
              <w:rPr>
                <w:rFonts w:ascii="Arial" w:eastAsia="Calibri" w:hAnsi="Arial" w:cs="Arial"/>
                <w:sz w:val="20"/>
                <w:lang w:val="es-ES_tradnl"/>
              </w:rPr>
              <w:t>9</w:t>
            </w:r>
          </w:p>
        </w:tc>
        <w:tc>
          <w:tcPr>
            <w:tcW w:w="2430" w:type="dxa"/>
          </w:tcPr>
          <w:p w14:paraId="2341A6B2" w14:textId="77777777" w:rsidR="00131FFA" w:rsidRPr="00131FFA" w:rsidRDefault="00131FFA" w:rsidP="00131FFA">
            <w:pPr>
              <w:jc w:val="center"/>
              <w:rPr>
                <w:rFonts w:ascii="Arial" w:eastAsia="Calibri" w:hAnsi="Arial" w:cs="Arial"/>
                <w:sz w:val="20"/>
                <w:lang w:val="es-BO"/>
              </w:rPr>
            </w:pPr>
            <w:r w:rsidRPr="00131FFA">
              <w:rPr>
                <w:rFonts w:ascii="Arial" w:eastAsia="Calibri" w:hAnsi="Arial" w:cs="Arial"/>
                <w:sz w:val="20"/>
                <w:lang w:val="es-BO"/>
              </w:rPr>
              <w:t>Capacidad instalada FNCER en ZNI</w:t>
            </w:r>
          </w:p>
          <w:p w14:paraId="2341A6B3" w14:textId="77777777" w:rsidR="00131FFA" w:rsidRPr="00131FFA" w:rsidRDefault="004932D7" w:rsidP="00131FFA">
            <w:pPr>
              <w:jc w:val="center"/>
              <w:rPr>
                <w:rFonts w:ascii="Arial" w:eastAsia="Calibri" w:hAnsi="Arial" w:cs="Arial"/>
                <w:sz w:val="20"/>
                <w:lang w:val="es-BO"/>
              </w:rPr>
            </w:pPr>
            <w:hyperlink r:id="rId39" w:history="1">
              <w:r w:rsidR="00131FFA" w:rsidRPr="00131FFA">
                <w:rPr>
                  <w:rFonts w:ascii="Arial" w:eastAsia="Calibri" w:hAnsi="Arial" w:cs="Arial"/>
                  <w:color w:val="0000FF"/>
                  <w:sz w:val="20"/>
                  <w:u w:val="single"/>
                  <w:lang w:val="es-BO"/>
                </w:rPr>
                <w:t>UPME PIEC 2016-20</w:t>
              </w:r>
            </w:hyperlink>
          </w:p>
        </w:tc>
        <w:tc>
          <w:tcPr>
            <w:tcW w:w="2340" w:type="dxa"/>
          </w:tcPr>
          <w:p w14:paraId="2341A6B4" w14:textId="77777777" w:rsidR="00131FFA" w:rsidRPr="00131FFA" w:rsidRDefault="00131FFA" w:rsidP="00131FFA">
            <w:pPr>
              <w:jc w:val="center"/>
              <w:rPr>
                <w:rFonts w:ascii="Arial" w:eastAsia="Calibri" w:hAnsi="Arial" w:cs="Arial"/>
                <w:sz w:val="20"/>
                <w:lang w:val="es-BO"/>
              </w:rPr>
            </w:pPr>
          </w:p>
        </w:tc>
      </w:tr>
    </w:tbl>
    <w:p w14:paraId="2341A6B6" w14:textId="77777777" w:rsidR="0084734A" w:rsidRDefault="0084734A">
      <w:pPr>
        <w:spacing w:after="200" w:line="276" w:lineRule="auto"/>
        <w:rPr>
          <w:rFonts w:ascii="Arial" w:hAnsi="Arial" w:cs="Arial"/>
          <w:b/>
          <w:smallCaps/>
          <w:color w:val="000000"/>
          <w:sz w:val="20"/>
          <w:lang w:val="es-BO"/>
        </w:rPr>
      </w:pPr>
      <w:r>
        <w:rPr>
          <w:rFonts w:ascii="Arial" w:hAnsi="Arial" w:cs="Arial"/>
          <w:b/>
          <w:smallCaps/>
          <w:color w:val="000000"/>
          <w:sz w:val="20"/>
          <w:lang w:val="es-BO"/>
        </w:rPr>
        <w:br w:type="page"/>
      </w:r>
    </w:p>
    <w:p w14:paraId="2341A6B7" w14:textId="77777777" w:rsidR="0084734A" w:rsidRDefault="0084734A" w:rsidP="001033AB">
      <w:pPr>
        <w:autoSpaceDE w:val="0"/>
        <w:autoSpaceDN w:val="0"/>
        <w:adjustRightInd w:val="0"/>
        <w:spacing w:after="120"/>
        <w:jc w:val="center"/>
        <w:rPr>
          <w:rFonts w:ascii="Arial" w:hAnsi="Arial" w:cs="Arial"/>
          <w:b/>
          <w:smallCaps/>
          <w:color w:val="000000"/>
          <w:sz w:val="20"/>
          <w:lang w:val="es-BO"/>
        </w:rPr>
        <w:sectPr w:rsidR="0084734A" w:rsidSect="00AC5DD0">
          <w:pgSz w:w="15840" w:h="12240" w:orient="landscape"/>
          <w:pgMar w:top="1800" w:right="1440" w:bottom="1800" w:left="907" w:header="720" w:footer="720" w:gutter="0"/>
          <w:cols w:space="720"/>
          <w:titlePg/>
          <w:docGrid w:linePitch="326"/>
        </w:sectPr>
      </w:pPr>
    </w:p>
    <w:p w14:paraId="2341A6B8" w14:textId="77777777" w:rsidR="0084734A" w:rsidRPr="00FF447B" w:rsidRDefault="00B8752F" w:rsidP="0084734A">
      <w:pPr>
        <w:pStyle w:val="FirstHeading"/>
        <w:spacing w:before="240"/>
        <w:ind w:left="720"/>
        <w:rPr>
          <w:rFonts w:ascii="Arial" w:hAnsi="Arial" w:cs="Arial"/>
          <w:sz w:val="22"/>
          <w:szCs w:val="22"/>
          <w:lang w:val="es-ES_tradnl"/>
        </w:rPr>
      </w:pPr>
      <w:bookmarkStart w:id="11" w:name="_Toc473464958"/>
      <w:r w:rsidRPr="00FF447B">
        <w:rPr>
          <w:rFonts w:ascii="Arial" w:hAnsi="Arial" w:cs="Arial"/>
          <w:sz w:val="22"/>
          <w:szCs w:val="22"/>
        </w:rPr>
        <w:lastRenderedPageBreak/>
        <w:t>D</w:t>
      </w:r>
      <w:r w:rsidR="0084734A" w:rsidRPr="00FF447B">
        <w:rPr>
          <w:rFonts w:ascii="Arial" w:hAnsi="Arial" w:cs="Arial"/>
          <w:sz w:val="22"/>
          <w:szCs w:val="22"/>
        </w:rPr>
        <w:t>.</w:t>
      </w:r>
      <w:r w:rsidR="0084734A" w:rsidRPr="00FF447B">
        <w:rPr>
          <w:rFonts w:ascii="Arial" w:hAnsi="Arial" w:cs="Arial"/>
          <w:sz w:val="22"/>
          <w:szCs w:val="22"/>
        </w:rPr>
        <w:tab/>
      </w:r>
      <w:r w:rsidR="0084734A" w:rsidRPr="00FF447B">
        <w:rPr>
          <w:rFonts w:ascii="Arial" w:hAnsi="Arial" w:cs="Arial"/>
          <w:sz w:val="22"/>
          <w:szCs w:val="22"/>
          <w:lang w:val="es-ES_tradnl"/>
        </w:rPr>
        <w:t>Metodología de Evaluación</w:t>
      </w:r>
      <w:bookmarkEnd w:id="11"/>
    </w:p>
    <w:p w14:paraId="2341A6B9" w14:textId="77777777" w:rsidR="008864E7" w:rsidRPr="00FF447B" w:rsidRDefault="008864E7" w:rsidP="008864E7">
      <w:pPr>
        <w:pStyle w:val="Paragraph"/>
        <w:tabs>
          <w:tab w:val="num" w:pos="720"/>
        </w:tabs>
        <w:ind w:left="720" w:hanging="720"/>
        <w:rPr>
          <w:rFonts w:ascii="Arial" w:hAnsi="Arial" w:cs="Arial"/>
          <w:sz w:val="22"/>
          <w:szCs w:val="22"/>
        </w:rPr>
      </w:pPr>
      <w:r w:rsidRPr="00FF447B">
        <w:rPr>
          <w:rFonts w:ascii="Arial" w:hAnsi="Arial" w:cs="Arial"/>
          <w:sz w:val="22"/>
          <w:szCs w:val="22"/>
          <w:u w:val="single"/>
        </w:rPr>
        <w:t>A manera ex ante</w:t>
      </w:r>
      <w:r w:rsidRPr="00FF447B">
        <w:rPr>
          <w:rFonts w:ascii="Arial" w:hAnsi="Arial" w:cs="Arial"/>
          <w:sz w:val="22"/>
          <w:szCs w:val="22"/>
        </w:rPr>
        <w:t xml:space="preserve"> se evaluó la consecución de los objetivos del programa </w:t>
      </w:r>
      <w:r w:rsidR="00FF447B">
        <w:rPr>
          <w:rFonts w:ascii="Arial" w:hAnsi="Arial" w:cs="Arial"/>
          <w:sz w:val="22"/>
          <w:szCs w:val="22"/>
        </w:rPr>
        <w:t xml:space="preserve">como resultado de la intervención, </w:t>
      </w:r>
      <w:r w:rsidRPr="00FF447B">
        <w:rPr>
          <w:rFonts w:ascii="Arial" w:hAnsi="Arial" w:cs="Arial"/>
          <w:sz w:val="22"/>
          <w:szCs w:val="22"/>
        </w:rPr>
        <w:t xml:space="preserve">tomando como referencia las metas e indicadores establecidos en las matrices de política. </w:t>
      </w:r>
    </w:p>
    <w:p w14:paraId="2341A6BA" w14:textId="77777777" w:rsidR="00FF447B" w:rsidRPr="00FF447B" w:rsidRDefault="00F364F4" w:rsidP="00FF447B">
      <w:pPr>
        <w:pStyle w:val="Paragraph"/>
        <w:tabs>
          <w:tab w:val="num" w:pos="720"/>
        </w:tabs>
        <w:ind w:left="720" w:hanging="720"/>
        <w:rPr>
          <w:rFonts w:ascii="Arial" w:hAnsi="Arial" w:cs="Arial"/>
          <w:sz w:val="22"/>
          <w:szCs w:val="22"/>
        </w:rPr>
      </w:pPr>
      <w:r w:rsidRPr="00FF447B">
        <w:rPr>
          <w:rFonts w:ascii="Arial" w:hAnsi="Arial" w:cs="Arial"/>
          <w:sz w:val="22"/>
          <w:szCs w:val="22"/>
          <w:u w:val="single"/>
          <w:lang w:val="es-ES_tradnl"/>
        </w:rPr>
        <w:t>A manera ex post</w:t>
      </w:r>
      <w:r w:rsidRPr="00FF447B">
        <w:rPr>
          <w:rFonts w:ascii="Arial" w:hAnsi="Arial" w:cs="Arial"/>
          <w:sz w:val="22"/>
          <w:szCs w:val="22"/>
          <w:lang w:val="es-ES_tradnl"/>
        </w:rPr>
        <w:t xml:space="preserve"> se </w:t>
      </w:r>
      <w:r w:rsidR="00FF447B">
        <w:rPr>
          <w:rFonts w:ascii="Arial" w:hAnsi="Arial" w:cs="Arial"/>
          <w:sz w:val="22"/>
          <w:szCs w:val="22"/>
          <w:lang w:val="es-ES_tradnl"/>
        </w:rPr>
        <w:t>preparará</w:t>
      </w:r>
      <w:r w:rsidR="00FF447B" w:rsidRPr="00FF447B">
        <w:rPr>
          <w:rStyle w:val="FootnoteReference"/>
          <w:rFonts w:ascii="Arial" w:hAnsi="Arial" w:cs="Arial"/>
          <w:sz w:val="22"/>
          <w:szCs w:val="22"/>
          <w:lang w:val="es-ES_tradnl"/>
        </w:rPr>
        <w:footnoteReference w:id="3"/>
      </w:r>
      <w:r w:rsidRPr="00FF447B">
        <w:rPr>
          <w:rFonts w:ascii="Arial" w:hAnsi="Arial" w:cs="Arial"/>
          <w:sz w:val="22"/>
          <w:szCs w:val="22"/>
          <w:lang w:val="es-ES_tradnl"/>
        </w:rPr>
        <w:t xml:space="preserve">: (i) una evaluación de los indicadores de resultado e impacto </w:t>
      </w:r>
      <w:r w:rsidR="00FF447B" w:rsidRPr="00FF447B">
        <w:rPr>
          <w:rFonts w:ascii="Arial" w:hAnsi="Arial" w:cs="Arial"/>
          <w:sz w:val="22"/>
          <w:szCs w:val="22"/>
          <w:lang w:val="es-ES_tradnl"/>
        </w:rPr>
        <w:t>de</w:t>
      </w:r>
      <w:r w:rsidRPr="00FF447B">
        <w:rPr>
          <w:rFonts w:ascii="Arial" w:hAnsi="Arial" w:cs="Arial"/>
          <w:sz w:val="22"/>
          <w:szCs w:val="22"/>
          <w:lang w:val="es-ES_tradnl"/>
        </w:rPr>
        <w:t xml:space="preserve"> la Matriz de Resultados,</w:t>
      </w:r>
      <w:r w:rsidR="00FF447B" w:rsidRPr="00FF447B">
        <w:rPr>
          <w:rFonts w:ascii="Arial" w:hAnsi="Arial" w:cs="Arial"/>
          <w:sz w:val="22"/>
          <w:szCs w:val="22"/>
          <w:lang w:val="es-ES_tradnl"/>
        </w:rPr>
        <w:t xml:space="preserve"> aplicando el método Antes–Después;</w:t>
      </w:r>
      <w:r w:rsidRPr="00FF447B">
        <w:rPr>
          <w:rFonts w:ascii="Arial" w:hAnsi="Arial" w:cs="Arial"/>
          <w:sz w:val="22"/>
          <w:szCs w:val="22"/>
          <w:lang w:val="es-ES_tradnl"/>
        </w:rPr>
        <w:t xml:space="preserve"> (ii) </w:t>
      </w:r>
      <w:r w:rsidR="00FF447B">
        <w:rPr>
          <w:rFonts w:ascii="Arial" w:hAnsi="Arial" w:cs="Arial"/>
          <w:sz w:val="22"/>
          <w:szCs w:val="22"/>
          <w:lang w:val="es-ES_tradnl"/>
        </w:rPr>
        <w:t xml:space="preserve">una </w:t>
      </w:r>
      <w:r w:rsidR="00FF447B" w:rsidRPr="00FF447B">
        <w:rPr>
          <w:rFonts w:ascii="Arial" w:hAnsi="Arial" w:cs="Arial"/>
          <w:sz w:val="22"/>
          <w:szCs w:val="22"/>
          <w:lang w:val="es-ES_tradnl"/>
        </w:rPr>
        <w:t>e</w:t>
      </w:r>
      <w:r w:rsidRPr="00FF447B">
        <w:rPr>
          <w:rFonts w:ascii="Arial" w:hAnsi="Arial" w:cs="Arial"/>
          <w:sz w:val="22"/>
          <w:szCs w:val="22"/>
          <w:lang w:val="es-ES_tradnl"/>
        </w:rPr>
        <w:t xml:space="preserve">valuación económica ex post; y (iii) </w:t>
      </w:r>
      <w:r w:rsidR="00FF447B" w:rsidRPr="00FF447B">
        <w:rPr>
          <w:rFonts w:ascii="Arial" w:hAnsi="Arial" w:cs="Arial"/>
          <w:sz w:val="22"/>
          <w:szCs w:val="22"/>
          <w:lang w:val="es-ES_tradnl"/>
        </w:rPr>
        <w:t>i</w:t>
      </w:r>
      <w:r w:rsidRPr="00FF447B">
        <w:rPr>
          <w:rFonts w:ascii="Arial" w:hAnsi="Arial" w:cs="Arial"/>
          <w:sz w:val="22"/>
          <w:szCs w:val="22"/>
          <w:lang w:val="es-ES_tradnl"/>
        </w:rPr>
        <w:t>nforme de Terminación del Proyecto (PCR)</w:t>
      </w:r>
      <w:r w:rsidR="00FF447B" w:rsidRPr="00FF447B">
        <w:rPr>
          <w:rFonts w:ascii="Arial" w:hAnsi="Arial" w:cs="Arial"/>
          <w:sz w:val="22"/>
          <w:szCs w:val="22"/>
          <w:lang w:val="es-ES_tradnl"/>
        </w:rPr>
        <w:t xml:space="preserve"> </w:t>
      </w:r>
    </w:p>
    <w:p w14:paraId="2341A6BB" w14:textId="77777777" w:rsidR="006F03A5" w:rsidRPr="00FF447B" w:rsidRDefault="00B8752F" w:rsidP="006F03A5">
      <w:pPr>
        <w:pStyle w:val="FirstHeading"/>
        <w:spacing w:before="240"/>
        <w:ind w:left="720"/>
        <w:rPr>
          <w:rFonts w:ascii="Arial" w:hAnsi="Arial" w:cs="Arial"/>
          <w:sz w:val="22"/>
          <w:szCs w:val="22"/>
        </w:rPr>
      </w:pPr>
      <w:bookmarkStart w:id="12" w:name="_Toc473464959"/>
      <w:r w:rsidRPr="00FF447B">
        <w:rPr>
          <w:rFonts w:ascii="Arial" w:hAnsi="Arial" w:cs="Arial"/>
          <w:sz w:val="22"/>
          <w:szCs w:val="22"/>
        </w:rPr>
        <w:t>E.</w:t>
      </w:r>
      <w:r w:rsidRPr="00FF447B">
        <w:rPr>
          <w:rFonts w:ascii="Arial" w:hAnsi="Arial" w:cs="Arial"/>
          <w:sz w:val="22"/>
          <w:szCs w:val="22"/>
          <w:lang w:val="es-ES_tradnl"/>
        </w:rPr>
        <w:tab/>
      </w:r>
      <w:r w:rsidR="006F03A5" w:rsidRPr="00FF447B">
        <w:rPr>
          <w:rFonts w:ascii="Arial" w:hAnsi="Arial" w:cs="Arial"/>
          <w:sz w:val="22"/>
          <w:szCs w:val="22"/>
          <w:lang w:val="es-ES_tradnl"/>
        </w:rPr>
        <w:t>Evaluación</w:t>
      </w:r>
      <w:r w:rsidR="006F03A5" w:rsidRPr="00FF447B">
        <w:rPr>
          <w:rFonts w:ascii="Arial" w:hAnsi="Arial" w:cs="Arial"/>
          <w:sz w:val="22"/>
          <w:szCs w:val="22"/>
        </w:rPr>
        <w:t xml:space="preserve"> </w:t>
      </w:r>
      <w:r w:rsidR="00FF447B" w:rsidRPr="00FF447B">
        <w:rPr>
          <w:rFonts w:ascii="Arial" w:hAnsi="Arial" w:cs="Arial"/>
          <w:sz w:val="22"/>
          <w:szCs w:val="22"/>
        </w:rPr>
        <w:t>E</w:t>
      </w:r>
      <w:r w:rsidR="006F03A5" w:rsidRPr="00FF447B">
        <w:rPr>
          <w:rFonts w:ascii="Arial" w:hAnsi="Arial" w:cs="Arial"/>
          <w:sz w:val="22"/>
          <w:szCs w:val="22"/>
        </w:rPr>
        <w:t>x ante</w:t>
      </w:r>
      <w:bookmarkEnd w:id="12"/>
    </w:p>
    <w:p w14:paraId="2341A6BC" w14:textId="77777777" w:rsidR="006F03A5" w:rsidRPr="00FF447B" w:rsidRDefault="006F03A5" w:rsidP="006F03A5">
      <w:pPr>
        <w:pStyle w:val="Paragraph"/>
        <w:tabs>
          <w:tab w:val="num" w:pos="720"/>
        </w:tabs>
        <w:ind w:left="720" w:hanging="720"/>
        <w:rPr>
          <w:rFonts w:ascii="Arial" w:hAnsi="Arial" w:cs="Arial"/>
          <w:sz w:val="22"/>
          <w:szCs w:val="22"/>
        </w:rPr>
      </w:pPr>
      <w:r w:rsidRPr="00FF447B">
        <w:rPr>
          <w:rFonts w:ascii="Arial" w:hAnsi="Arial" w:cs="Arial"/>
          <w:sz w:val="22"/>
          <w:szCs w:val="22"/>
        </w:rPr>
        <w:t xml:space="preserve">Durante el diseño de la </w:t>
      </w:r>
      <w:r w:rsidR="00FF447B">
        <w:rPr>
          <w:rFonts w:ascii="Arial" w:hAnsi="Arial" w:cs="Arial"/>
          <w:sz w:val="22"/>
          <w:szCs w:val="22"/>
        </w:rPr>
        <w:t>opera</w:t>
      </w:r>
      <w:r w:rsidRPr="00FF447B">
        <w:rPr>
          <w:rFonts w:ascii="Arial" w:hAnsi="Arial" w:cs="Arial"/>
          <w:sz w:val="22"/>
          <w:szCs w:val="22"/>
        </w:rPr>
        <w:t xml:space="preserve">ción se realizó una </w:t>
      </w:r>
      <w:hyperlink r:id="rId40" w:history="1">
        <w:r w:rsidRPr="00FF447B">
          <w:rPr>
            <w:rStyle w:val="Hyperlink"/>
            <w:rFonts w:ascii="Arial" w:hAnsi="Arial" w:cs="Arial"/>
            <w:sz w:val="22"/>
            <w:szCs w:val="22"/>
          </w:rPr>
          <w:t>Evaluación Económica</w:t>
        </w:r>
      </w:hyperlink>
      <w:r w:rsidR="00F55B4A" w:rsidRPr="00FF447B">
        <w:rPr>
          <w:rFonts w:ascii="Arial" w:hAnsi="Arial" w:cs="Arial"/>
          <w:sz w:val="22"/>
          <w:szCs w:val="22"/>
        </w:rPr>
        <w:t xml:space="preserve"> </w:t>
      </w:r>
      <w:r w:rsidRPr="00FF447B">
        <w:rPr>
          <w:rFonts w:ascii="Arial" w:hAnsi="Arial" w:cs="Arial"/>
          <w:sz w:val="22"/>
          <w:szCs w:val="22"/>
        </w:rPr>
        <w:t xml:space="preserve">del programa, estructurada sobre la base de que las medidas de política incluidas apuntan a mejorar la confiabilidad de la oferta eficiente de energía en Colombia, incrementar la eficiencia en el uso de la energía, mejorar el funcionamiento del Mercado Eléctrico Mayorista (MEM) y promover una matriz energética menos contaminante. </w:t>
      </w:r>
    </w:p>
    <w:p w14:paraId="2341A6BD" w14:textId="77777777" w:rsidR="006F03A5" w:rsidRPr="005741C4" w:rsidRDefault="006F03A5" w:rsidP="006F03A5">
      <w:pPr>
        <w:pStyle w:val="Paragraph"/>
        <w:tabs>
          <w:tab w:val="num" w:pos="720"/>
        </w:tabs>
        <w:ind w:left="720" w:hanging="720"/>
        <w:rPr>
          <w:rFonts w:ascii="Arial" w:hAnsi="Arial" w:cs="Arial"/>
          <w:sz w:val="22"/>
          <w:szCs w:val="22"/>
        </w:rPr>
      </w:pPr>
      <w:r w:rsidRPr="005741C4">
        <w:rPr>
          <w:rFonts w:ascii="Arial" w:hAnsi="Arial" w:cs="Arial"/>
          <w:sz w:val="22"/>
          <w:szCs w:val="22"/>
        </w:rPr>
        <w:t xml:space="preserve">De la evaluación económica del programa se llegó a la conclusión de que el conjunto de medidas de políticas evaluadas tiene efectos positivos por mayor seguridad de suministro energético derivado de una matriz con </w:t>
      </w:r>
      <w:r w:rsidRPr="005741C4">
        <w:rPr>
          <w:rFonts w:ascii="Arial" w:hAnsi="Arial" w:cs="Arial"/>
          <w:color w:val="000000"/>
          <w:sz w:val="22"/>
          <w:szCs w:val="22"/>
          <w:lang w:val="es-ES_tradnl"/>
        </w:rPr>
        <w:t>mayor participación de las FNCER, mayores intercambios de energía con</w:t>
      </w:r>
      <w:r w:rsidRPr="005741C4">
        <w:rPr>
          <w:rFonts w:ascii="Arial" w:hAnsi="Arial" w:cs="Arial"/>
          <w:sz w:val="22"/>
          <w:szCs w:val="22"/>
        </w:rPr>
        <w:t xml:space="preserve"> otros países, mejor funcionamiento del mercado de gas natural.</w:t>
      </w:r>
      <w:r w:rsidR="009F527C">
        <w:rPr>
          <w:rFonts w:ascii="Arial" w:hAnsi="Arial" w:cs="Arial"/>
          <w:sz w:val="22"/>
          <w:szCs w:val="22"/>
        </w:rPr>
        <w:t xml:space="preserve"> El Anexo II presenta los resultados de esta evaluación económica ex ante.</w:t>
      </w:r>
    </w:p>
    <w:p w14:paraId="2341A6BE" w14:textId="77777777" w:rsidR="00693484" w:rsidRPr="005741C4" w:rsidRDefault="00FF447B" w:rsidP="00FF447B">
      <w:pPr>
        <w:pStyle w:val="FirstHeading"/>
        <w:spacing w:before="240"/>
        <w:ind w:left="720"/>
        <w:rPr>
          <w:rFonts w:ascii="Arial" w:hAnsi="Arial" w:cs="Arial"/>
          <w:b w:val="0"/>
          <w:color w:val="000000"/>
          <w:sz w:val="22"/>
          <w:szCs w:val="22"/>
        </w:rPr>
      </w:pPr>
      <w:bookmarkStart w:id="13" w:name="_Toc473464960"/>
      <w:r w:rsidRPr="005741C4">
        <w:rPr>
          <w:rFonts w:ascii="Arial" w:hAnsi="Arial" w:cs="Arial"/>
          <w:color w:val="000000"/>
          <w:sz w:val="22"/>
          <w:szCs w:val="22"/>
          <w:highlight w:val="lightGray"/>
          <w:lang w:val="es-ES_tradnl"/>
        </w:rPr>
        <w:t>F.</w:t>
      </w:r>
      <w:r w:rsidR="005741C4" w:rsidRPr="005741C4">
        <w:rPr>
          <w:rFonts w:ascii="Arial" w:hAnsi="Arial" w:cs="Arial"/>
          <w:color w:val="000000"/>
          <w:sz w:val="22"/>
          <w:szCs w:val="22"/>
          <w:lang w:val="es-ES_tradnl"/>
        </w:rPr>
        <w:tab/>
      </w:r>
      <w:r w:rsidRPr="005741C4">
        <w:rPr>
          <w:rFonts w:ascii="Arial" w:hAnsi="Arial" w:cs="Arial"/>
          <w:sz w:val="22"/>
          <w:szCs w:val="22"/>
          <w:lang w:val="es-ES_tradnl"/>
        </w:rPr>
        <w:t>Evaluación Ex post</w:t>
      </w:r>
      <w:bookmarkEnd w:id="13"/>
    </w:p>
    <w:p w14:paraId="2341A6BF" w14:textId="77777777" w:rsidR="00FF447B" w:rsidRPr="00D528FD" w:rsidRDefault="00FF447B" w:rsidP="00D528FD">
      <w:pPr>
        <w:pStyle w:val="Paragraph"/>
        <w:tabs>
          <w:tab w:val="num" w:pos="720"/>
        </w:tabs>
        <w:ind w:left="720" w:hanging="720"/>
        <w:rPr>
          <w:rFonts w:ascii="Arial" w:hAnsi="Arial" w:cs="Arial"/>
          <w:sz w:val="22"/>
          <w:szCs w:val="22"/>
        </w:rPr>
      </w:pPr>
      <w:r w:rsidRPr="00D528FD">
        <w:rPr>
          <w:rFonts w:ascii="Arial" w:hAnsi="Arial" w:cs="Arial"/>
          <w:sz w:val="22"/>
          <w:szCs w:val="22"/>
          <w:u w:val="single"/>
        </w:rPr>
        <w:t>Método Antes – Después</w:t>
      </w:r>
      <w:r w:rsidRPr="00D528FD">
        <w:rPr>
          <w:rFonts w:ascii="Arial" w:hAnsi="Arial" w:cs="Arial"/>
          <w:sz w:val="22"/>
          <w:szCs w:val="22"/>
        </w:rPr>
        <w:t>.</w:t>
      </w:r>
      <w:r w:rsidR="000C337F">
        <w:rPr>
          <w:rFonts w:ascii="Arial" w:hAnsi="Arial" w:cs="Arial"/>
          <w:sz w:val="22"/>
          <w:szCs w:val="22"/>
        </w:rPr>
        <w:t xml:space="preserve"> P</w:t>
      </w:r>
      <w:r w:rsidR="005741C4" w:rsidRPr="00D528FD">
        <w:rPr>
          <w:rFonts w:ascii="Arial" w:hAnsi="Arial" w:cs="Arial"/>
          <w:sz w:val="22"/>
          <w:szCs w:val="22"/>
        </w:rPr>
        <w:t xml:space="preserve">ara definir si los resultados se han alcanzado, </w:t>
      </w:r>
      <w:r w:rsidR="000C337F">
        <w:rPr>
          <w:rFonts w:ascii="Arial" w:hAnsi="Arial" w:cs="Arial"/>
          <w:sz w:val="22"/>
          <w:szCs w:val="22"/>
        </w:rPr>
        <w:t>c</w:t>
      </w:r>
      <w:r w:rsidR="000C337F" w:rsidRPr="00D528FD">
        <w:rPr>
          <w:rFonts w:ascii="Arial" w:hAnsi="Arial" w:cs="Arial"/>
          <w:sz w:val="22"/>
          <w:szCs w:val="22"/>
        </w:rPr>
        <w:t xml:space="preserve">on este método </w:t>
      </w:r>
      <w:r w:rsidRPr="00D528FD">
        <w:rPr>
          <w:rFonts w:ascii="Arial" w:hAnsi="Arial" w:cs="Arial"/>
          <w:sz w:val="22"/>
          <w:szCs w:val="22"/>
        </w:rPr>
        <w:t xml:space="preserve">los valores de los indicadores de resultados e impacto del programa se comparan antes y después de la intervención, </w:t>
      </w:r>
      <w:r w:rsidR="000F40E7" w:rsidRPr="00D528FD">
        <w:rPr>
          <w:rFonts w:ascii="Arial" w:hAnsi="Arial" w:cs="Arial"/>
          <w:sz w:val="22"/>
          <w:szCs w:val="22"/>
        </w:rPr>
        <w:t>contrastado</w:t>
      </w:r>
      <w:r w:rsidRPr="00D528FD">
        <w:rPr>
          <w:rFonts w:ascii="Arial" w:hAnsi="Arial" w:cs="Arial"/>
          <w:sz w:val="22"/>
          <w:szCs w:val="22"/>
        </w:rPr>
        <w:t xml:space="preserve"> los valores de los indicadores obtenidos después de las intervenciones, en relación con los valores de la línea de base y los valores inicialmente establecidos como metas. Este método se aplica bajo </w:t>
      </w:r>
      <w:r w:rsidR="005741C4" w:rsidRPr="00D528FD">
        <w:rPr>
          <w:rFonts w:ascii="Arial" w:hAnsi="Arial" w:cs="Arial"/>
          <w:sz w:val="22"/>
          <w:szCs w:val="22"/>
        </w:rPr>
        <w:t>el</w:t>
      </w:r>
      <w:r w:rsidRPr="00D528FD">
        <w:rPr>
          <w:rFonts w:ascii="Arial" w:hAnsi="Arial" w:cs="Arial"/>
          <w:sz w:val="22"/>
          <w:szCs w:val="22"/>
        </w:rPr>
        <w:t xml:space="preserve"> </w:t>
      </w:r>
      <w:r w:rsidR="005741C4" w:rsidRPr="00D528FD">
        <w:rPr>
          <w:rFonts w:ascii="Arial" w:hAnsi="Arial" w:cs="Arial"/>
          <w:sz w:val="22"/>
          <w:szCs w:val="22"/>
        </w:rPr>
        <w:t>supuesto</w:t>
      </w:r>
      <w:r w:rsidRPr="00D528FD">
        <w:rPr>
          <w:rFonts w:ascii="Arial" w:hAnsi="Arial" w:cs="Arial"/>
          <w:sz w:val="22"/>
          <w:szCs w:val="22"/>
        </w:rPr>
        <w:t xml:space="preserve"> de que los valores de estos indicadores no cambiarían a través del tiempo si no se aplican las medidas acordadas en el programa.  </w:t>
      </w:r>
    </w:p>
    <w:p w14:paraId="2341A6C0" w14:textId="77777777" w:rsidR="000F40E7" w:rsidRPr="00D528FD" w:rsidRDefault="0084734A" w:rsidP="00D528FD">
      <w:pPr>
        <w:pStyle w:val="Paragraph"/>
        <w:tabs>
          <w:tab w:val="num" w:pos="720"/>
        </w:tabs>
        <w:ind w:left="720" w:hanging="720"/>
        <w:rPr>
          <w:rFonts w:ascii="Arial" w:hAnsi="Arial" w:cs="Arial"/>
          <w:sz w:val="22"/>
          <w:szCs w:val="22"/>
        </w:rPr>
      </w:pPr>
      <w:r w:rsidRPr="00D528FD">
        <w:rPr>
          <w:rFonts w:ascii="Arial" w:hAnsi="Arial" w:cs="Arial"/>
          <w:sz w:val="22"/>
          <w:szCs w:val="22"/>
          <w:u w:val="single"/>
        </w:rPr>
        <w:t xml:space="preserve">Evaluación </w:t>
      </w:r>
      <w:r w:rsidR="00697222">
        <w:rPr>
          <w:rFonts w:ascii="Arial" w:hAnsi="Arial" w:cs="Arial"/>
          <w:sz w:val="22"/>
          <w:szCs w:val="22"/>
          <w:u w:val="single"/>
        </w:rPr>
        <w:t>E</w:t>
      </w:r>
      <w:r w:rsidR="00B8752F" w:rsidRPr="00D528FD">
        <w:rPr>
          <w:rFonts w:ascii="Arial" w:hAnsi="Arial" w:cs="Arial"/>
          <w:sz w:val="22"/>
          <w:szCs w:val="22"/>
          <w:u w:val="single"/>
        </w:rPr>
        <w:t xml:space="preserve">conómica </w:t>
      </w:r>
      <w:r w:rsidRPr="00D528FD">
        <w:rPr>
          <w:rFonts w:ascii="Arial" w:hAnsi="Arial" w:cs="Arial"/>
          <w:sz w:val="22"/>
          <w:szCs w:val="22"/>
          <w:u w:val="single"/>
        </w:rPr>
        <w:t>ex post</w:t>
      </w:r>
      <w:r w:rsidRPr="00D528FD">
        <w:rPr>
          <w:rFonts w:ascii="Arial" w:hAnsi="Arial" w:cs="Arial"/>
          <w:sz w:val="22"/>
          <w:szCs w:val="22"/>
        </w:rPr>
        <w:t>.</w:t>
      </w:r>
      <w:r w:rsidR="00CF11CE" w:rsidRPr="00D528FD">
        <w:rPr>
          <w:rFonts w:ascii="Arial" w:hAnsi="Arial" w:cs="Arial"/>
          <w:sz w:val="22"/>
          <w:szCs w:val="22"/>
        </w:rPr>
        <w:t xml:space="preserve"> Se llevará a cabo una evaluación ex post  de los resultados del programa, una vez se ejecute la segunda operación de la serie programática. La evaluación será realizada por un consultor externo bajo la supervisión del equipo del proyecto y el resultado será publicado en la página de web del MME y del Banco. La metodología a desarrollar será similar a la evaluación económica ex ante adelantada durante el diseño del programa</w:t>
      </w:r>
    </w:p>
    <w:p w14:paraId="2341A6C1" w14:textId="77777777" w:rsidR="00A90C45" w:rsidRPr="00D528FD" w:rsidRDefault="00A90C45" w:rsidP="00D528FD">
      <w:pPr>
        <w:pStyle w:val="Paragraph"/>
        <w:tabs>
          <w:tab w:val="num" w:pos="720"/>
        </w:tabs>
        <w:ind w:left="720" w:hanging="720"/>
        <w:rPr>
          <w:rFonts w:ascii="Arial" w:hAnsi="Arial" w:cs="Arial"/>
          <w:sz w:val="22"/>
          <w:szCs w:val="22"/>
          <w:lang w:eastAsia="es-ES"/>
        </w:rPr>
      </w:pPr>
      <w:r w:rsidRPr="00D528FD">
        <w:rPr>
          <w:rFonts w:ascii="Arial" w:hAnsi="Arial" w:cs="Arial"/>
          <w:sz w:val="22"/>
          <w:szCs w:val="22"/>
          <w:u w:val="single"/>
        </w:rPr>
        <w:t>Informe de Terminación del Proyecto</w:t>
      </w:r>
      <w:r w:rsidR="00D528FD" w:rsidRPr="00D528FD">
        <w:rPr>
          <w:rFonts w:ascii="Arial" w:hAnsi="Arial" w:cs="Arial"/>
          <w:sz w:val="22"/>
          <w:szCs w:val="22"/>
          <w:u w:val="single"/>
        </w:rPr>
        <w:t>.</w:t>
      </w:r>
      <w:r w:rsidR="00D528FD" w:rsidRPr="00D528FD">
        <w:rPr>
          <w:rFonts w:ascii="Arial" w:hAnsi="Arial" w:cs="Arial"/>
          <w:sz w:val="22"/>
          <w:szCs w:val="22"/>
        </w:rPr>
        <w:t xml:space="preserve"> </w:t>
      </w:r>
      <w:r w:rsidRPr="00D528FD">
        <w:rPr>
          <w:rFonts w:ascii="Arial" w:hAnsi="Arial" w:cs="Arial"/>
          <w:sz w:val="22"/>
          <w:szCs w:val="22"/>
        </w:rPr>
        <w:t>(PCR</w:t>
      </w:r>
      <w:r w:rsidR="00D528FD" w:rsidRPr="00D528FD">
        <w:rPr>
          <w:rFonts w:ascii="Arial" w:hAnsi="Arial" w:cs="Arial"/>
          <w:sz w:val="22"/>
          <w:szCs w:val="22"/>
        </w:rPr>
        <w:t xml:space="preserve">, </w:t>
      </w:r>
      <w:r w:rsidR="00D528FD" w:rsidRPr="00D528FD">
        <w:rPr>
          <w:rFonts w:ascii="Arial" w:hAnsi="Arial" w:cs="Arial"/>
          <w:i/>
          <w:sz w:val="22"/>
          <w:szCs w:val="22"/>
        </w:rPr>
        <w:t>Project Completion Report</w:t>
      </w:r>
      <w:r w:rsidRPr="00D528FD">
        <w:rPr>
          <w:rFonts w:ascii="Arial" w:hAnsi="Arial" w:cs="Arial"/>
          <w:sz w:val="22"/>
          <w:szCs w:val="22"/>
        </w:rPr>
        <w:t>)</w:t>
      </w:r>
      <w:r w:rsidR="00CF11CE" w:rsidRPr="00D528FD">
        <w:rPr>
          <w:rFonts w:ascii="Arial" w:hAnsi="Arial" w:cs="Arial"/>
          <w:sz w:val="22"/>
          <w:szCs w:val="22"/>
        </w:rPr>
        <w:t xml:space="preserve">. </w:t>
      </w:r>
      <w:r w:rsidRPr="00D528FD">
        <w:rPr>
          <w:rFonts w:ascii="Arial" w:hAnsi="Arial" w:cs="Arial"/>
          <w:sz w:val="22"/>
          <w:szCs w:val="22"/>
        </w:rPr>
        <w:t>El Informe de Terminación de Proyecto o PCR, por sus siglas en inglés, es el principal</w:t>
      </w:r>
      <w:r w:rsidRPr="00D528FD">
        <w:rPr>
          <w:rFonts w:ascii="Arial" w:hAnsi="Arial" w:cs="Arial"/>
          <w:sz w:val="22"/>
          <w:szCs w:val="22"/>
          <w:lang w:eastAsia="es-ES"/>
        </w:rPr>
        <w:t xml:space="preserve"> instrumento de rendición de cuentas que utiliza el Banco para mostrar el desempeño de sus operaciones con garantía soberana y la efectividad en el </w:t>
      </w:r>
      <w:r w:rsidR="00F55B4A" w:rsidRPr="00D528FD">
        <w:rPr>
          <w:rFonts w:ascii="Arial" w:hAnsi="Arial" w:cs="Arial"/>
          <w:sz w:val="22"/>
          <w:szCs w:val="22"/>
          <w:lang w:eastAsia="es-ES"/>
        </w:rPr>
        <w:t>d</w:t>
      </w:r>
      <w:r w:rsidR="00D528FD" w:rsidRPr="00D528FD">
        <w:rPr>
          <w:rFonts w:ascii="Arial" w:hAnsi="Arial" w:cs="Arial"/>
          <w:sz w:val="22"/>
          <w:szCs w:val="22"/>
          <w:lang w:eastAsia="es-ES"/>
        </w:rPr>
        <w:t>esarrollo de las mismas. E</w:t>
      </w:r>
      <w:r w:rsidR="00F55B4A" w:rsidRPr="00D528FD">
        <w:rPr>
          <w:rFonts w:ascii="Arial" w:hAnsi="Arial" w:cs="Arial"/>
          <w:sz w:val="22"/>
          <w:szCs w:val="22"/>
          <w:lang w:eastAsia="es-ES"/>
        </w:rPr>
        <w:t>l PCR</w:t>
      </w:r>
      <w:r w:rsidRPr="00D528FD">
        <w:rPr>
          <w:rFonts w:ascii="Arial" w:hAnsi="Arial" w:cs="Arial"/>
          <w:sz w:val="22"/>
          <w:szCs w:val="22"/>
          <w:lang w:eastAsia="es-ES"/>
        </w:rPr>
        <w:t xml:space="preserve"> presenta los principales hallazgos y recomendaciones a fin de fortalecer el diseño y ejecución de futuros proyectos.</w:t>
      </w:r>
      <w:r w:rsidR="00D528FD" w:rsidRPr="00D528FD">
        <w:rPr>
          <w:rFonts w:ascii="Arial" w:hAnsi="Arial" w:cs="Arial"/>
          <w:spacing w:val="-3"/>
          <w:sz w:val="22"/>
          <w:szCs w:val="22"/>
        </w:rPr>
        <w:t xml:space="preserve"> </w:t>
      </w:r>
    </w:p>
    <w:p w14:paraId="2341A6C2" w14:textId="77777777" w:rsidR="00A90C45" w:rsidRDefault="00A90C45" w:rsidP="00A90C45">
      <w:pPr>
        <w:pStyle w:val="Paragraph"/>
        <w:tabs>
          <w:tab w:val="num" w:pos="720"/>
        </w:tabs>
        <w:ind w:left="720" w:hanging="720"/>
        <w:rPr>
          <w:rFonts w:ascii="Arial" w:hAnsi="Arial" w:cs="Arial"/>
          <w:sz w:val="22"/>
          <w:szCs w:val="22"/>
          <w:lang w:val="es-ES_tradnl"/>
        </w:rPr>
      </w:pPr>
      <w:r w:rsidRPr="00D528FD">
        <w:rPr>
          <w:rFonts w:ascii="Arial" w:hAnsi="Arial" w:cs="Arial"/>
          <w:sz w:val="22"/>
          <w:szCs w:val="22"/>
          <w:lang w:val="es-ES_tradnl" w:eastAsia="es-ES"/>
        </w:rPr>
        <w:lastRenderedPageBreak/>
        <w:t xml:space="preserve">El PCR será </w:t>
      </w:r>
      <w:r w:rsidR="00F55B4A" w:rsidRPr="00D528FD">
        <w:rPr>
          <w:rFonts w:ascii="Arial" w:hAnsi="Arial" w:cs="Arial"/>
          <w:sz w:val="22"/>
          <w:szCs w:val="22"/>
          <w:lang w:val="es-ES_tradnl" w:eastAsia="es-ES"/>
        </w:rPr>
        <w:t>preparado</w:t>
      </w:r>
      <w:r w:rsidRPr="00D528FD">
        <w:rPr>
          <w:rFonts w:ascii="Arial" w:hAnsi="Arial" w:cs="Arial"/>
          <w:sz w:val="22"/>
          <w:szCs w:val="22"/>
          <w:lang w:val="es-ES_tradnl" w:eastAsia="es-ES"/>
        </w:rPr>
        <w:t xml:space="preserve"> según las guías OP-1242</w:t>
      </w:r>
      <w:r w:rsidR="00F539CF" w:rsidRPr="00D528FD">
        <w:rPr>
          <w:rFonts w:ascii="Arial" w:hAnsi="Arial" w:cs="Arial"/>
          <w:sz w:val="22"/>
          <w:szCs w:val="22"/>
          <w:lang w:val="es-ES_tradnl" w:eastAsia="es-ES"/>
        </w:rPr>
        <w:t>-5</w:t>
      </w:r>
      <w:r w:rsidRPr="00D528FD">
        <w:rPr>
          <w:rFonts w:ascii="Arial" w:hAnsi="Arial" w:cs="Arial"/>
          <w:sz w:val="22"/>
          <w:szCs w:val="22"/>
          <w:lang w:val="es-ES_tradnl" w:eastAsia="es-ES"/>
        </w:rPr>
        <w:t xml:space="preserve"> actualizadas</w:t>
      </w:r>
      <w:r w:rsidRPr="00D528FD">
        <w:rPr>
          <w:rFonts w:ascii="Arial" w:hAnsi="Arial" w:cs="Arial"/>
          <w:spacing w:val="-3"/>
          <w:sz w:val="22"/>
          <w:szCs w:val="22"/>
        </w:rPr>
        <w:t xml:space="preserve"> en </w:t>
      </w:r>
      <w:r w:rsidR="00F539CF" w:rsidRPr="00D528FD">
        <w:rPr>
          <w:rFonts w:ascii="Arial" w:hAnsi="Arial" w:cs="Arial"/>
          <w:spacing w:val="-3"/>
          <w:sz w:val="22"/>
          <w:szCs w:val="22"/>
        </w:rPr>
        <w:t>noviembre</w:t>
      </w:r>
      <w:r w:rsidRPr="00D528FD">
        <w:rPr>
          <w:rFonts w:ascii="Arial" w:hAnsi="Arial" w:cs="Arial"/>
          <w:spacing w:val="-3"/>
          <w:sz w:val="22"/>
          <w:szCs w:val="22"/>
        </w:rPr>
        <w:t xml:space="preserve"> de 201</w:t>
      </w:r>
      <w:r w:rsidR="00F539CF" w:rsidRPr="00D528FD">
        <w:rPr>
          <w:rFonts w:ascii="Arial" w:hAnsi="Arial" w:cs="Arial"/>
          <w:spacing w:val="-3"/>
          <w:sz w:val="22"/>
          <w:szCs w:val="22"/>
        </w:rPr>
        <w:t>6</w:t>
      </w:r>
      <w:r w:rsidRPr="00D528FD">
        <w:rPr>
          <w:rFonts w:ascii="Arial" w:hAnsi="Arial" w:cs="Arial"/>
          <w:spacing w:val="-3"/>
          <w:sz w:val="22"/>
          <w:szCs w:val="22"/>
        </w:rPr>
        <w:t>.</w:t>
      </w:r>
      <w:r w:rsidR="00F55B4A" w:rsidRPr="00D528FD">
        <w:rPr>
          <w:rFonts w:ascii="Arial" w:hAnsi="Arial" w:cs="Arial"/>
          <w:spacing w:val="-3"/>
          <w:sz w:val="22"/>
          <w:szCs w:val="22"/>
        </w:rPr>
        <w:t xml:space="preserve">  </w:t>
      </w:r>
      <w:r w:rsidRPr="00D528FD">
        <w:rPr>
          <w:rFonts w:ascii="Arial" w:hAnsi="Arial" w:cs="Arial"/>
          <w:sz w:val="22"/>
          <w:szCs w:val="22"/>
          <w:lang w:val="es-ES_tradnl" w:eastAsia="es-ES"/>
        </w:rPr>
        <w:t xml:space="preserve">El Informe de Terminación del Programa (PCR) se realizará al final de la última operación, y evaluará </w:t>
      </w:r>
      <w:r w:rsidR="00F55B4A" w:rsidRPr="00D528FD">
        <w:rPr>
          <w:rFonts w:ascii="Arial" w:hAnsi="Arial" w:cs="Arial"/>
          <w:sz w:val="22"/>
          <w:szCs w:val="22"/>
          <w:lang w:val="es-ES_tradnl" w:eastAsia="es-ES"/>
        </w:rPr>
        <w:t>los resultados logrados</w:t>
      </w:r>
      <w:r w:rsidRPr="00D528FD">
        <w:rPr>
          <w:rFonts w:ascii="Arial" w:hAnsi="Arial" w:cs="Arial"/>
          <w:sz w:val="22"/>
          <w:szCs w:val="22"/>
          <w:lang w:val="es-ES_tradnl" w:eastAsia="es-ES"/>
        </w:rPr>
        <w:t xml:space="preserve"> y el cumplimiento de los obje</w:t>
      </w:r>
      <w:r w:rsidR="00F55B4A" w:rsidRPr="00D528FD">
        <w:rPr>
          <w:rFonts w:ascii="Arial" w:hAnsi="Arial" w:cs="Arial"/>
          <w:sz w:val="22"/>
          <w:szCs w:val="22"/>
          <w:lang w:val="es-ES_tradnl" w:eastAsia="es-ES"/>
        </w:rPr>
        <w:t>tivos previstos por el programa</w:t>
      </w:r>
      <w:r w:rsidRPr="00D528FD">
        <w:rPr>
          <w:rFonts w:ascii="Arial" w:hAnsi="Arial" w:cs="Arial"/>
          <w:sz w:val="22"/>
          <w:szCs w:val="22"/>
          <w:lang w:val="es-ES_tradnl" w:eastAsia="es-ES"/>
        </w:rPr>
        <w:t xml:space="preserve">. </w:t>
      </w:r>
      <w:r w:rsidR="00F55B4A" w:rsidRPr="00D528FD">
        <w:rPr>
          <w:rFonts w:ascii="Arial" w:hAnsi="Arial" w:cs="Arial"/>
          <w:sz w:val="22"/>
          <w:szCs w:val="22"/>
          <w:lang w:val="es-ES_tradnl" w:eastAsia="es-ES"/>
        </w:rPr>
        <w:t xml:space="preserve">Esta evaluación se llevará acabo con base en </w:t>
      </w:r>
      <w:r w:rsidRPr="00D528FD">
        <w:rPr>
          <w:rFonts w:ascii="Arial" w:hAnsi="Arial" w:cs="Arial"/>
          <w:sz w:val="22"/>
          <w:szCs w:val="22"/>
          <w:lang w:val="es-ES_tradnl" w:eastAsia="es-ES"/>
        </w:rPr>
        <w:t>los indicadores, la línea</w:t>
      </w:r>
      <w:r w:rsidRPr="00F55B4A">
        <w:rPr>
          <w:rFonts w:ascii="Arial" w:hAnsi="Arial" w:cs="Arial"/>
          <w:sz w:val="22"/>
          <w:szCs w:val="22"/>
          <w:lang w:val="es-ES_tradnl" w:eastAsia="es-ES"/>
        </w:rPr>
        <w:t xml:space="preserve"> de </w:t>
      </w:r>
      <w:r w:rsidRPr="00F55B4A">
        <w:rPr>
          <w:rFonts w:ascii="Arial" w:eastAsiaTheme="minorHAnsi" w:hAnsi="Arial" w:cs="Arial"/>
          <w:sz w:val="22"/>
          <w:szCs w:val="22"/>
          <w:lang w:val="es-ES_tradnl"/>
        </w:rPr>
        <w:t>base y las metas para llevar a cabo dicha evaluación final</w:t>
      </w:r>
      <w:r w:rsidR="00F55B4A">
        <w:rPr>
          <w:rFonts w:ascii="Arial" w:eastAsiaTheme="minorHAnsi" w:hAnsi="Arial" w:cs="Arial"/>
          <w:sz w:val="22"/>
          <w:szCs w:val="22"/>
          <w:lang w:val="es-ES_tradnl"/>
        </w:rPr>
        <w:t xml:space="preserve">, </w:t>
      </w:r>
      <w:r w:rsidR="00F55B4A" w:rsidRPr="00F55B4A">
        <w:rPr>
          <w:rFonts w:ascii="Arial" w:eastAsiaTheme="minorHAnsi" w:hAnsi="Arial" w:cs="Arial"/>
          <w:sz w:val="22"/>
          <w:szCs w:val="22"/>
          <w:lang w:val="es-ES_tradnl"/>
        </w:rPr>
        <w:t>acordado</w:t>
      </w:r>
      <w:r w:rsidR="00F55B4A">
        <w:rPr>
          <w:rFonts w:ascii="Arial" w:eastAsiaTheme="minorHAnsi" w:hAnsi="Arial" w:cs="Arial"/>
          <w:sz w:val="22"/>
          <w:szCs w:val="22"/>
          <w:lang w:val="es-ES_tradnl"/>
        </w:rPr>
        <w:t xml:space="preserve">s entre </w:t>
      </w:r>
      <w:r w:rsidR="00F55B4A" w:rsidRPr="00F55B4A">
        <w:rPr>
          <w:rFonts w:ascii="Arial" w:eastAsiaTheme="minorHAnsi" w:hAnsi="Arial" w:cs="Arial"/>
          <w:sz w:val="22"/>
          <w:szCs w:val="22"/>
          <w:lang w:val="es-ES_tradnl"/>
        </w:rPr>
        <w:t xml:space="preserve"> </w:t>
      </w:r>
      <w:r w:rsidR="00F55B4A">
        <w:rPr>
          <w:rFonts w:ascii="Arial" w:eastAsiaTheme="minorHAnsi" w:hAnsi="Arial" w:cs="Arial"/>
          <w:sz w:val="22"/>
          <w:szCs w:val="22"/>
          <w:lang w:val="es-ES_tradnl"/>
        </w:rPr>
        <w:t>e</w:t>
      </w:r>
      <w:r w:rsidR="00F55B4A" w:rsidRPr="00F55B4A">
        <w:rPr>
          <w:rFonts w:ascii="Arial" w:eastAsiaTheme="minorHAnsi" w:hAnsi="Arial" w:cs="Arial"/>
          <w:sz w:val="22"/>
          <w:szCs w:val="22"/>
          <w:lang w:val="es-ES_tradnl"/>
        </w:rPr>
        <w:t xml:space="preserve">l prestatario </w:t>
      </w:r>
      <w:r w:rsidR="00F55B4A">
        <w:rPr>
          <w:rFonts w:ascii="Arial" w:eastAsiaTheme="minorHAnsi" w:hAnsi="Arial" w:cs="Arial"/>
          <w:sz w:val="22"/>
          <w:szCs w:val="22"/>
          <w:lang w:val="es-ES_tradnl"/>
        </w:rPr>
        <w:t>y</w:t>
      </w:r>
      <w:r w:rsidR="00F55B4A" w:rsidRPr="00F55B4A">
        <w:rPr>
          <w:rFonts w:ascii="Arial" w:eastAsiaTheme="minorHAnsi" w:hAnsi="Arial" w:cs="Arial"/>
          <w:sz w:val="22"/>
          <w:szCs w:val="22"/>
          <w:lang w:val="es-ES_tradnl"/>
        </w:rPr>
        <w:t xml:space="preserve"> el Banco</w:t>
      </w:r>
      <w:r w:rsidRPr="00F55B4A">
        <w:rPr>
          <w:rFonts w:ascii="Arial" w:eastAsiaTheme="minorHAnsi" w:hAnsi="Arial" w:cs="Arial"/>
          <w:sz w:val="22"/>
          <w:szCs w:val="22"/>
          <w:lang w:val="es-ES_tradnl"/>
        </w:rPr>
        <w:t>.</w:t>
      </w:r>
      <w:r w:rsidRPr="00F55B4A">
        <w:rPr>
          <w:rFonts w:ascii="Arial" w:hAnsi="Arial" w:cs="Arial"/>
          <w:spacing w:val="-3"/>
          <w:sz w:val="22"/>
          <w:szCs w:val="22"/>
        </w:rPr>
        <w:t xml:space="preserve"> La evaluación se conducirá a partir del análisis de los </w:t>
      </w:r>
      <w:r w:rsidRPr="00F55B4A">
        <w:rPr>
          <w:rFonts w:ascii="Arial" w:hAnsi="Arial" w:cs="Arial"/>
          <w:sz w:val="22"/>
          <w:szCs w:val="22"/>
          <w:lang w:val="es-ES_tradnl" w:eastAsia="es-ES"/>
        </w:rPr>
        <w:t xml:space="preserve">criterios centrales y criterios no centrales. Los criterios centrales del PCR, básicamente evalúan el desempeño del proyecto y se determinan en forma objetiva con base en los resultados y </w:t>
      </w:r>
      <w:r w:rsidRPr="00F55B4A">
        <w:rPr>
          <w:rFonts w:ascii="Arial" w:hAnsi="Arial" w:cs="Arial"/>
          <w:spacing w:val="-3"/>
          <w:sz w:val="22"/>
          <w:szCs w:val="22"/>
        </w:rPr>
        <w:t>productos</w:t>
      </w:r>
      <w:r w:rsidRPr="00F55B4A">
        <w:rPr>
          <w:rFonts w:ascii="Arial" w:hAnsi="Arial" w:cs="Arial"/>
          <w:sz w:val="22"/>
          <w:szCs w:val="22"/>
          <w:lang w:val="es-ES_tradnl" w:eastAsia="es-ES"/>
        </w:rPr>
        <w:t xml:space="preserve"> del mismo, y se califica a través de cuatro criterios: (i) Efectividad, (ii) Eficiencia</w:t>
      </w:r>
      <w:r w:rsidRPr="00A90C45">
        <w:rPr>
          <w:rStyle w:val="FootnoteReference"/>
          <w:rFonts w:ascii="Arial" w:hAnsi="Arial" w:cs="Arial"/>
          <w:sz w:val="22"/>
          <w:szCs w:val="22"/>
          <w:lang w:val="es-ES_tradnl" w:eastAsia="es-ES"/>
        </w:rPr>
        <w:footnoteReference w:id="4"/>
      </w:r>
      <w:r w:rsidRPr="00F55B4A">
        <w:rPr>
          <w:rFonts w:ascii="Arial" w:hAnsi="Arial" w:cs="Arial"/>
          <w:sz w:val="22"/>
          <w:szCs w:val="22"/>
          <w:lang w:val="es-ES_tradnl" w:eastAsia="es-ES"/>
        </w:rPr>
        <w:t>, (iii) Relevancia y (iv) Sostenibilidad.</w:t>
      </w:r>
    </w:p>
    <w:p w14:paraId="2341A6C3" w14:textId="77777777" w:rsidR="00EE3314" w:rsidRDefault="00EE3314" w:rsidP="00A90C45">
      <w:pPr>
        <w:pStyle w:val="Paragraph"/>
        <w:tabs>
          <w:tab w:val="num" w:pos="720"/>
        </w:tabs>
        <w:ind w:left="720" w:hanging="720"/>
        <w:rPr>
          <w:rFonts w:ascii="Arial" w:hAnsi="Arial" w:cs="Arial"/>
          <w:sz w:val="22"/>
          <w:szCs w:val="22"/>
          <w:lang w:val="es-ES_tradnl"/>
        </w:rPr>
      </w:pPr>
      <w:r w:rsidRPr="00EE3314">
        <w:rPr>
          <w:rFonts w:ascii="Arial" w:hAnsi="Arial" w:cs="Arial"/>
          <w:sz w:val="22"/>
          <w:szCs w:val="22"/>
          <w:lang w:val="es-CO"/>
        </w:rPr>
        <w:t>Para el PCR se requiere un análisis de atribución por indicador para todos los indica</w:t>
      </w:r>
      <w:r>
        <w:rPr>
          <w:rFonts w:ascii="Arial" w:hAnsi="Arial" w:cs="Arial"/>
          <w:sz w:val="22"/>
          <w:szCs w:val="22"/>
          <w:lang w:val="es-CO"/>
        </w:rPr>
        <w:t>dores de resultado de la matriz</w:t>
      </w:r>
      <w:r w:rsidRPr="00EE3314">
        <w:rPr>
          <w:rFonts w:ascii="Arial" w:hAnsi="Arial" w:cs="Arial"/>
          <w:sz w:val="22"/>
          <w:szCs w:val="22"/>
          <w:lang w:val="es-CO"/>
        </w:rPr>
        <w:t xml:space="preserve">. Para facilitar la evaluación del proyecto </w:t>
      </w:r>
      <w:r>
        <w:rPr>
          <w:rFonts w:ascii="Arial" w:hAnsi="Arial" w:cs="Arial"/>
          <w:sz w:val="22"/>
          <w:szCs w:val="22"/>
          <w:lang w:val="es-CO"/>
        </w:rPr>
        <w:t>el Cuadro 3-2</w:t>
      </w:r>
      <w:r w:rsidRPr="00EE3314">
        <w:rPr>
          <w:rFonts w:ascii="Arial" w:hAnsi="Arial" w:cs="Arial"/>
          <w:sz w:val="22"/>
          <w:szCs w:val="22"/>
          <w:lang w:val="es-CO"/>
        </w:rPr>
        <w:t xml:space="preserve"> indi</w:t>
      </w:r>
      <w:r>
        <w:rPr>
          <w:rFonts w:ascii="Arial" w:hAnsi="Arial" w:cs="Arial"/>
          <w:sz w:val="22"/>
          <w:szCs w:val="22"/>
          <w:lang w:val="es-CO"/>
        </w:rPr>
        <w:t>ca</w:t>
      </w:r>
      <w:r w:rsidRPr="00EE3314">
        <w:rPr>
          <w:rFonts w:ascii="Arial" w:hAnsi="Arial" w:cs="Arial"/>
          <w:sz w:val="22"/>
          <w:szCs w:val="22"/>
          <w:lang w:val="es-CO"/>
        </w:rPr>
        <w:t xml:space="preserve"> c</w:t>
      </w:r>
      <w:r>
        <w:rPr>
          <w:rFonts w:ascii="Arial" w:hAnsi="Arial" w:cs="Arial"/>
          <w:sz w:val="22"/>
          <w:szCs w:val="22"/>
          <w:lang w:val="es-CO"/>
        </w:rPr>
        <w:t>ó</w:t>
      </w:r>
      <w:r w:rsidRPr="00EE3314">
        <w:rPr>
          <w:rFonts w:ascii="Arial" w:hAnsi="Arial" w:cs="Arial"/>
          <w:sz w:val="22"/>
          <w:szCs w:val="22"/>
          <w:lang w:val="es-CO"/>
        </w:rPr>
        <w:t>mo se espera hacer el análisis de atribución para cada uno de los indicadores</w:t>
      </w:r>
      <w:r w:rsidR="005F4814">
        <w:rPr>
          <w:rFonts w:ascii="Arial" w:hAnsi="Arial" w:cs="Arial"/>
          <w:sz w:val="22"/>
          <w:szCs w:val="22"/>
          <w:lang w:val="es-CO"/>
        </w:rPr>
        <w:t xml:space="preserve"> de resultados</w:t>
      </w:r>
      <w:r w:rsidRPr="00EE3314">
        <w:rPr>
          <w:rFonts w:ascii="Arial" w:hAnsi="Arial" w:cs="Arial"/>
          <w:sz w:val="22"/>
          <w:szCs w:val="22"/>
          <w:lang w:val="es-CO"/>
        </w:rPr>
        <w:t xml:space="preserve">. </w:t>
      </w:r>
    </w:p>
    <w:tbl>
      <w:tblPr>
        <w:tblStyle w:val="TableGrid"/>
        <w:tblW w:w="8190" w:type="dxa"/>
        <w:tblInd w:w="558" w:type="dxa"/>
        <w:tblLook w:val="04A0" w:firstRow="1" w:lastRow="0" w:firstColumn="1" w:lastColumn="0" w:noHBand="0" w:noVBand="1"/>
      </w:tblPr>
      <w:tblGrid>
        <w:gridCol w:w="2520"/>
        <w:gridCol w:w="2340"/>
        <w:gridCol w:w="3330"/>
      </w:tblGrid>
      <w:tr w:rsidR="00EE3314" w:rsidRPr="005E03D2" w14:paraId="2341A6C5" w14:textId="77777777" w:rsidTr="006D3CE5">
        <w:tc>
          <w:tcPr>
            <w:tcW w:w="8190" w:type="dxa"/>
            <w:gridSpan w:val="3"/>
            <w:tcBorders>
              <w:top w:val="nil"/>
              <w:left w:val="nil"/>
              <w:right w:val="nil"/>
            </w:tcBorders>
          </w:tcPr>
          <w:p w14:paraId="2341A6C4" w14:textId="77777777" w:rsidR="00EE3314" w:rsidRPr="00EE3314" w:rsidRDefault="00EE3314" w:rsidP="00EE3314">
            <w:pPr>
              <w:spacing w:before="120" w:after="60"/>
              <w:jc w:val="center"/>
              <w:outlineLvl w:val="1"/>
              <w:rPr>
                <w:rFonts w:ascii="Arial" w:hAnsi="Arial" w:cs="Arial"/>
                <w:b/>
                <w:sz w:val="20"/>
                <w:lang w:val="es-ES_tradnl"/>
              </w:rPr>
            </w:pPr>
            <w:r w:rsidRPr="00EE3314">
              <w:rPr>
                <w:rFonts w:ascii="Arial" w:hAnsi="Arial" w:cs="Arial"/>
                <w:b/>
                <w:sz w:val="20"/>
                <w:lang w:val="es-ES_tradnl"/>
              </w:rPr>
              <w:t>Cuadro 3-2.  Análisis de Atribución en el PCR</w:t>
            </w:r>
          </w:p>
        </w:tc>
      </w:tr>
      <w:tr w:rsidR="00EE3314" w:rsidRPr="00EE3314" w14:paraId="2341A6C9" w14:textId="77777777" w:rsidTr="006D3CE5">
        <w:tc>
          <w:tcPr>
            <w:tcW w:w="2520" w:type="dxa"/>
            <w:shd w:val="clear" w:color="auto" w:fill="D9D9D9" w:themeFill="background1" w:themeFillShade="D9"/>
            <w:vAlign w:val="center"/>
          </w:tcPr>
          <w:p w14:paraId="2341A6C6" w14:textId="77777777" w:rsidR="00EE3314" w:rsidRPr="00EE3314" w:rsidRDefault="00EE3314" w:rsidP="00EE3314">
            <w:pPr>
              <w:ind w:left="360"/>
              <w:jc w:val="center"/>
              <w:outlineLvl w:val="1"/>
              <w:rPr>
                <w:rFonts w:ascii="Arial" w:hAnsi="Arial" w:cs="Arial"/>
                <w:b/>
                <w:sz w:val="19"/>
                <w:szCs w:val="19"/>
                <w:lang w:val="es-ES_tradnl"/>
              </w:rPr>
            </w:pPr>
            <w:r w:rsidRPr="00EE3314">
              <w:rPr>
                <w:rFonts w:ascii="Arial" w:hAnsi="Arial" w:cs="Arial"/>
                <w:b/>
                <w:sz w:val="19"/>
                <w:szCs w:val="19"/>
                <w:lang w:val="es-ES_tradnl"/>
              </w:rPr>
              <w:t>Resultado</w:t>
            </w:r>
          </w:p>
        </w:tc>
        <w:tc>
          <w:tcPr>
            <w:tcW w:w="2340" w:type="dxa"/>
            <w:shd w:val="clear" w:color="auto" w:fill="D9D9D9" w:themeFill="background1" w:themeFillShade="D9"/>
            <w:vAlign w:val="center"/>
          </w:tcPr>
          <w:p w14:paraId="2341A6C7" w14:textId="77777777" w:rsidR="00EE3314" w:rsidRPr="00EE3314" w:rsidRDefault="00EE3314" w:rsidP="00EE3314">
            <w:pPr>
              <w:ind w:left="360"/>
              <w:jc w:val="center"/>
              <w:outlineLvl w:val="1"/>
              <w:rPr>
                <w:rFonts w:ascii="Arial" w:hAnsi="Arial" w:cs="Arial"/>
                <w:b/>
                <w:sz w:val="19"/>
                <w:szCs w:val="19"/>
                <w:lang w:val="es-ES_tradnl"/>
              </w:rPr>
            </w:pPr>
            <w:r w:rsidRPr="00EE3314">
              <w:rPr>
                <w:rFonts w:ascii="Arial" w:hAnsi="Arial" w:cs="Arial"/>
                <w:b/>
                <w:sz w:val="19"/>
                <w:szCs w:val="19"/>
                <w:lang w:val="es-ES_tradnl"/>
              </w:rPr>
              <w:t>Indicador</w:t>
            </w:r>
          </w:p>
        </w:tc>
        <w:tc>
          <w:tcPr>
            <w:tcW w:w="3330" w:type="dxa"/>
            <w:shd w:val="clear" w:color="auto" w:fill="D9D9D9" w:themeFill="background1" w:themeFillShade="D9"/>
          </w:tcPr>
          <w:p w14:paraId="2341A6C8" w14:textId="77777777" w:rsidR="00EE3314" w:rsidRPr="00EE3314" w:rsidRDefault="005F4814" w:rsidP="00EE3314">
            <w:pPr>
              <w:ind w:left="360"/>
              <w:jc w:val="center"/>
              <w:outlineLvl w:val="1"/>
              <w:rPr>
                <w:rFonts w:ascii="Arial" w:hAnsi="Arial" w:cs="Arial"/>
                <w:b/>
                <w:sz w:val="19"/>
                <w:szCs w:val="19"/>
                <w:lang w:val="es-ES_tradnl"/>
              </w:rPr>
            </w:pPr>
            <w:r>
              <w:rPr>
                <w:rFonts w:ascii="Arial" w:hAnsi="Arial" w:cs="Arial"/>
                <w:b/>
                <w:sz w:val="19"/>
                <w:szCs w:val="19"/>
                <w:lang w:val="es-ES_tradnl"/>
              </w:rPr>
              <w:t>Análisis</w:t>
            </w:r>
          </w:p>
        </w:tc>
      </w:tr>
      <w:tr w:rsidR="00EE3314" w:rsidRPr="005E03D2" w14:paraId="2341A6CE" w14:textId="77777777" w:rsidTr="006D3CE5">
        <w:trPr>
          <w:trHeight w:val="512"/>
        </w:trPr>
        <w:tc>
          <w:tcPr>
            <w:tcW w:w="2520" w:type="dxa"/>
            <w:vMerge w:val="restart"/>
          </w:tcPr>
          <w:p w14:paraId="2341A6CA" w14:textId="77777777" w:rsidR="00EE3314" w:rsidRPr="00EE3314" w:rsidRDefault="00EE3314" w:rsidP="00EE3314">
            <w:pPr>
              <w:outlineLvl w:val="1"/>
              <w:rPr>
                <w:rFonts w:ascii="Arial" w:hAnsi="Arial" w:cs="Arial"/>
                <w:sz w:val="19"/>
                <w:szCs w:val="19"/>
                <w:lang w:val="es-ES_tradnl"/>
              </w:rPr>
            </w:pPr>
            <w:r w:rsidRPr="00EE3314">
              <w:rPr>
                <w:rFonts w:ascii="Arial" w:hAnsi="Arial" w:cs="Arial"/>
                <w:sz w:val="19"/>
                <w:szCs w:val="19"/>
                <w:lang w:val="es-ES_tradnl"/>
              </w:rPr>
              <w:t>Diversificación matriz energética y promoción integración energética regional</w:t>
            </w:r>
          </w:p>
        </w:tc>
        <w:tc>
          <w:tcPr>
            <w:tcW w:w="2340" w:type="dxa"/>
          </w:tcPr>
          <w:p w14:paraId="2341A6CB" w14:textId="77777777" w:rsidR="00EE3314" w:rsidRPr="00EE3314" w:rsidRDefault="00C511A1" w:rsidP="00EE3314">
            <w:pPr>
              <w:outlineLvl w:val="1"/>
              <w:rPr>
                <w:rFonts w:ascii="Arial" w:hAnsi="Arial" w:cs="Arial"/>
                <w:sz w:val="19"/>
                <w:szCs w:val="19"/>
                <w:lang w:val="es-ES_tradnl"/>
              </w:rPr>
            </w:pPr>
            <w:r>
              <w:rPr>
                <w:rFonts w:ascii="Arial" w:eastAsia="Calibri" w:hAnsi="Arial" w:cs="Arial"/>
                <w:sz w:val="19"/>
                <w:szCs w:val="19"/>
                <w:lang w:val="es-ES_tradnl"/>
              </w:rPr>
              <w:t>C</w:t>
            </w:r>
            <w:r w:rsidR="00EE3314" w:rsidRPr="00EE3314">
              <w:rPr>
                <w:rFonts w:ascii="Arial" w:eastAsia="Calibri" w:hAnsi="Arial" w:cs="Arial"/>
                <w:sz w:val="19"/>
                <w:szCs w:val="19"/>
                <w:lang w:val="es-ES_tradnl"/>
              </w:rPr>
              <w:t>apacidad instalada en FNCER en el SIN</w:t>
            </w:r>
          </w:p>
          <w:p w14:paraId="2341A6CC" w14:textId="77777777" w:rsidR="00EE3314" w:rsidRPr="00EE3314" w:rsidRDefault="00EE3314" w:rsidP="00EE3314">
            <w:pPr>
              <w:numPr>
                <w:ilvl w:val="1"/>
                <w:numId w:val="34"/>
              </w:numPr>
              <w:tabs>
                <w:tab w:val="num" w:pos="1926"/>
              </w:tabs>
              <w:ind w:left="0"/>
              <w:outlineLvl w:val="1"/>
              <w:rPr>
                <w:rFonts w:ascii="Arial" w:hAnsi="Arial" w:cs="Arial"/>
                <w:sz w:val="19"/>
                <w:szCs w:val="19"/>
                <w:lang w:val="es-ES_tradnl"/>
              </w:rPr>
            </w:pPr>
          </w:p>
        </w:tc>
        <w:tc>
          <w:tcPr>
            <w:tcW w:w="3330" w:type="dxa"/>
          </w:tcPr>
          <w:p w14:paraId="2341A6CD" w14:textId="77777777" w:rsidR="00EE3314" w:rsidRPr="00EE3314" w:rsidRDefault="00EE3314" w:rsidP="00EE3314">
            <w:pPr>
              <w:outlineLvl w:val="1"/>
              <w:rPr>
                <w:rFonts w:ascii="Arial" w:eastAsia="Calibri" w:hAnsi="Arial" w:cs="Arial"/>
                <w:sz w:val="19"/>
                <w:szCs w:val="19"/>
                <w:lang w:val="es-ES_tradnl"/>
              </w:rPr>
            </w:pPr>
            <w:r>
              <w:rPr>
                <w:rFonts w:ascii="Arial" w:eastAsia="Calibri" w:hAnsi="Arial" w:cs="Arial"/>
                <w:sz w:val="19"/>
                <w:szCs w:val="19"/>
                <w:lang w:val="es-ES_tradnl"/>
              </w:rPr>
              <w:t>Medición directa de la composición de la matriz energética del país: histórica antes y después del Programa</w:t>
            </w:r>
          </w:p>
        </w:tc>
      </w:tr>
      <w:tr w:rsidR="00EE3314" w:rsidRPr="005E03D2" w14:paraId="2341A6D2" w14:textId="77777777" w:rsidTr="006D3CE5">
        <w:tc>
          <w:tcPr>
            <w:tcW w:w="2520" w:type="dxa"/>
            <w:vMerge/>
          </w:tcPr>
          <w:p w14:paraId="2341A6CF" w14:textId="77777777" w:rsidR="00EE3314" w:rsidRPr="00EE3314" w:rsidRDefault="00EE3314" w:rsidP="00EE3314">
            <w:pPr>
              <w:ind w:left="360"/>
              <w:jc w:val="both"/>
              <w:outlineLvl w:val="1"/>
              <w:rPr>
                <w:rFonts w:ascii="Arial" w:hAnsi="Arial" w:cs="Arial"/>
                <w:sz w:val="19"/>
                <w:szCs w:val="19"/>
                <w:lang w:val="es-ES_tradnl"/>
              </w:rPr>
            </w:pPr>
          </w:p>
        </w:tc>
        <w:tc>
          <w:tcPr>
            <w:tcW w:w="2340" w:type="dxa"/>
          </w:tcPr>
          <w:p w14:paraId="2341A6D0" w14:textId="77777777" w:rsidR="00EE3314" w:rsidRPr="00EE3314" w:rsidRDefault="00EE3314" w:rsidP="00EE3314">
            <w:pPr>
              <w:outlineLvl w:val="1"/>
              <w:rPr>
                <w:rFonts w:ascii="Arial" w:hAnsi="Arial" w:cs="Arial"/>
                <w:sz w:val="19"/>
                <w:szCs w:val="19"/>
                <w:lang w:val="es-ES_tradnl"/>
              </w:rPr>
            </w:pPr>
            <w:r w:rsidRPr="00EE3314">
              <w:rPr>
                <w:rFonts w:ascii="Arial" w:hAnsi="Arial" w:cs="Arial"/>
                <w:sz w:val="19"/>
                <w:szCs w:val="19"/>
                <w:lang w:val="es-ES_tradnl"/>
              </w:rPr>
              <w:t>Capacidad Efectiva Neta de Cogeneración a gran escala al SIN</w:t>
            </w:r>
          </w:p>
        </w:tc>
        <w:tc>
          <w:tcPr>
            <w:tcW w:w="3330" w:type="dxa"/>
          </w:tcPr>
          <w:p w14:paraId="2341A6D1" w14:textId="77777777" w:rsidR="00EE3314" w:rsidRPr="00EE3314" w:rsidRDefault="00EE3314" w:rsidP="006E0ADC">
            <w:pPr>
              <w:outlineLvl w:val="1"/>
              <w:rPr>
                <w:rFonts w:ascii="Arial" w:hAnsi="Arial" w:cs="Arial"/>
                <w:sz w:val="19"/>
                <w:szCs w:val="19"/>
                <w:lang w:val="es-ES_tradnl"/>
              </w:rPr>
            </w:pPr>
            <w:r w:rsidRPr="00EE3314">
              <w:rPr>
                <w:rFonts w:ascii="Arial" w:hAnsi="Arial" w:cs="Arial"/>
                <w:sz w:val="19"/>
                <w:szCs w:val="19"/>
                <w:lang w:val="es-ES_tradnl"/>
              </w:rPr>
              <w:t xml:space="preserve">Medición directa de la </w:t>
            </w:r>
            <w:r>
              <w:rPr>
                <w:rFonts w:ascii="Arial" w:hAnsi="Arial" w:cs="Arial"/>
                <w:sz w:val="19"/>
                <w:szCs w:val="19"/>
                <w:lang w:val="es-ES_tradnl"/>
              </w:rPr>
              <w:t xml:space="preserve">incorporación de las fuentes </w:t>
            </w:r>
            <w:r w:rsidR="005F4814">
              <w:rPr>
                <w:rFonts w:ascii="Arial" w:hAnsi="Arial" w:cs="Arial"/>
                <w:sz w:val="19"/>
                <w:szCs w:val="19"/>
                <w:lang w:val="es-ES_tradnl"/>
              </w:rPr>
              <w:t xml:space="preserve">provenientes de </w:t>
            </w:r>
            <w:r w:rsidR="006E0ADC">
              <w:rPr>
                <w:rFonts w:ascii="Arial" w:hAnsi="Arial" w:cs="Arial"/>
                <w:sz w:val="19"/>
                <w:szCs w:val="19"/>
                <w:lang w:val="es-ES_tradnl"/>
              </w:rPr>
              <w:t>c</w:t>
            </w:r>
            <w:r w:rsidR="005F4814">
              <w:rPr>
                <w:rFonts w:ascii="Arial" w:hAnsi="Arial" w:cs="Arial"/>
                <w:sz w:val="19"/>
                <w:szCs w:val="19"/>
                <w:lang w:val="es-ES_tradnl"/>
              </w:rPr>
              <w:t>ogeneración</w:t>
            </w:r>
            <w:r w:rsidRPr="00EE3314">
              <w:rPr>
                <w:rFonts w:ascii="Arial" w:hAnsi="Arial" w:cs="Arial"/>
                <w:sz w:val="19"/>
                <w:szCs w:val="19"/>
                <w:lang w:val="es-ES_tradnl"/>
              </w:rPr>
              <w:t>: histórica antes y después del Programa</w:t>
            </w:r>
          </w:p>
        </w:tc>
      </w:tr>
      <w:tr w:rsidR="00EE3314" w:rsidRPr="005E03D2" w14:paraId="2341A6D6" w14:textId="77777777" w:rsidTr="006D3CE5">
        <w:tc>
          <w:tcPr>
            <w:tcW w:w="2520" w:type="dxa"/>
            <w:vMerge/>
          </w:tcPr>
          <w:p w14:paraId="2341A6D3" w14:textId="77777777" w:rsidR="00EE3314" w:rsidRPr="00EE3314" w:rsidRDefault="00EE3314" w:rsidP="00EE3314">
            <w:pPr>
              <w:ind w:left="360"/>
              <w:jc w:val="both"/>
              <w:outlineLvl w:val="1"/>
              <w:rPr>
                <w:rFonts w:ascii="Arial" w:hAnsi="Arial" w:cs="Arial"/>
                <w:sz w:val="19"/>
                <w:szCs w:val="19"/>
                <w:lang w:val="es-ES_tradnl"/>
              </w:rPr>
            </w:pPr>
          </w:p>
        </w:tc>
        <w:tc>
          <w:tcPr>
            <w:tcW w:w="2340" w:type="dxa"/>
            <w:vAlign w:val="center"/>
          </w:tcPr>
          <w:p w14:paraId="2341A6D4" w14:textId="77777777" w:rsidR="00EE3314" w:rsidRPr="00EE3314" w:rsidRDefault="00EE3314" w:rsidP="00EE3314">
            <w:pPr>
              <w:outlineLvl w:val="1"/>
              <w:rPr>
                <w:rFonts w:ascii="Arial" w:hAnsi="Arial" w:cs="Arial"/>
                <w:sz w:val="19"/>
                <w:szCs w:val="19"/>
                <w:lang w:val="es-ES_tradnl"/>
              </w:rPr>
            </w:pPr>
            <w:r w:rsidRPr="00EE3314">
              <w:rPr>
                <w:rFonts w:ascii="Arial" w:hAnsi="Arial" w:cs="Arial"/>
                <w:sz w:val="19"/>
                <w:szCs w:val="19"/>
                <w:lang w:val="es-ES_tradnl"/>
              </w:rPr>
              <w:t>Volumen energía eléctrica transada binacionalmente con Ecuador</w:t>
            </w:r>
            <w:r w:rsidR="00C511A1">
              <w:rPr>
                <w:rFonts w:ascii="Arial" w:hAnsi="Arial" w:cs="Arial"/>
                <w:sz w:val="19"/>
                <w:szCs w:val="19"/>
                <w:lang w:val="es-ES_tradnl"/>
              </w:rPr>
              <w:t xml:space="preserve"> por año</w:t>
            </w:r>
          </w:p>
        </w:tc>
        <w:tc>
          <w:tcPr>
            <w:tcW w:w="3330" w:type="dxa"/>
          </w:tcPr>
          <w:p w14:paraId="2341A6D5" w14:textId="77777777" w:rsidR="00EE3314" w:rsidRPr="00EE3314" w:rsidRDefault="005F4814" w:rsidP="005F4814">
            <w:pPr>
              <w:outlineLvl w:val="1"/>
              <w:rPr>
                <w:rFonts w:ascii="Arial" w:hAnsi="Arial" w:cs="Arial"/>
                <w:sz w:val="19"/>
                <w:szCs w:val="19"/>
                <w:lang w:val="es-ES_tradnl"/>
              </w:rPr>
            </w:pPr>
            <w:r w:rsidRPr="005F4814">
              <w:rPr>
                <w:rFonts w:ascii="Arial" w:hAnsi="Arial" w:cs="Arial"/>
                <w:sz w:val="19"/>
                <w:szCs w:val="19"/>
                <w:lang w:val="es-ES_tradnl"/>
              </w:rPr>
              <w:t xml:space="preserve">Medición directa de </w:t>
            </w:r>
            <w:r>
              <w:rPr>
                <w:rFonts w:ascii="Arial" w:hAnsi="Arial" w:cs="Arial"/>
                <w:sz w:val="19"/>
                <w:szCs w:val="19"/>
                <w:lang w:val="es-ES_tradnl"/>
              </w:rPr>
              <w:t>volúmenes transados</w:t>
            </w:r>
            <w:r w:rsidRPr="005F4814">
              <w:rPr>
                <w:rFonts w:ascii="Arial" w:hAnsi="Arial" w:cs="Arial"/>
                <w:sz w:val="19"/>
                <w:szCs w:val="19"/>
                <w:lang w:val="es-ES_tradnl"/>
              </w:rPr>
              <w:t>: histórica antes y después del Programa</w:t>
            </w:r>
          </w:p>
        </w:tc>
      </w:tr>
      <w:tr w:rsidR="00EE3314" w:rsidRPr="005E03D2" w14:paraId="2341A6DA" w14:textId="77777777" w:rsidTr="006D3CE5">
        <w:tc>
          <w:tcPr>
            <w:tcW w:w="2520" w:type="dxa"/>
            <w:vMerge w:val="restart"/>
          </w:tcPr>
          <w:p w14:paraId="2341A6D7" w14:textId="77777777" w:rsidR="00EE3314" w:rsidRPr="00EE3314" w:rsidRDefault="00EE3314" w:rsidP="00EE3314">
            <w:pPr>
              <w:jc w:val="both"/>
              <w:outlineLvl w:val="1"/>
              <w:rPr>
                <w:rFonts w:ascii="Arial" w:hAnsi="Arial" w:cs="Arial"/>
                <w:sz w:val="19"/>
                <w:szCs w:val="19"/>
                <w:lang w:val="es-ES_tradnl"/>
              </w:rPr>
            </w:pPr>
            <w:r w:rsidRPr="00EE3314">
              <w:rPr>
                <w:rFonts w:ascii="Arial" w:hAnsi="Arial" w:cs="Arial"/>
                <w:sz w:val="19"/>
                <w:szCs w:val="19"/>
                <w:lang w:val="es-ES_tradnl"/>
              </w:rPr>
              <w:t>Fortalecimiento del mercado eléctrico</w:t>
            </w:r>
          </w:p>
        </w:tc>
        <w:tc>
          <w:tcPr>
            <w:tcW w:w="2340" w:type="dxa"/>
            <w:vAlign w:val="center"/>
          </w:tcPr>
          <w:p w14:paraId="2341A6D8" w14:textId="77777777" w:rsidR="00EE3314" w:rsidRPr="00EE3314" w:rsidRDefault="00EE3314" w:rsidP="00EE3314">
            <w:pPr>
              <w:jc w:val="both"/>
              <w:outlineLvl w:val="1"/>
              <w:rPr>
                <w:rFonts w:ascii="Arial" w:hAnsi="Arial" w:cs="Arial"/>
                <w:sz w:val="19"/>
                <w:szCs w:val="19"/>
                <w:lang w:val="es-ES_tradnl"/>
              </w:rPr>
            </w:pPr>
            <w:r w:rsidRPr="00EE3314">
              <w:rPr>
                <w:rFonts w:ascii="Arial" w:hAnsi="Arial" w:cs="Arial"/>
                <w:sz w:val="19"/>
                <w:szCs w:val="19"/>
                <w:lang w:val="es-ES_tradnl"/>
              </w:rPr>
              <w:t xml:space="preserve">Volumen </w:t>
            </w:r>
            <w:r w:rsidR="00C511A1">
              <w:rPr>
                <w:rFonts w:ascii="Arial" w:hAnsi="Arial" w:cs="Arial"/>
                <w:sz w:val="19"/>
                <w:szCs w:val="19"/>
                <w:lang w:val="es-ES_tradnl"/>
              </w:rPr>
              <w:t xml:space="preserve">anual de </w:t>
            </w:r>
            <w:r w:rsidRPr="00EE3314">
              <w:rPr>
                <w:rFonts w:ascii="Arial" w:hAnsi="Arial" w:cs="Arial"/>
                <w:sz w:val="19"/>
                <w:szCs w:val="19"/>
                <w:lang w:val="es-ES_tradnl"/>
              </w:rPr>
              <w:t>oferta de GN para generación eléctrica</w:t>
            </w:r>
          </w:p>
        </w:tc>
        <w:tc>
          <w:tcPr>
            <w:tcW w:w="3330" w:type="dxa"/>
          </w:tcPr>
          <w:p w14:paraId="2341A6D9" w14:textId="77777777" w:rsidR="00EE3314" w:rsidRPr="00EE3314" w:rsidRDefault="005F4814" w:rsidP="005F4814">
            <w:pPr>
              <w:jc w:val="both"/>
              <w:outlineLvl w:val="1"/>
              <w:rPr>
                <w:rFonts w:ascii="Arial" w:hAnsi="Arial" w:cs="Arial"/>
                <w:sz w:val="19"/>
                <w:szCs w:val="19"/>
                <w:lang w:val="es-ES_tradnl"/>
              </w:rPr>
            </w:pPr>
            <w:r w:rsidRPr="005F4814">
              <w:rPr>
                <w:rFonts w:ascii="Arial" w:hAnsi="Arial" w:cs="Arial"/>
                <w:sz w:val="19"/>
                <w:szCs w:val="19"/>
                <w:lang w:val="es-ES_tradnl"/>
              </w:rPr>
              <w:t xml:space="preserve">Medición directa de volúmenes </w:t>
            </w:r>
            <w:r>
              <w:rPr>
                <w:rFonts w:ascii="Arial" w:hAnsi="Arial" w:cs="Arial"/>
                <w:sz w:val="19"/>
                <w:szCs w:val="19"/>
                <w:lang w:val="es-ES_tradnl"/>
              </w:rPr>
              <w:t>de GN usados para generación:</w:t>
            </w:r>
            <w:r w:rsidRPr="005F4814">
              <w:rPr>
                <w:rFonts w:ascii="Arial" w:hAnsi="Arial" w:cs="Arial"/>
                <w:sz w:val="19"/>
                <w:szCs w:val="19"/>
                <w:lang w:val="es-ES_tradnl"/>
              </w:rPr>
              <w:t xml:space="preserve"> histórica antes y después del Programa</w:t>
            </w:r>
          </w:p>
        </w:tc>
      </w:tr>
      <w:tr w:rsidR="00EE3314" w:rsidRPr="005E03D2" w14:paraId="2341A6DE" w14:textId="77777777" w:rsidTr="006D3CE5">
        <w:tc>
          <w:tcPr>
            <w:tcW w:w="2520" w:type="dxa"/>
            <w:vMerge/>
          </w:tcPr>
          <w:p w14:paraId="2341A6DB" w14:textId="77777777" w:rsidR="00EE3314" w:rsidRPr="00EE3314" w:rsidRDefault="00EE3314" w:rsidP="00EE3314">
            <w:pPr>
              <w:ind w:left="360"/>
              <w:jc w:val="both"/>
              <w:outlineLvl w:val="1"/>
              <w:rPr>
                <w:rFonts w:ascii="Arial" w:hAnsi="Arial" w:cs="Arial"/>
                <w:b/>
                <w:sz w:val="19"/>
                <w:szCs w:val="19"/>
                <w:lang w:val="es-ES_tradnl"/>
              </w:rPr>
            </w:pPr>
          </w:p>
        </w:tc>
        <w:tc>
          <w:tcPr>
            <w:tcW w:w="2340" w:type="dxa"/>
            <w:vAlign w:val="center"/>
          </w:tcPr>
          <w:p w14:paraId="2341A6DC" w14:textId="77777777" w:rsidR="00EE3314" w:rsidRPr="00EE3314" w:rsidRDefault="00EE3314" w:rsidP="00F30CF3">
            <w:pPr>
              <w:jc w:val="both"/>
              <w:outlineLvl w:val="1"/>
              <w:rPr>
                <w:rFonts w:ascii="Arial" w:hAnsi="Arial" w:cs="Arial"/>
                <w:sz w:val="19"/>
                <w:szCs w:val="19"/>
                <w:lang w:val="es-ES_tradnl"/>
              </w:rPr>
            </w:pPr>
            <w:r w:rsidRPr="00EE3314">
              <w:rPr>
                <w:rFonts w:ascii="Arial" w:hAnsi="Arial" w:cs="Arial"/>
                <w:sz w:val="19"/>
                <w:szCs w:val="19"/>
                <w:lang w:val="es-ES_tradnl"/>
              </w:rPr>
              <w:t xml:space="preserve">Consumo de electricidad </w:t>
            </w:r>
            <w:r w:rsidR="00C511A1">
              <w:rPr>
                <w:rFonts w:ascii="Arial" w:hAnsi="Arial" w:cs="Arial"/>
                <w:sz w:val="19"/>
                <w:szCs w:val="19"/>
                <w:lang w:val="es-ES_tradnl"/>
              </w:rPr>
              <w:t xml:space="preserve">en </w:t>
            </w:r>
            <w:r w:rsidR="00F30CF3">
              <w:rPr>
                <w:rFonts w:ascii="Arial" w:hAnsi="Arial" w:cs="Arial"/>
                <w:sz w:val="19"/>
                <w:szCs w:val="19"/>
                <w:lang w:val="es-ES_tradnl"/>
              </w:rPr>
              <w:t>sector industrial</w:t>
            </w:r>
          </w:p>
        </w:tc>
        <w:tc>
          <w:tcPr>
            <w:tcW w:w="3330" w:type="dxa"/>
          </w:tcPr>
          <w:p w14:paraId="2341A6DD" w14:textId="77777777" w:rsidR="00EE3314" w:rsidRPr="00EE3314" w:rsidRDefault="006D3CE5" w:rsidP="006D3CE5">
            <w:pPr>
              <w:jc w:val="both"/>
              <w:outlineLvl w:val="1"/>
              <w:rPr>
                <w:rFonts w:ascii="Arial" w:hAnsi="Arial" w:cs="Arial"/>
                <w:sz w:val="19"/>
                <w:szCs w:val="19"/>
                <w:lang w:val="es-ES_tradnl"/>
              </w:rPr>
            </w:pPr>
            <w:r>
              <w:rPr>
                <w:rFonts w:ascii="Arial" w:hAnsi="Arial" w:cs="Arial"/>
                <w:sz w:val="19"/>
                <w:szCs w:val="19"/>
                <w:lang w:val="es-ES_tradnl"/>
              </w:rPr>
              <w:t>Medición directa de una muestra y experiencia documentada en literatura</w:t>
            </w:r>
          </w:p>
        </w:tc>
      </w:tr>
      <w:tr w:rsidR="006E0ADC" w:rsidRPr="005E03D2" w14:paraId="2341A6E2" w14:textId="77777777" w:rsidTr="00C511A1">
        <w:tc>
          <w:tcPr>
            <w:tcW w:w="2520" w:type="dxa"/>
          </w:tcPr>
          <w:p w14:paraId="2341A6DF" w14:textId="77777777" w:rsidR="006E0ADC" w:rsidRPr="00CD049D" w:rsidRDefault="006E0ADC" w:rsidP="004F426F">
            <w:pPr>
              <w:pStyle w:val="Paragraph"/>
              <w:numPr>
                <w:ilvl w:val="0"/>
                <w:numId w:val="0"/>
              </w:numPr>
              <w:spacing w:before="0" w:after="0"/>
              <w:rPr>
                <w:rFonts w:ascii="Arial" w:hAnsi="Arial" w:cs="Arial"/>
                <w:sz w:val="19"/>
                <w:szCs w:val="19"/>
                <w:lang w:val="es-ES_tradnl"/>
              </w:rPr>
            </w:pPr>
            <w:r w:rsidRPr="00CD049D">
              <w:rPr>
                <w:rFonts w:ascii="Arial" w:hAnsi="Arial" w:cs="Arial"/>
                <w:sz w:val="19"/>
                <w:szCs w:val="19"/>
                <w:lang w:val="es-ES_tradnl"/>
              </w:rPr>
              <w:t>Capacidad instalada de FNCER en ZNI</w:t>
            </w:r>
          </w:p>
        </w:tc>
        <w:tc>
          <w:tcPr>
            <w:tcW w:w="2340" w:type="dxa"/>
          </w:tcPr>
          <w:p w14:paraId="2341A6E0" w14:textId="77777777" w:rsidR="006E0ADC" w:rsidRPr="00EE3314" w:rsidRDefault="00C511A1" w:rsidP="00C511A1">
            <w:pPr>
              <w:outlineLvl w:val="1"/>
              <w:rPr>
                <w:rFonts w:ascii="Arial" w:hAnsi="Arial" w:cs="Arial"/>
                <w:sz w:val="19"/>
                <w:szCs w:val="19"/>
                <w:lang w:val="es-ES_tradnl"/>
              </w:rPr>
            </w:pPr>
            <w:r>
              <w:rPr>
                <w:rFonts w:ascii="Arial" w:hAnsi="Arial" w:cs="Arial"/>
                <w:sz w:val="19"/>
                <w:szCs w:val="19"/>
                <w:lang w:val="es-ES_tradnl"/>
              </w:rPr>
              <w:t>Capacidad  instalada</w:t>
            </w:r>
            <w:r w:rsidR="006E0ADC" w:rsidRPr="006E0ADC">
              <w:rPr>
                <w:rFonts w:ascii="Arial" w:hAnsi="Arial" w:cs="Arial"/>
                <w:sz w:val="19"/>
                <w:szCs w:val="19"/>
                <w:lang w:val="es-ES_tradnl"/>
              </w:rPr>
              <w:t xml:space="preserve"> con FNCER en ZNI</w:t>
            </w:r>
          </w:p>
        </w:tc>
        <w:tc>
          <w:tcPr>
            <w:tcW w:w="3330" w:type="dxa"/>
          </w:tcPr>
          <w:p w14:paraId="2341A6E1" w14:textId="77777777" w:rsidR="006E0ADC" w:rsidRPr="00EE3314" w:rsidRDefault="006E0ADC" w:rsidP="006E0ADC">
            <w:pPr>
              <w:jc w:val="both"/>
              <w:outlineLvl w:val="1"/>
              <w:rPr>
                <w:rFonts w:ascii="Arial" w:hAnsi="Arial" w:cs="Arial"/>
                <w:sz w:val="19"/>
                <w:szCs w:val="19"/>
                <w:lang w:val="es-ES_tradnl"/>
              </w:rPr>
            </w:pPr>
            <w:r w:rsidRPr="006E0ADC">
              <w:rPr>
                <w:rFonts w:ascii="Arial" w:hAnsi="Arial" w:cs="Arial"/>
                <w:sz w:val="19"/>
                <w:szCs w:val="19"/>
                <w:lang w:val="es-ES_tradnl"/>
              </w:rPr>
              <w:t xml:space="preserve">Medición directa de </w:t>
            </w:r>
            <w:r>
              <w:rPr>
                <w:rFonts w:ascii="Arial" w:hAnsi="Arial" w:cs="Arial"/>
                <w:sz w:val="19"/>
                <w:szCs w:val="19"/>
                <w:lang w:val="es-ES_tradnl"/>
              </w:rPr>
              <w:t>capacidad instalada de FNCER en ZNI</w:t>
            </w:r>
            <w:r w:rsidRPr="006E0ADC">
              <w:rPr>
                <w:rFonts w:ascii="Arial" w:hAnsi="Arial" w:cs="Arial"/>
                <w:sz w:val="19"/>
                <w:szCs w:val="19"/>
                <w:lang w:val="es-ES_tradnl"/>
              </w:rPr>
              <w:t>: histórica antes y después del Programa</w:t>
            </w:r>
            <w:r>
              <w:rPr>
                <w:rFonts w:ascii="Arial" w:hAnsi="Arial" w:cs="Arial"/>
                <w:sz w:val="19"/>
                <w:szCs w:val="19"/>
                <w:lang w:val="es-ES_tradnl"/>
              </w:rPr>
              <w:t>.</w:t>
            </w:r>
          </w:p>
        </w:tc>
      </w:tr>
    </w:tbl>
    <w:p w14:paraId="2341A6E3" w14:textId="77777777" w:rsidR="00A90C45" w:rsidRDefault="00A90C45" w:rsidP="00A90C45">
      <w:pPr>
        <w:pStyle w:val="Paragraph"/>
        <w:tabs>
          <w:tab w:val="num" w:pos="720"/>
        </w:tabs>
        <w:ind w:left="720" w:hanging="720"/>
        <w:rPr>
          <w:rFonts w:ascii="Arial" w:hAnsi="Arial" w:cs="Arial"/>
          <w:sz w:val="22"/>
          <w:szCs w:val="22"/>
          <w:lang w:val="es-BO" w:eastAsia="es-ES"/>
        </w:rPr>
      </w:pPr>
      <w:r w:rsidRPr="00A90C45">
        <w:rPr>
          <w:rFonts w:ascii="Arial" w:hAnsi="Arial" w:cs="Arial"/>
          <w:sz w:val="22"/>
          <w:szCs w:val="22"/>
          <w:lang w:val="es-ES_tradnl" w:eastAsia="es-ES"/>
        </w:rPr>
        <w:t>Los</w:t>
      </w:r>
      <w:r w:rsidRPr="00A90C45">
        <w:rPr>
          <w:rFonts w:ascii="Arial" w:hAnsi="Arial" w:cs="Arial"/>
          <w:sz w:val="22"/>
          <w:szCs w:val="22"/>
          <w:lang w:val="es-BO" w:eastAsia="es-ES"/>
        </w:rPr>
        <w:t xml:space="preserve"> criterios no centrales del PCR son aquellos evaluables, pero que no </w:t>
      </w:r>
      <w:r w:rsidRPr="00A90C45">
        <w:rPr>
          <w:rFonts w:ascii="Arial" w:hAnsi="Arial" w:cs="Arial"/>
          <w:sz w:val="22"/>
          <w:szCs w:val="22"/>
          <w:lang w:val="es-ES_tradnl" w:eastAsia="es-ES"/>
        </w:rPr>
        <w:t>califican la efectividad de la intervención. En su defecto evalúan la</w:t>
      </w:r>
      <w:r w:rsidRPr="00A90C45">
        <w:rPr>
          <w:rFonts w:ascii="Arial" w:hAnsi="Arial" w:cs="Arial"/>
          <w:sz w:val="22"/>
          <w:szCs w:val="22"/>
          <w:lang w:val="es-BO" w:eastAsia="es-ES"/>
        </w:rPr>
        <w:t xml:space="preserve"> contribución de la operación a los </w:t>
      </w:r>
      <w:r w:rsidRPr="00A90C45">
        <w:rPr>
          <w:rFonts w:ascii="Arial" w:hAnsi="Arial" w:cs="Arial"/>
          <w:spacing w:val="-3"/>
          <w:sz w:val="22"/>
          <w:szCs w:val="22"/>
        </w:rPr>
        <w:t>objetivos</w:t>
      </w:r>
      <w:r w:rsidRPr="00A90C45">
        <w:rPr>
          <w:rFonts w:ascii="Arial" w:hAnsi="Arial" w:cs="Arial"/>
          <w:sz w:val="22"/>
          <w:szCs w:val="22"/>
          <w:lang w:val="es-BO" w:eastAsia="es-ES"/>
        </w:rPr>
        <w:t xml:space="preserve"> de desarrollo del Banco; la contribución a los objetivos de desarrollo del país; el cumplimiento del plan de seguimiento y evaluación; el uso de sistemas país y la implementación y mitigación de salvaguardas ambientales y sociales</w:t>
      </w:r>
      <w:r w:rsidR="00F55B4A">
        <w:rPr>
          <w:rFonts w:ascii="Arial" w:hAnsi="Arial" w:cs="Arial"/>
          <w:sz w:val="22"/>
          <w:szCs w:val="22"/>
          <w:lang w:val="es-BO" w:eastAsia="es-ES"/>
        </w:rPr>
        <w:t xml:space="preserve"> cuando aplican</w:t>
      </w:r>
      <w:r w:rsidRPr="00A90C45">
        <w:rPr>
          <w:rFonts w:ascii="Arial" w:hAnsi="Arial" w:cs="Arial"/>
          <w:sz w:val="22"/>
          <w:szCs w:val="22"/>
          <w:lang w:val="es-BO" w:eastAsia="es-ES"/>
        </w:rPr>
        <w:t>.</w:t>
      </w:r>
    </w:p>
    <w:p w14:paraId="2341A6E4" w14:textId="77777777" w:rsidR="004E2681" w:rsidRDefault="00B034D6" w:rsidP="00B034D6">
      <w:pPr>
        <w:pStyle w:val="FirstHeading"/>
        <w:spacing w:before="240"/>
        <w:ind w:left="720"/>
        <w:rPr>
          <w:rFonts w:ascii="Arial" w:hAnsi="Arial" w:cs="Arial"/>
          <w:sz w:val="22"/>
          <w:szCs w:val="22"/>
        </w:rPr>
      </w:pPr>
      <w:bookmarkStart w:id="14" w:name="_Toc473464961"/>
      <w:r>
        <w:rPr>
          <w:rFonts w:ascii="Arial" w:hAnsi="Arial" w:cs="Arial"/>
          <w:sz w:val="22"/>
          <w:szCs w:val="22"/>
        </w:rPr>
        <w:t>G.</w:t>
      </w:r>
      <w:r>
        <w:rPr>
          <w:rFonts w:ascii="Arial" w:hAnsi="Arial" w:cs="Arial"/>
          <w:sz w:val="22"/>
          <w:szCs w:val="22"/>
        </w:rPr>
        <w:tab/>
        <w:t xml:space="preserve">Coordinación, </w:t>
      </w:r>
      <w:r w:rsidR="004E2681">
        <w:rPr>
          <w:rFonts w:ascii="Arial" w:hAnsi="Arial" w:cs="Arial"/>
          <w:sz w:val="22"/>
          <w:szCs w:val="22"/>
        </w:rPr>
        <w:t>Plan de Trabajo</w:t>
      </w:r>
      <w:r w:rsidR="00142949">
        <w:rPr>
          <w:rFonts w:ascii="Arial" w:hAnsi="Arial" w:cs="Arial"/>
          <w:sz w:val="22"/>
          <w:szCs w:val="22"/>
        </w:rPr>
        <w:t xml:space="preserve"> </w:t>
      </w:r>
      <w:r>
        <w:rPr>
          <w:rFonts w:ascii="Arial" w:hAnsi="Arial" w:cs="Arial"/>
          <w:sz w:val="22"/>
          <w:szCs w:val="22"/>
        </w:rPr>
        <w:t xml:space="preserve">y Presupuesto </w:t>
      </w:r>
      <w:r w:rsidR="00142949">
        <w:rPr>
          <w:rFonts w:ascii="Arial" w:hAnsi="Arial" w:cs="Arial"/>
          <w:sz w:val="22"/>
          <w:szCs w:val="22"/>
        </w:rPr>
        <w:t xml:space="preserve">para la </w:t>
      </w:r>
      <w:r w:rsidR="004E2681">
        <w:rPr>
          <w:rFonts w:ascii="Arial" w:hAnsi="Arial" w:cs="Arial"/>
          <w:sz w:val="22"/>
          <w:szCs w:val="22"/>
        </w:rPr>
        <w:t>Evaluación</w:t>
      </w:r>
      <w:bookmarkEnd w:id="14"/>
    </w:p>
    <w:p w14:paraId="2341A6E5" w14:textId="77777777" w:rsidR="00B034D6" w:rsidRPr="007E1706" w:rsidRDefault="0074600C" w:rsidP="007E1706">
      <w:pPr>
        <w:pStyle w:val="Paragraph"/>
        <w:tabs>
          <w:tab w:val="num" w:pos="720"/>
        </w:tabs>
        <w:ind w:left="720" w:hanging="720"/>
        <w:rPr>
          <w:rFonts w:ascii="Arial" w:hAnsi="Arial" w:cs="Arial"/>
          <w:spacing w:val="-3"/>
          <w:sz w:val="22"/>
          <w:szCs w:val="22"/>
        </w:rPr>
      </w:pPr>
      <w:r>
        <w:rPr>
          <w:rFonts w:ascii="Arial" w:hAnsi="Arial" w:cs="Arial"/>
          <w:spacing w:val="-3"/>
          <w:sz w:val="22"/>
          <w:szCs w:val="22"/>
        </w:rPr>
        <w:t>El Organismo Ejecutor</w:t>
      </w:r>
      <w:r w:rsidR="005A449B">
        <w:rPr>
          <w:rFonts w:ascii="Arial" w:hAnsi="Arial" w:cs="Arial"/>
          <w:spacing w:val="-3"/>
          <w:sz w:val="22"/>
          <w:szCs w:val="22"/>
        </w:rPr>
        <w:t>, en coordinaci</w:t>
      </w:r>
      <w:r w:rsidR="00697222">
        <w:rPr>
          <w:rFonts w:ascii="Arial" w:hAnsi="Arial" w:cs="Arial"/>
          <w:spacing w:val="-3"/>
          <w:sz w:val="22"/>
          <w:szCs w:val="22"/>
        </w:rPr>
        <w:t xml:space="preserve">ón con el DNP </w:t>
      </w:r>
      <w:r w:rsidR="005A449B">
        <w:rPr>
          <w:rFonts w:ascii="Arial" w:hAnsi="Arial" w:cs="Arial"/>
          <w:spacing w:val="-3"/>
          <w:sz w:val="22"/>
          <w:szCs w:val="22"/>
        </w:rPr>
        <w:t xml:space="preserve">y el MME, </w:t>
      </w:r>
      <w:r>
        <w:rPr>
          <w:rFonts w:ascii="Arial" w:hAnsi="Arial" w:cs="Arial"/>
          <w:spacing w:val="-3"/>
          <w:sz w:val="22"/>
          <w:szCs w:val="22"/>
        </w:rPr>
        <w:t xml:space="preserve"> es </w:t>
      </w:r>
      <w:r w:rsidRPr="0074600C">
        <w:rPr>
          <w:rFonts w:ascii="Arial" w:hAnsi="Arial" w:cs="Arial"/>
          <w:spacing w:val="-3"/>
          <w:sz w:val="22"/>
          <w:szCs w:val="22"/>
          <w:lang w:val="es-ES_tradnl"/>
        </w:rPr>
        <w:t xml:space="preserve">responsable de la recopilación de todos los datos necesarios para la evaluación del </w:t>
      </w:r>
      <w:r>
        <w:rPr>
          <w:rFonts w:ascii="Arial" w:hAnsi="Arial" w:cs="Arial"/>
          <w:spacing w:val="-3"/>
          <w:sz w:val="22"/>
          <w:szCs w:val="22"/>
          <w:lang w:val="es-ES_tradnl"/>
        </w:rPr>
        <w:t>p</w:t>
      </w:r>
      <w:r w:rsidRPr="0074600C">
        <w:rPr>
          <w:rFonts w:ascii="Arial" w:hAnsi="Arial" w:cs="Arial"/>
          <w:spacing w:val="-3"/>
          <w:sz w:val="22"/>
          <w:szCs w:val="22"/>
          <w:lang w:val="es-ES_tradnl"/>
        </w:rPr>
        <w:t>rograma.</w:t>
      </w:r>
      <w:r w:rsidR="007E1706">
        <w:rPr>
          <w:rFonts w:ascii="Arial" w:hAnsi="Arial" w:cs="Arial"/>
          <w:spacing w:val="-3"/>
          <w:sz w:val="22"/>
          <w:szCs w:val="22"/>
          <w:lang w:val="es-ES_tradnl"/>
        </w:rPr>
        <w:t xml:space="preserve">  </w:t>
      </w:r>
      <w:r w:rsidRPr="0074600C">
        <w:rPr>
          <w:rFonts w:ascii="Arial" w:hAnsi="Arial" w:cs="Arial"/>
          <w:spacing w:val="-3"/>
          <w:sz w:val="22"/>
          <w:szCs w:val="22"/>
          <w:lang w:val="es-ES_tradnl"/>
        </w:rPr>
        <w:t xml:space="preserve"> </w:t>
      </w:r>
      <w:r w:rsidR="007E1706">
        <w:rPr>
          <w:rFonts w:ascii="Arial" w:hAnsi="Arial" w:cs="Arial"/>
          <w:spacing w:val="-3"/>
          <w:sz w:val="22"/>
          <w:szCs w:val="22"/>
          <w:lang w:val="es-ES_tradnl"/>
        </w:rPr>
        <w:t xml:space="preserve">Estas </w:t>
      </w:r>
      <w:r w:rsidR="007E1706">
        <w:rPr>
          <w:rFonts w:ascii="Arial" w:hAnsi="Arial" w:cs="Arial"/>
          <w:spacing w:val="-3"/>
          <w:sz w:val="22"/>
          <w:szCs w:val="22"/>
          <w:lang w:val="es-ES_tradnl"/>
        </w:rPr>
        <w:lastRenderedPageBreak/>
        <w:t xml:space="preserve">entidades </w:t>
      </w:r>
      <w:r w:rsidR="007E1706" w:rsidRPr="0074600C">
        <w:rPr>
          <w:rFonts w:ascii="Arial" w:hAnsi="Arial" w:cs="Arial"/>
          <w:spacing w:val="-3"/>
          <w:sz w:val="22"/>
          <w:szCs w:val="22"/>
          <w:lang w:val="es-ES_tradnl"/>
        </w:rPr>
        <w:t>asumirán con recursos propios</w:t>
      </w:r>
      <w:r w:rsidR="007E1706">
        <w:rPr>
          <w:rFonts w:ascii="Arial" w:hAnsi="Arial" w:cs="Arial"/>
          <w:spacing w:val="-3"/>
          <w:sz w:val="22"/>
          <w:szCs w:val="22"/>
          <w:lang w:val="es-ES_tradnl"/>
        </w:rPr>
        <w:t>,</w:t>
      </w:r>
      <w:r w:rsidR="007E1706" w:rsidRPr="0074600C">
        <w:rPr>
          <w:rFonts w:ascii="Arial" w:hAnsi="Arial" w:cs="Arial"/>
          <w:spacing w:val="-3"/>
          <w:sz w:val="22"/>
          <w:szCs w:val="22"/>
          <w:lang w:val="es-ES_tradnl"/>
        </w:rPr>
        <w:t xml:space="preserve"> los costos de recolectar la </w:t>
      </w:r>
      <w:r w:rsidR="007E1706" w:rsidRPr="0074600C">
        <w:rPr>
          <w:rFonts w:ascii="Arial" w:hAnsi="Arial" w:cs="Arial"/>
          <w:bCs/>
          <w:spacing w:val="-3"/>
          <w:sz w:val="22"/>
          <w:szCs w:val="22"/>
          <w:lang w:val="es-ES_tradnl"/>
        </w:rPr>
        <w:t>información</w:t>
      </w:r>
      <w:r w:rsidR="007E1706">
        <w:rPr>
          <w:rFonts w:ascii="Arial" w:hAnsi="Arial" w:cs="Arial"/>
          <w:bCs/>
          <w:spacing w:val="-3"/>
          <w:sz w:val="22"/>
          <w:szCs w:val="22"/>
          <w:lang w:val="es-ES_tradnl"/>
        </w:rPr>
        <w:t xml:space="preserve"> y la pondrán a disposición del Banco para realizar las evaluaciones acordadas. </w:t>
      </w:r>
      <w:r w:rsidR="007E1706">
        <w:rPr>
          <w:rFonts w:ascii="Arial" w:hAnsi="Arial" w:cs="Arial"/>
          <w:spacing w:val="-3"/>
          <w:sz w:val="22"/>
          <w:szCs w:val="22"/>
          <w:lang w:val="es-ES_tradnl"/>
        </w:rPr>
        <w:t xml:space="preserve"> </w:t>
      </w:r>
      <w:r w:rsidR="006A0530">
        <w:rPr>
          <w:rFonts w:ascii="Arial" w:hAnsi="Arial" w:cs="Arial"/>
          <w:spacing w:val="-3"/>
          <w:sz w:val="22"/>
          <w:szCs w:val="22"/>
          <w:lang w:val="es-ES_tradnl"/>
        </w:rPr>
        <w:t xml:space="preserve">La información requerida incluye los valores de los indicadores de la Matriz de Resultados, con la periodicidad indicada en cada meta. </w:t>
      </w:r>
      <w:r w:rsidR="007E1706">
        <w:rPr>
          <w:rFonts w:ascii="Arial" w:hAnsi="Arial" w:cs="Arial"/>
          <w:spacing w:val="-3"/>
          <w:sz w:val="22"/>
          <w:szCs w:val="22"/>
          <w:lang w:val="es-ES_tradnl"/>
        </w:rPr>
        <w:t xml:space="preserve"> Adicionalmente, se requerirá </w:t>
      </w:r>
      <w:r w:rsidR="007E1706" w:rsidRPr="007E1706">
        <w:rPr>
          <w:rFonts w:ascii="Arial" w:hAnsi="Arial" w:cs="Arial"/>
          <w:spacing w:val="-3"/>
          <w:sz w:val="22"/>
          <w:szCs w:val="22"/>
          <w:lang w:val="es-ES_tradnl"/>
        </w:rPr>
        <w:t>los valores reales de los parámetros utilizados en la Evaluación Económica ex ante (Anexo 1) como supuestos</w:t>
      </w:r>
      <w:r w:rsidR="007E1706">
        <w:rPr>
          <w:rFonts w:ascii="Arial" w:hAnsi="Arial" w:cs="Arial"/>
          <w:spacing w:val="-3"/>
          <w:sz w:val="22"/>
          <w:szCs w:val="22"/>
          <w:lang w:val="es-ES_tradnl"/>
        </w:rPr>
        <w:t>, tales como por ejemplo: costos marginales de generación con y sin FNCER; precios de bolsa promedio anual; composición de la matriz energética;  precios de combustibles líquidos y de GN; volumen de energía consumida por sector; emisiones de CO</w:t>
      </w:r>
      <w:r w:rsidR="007E1706" w:rsidRPr="007E1706">
        <w:rPr>
          <w:rFonts w:ascii="Arial" w:hAnsi="Arial" w:cs="Arial"/>
          <w:spacing w:val="-3"/>
          <w:sz w:val="22"/>
          <w:szCs w:val="22"/>
          <w:vertAlign w:val="subscript"/>
          <w:lang w:val="es-ES_tradnl"/>
        </w:rPr>
        <w:t>2</w:t>
      </w:r>
      <w:r w:rsidR="007E1706">
        <w:rPr>
          <w:rFonts w:ascii="Arial" w:hAnsi="Arial" w:cs="Arial"/>
          <w:spacing w:val="-3"/>
          <w:sz w:val="22"/>
          <w:szCs w:val="22"/>
          <w:lang w:val="es-ES_tradnl"/>
        </w:rPr>
        <w:t xml:space="preserve">; precios de Certificados de Reducción de Emisiones (CER); tarifas eléctricas a usuario final; inversión y costos de operación y mantenimiento de medidas de GEDE; y costo de soluciones aisladas ofrecidas en ZNI. </w:t>
      </w:r>
    </w:p>
    <w:p w14:paraId="2341A6E6" w14:textId="77777777" w:rsidR="000C337F" w:rsidRPr="000C337F" w:rsidRDefault="005A449B" w:rsidP="000C337F">
      <w:pPr>
        <w:pStyle w:val="Paragraph"/>
        <w:tabs>
          <w:tab w:val="num" w:pos="720"/>
        </w:tabs>
        <w:ind w:left="720" w:hanging="720"/>
        <w:rPr>
          <w:rFonts w:ascii="Arial" w:hAnsi="Arial" w:cs="Arial"/>
          <w:sz w:val="22"/>
          <w:szCs w:val="22"/>
          <w:lang w:eastAsia="es-ES"/>
        </w:rPr>
      </w:pPr>
      <w:r w:rsidRPr="000C337F">
        <w:rPr>
          <w:rFonts w:ascii="Arial" w:hAnsi="Arial" w:cs="Arial"/>
          <w:spacing w:val="-3"/>
          <w:sz w:val="22"/>
          <w:szCs w:val="22"/>
          <w:lang w:val="es-ES_tradnl"/>
        </w:rPr>
        <w:t xml:space="preserve">Dentro del presupuesto de  preparación del proyecto se consideraron los costos de la consultoría asociada a la elaboración de la Evaluación Económica </w:t>
      </w:r>
      <w:r w:rsidR="00697222">
        <w:rPr>
          <w:rFonts w:ascii="Arial" w:hAnsi="Arial" w:cs="Arial"/>
          <w:spacing w:val="-3"/>
          <w:sz w:val="22"/>
          <w:szCs w:val="22"/>
          <w:lang w:val="es-ES_tradnl"/>
        </w:rPr>
        <w:t xml:space="preserve">ex ante. </w:t>
      </w:r>
      <w:r w:rsidRPr="000C337F">
        <w:rPr>
          <w:rFonts w:ascii="Arial" w:hAnsi="Arial" w:cs="Arial"/>
          <w:spacing w:val="-3"/>
          <w:sz w:val="22"/>
          <w:szCs w:val="22"/>
          <w:lang w:val="es-ES_tradnl"/>
        </w:rPr>
        <w:t xml:space="preserve">Dentro del presupuesto de preparación de la segunda operación se considerarán los costos de la recopilación de información de los indicadores de resultado. La evaluación ex post </w:t>
      </w:r>
      <w:r w:rsidR="000C337F">
        <w:rPr>
          <w:rFonts w:ascii="Arial" w:hAnsi="Arial" w:cs="Arial"/>
          <w:spacing w:val="-3"/>
          <w:sz w:val="22"/>
          <w:szCs w:val="22"/>
          <w:lang w:val="es-ES_tradnl"/>
        </w:rPr>
        <w:t xml:space="preserve">(antes-después; económica; y PCR) </w:t>
      </w:r>
      <w:r w:rsidRPr="000C337F">
        <w:rPr>
          <w:rFonts w:ascii="Arial" w:hAnsi="Arial" w:cs="Arial"/>
          <w:spacing w:val="-3"/>
          <w:sz w:val="22"/>
          <w:szCs w:val="22"/>
          <w:lang w:val="es-ES_tradnl"/>
        </w:rPr>
        <w:t xml:space="preserve">se realizará al final de la </w:t>
      </w:r>
      <w:r w:rsidR="002C498F" w:rsidRPr="000C337F">
        <w:rPr>
          <w:rFonts w:ascii="Arial" w:hAnsi="Arial" w:cs="Arial"/>
          <w:spacing w:val="-3"/>
          <w:sz w:val="22"/>
          <w:szCs w:val="22"/>
          <w:lang w:val="es-ES_tradnl"/>
        </w:rPr>
        <w:t>segunda</w:t>
      </w:r>
      <w:r w:rsidRPr="000C337F">
        <w:rPr>
          <w:rFonts w:ascii="Arial" w:hAnsi="Arial" w:cs="Arial"/>
          <w:spacing w:val="-3"/>
          <w:sz w:val="22"/>
          <w:szCs w:val="22"/>
          <w:lang w:val="es-ES_tradnl"/>
        </w:rPr>
        <w:t xml:space="preserve"> operación</w:t>
      </w:r>
      <w:r w:rsidR="002C498F" w:rsidRPr="000C337F">
        <w:rPr>
          <w:rFonts w:ascii="Arial" w:hAnsi="Arial" w:cs="Arial"/>
          <w:spacing w:val="-3"/>
          <w:sz w:val="22"/>
          <w:szCs w:val="22"/>
          <w:lang w:val="es-ES_tradnl"/>
        </w:rPr>
        <w:t xml:space="preserve"> y</w:t>
      </w:r>
      <w:r w:rsidRPr="000C337F">
        <w:rPr>
          <w:rFonts w:ascii="Arial" w:hAnsi="Arial" w:cs="Arial"/>
          <w:spacing w:val="-3"/>
          <w:sz w:val="22"/>
          <w:szCs w:val="22"/>
          <w:lang w:val="es-ES_tradnl"/>
        </w:rPr>
        <w:t xml:space="preserve"> su costo será incluido en el presupuesto de preparación de </w:t>
      </w:r>
      <w:r w:rsidR="002C498F" w:rsidRPr="000C337F">
        <w:rPr>
          <w:rFonts w:ascii="Arial" w:hAnsi="Arial" w:cs="Arial"/>
          <w:spacing w:val="-3"/>
          <w:sz w:val="22"/>
          <w:szCs w:val="22"/>
          <w:lang w:val="es-ES_tradnl"/>
        </w:rPr>
        <w:t>esta.</w:t>
      </w:r>
      <w:r w:rsidR="000C337F" w:rsidRPr="000C337F">
        <w:rPr>
          <w:rFonts w:ascii="Arial" w:hAnsi="Arial" w:cs="Arial"/>
          <w:sz w:val="22"/>
          <w:szCs w:val="22"/>
          <w:lang w:eastAsia="es-ES"/>
        </w:rPr>
        <w:t xml:space="preserve"> De acuerdo con los procedimientos del BID, el PCR, será preparado por el equipo de proyecto (Personal del BID y Consultores BID)</w:t>
      </w:r>
      <w:r w:rsidR="000C337F">
        <w:rPr>
          <w:rFonts w:ascii="Arial" w:hAnsi="Arial" w:cs="Arial"/>
          <w:sz w:val="22"/>
          <w:szCs w:val="22"/>
          <w:lang w:eastAsia="es-ES"/>
        </w:rPr>
        <w:t>.</w:t>
      </w:r>
    </w:p>
    <w:p w14:paraId="2341A6E7" w14:textId="77777777" w:rsidR="00A90C45" w:rsidRPr="004E2681" w:rsidRDefault="004E2681" w:rsidP="004E2681">
      <w:pPr>
        <w:pStyle w:val="Paragraph"/>
        <w:tabs>
          <w:tab w:val="num" w:pos="720"/>
        </w:tabs>
        <w:ind w:left="720" w:hanging="720"/>
        <w:rPr>
          <w:rFonts w:ascii="Arial" w:hAnsi="Arial" w:cs="Arial"/>
          <w:spacing w:val="-3"/>
          <w:sz w:val="22"/>
          <w:szCs w:val="22"/>
        </w:rPr>
      </w:pPr>
      <w:r w:rsidRPr="004E2681">
        <w:rPr>
          <w:rFonts w:ascii="Arial" w:hAnsi="Arial" w:cs="Arial"/>
          <w:sz w:val="22"/>
          <w:szCs w:val="22"/>
          <w:lang w:val="es-BO" w:eastAsia="es-ES"/>
        </w:rPr>
        <w:t>Las actividades de evaluación del programa se llevarán a cabo de acuerdo al siguiente plan</w:t>
      </w:r>
      <w:r>
        <w:rPr>
          <w:rFonts w:ascii="Arial" w:hAnsi="Arial" w:cs="Arial"/>
          <w:sz w:val="22"/>
          <w:szCs w:val="22"/>
          <w:lang w:val="es-BO" w:eastAsia="es-ES"/>
        </w:rPr>
        <w:t xml:space="preserve"> y presupuesto</w:t>
      </w:r>
      <w:r w:rsidR="00697222">
        <w:rPr>
          <w:rFonts w:ascii="Arial" w:hAnsi="Arial" w:cs="Arial"/>
          <w:sz w:val="22"/>
          <w:szCs w:val="22"/>
          <w:lang w:val="es-BO" w:eastAsia="es-ES"/>
        </w:rPr>
        <w:t xml:space="preserve">, contando la información provista por el </w:t>
      </w:r>
      <w:r w:rsidR="00FB77B1">
        <w:rPr>
          <w:rFonts w:ascii="Arial" w:hAnsi="Arial" w:cs="Arial"/>
          <w:sz w:val="22"/>
          <w:szCs w:val="22"/>
          <w:lang w:val="es-BO" w:eastAsia="es-ES"/>
        </w:rPr>
        <w:t>O</w:t>
      </w:r>
      <w:r w:rsidR="00697222">
        <w:rPr>
          <w:rFonts w:ascii="Arial" w:hAnsi="Arial" w:cs="Arial"/>
          <w:sz w:val="22"/>
          <w:szCs w:val="22"/>
          <w:lang w:val="es-BO" w:eastAsia="es-ES"/>
        </w:rPr>
        <w:t>rganismo Ejecutor</w:t>
      </w:r>
      <w:r w:rsidRPr="004E2681">
        <w:rPr>
          <w:rFonts w:ascii="Arial" w:hAnsi="Arial" w:cs="Arial"/>
          <w:sz w:val="22"/>
          <w:szCs w:val="22"/>
          <w:lang w:val="es-BO" w:eastAsia="es-ES"/>
        </w:rPr>
        <w:t>:</w:t>
      </w:r>
    </w:p>
    <w:p w14:paraId="2341A6E8" w14:textId="77777777" w:rsidR="00390762" w:rsidRDefault="00390762" w:rsidP="00A90C45">
      <w:pPr>
        <w:pStyle w:val="Paragraph"/>
        <w:numPr>
          <w:ilvl w:val="0"/>
          <w:numId w:val="0"/>
        </w:numPr>
        <w:spacing w:before="0" w:after="100"/>
        <w:ind w:left="360"/>
        <w:jc w:val="center"/>
        <w:rPr>
          <w:rFonts w:ascii="Arial" w:hAnsi="Arial" w:cs="Arial"/>
          <w:b/>
          <w:bCs/>
          <w:color w:val="000000"/>
          <w:sz w:val="20"/>
        </w:rPr>
      </w:pPr>
    </w:p>
    <w:p w14:paraId="2341A6E9" w14:textId="77777777" w:rsidR="00A90C45" w:rsidRPr="00AF3ED1" w:rsidRDefault="00A90C45" w:rsidP="00A90C45">
      <w:pPr>
        <w:pStyle w:val="Paragraph"/>
        <w:numPr>
          <w:ilvl w:val="0"/>
          <w:numId w:val="0"/>
        </w:numPr>
        <w:spacing w:before="0" w:after="100"/>
        <w:ind w:left="360"/>
        <w:jc w:val="center"/>
        <w:rPr>
          <w:rFonts w:ascii="Arial" w:hAnsi="Arial" w:cs="Arial"/>
          <w:spacing w:val="-3"/>
          <w:szCs w:val="24"/>
        </w:rPr>
      </w:pPr>
      <w:r w:rsidRPr="00AF3ED1">
        <w:rPr>
          <w:rFonts w:ascii="Arial" w:hAnsi="Arial" w:cs="Arial"/>
          <w:b/>
          <w:bCs/>
          <w:color w:val="000000"/>
          <w:sz w:val="20"/>
        </w:rPr>
        <w:t>Plan de Trabajo de Evaluación</w:t>
      </w:r>
    </w:p>
    <w:tbl>
      <w:tblPr>
        <w:tblW w:w="5244" w:type="pct"/>
        <w:tblInd w:w="-432" w:type="dxa"/>
        <w:tblLayout w:type="fixed"/>
        <w:tblLook w:val="04A0" w:firstRow="1" w:lastRow="0" w:firstColumn="1" w:lastColumn="0" w:noHBand="0" w:noVBand="1"/>
      </w:tblPr>
      <w:tblGrid>
        <w:gridCol w:w="2811"/>
        <w:gridCol w:w="776"/>
        <w:gridCol w:w="794"/>
        <w:gridCol w:w="876"/>
        <w:gridCol w:w="791"/>
        <w:gridCol w:w="1578"/>
        <w:gridCol w:w="1420"/>
      </w:tblGrid>
      <w:tr w:rsidR="00A90C45" w:rsidRPr="004E2681" w14:paraId="2341A6F1" w14:textId="77777777" w:rsidTr="00142949">
        <w:trPr>
          <w:trHeight w:val="250"/>
        </w:trPr>
        <w:tc>
          <w:tcPr>
            <w:tcW w:w="1554" w:type="pc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2341A6EA" w14:textId="77777777" w:rsidR="00A90C45" w:rsidRPr="001C59A0" w:rsidRDefault="00A90C45" w:rsidP="003B20EA">
            <w:pPr>
              <w:spacing w:before="120" w:after="120"/>
              <w:jc w:val="center"/>
              <w:rPr>
                <w:rFonts w:ascii="Arial" w:hAnsi="Arial" w:cs="Arial"/>
                <w:b/>
                <w:bCs/>
                <w:color w:val="000000"/>
                <w:sz w:val="18"/>
                <w:lang w:val="es-ES"/>
              </w:rPr>
            </w:pPr>
            <w:r w:rsidRPr="001C59A0">
              <w:rPr>
                <w:rFonts w:ascii="Arial" w:hAnsi="Arial" w:cs="Arial"/>
                <w:b/>
                <w:bCs/>
                <w:color w:val="000000"/>
                <w:sz w:val="18"/>
                <w:lang w:val="es-ES"/>
              </w:rPr>
              <w:t>Actividad</w:t>
            </w:r>
          </w:p>
        </w:tc>
        <w:tc>
          <w:tcPr>
            <w:tcW w:w="429" w:type="pct"/>
            <w:tcBorders>
              <w:top w:val="single" w:sz="8" w:space="0" w:color="auto"/>
              <w:left w:val="nil"/>
              <w:right w:val="single" w:sz="8" w:space="0" w:color="000000"/>
            </w:tcBorders>
            <w:shd w:val="clear" w:color="000000" w:fill="D9D9D9"/>
            <w:noWrap/>
            <w:vAlign w:val="center"/>
            <w:hideMark/>
          </w:tcPr>
          <w:p w14:paraId="2341A6EB" w14:textId="77777777" w:rsidR="00A90C45" w:rsidRPr="001C59A0" w:rsidRDefault="00A90C45" w:rsidP="003B20EA">
            <w:pPr>
              <w:spacing w:before="120" w:after="120"/>
              <w:jc w:val="center"/>
              <w:rPr>
                <w:rFonts w:ascii="Arial" w:hAnsi="Arial" w:cs="Arial"/>
                <w:b/>
                <w:bCs/>
                <w:color w:val="000000"/>
                <w:sz w:val="18"/>
                <w:lang w:val="es-ES"/>
              </w:rPr>
            </w:pPr>
            <w:r w:rsidRPr="001C59A0">
              <w:rPr>
                <w:rFonts w:ascii="Arial" w:hAnsi="Arial" w:cs="Arial"/>
                <w:b/>
                <w:bCs/>
                <w:color w:val="000000"/>
                <w:sz w:val="18"/>
                <w:lang w:val="es-ES"/>
              </w:rPr>
              <w:t>2016</w:t>
            </w:r>
          </w:p>
        </w:tc>
        <w:tc>
          <w:tcPr>
            <w:tcW w:w="439" w:type="pct"/>
            <w:tcBorders>
              <w:top w:val="single" w:sz="8" w:space="0" w:color="auto"/>
              <w:left w:val="nil"/>
              <w:right w:val="single" w:sz="8" w:space="0" w:color="000000"/>
            </w:tcBorders>
            <w:shd w:val="clear" w:color="000000" w:fill="D9D9D9"/>
            <w:noWrap/>
            <w:vAlign w:val="center"/>
            <w:hideMark/>
          </w:tcPr>
          <w:p w14:paraId="2341A6EC" w14:textId="77777777" w:rsidR="00A90C45" w:rsidRPr="001C59A0" w:rsidRDefault="00A90C45" w:rsidP="003B20EA">
            <w:pPr>
              <w:spacing w:before="120" w:after="120"/>
              <w:jc w:val="center"/>
              <w:rPr>
                <w:rFonts w:ascii="Arial" w:hAnsi="Arial" w:cs="Arial"/>
                <w:b/>
                <w:bCs/>
                <w:color w:val="000000"/>
                <w:sz w:val="18"/>
                <w:lang w:val="es-ES"/>
              </w:rPr>
            </w:pPr>
            <w:r w:rsidRPr="001C59A0">
              <w:rPr>
                <w:rFonts w:ascii="Arial" w:hAnsi="Arial" w:cs="Arial"/>
                <w:b/>
                <w:bCs/>
                <w:color w:val="000000"/>
                <w:sz w:val="18"/>
                <w:lang w:val="es-ES"/>
              </w:rPr>
              <w:t>2017</w:t>
            </w:r>
          </w:p>
        </w:tc>
        <w:tc>
          <w:tcPr>
            <w:tcW w:w="484" w:type="pct"/>
            <w:tcBorders>
              <w:top w:val="single" w:sz="8" w:space="0" w:color="auto"/>
              <w:left w:val="nil"/>
              <w:right w:val="single" w:sz="8" w:space="0" w:color="000000"/>
            </w:tcBorders>
            <w:shd w:val="clear" w:color="000000" w:fill="D9D9D9"/>
            <w:noWrap/>
            <w:vAlign w:val="center"/>
            <w:hideMark/>
          </w:tcPr>
          <w:p w14:paraId="2341A6ED" w14:textId="77777777" w:rsidR="00A90C45" w:rsidRPr="001C59A0" w:rsidRDefault="00A90C45" w:rsidP="003B20EA">
            <w:pPr>
              <w:spacing w:before="120" w:after="120"/>
              <w:jc w:val="center"/>
              <w:rPr>
                <w:rFonts w:ascii="Arial" w:hAnsi="Arial" w:cs="Arial"/>
                <w:b/>
                <w:bCs/>
                <w:color w:val="000000"/>
                <w:sz w:val="18"/>
                <w:lang w:val="es-ES"/>
              </w:rPr>
            </w:pPr>
            <w:r w:rsidRPr="001C59A0">
              <w:rPr>
                <w:rFonts w:ascii="Arial" w:hAnsi="Arial" w:cs="Arial"/>
                <w:b/>
                <w:bCs/>
                <w:color w:val="000000"/>
                <w:sz w:val="18"/>
                <w:lang w:val="es-ES"/>
              </w:rPr>
              <w:t>2018</w:t>
            </w:r>
          </w:p>
        </w:tc>
        <w:tc>
          <w:tcPr>
            <w:tcW w:w="437" w:type="pct"/>
            <w:tcBorders>
              <w:top w:val="single" w:sz="8" w:space="0" w:color="auto"/>
              <w:left w:val="single" w:sz="8" w:space="0" w:color="auto"/>
              <w:right w:val="single" w:sz="4" w:space="0" w:color="auto"/>
            </w:tcBorders>
            <w:shd w:val="clear" w:color="000000" w:fill="D9D9D9"/>
            <w:vAlign w:val="center"/>
          </w:tcPr>
          <w:p w14:paraId="2341A6EE" w14:textId="77777777" w:rsidR="00A90C45" w:rsidRPr="001C59A0" w:rsidRDefault="00A90C45" w:rsidP="003B20EA">
            <w:pPr>
              <w:spacing w:before="120" w:after="120"/>
              <w:jc w:val="center"/>
              <w:rPr>
                <w:rFonts w:ascii="Arial" w:hAnsi="Arial" w:cs="Arial"/>
                <w:b/>
                <w:bCs/>
                <w:color w:val="000000"/>
                <w:sz w:val="18"/>
                <w:lang w:val="es-ES"/>
              </w:rPr>
            </w:pPr>
            <w:r w:rsidRPr="001C59A0">
              <w:rPr>
                <w:rFonts w:ascii="Arial" w:hAnsi="Arial" w:cs="Arial"/>
                <w:b/>
                <w:bCs/>
                <w:color w:val="000000"/>
                <w:sz w:val="18"/>
                <w:lang w:val="es-ES"/>
              </w:rPr>
              <w:t>20</w:t>
            </w:r>
            <w:r>
              <w:rPr>
                <w:rFonts w:ascii="Arial" w:hAnsi="Arial" w:cs="Arial"/>
                <w:b/>
                <w:bCs/>
                <w:color w:val="000000"/>
                <w:sz w:val="18"/>
                <w:lang w:val="es-ES"/>
              </w:rPr>
              <w:t>19</w:t>
            </w:r>
          </w:p>
        </w:tc>
        <w:tc>
          <w:tcPr>
            <w:tcW w:w="872" w:type="pct"/>
            <w:tcBorders>
              <w:top w:val="single" w:sz="4" w:space="0" w:color="auto"/>
              <w:left w:val="single" w:sz="4" w:space="0" w:color="auto"/>
              <w:bottom w:val="single" w:sz="4" w:space="0" w:color="auto"/>
              <w:right w:val="single" w:sz="4" w:space="0" w:color="auto"/>
            </w:tcBorders>
            <w:shd w:val="clear" w:color="000000" w:fill="D9D9D9"/>
            <w:noWrap/>
            <w:vAlign w:val="center"/>
          </w:tcPr>
          <w:p w14:paraId="2341A6EF" w14:textId="77777777" w:rsidR="00A90C45" w:rsidRPr="001C59A0" w:rsidRDefault="00A90C45" w:rsidP="003B20EA">
            <w:pPr>
              <w:spacing w:before="120" w:after="120"/>
              <w:jc w:val="center"/>
              <w:rPr>
                <w:rFonts w:ascii="Arial" w:hAnsi="Arial" w:cs="Arial"/>
                <w:b/>
                <w:bCs/>
                <w:color w:val="000000"/>
                <w:sz w:val="18"/>
                <w:lang w:val="es-ES"/>
              </w:rPr>
            </w:pPr>
            <w:r w:rsidRPr="001C59A0">
              <w:rPr>
                <w:rFonts w:ascii="Arial" w:hAnsi="Arial" w:cs="Arial"/>
                <w:b/>
                <w:bCs/>
                <w:color w:val="000000"/>
                <w:sz w:val="18"/>
                <w:lang w:val="es-ES"/>
              </w:rPr>
              <w:t>Costo</w:t>
            </w:r>
          </w:p>
        </w:tc>
        <w:tc>
          <w:tcPr>
            <w:tcW w:w="785" w:type="pct"/>
            <w:tcBorders>
              <w:top w:val="single" w:sz="4" w:space="0" w:color="auto"/>
              <w:left w:val="single" w:sz="4" w:space="0" w:color="auto"/>
              <w:bottom w:val="single" w:sz="4" w:space="0" w:color="auto"/>
              <w:right w:val="single" w:sz="4" w:space="0" w:color="auto"/>
            </w:tcBorders>
            <w:shd w:val="clear" w:color="000000" w:fill="D9D9D9"/>
          </w:tcPr>
          <w:p w14:paraId="2341A6F0" w14:textId="77777777" w:rsidR="00A90C45" w:rsidRPr="001C59A0" w:rsidRDefault="00A90C45" w:rsidP="003B20EA">
            <w:pPr>
              <w:spacing w:before="120" w:after="120"/>
              <w:jc w:val="center"/>
              <w:rPr>
                <w:rFonts w:ascii="Arial" w:hAnsi="Arial" w:cs="Arial"/>
                <w:b/>
                <w:bCs/>
                <w:color w:val="000000"/>
                <w:sz w:val="18"/>
                <w:lang w:val="es-ES"/>
              </w:rPr>
            </w:pPr>
            <w:r w:rsidRPr="001C59A0">
              <w:rPr>
                <w:rFonts w:ascii="Arial" w:hAnsi="Arial" w:cs="Arial"/>
                <w:b/>
                <w:bCs/>
                <w:color w:val="000000"/>
                <w:sz w:val="18"/>
                <w:lang w:val="es-ES"/>
              </w:rPr>
              <w:t>Responsable</w:t>
            </w:r>
          </w:p>
        </w:tc>
      </w:tr>
      <w:tr w:rsidR="00A90C45" w:rsidRPr="001C59A0" w14:paraId="2341A6F9" w14:textId="77777777" w:rsidTr="00142949">
        <w:trPr>
          <w:trHeight w:val="115"/>
        </w:trPr>
        <w:tc>
          <w:tcPr>
            <w:tcW w:w="1554" w:type="pct"/>
            <w:tcBorders>
              <w:top w:val="nil"/>
              <w:left w:val="single" w:sz="8" w:space="0" w:color="auto"/>
              <w:bottom w:val="single" w:sz="8" w:space="0" w:color="auto"/>
              <w:right w:val="single" w:sz="8" w:space="0" w:color="auto"/>
            </w:tcBorders>
            <w:shd w:val="clear" w:color="auto" w:fill="auto"/>
            <w:noWrap/>
            <w:vAlign w:val="center"/>
            <w:hideMark/>
          </w:tcPr>
          <w:p w14:paraId="2341A6F2" w14:textId="77777777" w:rsidR="00A90C45" w:rsidRPr="001C59A0" w:rsidRDefault="00A90C45" w:rsidP="003B20EA">
            <w:pPr>
              <w:rPr>
                <w:rFonts w:ascii="Arial" w:hAnsi="Arial" w:cs="Arial"/>
                <w:bCs/>
                <w:color w:val="000000"/>
                <w:sz w:val="18"/>
                <w:lang w:val="es-MX"/>
              </w:rPr>
            </w:pPr>
            <w:r w:rsidRPr="001C59A0">
              <w:rPr>
                <w:rFonts w:ascii="Arial" w:hAnsi="Arial" w:cs="Arial"/>
                <w:bCs/>
                <w:color w:val="000000"/>
                <w:sz w:val="18"/>
                <w:lang w:val="es-MX"/>
              </w:rPr>
              <w:t>Evaluación Económica</w:t>
            </w:r>
          </w:p>
        </w:tc>
        <w:tc>
          <w:tcPr>
            <w:tcW w:w="429" w:type="pct"/>
            <w:tcBorders>
              <w:top w:val="single" w:sz="8" w:space="0" w:color="auto"/>
              <w:left w:val="nil"/>
              <w:bottom w:val="single" w:sz="8" w:space="0" w:color="auto"/>
              <w:right w:val="single" w:sz="8" w:space="0" w:color="auto"/>
            </w:tcBorders>
            <w:shd w:val="clear" w:color="auto" w:fill="auto"/>
            <w:noWrap/>
            <w:vAlign w:val="center"/>
          </w:tcPr>
          <w:p w14:paraId="2341A6F3" w14:textId="77777777" w:rsidR="00A90C45" w:rsidRPr="001C59A0" w:rsidRDefault="00A90C45" w:rsidP="003B20EA">
            <w:pPr>
              <w:rPr>
                <w:rFonts w:ascii="Arial" w:hAnsi="Arial" w:cs="Arial"/>
                <w:bCs/>
                <w:color w:val="000000"/>
                <w:sz w:val="18"/>
                <w:lang w:val="es-MX"/>
              </w:rPr>
            </w:pPr>
            <w:r w:rsidRPr="001C59A0">
              <w:rPr>
                <w:rFonts w:ascii="Arial" w:hAnsi="Arial" w:cs="Arial"/>
                <w:bCs/>
                <w:color w:val="000000"/>
                <w:sz w:val="18"/>
                <w:lang w:val="es-MX"/>
              </w:rPr>
              <w:t>Ex</w:t>
            </w:r>
            <w:r>
              <w:rPr>
                <w:rFonts w:ascii="Arial" w:hAnsi="Arial" w:cs="Arial"/>
                <w:bCs/>
                <w:color w:val="000000"/>
                <w:sz w:val="18"/>
                <w:lang w:val="es-MX"/>
              </w:rPr>
              <w:t xml:space="preserve"> </w:t>
            </w:r>
            <w:r w:rsidRPr="001C59A0">
              <w:rPr>
                <w:rFonts w:ascii="Arial" w:hAnsi="Arial" w:cs="Arial"/>
                <w:bCs/>
                <w:color w:val="000000"/>
                <w:sz w:val="18"/>
                <w:lang w:val="es-MX"/>
              </w:rPr>
              <w:t>ante</w:t>
            </w:r>
          </w:p>
        </w:tc>
        <w:tc>
          <w:tcPr>
            <w:tcW w:w="439" w:type="pct"/>
            <w:tcBorders>
              <w:top w:val="single" w:sz="8" w:space="0" w:color="auto"/>
              <w:left w:val="nil"/>
              <w:bottom w:val="single" w:sz="8" w:space="0" w:color="auto"/>
              <w:right w:val="single" w:sz="8" w:space="0" w:color="auto"/>
            </w:tcBorders>
            <w:shd w:val="clear" w:color="auto" w:fill="auto"/>
            <w:noWrap/>
            <w:vAlign w:val="center"/>
          </w:tcPr>
          <w:p w14:paraId="2341A6F4" w14:textId="77777777" w:rsidR="00A90C45" w:rsidRPr="001C59A0" w:rsidRDefault="00A90C45" w:rsidP="003B20EA">
            <w:pPr>
              <w:rPr>
                <w:rFonts w:ascii="Arial" w:hAnsi="Arial" w:cs="Arial"/>
                <w:bCs/>
                <w:color w:val="000000"/>
                <w:sz w:val="18"/>
                <w:lang w:val="es-MX"/>
              </w:rPr>
            </w:pPr>
          </w:p>
        </w:tc>
        <w:tc>
          <w:tcPr>
            <w:tcW w:w="484" w:type="pct"/>
            <w:tcBorders>
              <w:top w:val="single" w:sz="8" w:space="0" w:color="auto"/>
              <w:left w:val="nil"/>
              <w:bottom w:val="single" w:sz="8" w:space="0" w:color="auto"/>
              <w:right w:val="single" w:sz="8" w:space="0" w:color="auto"/>
            </w:tcBorders>
            <w:shd w:val="clear" w:color="auto" w:fill="auto"/>
            <w:noWrap/>
            <w:vAlign w:val="center"/>
          </w:tcPr>
          <w:p w14:paraId="2341A6F5" w14:textId="77777777" w:rsidR="00A90C45" w:rsidRPr="001C59A0" w:rsidRDefault="00A90C45" w:rsidP="003B20EA">
            <w:pPr>
              <w:rPr>
                <w:rFonts w:ascii="Arial" w:hAnsi="Arial" w:cs="Arial"/>
                <w:bCs/>
                <w:color w:val="000000"/>
                <w:sz w:val="18"/>
                <w:lang w:val="es-MX"/>
              </w:rPr>
            </w:pPr>
          </w:p>
        </w:tc>
        <w:tc>
          <w:tcPr>
            <w:tcW w:w="437" w:type="pct"/>
            <w:tcBorders>
              <w:top w:val="single" w:sz="8" w:space="0" w:color="auto"/>
              <w:left w:val="nil"/>
              <w:bottom w:val="single" w:sz="8" w:space="0" w:color="auto"/>
              <w:right w:val="single" w:sz="8" w:space="0" w:color="auto"/>
            </w:tcBorders>
            <w:shd w:val="clear" w:color="auto" w:fill="auto"/>
            <w:vAlign w:val="center"/>
          </w:tcPr>
          <w:p w14:paraId="2341A6F6" w14:textId="77777777" w:rsidR="00A90C45" w:rsidRPr="001C59A0" w:rsidRDefault="00A90C45" w:rsidP="003B20EA">
            <w:pPr>
              <w:ind w:right="-60"/>
              <w:rPr>
                <w:rFonts w:ascii="Arial" w:hAnsi="Arial" w:cs="Arial"/>
                <w:bCs/>
                <w:color w:val="000000"/>
                <w:sz w:val="18"/>
                <w:lang w:val="es-MX"/>
              </w:rPr>
            </w:pPr>
          </w:p>
        </w:tc>
        <w:tc>
          <w:tcPr>
            <w:tcW w:w="872" w:type="pct"/>
            <w:tcBorders>
              <w:top w:val="nil"/>
              <w:left w:val="single" w:sz="8" w:space="0" w:color="auto"/>
              <w:bottom w:val="single" w:sz="8" w:space="0" w:color="auto"/>
              <w:right w:val="single" w:sz="8" w:space="0" w:color="auto"/>
            </w:tcBorders>
            <w:shd w:val="clear" w:color="auto" w:fill="auto"/>
            <w:noWrap/>
            <w:vAlign w:val="center"/>
          </w:tcPr>
          <w:p w14:paraId="2341A6F7" w14:textId="77777777" w:rsidR="00A90C45" w:rsidRPr="001C59A0" w:rsidRDefault="002C498F" w:rsidP="003B20EA">
            <w:pPr>
              <w:jc w:val="center"/>
              <w:rPr>
                <w:rFonts w:ascii="Arial" w:hAnsi="Arial" w:cs="Arial"/>
                <w:bCs/>
                <w:color w:val="000000"/>
                <w:sz w:val="18"/>
                <w:lang w:val="es-MX"/>
              </w:rPr>
            </w:pPr>
            <w:r>
              <w:rPr>
                <w:rFonts w:ascii="Arial" w:hAnsi="Arial" w:cs="Arial"/>
                <w:bCs/>
                <w:color w:val="000000"/>
                <w:sz w:val="18"/>
                <w:lang w:val="es-MX"/>
              </w:rPr>
              <w:t>US$ 15.</w:t>
            </w:r>
            <w:r w:rsidR="00A90C45" w:rsidRPr="001C59A0">
              <w:rPr>
                <w:rFonts w:ascii="Arial" w:hAnsi="Arial" w:cs="Arial"/>
                <w:bCs/>
                <w:color w:val="000000"/>
                <w:sz w:val="18"/>
                <w:lang w:val="es-MX"/>
              </w:rPr>
              <w:t>000</w:t>
            </w:r>
          </w:p>
        </w:tc>
        <w:tc>
          <w:tcPr>
            <w:tcW w:w="785" w:type="pct"/>
            <w:tcBorders>
              <w:top w:val="nil"/>
              <w:left w:val="single" w:sz="8" w:space="0" w:color="auto"/>
              <w:bottom w:val="single" w:sz="8" w:space="0" w:color="auto"/>
              <w:right w:val="single" w:sz="8" w:space="0" w:color="auto"/>
            </w:tcBorders>
          </w:tcPr>
          <w:p w14:paraId="2341A6F8" w14:textId="77777777" w:rsidR="00A90C45" w:rsidRPr="001C59A0" w:rsidRDefault="00A90C45" w:rsidP="003B20EA">
            <w:pPr>
              <w:jc w:val="center"/>
              <w:rPr>
                <w:rFonts w:ascii="Arial" w:hAnsi="Arial" w:cs="Arial"/>
                <w:bCs/>
                <w:color w:val="000000"/>
                <w:sz w:val="18"/>
                <w:lang w:val="es-MX"/>
              </w:rPr>
            </w:pPr>
            <w:r>
              <w:rPr>
                <w:rFonts w:ascii="Arial" w:hAnsi="Arial" w:cs="Arial"/>
                <w:bCs/>
                <w:color w:val="000000"/>
                <w:sz w:val="18"/>
                <w:lang w:val="es-MX"/>
              </w:rPr>
              <w:t>BID</w:t>
            </w:r>
          </w:p>
        </w:tc>
      </w:tr>
      <w:tr w:rsidR="000C337F" w:rsidRPr="002C498F" w14:paraId="2341A701" w14:textId="77777777" w:rsidTr="00142949">
        <w:trPr>
          <w:trHeight w:val="394"/>
        </w:trPr>
        <w:tc>
          <w:tcPr>
            <w:tcW w:w="1554" w:type="pct"/>
            <w:tcBorders>
              <w:top w:val="nil"/>
              <w:left w:val="single" w:sz="8" w:space="0" w:color="auto"/>
              <w:bottom w:val="single" w:sz="8" w:space="0" w:color="auto"/>
              <w:right w:val="single" w:sz="8" w:space="0" w:color="auto"/>
            </w:tcBorders>
            <w:shd w:val="clear" w:color="auto" w:fill="auto"/>
            <w:noWrap/>
            <w:vAlign w:val="center"/>
          </w:tcPr>
          <w:p w14:paraId="2341A6FA" w14:textId="77777777" w:rsidR="000C337F" w:rsidRPr="001C59A0" w:rsidRDefault="000C337F" w:rsidP="003B20EA">
            <w:pPr>
              <w:rPr>
                <w:rFonts w:ascii="Arial" w:hAnsi="Arial" w:cs="Arial"/>
                <w:bCs/>
                <w:color w:val="000000"/>
                <w:sz w:val="18"/>
                <w:lang w:val="es-MX"/>
              </w:rPr>
            </w:pPr>
            <w:r w:rsidRPr="000C337F">
              <w:rPr>
                <w:rFonts w:ascii="Arial" w:hAnsi="Arial" w:cs="Arial"/>
                <w:bCs/>
                <w:color w:val="000000"/>
                <w:sz w:val="18"/>
                <w:lang w:val="es-MX"/>
              </w:rPr>
              <w:t xml:space="preserve">Evaluación </w:t>
            </w:r>
            <w:r>
              <w:rPr>
                <w:rFonts w:ascii="Arial" w:hAnsi="Arial" w:cs="Arial"/>
                <w:bCs/>
                <w:color w:val="000000"/>
                <w:sz w:val="18"/>
                <w:lang w:val="es-MX"/>
              </w:rPr>
              <w:t xml:space="preserve">Antes-Después y </w:t>
            </w:r>
            <w:r w:rsidRPr="000C337F">
              <w:rPr>
                <w:rFonts w:ascii="Arial" w:hAnsi="Arial" w:cs="Arial"/>
                <w:bCs/>
                <w:color w:val="000000"/>
                <w:sz w:val="18"/>
                <w:lang w:val="es-MX"/>
              </w:rPr>
              <w:t>Económica</w:t>
            </w:r>
          </w:p>
        </w:tc>
        <w:tc>
          <w:tcPr>
            <w:tcW w:w="429" w:type="pct"/>
            <w:tcBorders>
              <w:top w:val="single" w:sz="8" w:space="0" w:color="auto"/>
              <w:left w:val="nil"/>
              <w:bottom w:val="single" w:sz="8" w:space="0" w:color="auto"/>
              <w:right w:val="single" w:sz="8" w:space="0" w:color="auto"/>
            </w:tcBorders>
            <w:shd w:val="clear" w:color="auto" w:fill="auto"/>
            <w:noWrap/>
            <w:vAlign w:val="center"/>
          </w:tcPr>
          <w:p w14:paraId="2341A6FB" w14:textId="77777777" w:rsidR="000C337F" w:rsidRPr="001C59A0" w:rsidRDefault="000C337F" w:rsidP="003B20EA">
            <w:pPr>
              <w:jc w:val="center"/>
              <w:rPr>
                <w:rFonts w:ascii="Arial" w:hAnsi="Arial" w:cs="Arial"/>
                <w:bCs/>
                <w:color w:val="000000"/>
                <w:sz w:val="18"/>
                <w:lang w:val="es-MX"/>
              </w:rPr>
            </w:pPr>
          </w:p>
        </w:tc>
        <w:tc>
          <w:tcPr>
            <w:tcW w:w="439" w:type="pct"/>
            <w:tcBorders>
              <w:top w:val="single" w:sz="8" w:space="0" w:color="auto"/>
              <w:left w:val="nil"/>
              <w:bottom w:val="single" w:sz="8" w:space="0" w:color="auto"/>
              <w:right w:val="single" w:sz="8" w:space="0" w:color="auto"/>
            </w:tcBorders>
            <w:shd w:val="clear" w:color="auto" w:fill="auto"/>
            <w:noWrap/>
            <w:vAlign w:val="center"/>
          </w:tcPr>
          <w:p w14:paraId="2341A6FC" w14:textId="77777777" w:rsidR="000C337F" w:rsidRPr="001C59A0" w:rsidRDefault="000C337F" w:rsidP="003B20EA">
            <w:pPr>
              <w:jc w:val="center"/>
              <w:rPr>
                <w:rFonts w:ascii="Arial" w:hAnsi="Arial" w:cs="Arial"/>
                <w:bCs/>
                <w:color w:val="000000"/>
                <w:sz w:val="18"/>
                <w:lang w:val="es-MX"/>
              </w:rPr>
            </w:pPr>
          </w:p>
        </w:tc>
        <w:tc>
          <w:tcPr>
            <w:tcW w:w="484" w:type="pct"/>
            <w:tcBorders>
              <w:top w:val="single" w:sz="8" w:space="0" w:color="auto"/>
              <w:left w:val="nil"/>
              <w:bottom w:val="single" w:sz="8" w:space="0" w:color="auto"/>
              <w:right w:val="single" w:sz="8" w:space="0" w:color="auto"/>
            </w:tcBorders>
            <w:shd w:val="clear" w:color="auto" w:fill="auto"/>
            <w:noWrap/>
            <w:vAlign w:val="center"/>
          </w:tcPr>
          <w:p w14:paraId="2341A6FD" w14:textId="77777777" w:rsidR="000C337F" w:rsidRPr="001C59A0" w:rsidRDefault="000C337F" w:rsidP="003B20EA">
            <w:pPr>
              <w:jc w:val="center"/>
              <w:rPr>
                <w:rFonts w:ascii="Arial" w:hAnsi="Arial" w:cs="Arial"/>
                <w:bCs/>
                <w:color w:val="000000"/>
                <w:sz w:val="18"/>
                <w:lang w:val="es-MX"/>
              </w:rPr>
            </w:pPr>
          </w:p>
        </w:tc>
        <w:tc>
          <w:tcPr>
            <w:tcW w:w="437" w:type="pct"/>
            <w:tcBorders>
              <w:top w:val="single" w:sz="8" w:space="0" w:color="auto"/>
              <w:left w:val="nil"/>
              <w:bottom w:val="single" w:sz="8" w:space="0" w:color="auto"/>
              <w:right w:val="single" w:sz="8" w:space="0" w:color="auto"/>
            </w:tcBorders>
            <w:shd w:val="clear" w:color="auto" w:fill="auto"/>
            <w:vAlign w:val="center"/>
          </w:tcPr>
          <w:p w14:paraId="2341A6FE" w14:textId="77777777" w:rsidR="000C337F" w:rsidRPr="001C59A0" w:rsidRDefault="000C337F" w:rsidP="003B20EA">
            <w:pPr>
              <w:jc w:val="center"/>
              <w:rPr>
                <w:rFonts w:ascii="Arial" w:hAnsi="Arial" w:cs="Arial"/>
                <w:bCs/>
                <w:color w:val="000000"/>
                <w:sz w:val="18"/>
                <w:lang w:val="es-MX"/>
              </w:rPr>
            </w:pPr>
            <w:r w:rsidRPr="001C59A0">
              <w:rPr>
                <w:rFonts w:ascii="Arial" w:hAnsi="Arial" w:cs="Arial"/>
                <w:bCs/>
                <w:color w:val="000000"/>
                <w:sz w:val="18"/>
                <w:lang w:val="es-MX"/>
              </w:rPr>
              <w:t>Ex</w:t>
            </w:r>
            <w:r>
              <w:rPr>
                <w:rFonts w:ascii="Arial" w:hAnsi="Arial" w:cs="Arial"/>
                <w:bCs/>
                <w:color w:val="000000"/>
                <w:sz w:val="18"/>
                <w:lang w:val="es-MX"/>
              </w:rPr>
              <w:t xml:space="preserve"> </w:t>
            </w:r>
            <w:r w:rsidRPr="001C59A0">
              <w:rPr>
                <w:rFonts w:ascii="Arial" w:hAnsi="Arial" w:cs="Arial"/>
                <w:bCs/>
                <w:color w:val="000000"/>
                <w:sz w:val="18"/>
                <w:lang w:val="es-MX"/>
              </w:rPr>
              <w:t>post</w:t>
            </w:r>
          </w:p>
        </w:tc>
        <w:tc>
          <w:tcPr>
            <w:tcW w:w="872" w:type="pct"/>
            <w:tcBorders>
              <w:top w:val="nil"/>
              <w:left w:val="single" w:sz="8" w:space="0" w:color="auto"/>
              <w:bottom w:val="single" w:sz="8" w:space="0" w:color="auto"/>
              <w:right w:val="single" w:sz="8" w:space="0" w:color="auto"/>
            </w:tcBorders>
            <w:shd w:val="clear" w:color="auto" w:fill="FFFFFF" w:themeFill="background1"/>
            <w:noWrap/>
            <w:vAlign w:val="center"/>
          </w:tcPr>
          <w:p w14:paraId="2341A6FF" w14:textId="77777777" w:rsidR="000C337F" w:rsidRPr="001C59A0" w:rsidRDefault="000C337F" w:rsidP="000C337F">
            <w:pPr>
              <w:jc w:val="center"/>
              <w:rPr>
                <w:rFonts w:ascii="Arial" w:hAnsi="Arial" w:cs="Arial"/>
                <w:bCs/>
                <w:color w:val="000000"/>
                <w:sz w:val="18"/>
                <w:lang w:val="es-MX"/>
              </w:rPr>
            </w:pPr>
            <w:r w:rsidRPr="000C337F">
              <w:rPr>
                <w:rFonts w:ascii="Arial" w:hAnsi="Arial" w:cs="Arial"/>
                <w:bCs/>
                <w:color w:val="000000"/>
                <w:sz w:val="18"/>
                <w:lang w:val="es-MX"/>
              </w:rPr>
              <w:t xml:space="preserve">US$ </w:t>
            </w:r>
            <w:r>
              <w:rPr>
                <w:rFonts w:ascii="Arial" w:hAnsi="Arial" w:cs="Arial"/>
                <w:bCs/>
                <w:color w:val="000000"/>
                <w:sz w:val="18"/>
                <w:lang w:val="es-MX"/>
              </w:rPr>
              <w:t>20</w:t>
            </w:r>
            <w:r w:rsidRPr="000C337F">
              <w:rPr>
                <w:rFonts w:ascii="Arial" w:hAnsi="Arial" w:cs="Arial"/>
                <w:bCs/>
                <w:color w:val="000000"/>
                <w:sz w:val="18"/>
                <w:lang w:val="es-MX"/>
              </w:rPr>
              <w:t>.000</w:t>
            </w:r>
          </w:p>
        </w:tc>
        <w:tc>
          <w:tcPr>
            <w:tcW w:w="785" w:type="pct"/>
            <w:tcBorders>
              <w:top w:val="nil"/>
              <w:left w:val="single" w:sz="8" w:space="0" w:color="auto"/>
              <w:bottom w:val="single" w:sz="8" w:space="0" w:color="auto"/>
              <w:right w:val="single" w:sz="8" w:space="0" w:color="auto"/>
            </w:tcBorders>
            <w:shd w:val="clear" w:color="auto" w:fill="FFFFFF" w:themeFill="background1"/>
          </w:tcPr>
          <w:p w14:paraId="2341A700" w14:textId="77777777" w:rsidR="000C337F" w:rsidRDefault="000C337F" w:rsidP="003B20EA">
            <w:pPr>
              <w:jc w:val="center"/>
              <w:rPr>
                <w:rFonts w:ascii="Arial" w:hAnsi="Arial" w:cs="Arial"/>
                <w:bCs/>
                <w:color w:val="000000"/>
                <w:sz w:val="18"/>
                <w:lang w:val="es-MX"/>
              </w:rPr>
            </w:pPr>
            <w:r>
              <w:rPr>
                <w:rFonts w:ascii="Arial" w:hAnsi="Arial" w:cs="Arial"/>
                <w:bCs/>
                <w:color w:val="000000"/>
                <w:sz w:val="18"/>
                <w:lang w:val="es-MX"/>
              </w:rPr>
              <w:t>BID</w:t>
            </w:r>
          </w:p>
        </w:tc>
      </w:tr>
      <w:tr w:rsidR="00A90C45" w:rsidRPr="002C498F" w14:paraId="2341A70A" w14:textId="77777777" w:rsidTr="00142949">
        <w:trPr>
          <w:trHeight w:val="394"/>
        </w:trPr>
        <w:tc>
          <w:tcPr>
            <w:tcW w:w="1554" w:type="pct"/>
            <w:tcBorders>
              <w:top w:val="nil"/>
              <w:left w:val="single" w:sz="8" w:space="0" w:color="auto"/>
              <w:bottom w:val="single" w:sz="8" w:space="0" w:color="auto"/>
              <w:right w:val="single" w:sz="8" w:space="0" w:color="auto"/>
            </w:tcBorders>
            <w:shd w:val="clear" w:color="auto" w:fill="auto"/>
            <w:noWrap/>
            <w:vAlign w:val="center"/>
            <w:hideMark/>
          </w:tcPr>
          <w:p w14:paraId="2341A702" w14:textId="77777777" w:rsidR="00A90C45" w:rsidRPr="001C59A0" w:rsidRDefault="00A90C45" w:rsidP="003B20EA">
            <w:pPr>
              <w:rPr>
                <w:rFonts w:ascii="Arial" w:hAnsi="Arial" w:cs="Arial"/>
                <w:bCs/>
                <w:color w:val="000000"/>
                <w:sz w:val="18"/>
                <w:lang w:val="es-MX"/>
              </w:rPr>
            </w:pPr>
            <w:r w:rsidRPr="001C59A0">
              <w:rPr>
                <w:rFonts w:ascii="Arial" w:hAnsi="Arial" w:cs="Arial"/>
                <w:bCs/>
                <w:color w:val="000000"/>
                <w:sz w:val="18"/>
                <w:lang w:val="es-MX"/>
              </w:rPr>
              <w:t xml:space="preserve">Informe de Terminación de Proyecto (PCR) </w:t>
            </w:r>
          </w:p>
        </w:tc>
        <w:tc>
          <w:tcPr>
            <w:tcW w:w="429" w:type="pct"/>
            <w:tcBorders>
              <w:top w:val="single" w:sz="8" w:space="0" w:color="auto"/>
              <w:left w:val="nil"/>
              <w:bottom w:val="single" w:sz="8" w:space="0" w:color="auto"/>
              <w:right w:val="single" w:sz="8" w:space="0" w:color="auto"/>
            </w:tcBorders>
            <w:shd w:val="clear" w:color="auto" w:fill="auto"/>
            <w:noWrap/>
            <w:vAlign w:val="center"/>
            <w:hideMark/>
          </w:tcPr>
          <w:p w14:paraId="2341A703" w14:textId="77777777" w:rsidR="00A90C45" w:rsidRPr="001C59A0" w:rsidRDefault="00A90C45" w:rsidP="003B20EA">
            <w:pPr>
              <w:jc w:val="center"/>
              <w:rPr>
                <w:rFonts w:ascii="Arial" w:hAnsi="Arial" w:cs="Arial"/>
                <w:bCs/>
                <w:color w:val="000000"/>
                <w:sz w:val="18"/>
                <w:lang w:val="es-MX"/>
              </w:rPr>
            </w:pPr>
          </w:p>
          <w:p w14:paraId="2341A704" w14:textId="77777777" w:rsidR="00A90C45" w:rsidRPr="001C59A0" w:rsidRDefault="00A90C45" w:rsidP="003B20EA">
            <w:pPr>
              <w:jc w:val="center"/>
              <w:rPr>
                <w:rFonts w:ascii="Arial" w:hAnsi="Arial" w:cs="Arial"/>
                <w:bCs/>
                <w:color w:val="000000"/>
                <w:sz w:val="18"/>
                <w:lang w:val="es-MX"/>
              </w:rPr>
            </w:pPr>
          </w:p>
        </w:tc>
        <w:tc>
          <w:tcPr>
            <w:tcW w:w="439" w:type="pct"/>
            <w:tcBorders>
              <w:top w:val="single" w:sz="8" w:space="0" w:color="auto"/>
              <w:left w:val="nil"/>
              <w:bottom w:val="single" w:sz="8" w:space="0" w:color="auto"/>
              <w:right w:val="single" w:sz="8" w:space="0" w:color="auto"/>
            </w:tcBorders>
            <w:shd w:val="clear" w:color="auto" w:fill="auto"/>
            <w:noWrap/>
            <w:vAlign w:val="center"/>
          </w:tcPr>
          <w:p w14:paraId="2341A705" w14:textId="77777777" w:rsidR="00A90C45" w:rsidRPr="001C59A0" w:rsidRDefault="00A90C45" w:rsidP="003B20EA">
            <w:pPr>
              <w:jc w:val="center"/>
              <w:rPr>
                <w:rFonts w:ascii="Arial" w:hAnsi="Arial" w:cs="Arial"/>
                <w:bCs/>
                <w:color w:val="000000"/>
                <w:sz w:val="18"/>
                <w:lang w:val="es-MX"/>
              </w:rPr>
            </w:pPr>
          </w:p>
        </w:tc>
        <w:tc>
          <w:tcPr>
            <w:tcW w:w="484" w:type="pct"/>
            <w:tcBorders>
              <w:top w:val="single" w:sz="8" w:space="0" w:color="auto"/>
              <w:left w:val="nil"/>
              <w:bottom w:val="single" w:sz="8" w:space="0" w:color="auto"/>
              <w:right w:val="single" w:sz="8" w:space="0" w:color="auto"/>
            </w:tcBorders>
            <w:shd w:val="clear" w:color="auto" w:fill="auto"/>
            <w:noWrap/>
            <w:vAlign w:val="center"/>
          </w:tcPr>
          <w:p w14:paraId="2341A706" w14:textId="77777777" w:rsidR="00A90C45" w:rsidRPr="001C59A0" w:rsidRDefault="00A90C45" w:rsidP="003B20EA">
            <w:pPr>
              <w:jc w:val="center"/>
              <w:rPr>
                <w:rFonts w:ascii="Arial" w:hAnsi="Arial" w:cs="Arial"/>
                <w:bCs/>
                <w:color w:val="000000"/>
                <w:sz w:val="18"/>
                <w:lang w:val="es-MX"/>
              </w:rPr>
            </w:pPr>
            <w:r w:rsidRPr="001C59A0">
              <w:rPr>
                <w:rFonts w:ascii="Arial" w:hAnsi="Arial" w:cs="Arial"/>
                <w:bCs/>
                <w:color w:val="000000"/>
                <w:sz w:val="18"/>
                <w:lang w:val="es-MX"/>
              </w:rPr>
              <w:t>PCR</w:t>
            </w:r>
          </w:p>
        </w:tc>
        <w:tc>
          <w:tcPr>
            <w:tcW w:w="437" w:type="pct"/>
            <w:tcBorders>
              <w:top w:val="single" w:sz="8" w:space="0" w:color="auto"/>
              <w:left w:val="nil"/>
              <w:bottom w:val="single" w:sz="8" w:space="0" w:color="auto"/>
              <w:right w:val="single" w:sz="8" w:space="0" w:color="auto"/>
            </w:tcBorders>
            <w:shd w:val="clear" w:color="auto" w:fill="auto"/>
            <w:vAlign w:val="center"/>
          </w:tcPr>
          <w:p w14:paraId="2341A707" w14:textId="77777777" w:rsidR="00A90C45" w:rsidRPr="001C59A0" w:rsidRDefault="00A90C45" w:rsidP="003B20EA">
            <w:pPr>
              <w:jc w:val="center"/>
              <w:rPr>
                <w:rFonts w:ascii="Arial" w:hAnsi="Arial" w:cs="Arial"/>
                <w:bCs/>
                <w:color w:val="000000"/>
                <w:sz w:val="18"/>
                <w:lang w:val="es-MX"/>
              </w:rPr>
            </w:pPr>
          </w:p>
        </w:tc>
        <w:tc>
          <w:tcPr>
            <w:tcW w:w="872" w:type="pct"/>
            <w:tcBorders>
              <w:top w:val="nil"/>
              <w:left w:val="single" w:sz="8" w:space="0" w:color="auto"/>
              <w:bottom w:val="single" w:sz="8" w:space="0" w:color="auto"/>
              <w:right w:val="single" w:sz="8" w:space="0" w:color="auto"/>
            </w:tcBorders>
            <w:shd w:val="clear" w:color="auto" w:fill="FFFFFF" w:themeFill="background1"/>
            <w:noWrap/>
            <w:vAlign w:val="center"/>
            <w:hideMark/>
          </w:tcPr>
          <w:p w14:paraId="2341A708" w14:textId="77777777" w:rsidR="00A90C45" w:rsidRPr="001C59A0" w:rsidRDefault="00A90C45" w:rsidP="000C337F">
            <w:pPr>
              <w:jc w:val="center"/>
              <w:rPr>
                <w:rFonts w:ascii="Arial" w:hAnsi="Arial" w:cs="Arial"/>
                <w:bCs/>
                <w:color w:val="000000"/>
                <w:sz w:val="18"/>
                <w:lang w:val="es-MX"/>
              </w:rPr>
            </w:pPr>
            <w:r w:rsidRPr="001C59A0">
              <w:rPr>
                <w:rFonts w:ascii="Arial" w:hAnsi="Arial" w:cs="Arial"/>
                <w:bCs/>
                <w:color w:val="000000"/>
                <w:sz w:val="18"/>
                <w:lang w:val="es-MX"/>
              </w:rPr>
              <w:t>US$1</w:t>
            </w:r>
            <w:r w:rsidR="000C337F">
              <w:rPr>
                <w:rFonts w:ascii="Arial" w:hAnsi="Arial" w:cs="Arial"/>
                <w:bCs/>
                <w:color w:val="000000"/>
                <w:sz w:val="18"/>
                <w:lang w:val="es-MX"/>
              </w:rPr>
              <w:t>0</w:t>
            </w:r>
            <w:r w:rsidR="002C498F">
              <w:rPr>
                <w:rFonts w:ascii="Arial" w:hAnsi="Arial" w:cs="Arial"/>
                <w:bCs/>
                <w:color w:val="000000"/>
                <w:sz w:val="18"/>
                <w:lang w:val="es-MX"/>
              </w:rPr>
              <w:t>.</w:t>
            </w:r>
            <w:r w:rsidRPr="001C59A0">
              <w:rPr>
                <w:rFonts w:ascii="Arial" w:hAnsi="Arial" w:cs="Arial"/>
                <w:bCs/>
                <w:color w:val="000000"/>
                <w:sz w:val="18"/>
                <w:lang w:val="es-MX"/>
              </w:rPr>
              <w:t>000</w:t>
            </w:r>
          </w:p>
        </w:tc>
        <w:tc>
          <w:tcPr>
            <w:tcW w:w="785" w:type="pct"/>
            <w:tcBorders>
              <w:top w:val="nil"/>
              <w:left w:val="single" w:sz="8" w:space="0" w:color="auto"/>
              <w:bottom w:val="single" w:sz="8" w:space="0" w:color="auto"/>
              <w:right w:val="single" w:sz="8" w:space="0" w:color="auto"/>
            </w:tcBorders>
            <w:shd w:val="clear" w:color="auto" w:fill="FFFFFF" w:themeFill="background1"/>
          </w:tcPr>
          <w:p w14:paraId="2341A709" w14:textId="77777777" w:rsidR="00A90C45" w:rsidRPr="001C59A0" w:rsidRDefault="00A90C45" w:rsidP="003B20EA">
            <w:pPr>
              <w:jc w:val="center"/>
              <w:rPr>
                <w:rFonts w:ascii="Arial" w:hAnsi="Arial" w:cs="Arial"/>
                <w:bCs/>
                <w:color w:val="000000"/>
                <w:sz w:val="18"/>
                <w:lang w:val="es-MX"/>
              </w:rPr>
            </w:pPr>
            <w:r>
              <w:rPr>
                <w:rFonts w:ascii="Arial" w:hAnsi="Arial" w:cs="Arial"/>
                <w:bCs/>
                <w:color w:val="000000"/>
                <w:sz w:val="18"/>
                <w:lang w:val="es-MX"/>
              </w:rPr>
              <w:t>BID</w:t>
            </w:r>
          </w:p>
        </w:tc>
      </w:tr>
      <w:tr w:rsidR="00142949" w:rsidRPr="002C498F" w14:paraId="2341A70E" w14:textId="77777777" w:rsidTr="000C337F">
        <w:trPr>
          <w:trHeight w:val="394"/>
        </w:trPr>
        <w:tc>
          <w:tcPr>
            <w:tcW w:w="3343" w:type="pct"/>
            <w:gridSpan w:val="5"/>
            <w:tcBorders>
              <w:top w:val="nil"/>
              <w:left w:val="single" w:sz="8" w:space="0" w:color="auto"/>
              <w:bottom w:val="single" w:sz="8" w:space="0" w:color="auto"/>
              <w:right w:val="single" w:sz="8" w:space="0" w:color="auto"/>
            </w:tcBorders>
            <w:shd w:val="clear" w:color="auto" w:fill="D9D9D9" w:themeFill="background1" w:themeFillShade="D9"/>
            <w:noWrap/>
            <w:vAlign w:val="center"/>
          </w:tcPr>
          <w:p w14:paraId="2341A70B" w14:textId="77777777" w:rsidR="00142949" w:rsidRPr="000C337F" w:rsidRDefault="00142949" w:rsidP="00142949">
            <w:pPr>
              <w:jc w:val="right"/>
              <w:rPr>
                <w:rFonts w:ascii="Arial" w:hAnsi="Arial" w:cs="Arial"/>
                <w:b/>
                <w:bCs/>
                <w:color w:val="000000"/>
                <w:sz w:val="18"/>
                <w:lang w:val="es-MX"/>
              </w:rPr>
            </w:pPr>
            <w:r w:rsidRPr="000C337F">
              <w:rPr>
                <w:rFonts w:ascii="Arial" w:hAnsi="Arial" w:cs="Arial"/>
                <w:b/>
                <w:bCs/>
                <w:color w:val="000000"/>
                <w:sz w:val="18"/>
                <w:lang w:val="es-MX"/>
              </w:rPr>
              <w:t>Total</w:t>
            </w:r>
          </w:p>
        </w:tc>
        <w:tc>
          <w:tcPr>
            <w:tcW w:w="872" w:type="pct"/>
            <w:tcBorders>
              <w:top w:val="nil"/>
              <w:left w:val="single" w:sz="8" w:space="0" w:color="auto"/>
              <w:bottom w:val="single" w:sz="8" w:space="0" w:color="auto"/>
              <w:right w:val="single" w:sz="8" w:space="0" w:color="auto"/>
            </w:tcBorders>
            <w:shd w:val="clear" w:color="auto" w:fill="D9D9D9" w:themeFill="background1" w:themeFillShade="D9"/>
            <w:noWrap/>
            <w:vAlign w:val="center"/>
          </w:tcPr>
          <w:p w14:paraId="2341A70C" w14:textId="77777777" w:rsidR="00142949" w:rsidRPr="000C337F" w:rsidRDefault="00142949" w:rsidP="000C337F">
            <w:pPr>
              <w:jc w:val="center"/>
              <w:rPr>
                <w:rFonts w:ascii="Arial" w:hAnsi="Arial" w:cs="Arial"/>
                <w:b/>
                <w:bCs/>
                <w:color w:val="000000"/>
                <w:sz w:val="18"/>
                <w:lang w:val="es-MX"/>
              </w:rPr>
            </w:pPr>
            <w:r w:rsidRPr="000C337F">
              <w:rPr>
                <w:rFonts w:ascii="Arial" w:hAnsi="Arial" w:cs="Arial"/>
                <w:b/>
                <w:bCs/>
                <w:color w:val="000000"/>
                <w:sz w:val="18"/>
                <w:lang w:val="es-MX"/>
              </w:rPr>
              <w:t>US$</w:t>
            </w:r>
            <w:r w:rsidR="000C337F" w:rsidRPr="000C337F">
              <w:rPr>
                <w:rFonts w:ascii="Arial" w:hAnsi="Arial" w:cs="Arial"/>
                <w:b/>
                <w:bCs/>
                <w:color w:val="000000"/>
                <w:sz w:val="18"/>
                <w:lang w:val="es-MX"/>
              </w:rPr>
              <w:t>45</w:t>
            </w:r>
            <w:r w:rsidR="002C498F" w:rsidRPr="000C337F">
              <w:rPr>
                <w:rFonts w:ascii="Arial" w:hAnsi="Arial" w:cs="Arial"/>
                <w:b/>
                <w:bCs/>
                <w:color w:val="000000"/>
                <w:sz w:val="18"/>
                <w:lang w:val="es-MX"/>
              </w:rPr>
              <w:t>.</w:t>
            </w:r>
            <w:r w:rsidRPr="000C337F">
              <w:rPr>
                <w:rFonts w:ascii="Arial" w:hAnsi="Arial" w:cs="Arial"/>
                <w:b/>
                <w:bCs/>
                <w:color w:val="000000"/>
                <w:sz w:val="18"/>
                <w:lang w:val="es-MX"/>
              </w:rPr>
              <w:t>000</w:t>
            </w:r>
          </w:p>
        </w:tc>
        <w:tc>
          <w:tcPr>
            <w:tcW w:w="785" w:type="pct"/>
            <w:tcBorders>
              <w:top w:val="nil"/>
              <w:left w:val="single" w:sz="8" w:space="0" w:color="auto"/>
              <w:bottom w:val="single" w:sz="8" w:space="0" w:color="auto"/>
              <w:right w:val="single" w:sz="8" w:space="0" w:color="auto"/>
            </w:tcBorders>
            <w:shd w:val="clear" w:color="auto" w:fill="D9D9D9" w:themeFill="background1" w:themeFillShade="D9"/>
          </w:tcPr>
          <w:p w14:paraId="2341A70D" w14:textId="77777777" w:rsidR="00142949" w:rsidRPr="001C59A0" w:rsidRDefault="00142949" w:rsidP="003B20EA">
            <w:pPr>
              <w:jc w:val="center"/>
              <w:rPr>
                <w:rFonts w:ascii="Arial" w:hAnsi="Arial" w:cs="Arial"/>
                <w:bCs/>
                <w:color w:val="000000"/>
                <w:sz w:val="18"/>
                <w:lang w:val="es-MX"/>
              </w:rPr>
            </w:pPr>
          </w:p>
        </w:tc>
      </w:tr>
    </w:tbl>
    <w:p w14:paraId="2341A70F" w14:textId="77777777" w:rsidR="00A90C45" w:rsidRDefault="00A90C45" w:rsidP="004E2681">
      <w:pPr>
        <w:pStyle w:val="Paragraph"/>
        <w:tabs>
          <w:tab w:val="num" w:pos="720"/>
        </w:tabs>
        <w:spacing w:before="240"/>
        <w:ind w:left="720" w:hanging="720"/>
        <w:rPr>
          <w:rFonts w:ascii="Arial" w:hAnsi="Arial" w:cs="Arial"/>
          <w:spacing w:val="-3"/>
          <w:sz w:val="22"/>
          <w:szCs w:val="22"/>
        </w:rPr>
      </w:pPr>
      <w:r w:rsidRPr="00A90C45">
        <w:rPr>
          <w:rFonts w:ascii="Arial" w:hAnsi="Arial" w:cs="Arial"/>
          <w:sz w:val="22"/>
          <w:szCs w:val="22"/>
          <w:lang w:val="es-ES_tradnl" w:eastAsia="es-ES"/>
        </w:rPr>
        <w:t xml:space="preserve">La </w:t>
      </w:r>
      <w:r w:rsidRPr="00A90C45">
        <w:rPr>
          <w:rFonts w:ascii="Arial" w:hAnsi="Arial" w:cs="Arial"/>
          <w:sz w:val="22"/>
          <w:szCs w:val="22"/>
          <w:lang w:val="es-BO" w:eastAsia="es-ES"/>
        </w:rPr>
        <w:t>recolección</w:t>
      </w:r>
      <w:r w:rsidRPr="00A90C45">
        <w:rPr>
          <w:rFonts w:ascii="Arial" w:hAnsi="Arial" w:cs="Arial"/>
          <w:sz w:val="22"/>
          <w:szCs w:val="22"/>
          <w:lang w:val="es-ES_tradnl" w:eastAsia="es-ES"/>
        </w:rPr>
        <w:t xml:space="preserve"> de la información para la evaluación será realizada por los consultores responsables de la realización de </w:t>
      </w:r>
      <w:r w:rsidR="004E2681" w:rsidRPr="004E2681">
        <w:rPr>
          <w:rFonts w:ascii="Arial" w:hAnsi="Arial" w:cs="Arial"/>
          <w:sz w:val="22"/>
          <w:szCs w:val="22"/>
          <w:lang w:val="es-ES_tradnl" w:eastAsia="es-ES"/>
        </w:rPr>
        <w:t>la evaluación económica</w:t>
      </w:r>
      <w:r w:rsidRPr="00A90C45">
        <w:rPr>
          <w:rFonts w:ascii="Arial" w:hAnsi="Arial" w:cs="Arial"/>
          <w:sz w:val="22"/>
          <w:szCs w:val="22"/>
          <w:lang w:val="es-ES_tradnl" w:eastAsia="es-ES"/>
        </w:rPr>
        <w:t xml:space="preserve"> y del PCR</w:t>
      </w:r>
      <w:r w:rsidRPr="00A90C45">
        <w:rPr>
          <w:rFonts w:ascii="Arial" w:hAnsi="Arial" w:cs="Arial"/>
          <w:spacing w:val="-3"/>
          <w:sz w:val="22"/>
          <w:szCs w:val="22"/>
        </w:rPr>
        <w:t>.</w:t>
      </w:r>
    </w:p>
    <w:p w14:paraId="2341A710" w14:textId="77777777" w:rsidR="00990037" w:rsidRPr="00990037" w:rsidRDefault="00990037" w:rsidP="00990037">
      <w:pPr>
        <w:pStyle w:val="Paragraph"/>
        <w:tabs>
          <w:tab w:val="num" w:pos="720"/>
        </w:tabs>
        <w:spacing w:before="240"/>
        <w:ind w:left="720" w:hanging="720"/>
        <w:rPr>
          <w:rFonts w:ascii="Arial" w:hAnsi="Arial" w:cs="Arial"/>
          <w:bCs/>
          <w:sz w:val="22"/>
          <w:szCs w:val="22"/>
          <w:lang w:val="es-ES_tradnl"/>
        </w:rPr>
      </w:pPr>
      <w:r w:rsidRPr="00990037">
        <w:rPr>
          <w:rFonts w:ascii="Arial" w:hAnsi="Arial" w:cs="Arial"/>
          <w:sz w:val="22"/>
          <w:szCs w:val="22"/>
          <w:lang w:val="es-ES_tradnl" w:eastAsia="es-ES"/>
        </w:rPr>
        <w:t>El</w:t>
      </w:r>
      <w:r w:rsidRPr="00990037">
        <w:rPr>
          <w:rFonts w:ascii="Arial" w:hAnsi="Arial" w:cs="Arial"/>
          <w:bCs/>
          <w:sz w:val="22"/>
          <w:szCs w:val="22"/>
          <w:lang w:val="es-ES_tradnl"/>
        </w:rPr>
        <w:t xml:space="preserve"> GdC y el Banco han acordado efectuar reuniones de seguimiento y </w:t>
      </w:r>
      <w:r w:rsidRPr="00990037">
        <w:rPr>
          <w:rFonts w:ascii="Arial" w:hAnsi="Arial" w:cs="Arial"/>
          <w:sz w:val="22"/>
          <w:szCs w:val="22"/>
          <w:lang w:val="es-BO" w:eastAsia="es-ES"/>
        </w:rPr>
        <w:t>evaluación de la Matriz de Resultados</w:t>
      </w:r>
      <w:r>
        <w:rPr>
          <w:rFonts w:ascii="Arial" w:hAnsi="Arial" w:cs="Arial"/>
          <w:sz w:val="22"/>
          <w:szCs w:val="22"/>
          <w:lang w:val="es-BO" w:eastAsia="es-ES"/>
        </w:rPr>
        <w:t>,</w:t>
      </w:r>
      <w:r w:rsidRPr="00990037">
        <w:rPr>
          <w:rFonts w:ascii="Arial" w:hAnsi="Arial" w:cs="Arial"/>
          <w:sz w:val="22"/>
          <w:szCs w:val="22"/>
          <w:lang w:val="es-BO" w:eastAsia="es-ES"/>
        </w:rPr>
        <w:t xml:space="preserve"> </w:t>
      </w:r>
      <w:r>
        <w:rPr>
          <w:rFonts w:ascii="Arial" w:hAnsi="Arial" w:cs="Arial"/>
          <w:sz w:val="22"/>
          <w:szCs w:val="22"/>
          <w:lang w:val="es-BO" w:eastAsia="es-ES"/>
        </w:rPr>
        <w:t xml:space="preserve">como mínimo, </w:t>
      </w:r>
      <w:r w:rsidRPr="00990037">
        <w:rPr>
          <w:rFonts w:ascii="Arial" w:hAnsi="Arial" w:cs="Arial"/>
          <w:sz w:val="22"/>
          <w:szCs w:val="22"/>
          <w:lang w:val="es-BO" w:eastAsia="es-ES"/>
        </w:rPr>
        <w:t>cada 6 meses para determinar la</w:t>
      </w:r>
      <w:r w:rsidRPr="00990037">
        <w:rPr>
          <w:rFonts w:ascii="Arial" w:hAnsi="Arial" w:cs="Arial"/>
          <w:bCs/>
          <w:sz w:val="22"/>
          <w:szCs w:val="22"/>
          <w:lang w:val="es-ES_tradnl"/>
        </w:rPr>
        <w:t xml:space="preserve"> evolución y resultados en los avances de las reformas</w:t>
      </w:r>
      <w:r>
        <w:rPr>
          <w:rFonts w:ascii="Arial" w:hAnsi="Arial" w:cs="Arial"/>
          <w:bCs/>
          <w:sz w:val="22"/>
          <w:szCs w:val="22"/>
          <w:lang w:val="es-ES_tradnl"/>
        </w:rPr>
        <w:t xml:space="preserve"> y el nivel de preparación y cumplimiento de medidas para el segundo préstamo</w:t>
      </w:r>
      <w:r w:rsidRPr="00990037">
        <w:rPr>
          <w:rFonts w:ascii="Arial" w:hAnsi="Arial" w:cs="Arial"/>
          <w:bCs/>
          <w:sz w:val="22"/>
          <w:szCs w:val="22"/>
          <w:lang w:val="es-ES_tradnl"/>
        </w:rPr>
        <w:t xml:space="preserve">, en fechas a definir de común acuerdo. </w:t>
      </w:r>
    </w:p>
    <w:p w14:paraId="2341A711" w14:textId="77777777" w:rsidR="00751F81" w:rsidRDefault="00751F81" w:rsidP="00751F81">
      <w:pPr>
        <w:pStyle w:val="Paragraph"/>
        <w:tabs>
          <w:tab w:val="num" w:pos="720"/>
        </w:tabs>
        <w:spacing w:before="240"/>
        <w:ind w:left="720" w:hanging="720"/>
        <w:rPr>
          <w:rFonts w:ascii="Arial" w:hAnsi="Arial" w:cs="Arial"/>
          <w:sz w:val="22"/>
          <w:szCs w:val="22"/>
        </w:rPr>
      </w:pPr>
      <w:r w:rsidRPr="00751F81">
        <w:rPr>
          <w:rFonts w:ascii="Arial" w:hAnsi="Arial" w:cs="Arial"/>
          <w:sz w:val="22"/>
          <w:szCs w:val="22"/>
          <w:lang w:val="es-ES_tradnl"/>
        </w:rPr>
        <w:t xml:space="preserve">El Banco continuará su apoyo al </w:t>
      </w:r>
      <w:r w:rsidR="00990037">
        <w:rPr>
          <w:rFonts w:ascii="Arial" w:hAnsi="Arial" w:cs="Arial"/>
          <w:sz w:val="22"/>
          <w:szCs w:val="22"/>
          <w:lang w:val="es-ES_tradnl"/>
        </w:rPr>
        <w:t>GdC</w:t>
      </w:r>
      <w:r w:rsidRPr="00751F81">
        <w:rPr>
          <w:rFonts w:ascii="Arial" w:hAnsi="Arial" w:cs="Arial"/>
          <w:sz w:val="22"/>
          <w:szCs w:val="22"/>
          <w:lang w:val="es-ES_tradnl"/>
        </w:rPr>
        <w:t xml:space="preserve"> por medio de la Cooperación Técnica (CO-T1438) </w:t>
      </w:r>
      <w:r w:rsidRPr="00751F81">
        <w:rPr>
          <w:rFonts w:ascii="Arial" w:hAnsi="Arial" w:cs="Arial"/>
          <w:sz w:val="22"/>
          <w:szCs w:val="22"/>
        </w:rPr>
        <w:t xml:space="preserve">no </w:t>
      </w:r>
      <w:r w:rsidRPr="005E03D2">
        <w:rPr>
          <w:rFonts w:ascii="Arial" w:hAnsi="Arial" w:cs="Arial"/>
          <w:sz w:val="22"/>
          <w:szCs w:val="22"/>
        </w:rPr>
        <w:t xml:space="preserve">reembolsable </w:t>
      </w:r>
      <w:r w:rsidR="005E03D2" w:rsidRPr="005E03D2">
        <w:rPr>
          <w:rFonts w:ascii="Arial" w:hAnsi="Arial" w:cs="Arial"/>
          <w:sz w:val="22"/>
          <w:szCs w:val="22"/>
        </w:rPr>
        <w:t>por US$350.000</w:t>
      </w:r>
      <w:r w:rsidR="005E03D2">
        <w:rPr>
          <w:rFonts w:ascii="Arial" w:hAnsi="Arial" w:cs="Arial"/>
          <w:sz w:val="22"/>
          <w:szCs w:val="22"/>
        </w:rPr>
        <w:t xml:space="preserve"> (por ser aprobada en 2017),</w:t>
      </w:r>
      <w:r w:rsidRPr="005E03D2">
        <w:rPr>
          <w:rFonts w:ascii="Arial" w:hAnsi="Arial" w:cs="Arial"/>
          <w:sz w:val="22"/>
          <w:szCs w:val="22"/>
        </w:rPr>
        <w:t xml:space="preserve"> </w:t>
      </w:r>
      <w:r w:rsidRPr="005E03D2">
        <w:rPr>
          <w:rFonts w:ascii="Arial" w:hAnsi="Arial" w:cs="Arial"/>
          <w:sz w:val="22"/>
          <w:szCs w:val="22"/>
          <w:lang w:val="es-ES_tradnl"/>
        </w:rPr>
        <w:t>cuyo</w:t>
      </w:r>
      <w:r w:rsidRPr="00751F81">
        <w:rPr>
          <w:rFonts w:ascii="Arial" w:hAnsi="Arial" w:cs="Arial"/>
          <w:sz w:val="22"/>
          <w:szCs w:val="22"/>
          <w:lang w:val="es-ES_tradnl"/>
        </w:rPr>
        <w:t xml:space="preserve"> objetivo es brindar a las autoridades, acompañamiento técnico en la implementación de las reformas de la serie. Esta CT se </w:t>
      </w:r>
      <w:r w:rsidRPr="00751F81">
        <w:rPr>
          <w:rFonts w:ascii="Arial" w:hAnsi="Arial" w:cs="Arial"/>
          <w:sz w:val="22"/>
          <w:szCs w:val="22"/>
          <w:lang w:val="es-ES_tradnl" w:eastAsia="es-ES"/>
        </w:rPr>
        <w:t>usará</w:t>
      </w:r>
      <w:r w:rsidRPr="00751F81">
        <w:rPr>
          <w:rFonts w:ascii="Arial" w:hAnsi="Arial" w:cs="Arial"/>
          <w:sz w:val="22"/>
          <w:szCs w:val="22"/>
          <w:lang w:val="es-ES_tradnl"/>
        </w:rPr>
        <w:t xml:space="preserve"> para apoyar al</w:t>
      </w:r>
      <w:r w:rsidR="0096297A" w:rsidRPr="00751F81">
        <w:rPr>
          <w:rFonts w:ascii="Arial" w:hAnsi="Arial" w:cs="Arial"/>
          <w:sz w:val="22"/>
          <w:szCs w:val="22"/>
        </w:rPr>
        <w:t xml:space="preserve"> gobierno en el fortalecimiento de la capacidad institucional de </w:t>
      </w:r>
      <w:r>
        <w:rPr>
          <w:rFonts w:ascii="Arial" w:hAnsi="Arial" w:cs="Arial"/>
          <w:sz w:val="22"/>
          <w:szCs w:val="22"/>
        </w:rPr>
        <w:t xml:space="preserve">las entidades </w:t>
      </w:r>
      <w:r>
        <w:rPr>
          <w:rFonts w:ascii="Arial" w:hAnsi="Arial" w:cs="Arial"/>
          <w:sz w:val="22"/>
          <w:szCs w:val="22"/>
        </w:rPr>
        <w:lastRenderedPageBreak/>
        <w:t>participantes para lograr los objetivos y compromisos del programa y para</w:t>
      </w:r>
      <w:r w:rsidR="0096297A" w:rsidRPr="00751F81">
        <w:rPr>
          <w:rFonts w:ascii="Arial" w:hAnsi="Arial" w:cs="Arial"/>
          <w:sz w:val="22"/>
          <w:szCs w:val="22"/>
        </w:rPr>
        <w:t xml:space="preserve"> las actividades de fortalecimiento y de coordinación necesarias.</w:t>
      </w:r>
    </w:p>
    <w:p w14:paraId="2341A712" w14:textId="77777777" w:rsidR="0096297A" w:rsidRPr="00751F81" w:rsidRDefault="0096297A" w:rsidP="00751F81">
      <w:pPr>
        <w:pStyle w:val="Paragraph"/>
        <w:numPr>
          <w:ilvl w:val="0"/>
          <w:numId w:val="0"/>
        </w:numPr>
        <w:spacing w:before="240"/>
        <w:ind w:left="720"/>
        <w:rPr>
          <w:rFonts w:ascii="Arial" w:hAnsi="Arial" w:cs="Arial"/>
          <w:sz w:val="22"/>
          <w:szCs w:val="22"/>
        </w:rPr>
      </w:pPr>
      <w:r w:rsidRPr="00751F81">
        <w:rPr>
          <w:rFonts w:ascii="Arial" w:hAnsi="Arial" w:cs="Arial"/>
          <w:sz w:val="22"/>
          <w:szCs w:val="22"/>
        </w:rPr>
        <w:t xml:space="preserve"> </w:t>
      </w:r>
    </w:p>
    <w:p w14:paraId="2341A713" w14:textId="77777777" w:rsidR="001033AB" w:rsidRPr="0096297A" w:rsidRDefault="001033AB" w:rsidP="001033AB">
      <w:pPr>
        <w:rPr>
          <w:rFonts w:ascii="Arial" w:hAnsi="Arial" w:cs="Arial"/>
          <w:sz w:val="20"/>
          <w:lang w:val="es-ES"/>
        </w:rPr>
        <w:sectPr w:rsidR="001033AB" w:rsidRPr="0096297A" w:rsidSect="00AC5DD0">
          <w:pgSz w:w="12240" w:h="15840"/>
          <w:pgMar w:top="1440" w:right="1800" w:bottom="907" w:left="1800" w:header="720" w:footer="720" w:gutter="0"/>
          <w:cols w:space="720"/>
          <w:titlePg/>
          <w:docGrid w:linePitch="326"/>
        </w:sectPr>
      </w:pPr>
    </w:p>
    <w:p w14:paraId="2341A714" w14:textId="77777777" w:rsidR="009F527C" w:rsidRDefault="009F527C">
      <w:pPr>
        <w:spacing w:after="200" w:line="276" w:lineRule="auto"/>
        <w:rPr>
          <w:rFonts w:ascii="Arial" w:hAnsi="Arial" w:cs="Arial"/>
          <w:sz w:val="22"/>
          <w:szCs w:val="22"/>
          <w:lang w:val="es-ES"/>
        </w:rPr>
      </w:pPr>
    </w:p>
    <w:p w14:paraId="2341A715" w14:textId="77777777" w:rsidR="009F527C" w:rsidRDefault="00432826" w:rsidP="009F527C">
      <w:pPr>
        <w:pStyle w:val="Chapter"/>
        <w:numPr>
          <w:ilvl w:val="0"/>
          <w:numId w:val="0"/>
        </w:numPr>
        <w:ind w:left="288"/>
        <w:rPr>
          <w:rFonts w:ascii="Arial" w:hAnsi="Arial" w:cs="Arial"/>
          <w:bCs/>
          <w:sz w:val="22"/>
          <w:szCs w:val="22"/>
          <w:lang w:val="es-ES_tradnl"/>
        </w:rPr>
      </w:pPr>
      <w:bookmarkStart w:id="15" w:name="_Toc473464963"/>
      <w:r>
        <w:rPr>
          <w:rFonts w:ascii="Arial" w:hAnsi="Arial" w:cs="Arial"/>
          <w:bCs/>
          <w:sz w:val="22"/>
          <w:szCs w:val="22"/>
          <w:lang w:val="es-ES_tradnl"/>
        </w:rPr>
        <w:t xml:space="preserve">Anexo  </w:t>
      </w:r>
      <w:r w:rsidR="009F527C" w:rsidRPr="009F527C">
        <w:rPr>
          <w:rFonts w:ascii="Arial" w:hAnsi="Arial" w:cs="Arial"/>
          <w:bCs/>
          <w:sz w:val="22"/>
          <w:szCs w:val="22"/>
          <w:lang w:val="es-ES_tradnl"/>
        </w:rPr>
        <w:t>I – Evaluación Económica Ex Ante</w:t>
      </w:r>
      <w:bookmarkEnd w:id="15"/>
    </w:p>
    <w:p w14:paraId="2341A716" w14:textId="77777777" w:rsidR="00CD529B" w:rsidRPr="00C511A1" w:rsidRDefault="00CD529B">
      <w:pPr>
        <w:spacing w:after="160" w:line="259" w:lineRule="auto"/>
        <w:rPr>
          <w:lang w:val="es-ES_tradnl"/>
        </w:rPr>
      </w:pPr>
    </w:p>
    <w:p w14:paraId="2341A717" w14:textId="77777777" w:rsidR="00CD529B" w:rsidRPr="00C511A1" w:rsidRDefault="00CD529B">
      <w:pPr>
        <w:spacing w:after="160" w:line="259" w:lineRule="auto"/>
        <w:rPr>
          <w:lang w:val="es-ES_tradnl"/>
        </w:rPr>
      </w:pPr>
    </w:p>
    <w:p w14:paraId="2341A718" w14:textId="77777777" w:rsidR="00CD529B" w:rsidRPr="00CD529B" w:rsidRDefault="00CD529B" w:rsidP="00564572">
      <w:pPr>
        <w:jc w:val="center"/>
        <w:rPr>
          <w:b/>
          <w:sz w:val="28"/>
          <w:szCs w:val="28"/>
          <w:lang w:val="es-ES_tradnl"/>
        </w:rPr>
      </w:pPr>
      <w:r w:rsidRPr="00CD529B">
        <w:rPr>
          <w:b/>
          <w:sz w:val="28"/>
          <w:szCs w:val="28"/>
          <w:lang w:val="es-ES_tradnl"/>
        </w:rPr>
        <w:t>Colombia</w:t>
      </w:r>
    </w:p>
    <w:p w14:paraId="2341A719" w14:textId="77777777" w:rsidR="00CD529B" w:rsidRPr="00CD529B" w:rsidRDefault="00CD529B" w:rsidP="00564572">
      <w:pPr>
        <w:jc w:val="center"/>
        <w:rPr>
          <w:b/>
          <w:sz w:val="28"/>
          <w:szCs w:val="28"/>
          <w:lang w:val="es-ES_tradnl"/>
        </w:rPr>
      </w:pPr>
      <w:r w:rsidRPr="00CD529B">
        <w:rPr>
          <w:b/>
          <w:sz w:val="28"/>
          <w:szCs w:val="28"/>
          <w:lang w:val="es-ES_tradnl"/>
        </w:rPr>
        <w:t>Programa Nacional para Asegurar un Suministro de Energía Sostenible y Eficiente</w:t>
      </w:r>
    </w:p>
    <w:p w14:paraId="2341A71A" w14:textId="77777777" w:rsidR="00CD529B" w:rsidRPr="00CD529B" w:rsidRDefault="00CD529B" w:rsidP="00564572">
      <w:pPr>
        <w:jc w:val="center"/>
        <w:rPr>
          <w:b/>
          <w:sz w:val="28"/>
          <w:szCs w:val="28"/>
          <w:lang w:val="es-ES_tradnl"/>
        </w:rPr>
      </w:pPr>
      <w:r w:rsidRPr="00CD529B">
        <w:rPr>
          <w:b/>
          <w:sz w:val="28"/>
          <w:szCs w:val="28"/>
          <w:lang w:val="es-ES_tradnl"/>
        </w:rPr>
        <w:t>CO-L1217</w:t>
      </w:r>
    </w:p>
    <w:p w14:paraId="2341A71B" w14:textId="77777777" w:rsidR="00CD529B" w:rsidRPr="00CD529B" w:rsidRDefault="00CD529B" w:rsidP="00564572">
      <w:pPr>
        <w:jc w:val="center"/>
        <w:rPr>
          <w:b/>
          <w:sz w:val="28"/>
          <w:szCs w:val="28"/>
          <w:lang w:val="es-ES_tradnl"/>
        </w:rPr>
      </w:pPr>
    </w:p>
    <w:p w14:paraId="2341A71C" w14:textId="77777777" w:rsidR="00CD529B" w:rsidRPr="00CD529B" w:rsidRDefault="00CD529B" w:rsidP="00564572">
      <w:pPr>
        <w:jc w:val="center"/>
        <w:rPr>
          <w:b/>
          <w:sz w:val="28"/>
          <w:szCs w:val="28"/>
          <w:lang w:val="es-ES_tradnl"/>
        </w:rPr>
      </w:pPr>
    </w:p>
    <w:p w14:paraId="2341A71D" w14:textId="77777777" w:rsidR="00CD529B" w:rsidRPr="00CD529B" w:rsidRDefault="00CD529B" w:rsidP="00564572">
      <w:pPr>
        <w:jc w:val="center"/>
        <w:rPr>
          <w:b/>
          <w:sz w:val="28"/>
          <w:szCs w:val="28"/>
          <w:lang w:val="es-ES_tradnl"/>
        </w:rPr>
      </w:pPr>
    </w:p>
    <w:p w14:paraId="2341A71E" w14:textId="77777777" w:rsidR="00CD529B" w:rsidRPr="00CD529B" w:rsidRDefault="00CD529B" w:rsidP="00564572">
      <w:pPr>
        <w:jc w:val="center"/>
        <w:rPr>
          <w:b/>
          <w:sz w:val="28"/>
          <w:szCs w:val="28"/>
          <w:lang w:val="es-ES_tradnl"/>
        </w:rPr>
      </w:pPr>
      <w:r w:rsidRPr="00CD529B">
        <w:rPr>
          <w:b/>
          <w:sz w:val="28"/>
          <w:szCs w:val="28"/>
          <w:lang w:val="es-ES_tradnl"/>
        </w:rPr>
        <w:t xml:space="preserve">Evaluación Económica del Programa </w:t>
      </w:r>
    </w:p>
    <w:p w14:paraId="2341A71F" w14:textId="77777777" w:rsidR="00CD529B" w:rsidRPr="00D20C36" w:rsidRDefault="00CD529B" w:rsidP="00564572">
      <w:pPr>
        <w:jc w:val="center"/>
        <w:rPr>
          <w:b/>
          <w:sz w:val="28"/>
          <w:szCs w:val="28"/>
          <w:lang w:val="es-ES_tradnl"/>
        </w:rPr>
      </w:pPr>
      <w:r w:rsidRPr="00D20C36">
        <w:rPr>
          <w:b/>
          <w:sz w:val="28"/>
          <w:szCs w:val="28"/>
          <w:lang w:val="es-ES_tradnl"/>
        </w:rPr>
        <w:t>Informe Final</w:t>
      </w:r>
    </w:p>
    <w:p w14:paraId="2341A720" w14:textId="77777777" w:rsidR="00CD529B" w:rsidRPr="00D20C36" w:rsidRDefault="00CD529B" w:rsidP="00564572">
      <w:pPr>
        <w:jc w:val="center"/>
        <w:rPr>
          <w:b/>
          <w:sz w:val="28"/>
          <w:szCs w:val="28"/>
          <w:lang w:val="es-ES_tradnl"/>
        </w:rPr>
      </w:pPr>
    </w:p>
    <w:p w14:paraId="2341A721" w14:textId="77777777" w:rsidR="00CD529B" w:rsidRPr="00D20C36" w:rsidRDefault="00CD529B" w:rsidP="00564572">
      <w:pPr>
        <w:jc w:val="center"/>
        <w:rPr>
          <w:b/>
          <w:sz w:val="28"/>
          <w:szCs w:val="28"/>
          <w:lang w:val="es-ES_tradnl"/>
        </w:rPr>
      </w:pPr>
    </w:p>
    <w:p w14:paraId="2341A722" w14:textId="77777777" w:rsidR="00CD529B" w:rsidRPr="00D20C36" w:rsidRDefault="00CD529B" w:rsidP="00564572">
      <w:pPr>
        <w:jc w:val="center"/>
        <w:rPr>
          <w:b/>
          <w:sz w:val="28"/>
          <w:szCs w:val="28"/>
          <w:lang w:val="es-ES_tradnl"/>
        </w:rPr>
      </w:pPr>
    </w:p>
    <w:p w14:paraId="2341A723" w14:textId="77777777" w:rsidR="00CD529B" w:rsidRPr="00D20C36" w:rsidRDefault="00CD529B" w:rsidP="00564572">
      <w:pPr>
        <w:jc w:val="center"/>
        <w:rPr>
          <w:b/>
          <w:sz w:val="28"/>
          <w:szCs w:val="28"/>
          <w:lang w:val="es-ES_tradnl"/>
        </w:rPr>
      </w:pPr>
    </w:p>
    <w:p w14:paraId="2341A724" w14:textId="77777777" w:rsidR="00CD529B" w:rsidRDefault="00CD529B" w:rsidP="00564572">
      <w:pPr>
        <w:jc w:val="center"/>
        <w:rPr>
          <w:b/>
          <w:sz w:val="28"/>
          <w:szCs w:val="28"/>
          <w:lang w:val="es-ES_tradnl"/>
        </w:rPr>
      </w:pPr>
    </w:p>
    <w:p w14:paraId="2341A725" w14:textId="77777777" w:rsidR="00CD529B" w:rsidRPr="00D20C36" w:rsidRDefault="00CD529B" w:rsidP="00564572">
      <w:pPr>
        <w:jc w:val="center"/>
        <w:rPr>
          <w:b/>
          <w:sz w:val="28"/>
          <w:szCs w:val="28"/>
          <w:lang w:val="es-ES_tradnl"/>
        </w:rPr>
      </w:pPr>
    </w:p>
    <w:p w14:paraId="2341A726" w14:textId="77777777" w:rsidR="00CD529B" w:rsidRPr="00D20C36" w:rsidRDefault="00CD529B" w:rsidP="00564572">
      <w:pPr>
        <w:jc w:val="center"/>
        <w:rPr>
          <w:b/>
          <w:sz w:val="28"/>
          <w:szCs w:val="28"/>
          <w:lang w:val="es-ES_tradnl"/>
        </w:rPr>
      </w:pPr>
    </w:p>
    <w:p w14:paraId="2341A727" w14:textId="77777777" w:rsidR="00CD529B" w:rsidRPr="00D20C36" w:rsidRDefault="00CD529B" w:rsidP="00564572">
      <w:pPr>
        <w:jc w:val="center"/>
        <w:rPr>
          <w:b/>
          <w:sz w:val="28"/>
          <w:szCs w:val="28"/>
          <w:lang w:val="es-ES_tradnl"/>
        </w:rPr>
      </w:pPr>
      <w:r w:rsidRPr="00D20C36">
        <w:rPr>
          <w:b/>
          <w:sz w:val="28"/>
          <w:szCs w:val="28"/>
          <w:lang w:val="es-ES_tradnl"/>
        </w:rPr>
        <w:t>Eduardo Afanador, Consultor</w:t>
      </w:r>
    </w:p>
    <w:p w14:paraId="2341A728" w14:textId="77777777" w:rsidR="00CD529B" w:rsidRPr="00D20C36" w:rsidRDefault="00CD529B" w:rsidP="00564572">
      <w:pPr>
        <w:jc w:val="center"/>
        <w:rPr>
          <w:b/>
          <w:sz w:val="28"/>
          <w:szCs w:val="28"/>
          <w:lang w:val="es-ES_tradnl"/>
        </w:rPr>
      </w:pPr>
    </w:p>
    <w:p w14:paraId="2341A729" w14:textId="77777777" w:rsidR="00CD529B" w:rsidRPr="00CD529B" w:rsidRDefault="00CD529B" w:rsidP="00564572">
      <w:pPr>
        <w:jc w:val="center"/>
        <w:rPr>
          <w:b/>
          <w:sz w:val="28"/>
          <w:szCs w:val="28"/>
          <w:lang w:val="es-ES_tradnl"/>
        </w:rPr>
      </w:pPr>
      <w:r w:rsidRPr="00CD529B">
        <w:rPr>
          <w:b/>
          <w:sz w:val="28"/>
          <w:szCs w:val="28"/>
          <w:lang w:val="es-ES_tradnl"/>
        </w:rPr>
        <w:t>Versión Febrero de 2017</w:t>
      </w:r>
    </w:p>
    <w:p w14:paraId="2341A72A" w14:textId="77777777" w:rsidR="00CD529B" w:rsidRPr="00CD529B" w:rsidRDefault="00CD529B" w:rsidP="00564572">
      <w:pPr>
        <w:jc w:val="center"/>
        <w:rPr>
          <w:b/>
          <w:sz w:val="28"/>
          <w:szCs w:val="28"/>
          <w:lang w:val="es-ES_tradnl"/>
        </w:rPr>
      </w:pPr>
    </w:p>
    <w:p w14:paraId="2341A72B" w14:textId="77777777" w:rsidR="00CD529B" w:rsidRPr="00CD529B" w:rsidRDefault="00CD529B" w:rsidP="00564572">
      <w:pPr>
        <w:jc w:val="center"/>
        <w:rPr>
          <w:b/>
          <w:sz w:val="28"/>
          <w:szCs w:val="28"/>
          <w:lang w:val="es-ES_tradnl"/>
        </w:rPr>
      </w:pPr>
    </w:p>
    <w:p w14:paraId="2341A72C" w14:textId="77777777" w:rsidR="00CD529B" w:rsidRPr="00CD529B" w:rsidRDefault="00CD529B">
      <w:pPr>
        <w:spacing w:after="160" w:line="259" w:lineRule="auto"/>
        <w:rPr>
          <w:b/>
          <w:sz w:val="28"/>
          <w:szCs w:val="28"/>
          <w:lang w:val="es-ES_tradnl"/>
        </w:rPr>
      </w:pPr>
      <w:r w:rsidRPr="00CD529B">
        <w:rPr>
          <w:b/>
          <w:sz w:val="28"/>
          <w:szCs w:val="28"/>
          <w:lang w:val="es-ES_tradnl"/>
        </w:rPr>
        <w:br w:type="page"/>
      </w:r>
    </w:p>
    <w:p w14:paraId="2341A72D" w14:textId="77777777" w:rsidR="0011752D" w:rsidRPr="0011752D" w:rsidRDefault="0011752D" w:rsidP="0011752D">
      <w:pPr>
        <w:spacing w:before="240" w:after="240"/>
        <w:jc w:val="center"/>
        <w:rPr>
          <w:rFonts w:ascii="Arial" w:hAnsi="Arial"/>
          <w:b/>
          <w:sz w:val="28"/>
          <w:szCs w:val="28"/>
          <w:lang w:val="es-CO"/>
        </w:rPr>
      </w:pPr>
      <w:r w:rsidRPr="0011752D">
        <w:rPr>
          <w:rFonts w:ascii="Arial" w:hAnsi="Arial"/>
          <w:b/>
          <w:sz w:val="28"/>
          <w:szCs w:val="28"/>
          <w:lang w:val="es-CO"/>
        </w:rPr>
        <w:lastRenderedPageBreak/>
        <w:t>CONTENIDO</w:t>
      </w:r>
    </w:p>
    <w:p w14:paraId="2341A72E" w14:textId="77777777" w:rsidR="0011752D" w:rsidRPr="0011752D" w:rsidRDefault="0011752D" w:rsidP="0011752D">
      <w:pPr>
        <w:tabs>
          <w:tab w:val="left" w:pos="480"/>
          <w:tab w:val="right" w:leader="dot" w:pos="8828"/>
        </w:tabs>
        <w:spacing w:before="240" w:after="100"/>
        <w:jc w:val="both"/>
        <w:rPr>
          <w:rFonts w:ascii="Calibri" w:hAnsi="Calibri"/>
          <w:noProof/>
          <w:sz w:val="22"/>
          <w:szCs w:val="22"/>
        </w:rPr>
      </w:pPr>
      <w:r w:rsidRPr="0011752D">
        <w:rPr>
          <w:rFonts w:ascii="Arial" w:hAnsi="Arial"/>
          <w:b/>
          <w:noProof/>
          <w:sz w:val="22"/>
          <w:lang w:val="es-ES"/>
        </w:rPr>
        <w:fldChar w:fldCharType="begin"/>
      </w:r>
      <w:r w:rsidRPr="0011752D">
        <w:rPr>
          <w:rFonts w:ascii="Arial" w:hAnsi="Arial"/>
          <w:b/>
          <w:noProof/>
          <w:sz w:val="22"/>
          <w:lang w:val="es-ES"/>
        </w:rPr>
        <w:instrText xml:space="preserve"> TOC \o "1-4" \h \z \u </w:instrText>
      </w:r>
      <w:r w:rsidRPr="0011752D">
        <w:rPr>
          <w:rFonts w:ascii="Arial" w:hAnsi="Arial"/>
          <w:b/>
          <w:noProof/>
          <w:sz w:val="22"/>
          <w:lang w:val="es-ES"/>
        </w:rPr>
        <w:fldChar w:fldCharType="separate"/>
      </w:r>
      <w:hyperlink w:anchor="_Toc474797014" w:history="1">
        <w:r w:rsidRPr="0011752D">
          <w:rPr>
            <w:rFonts w:ascii="Arial" w:hAnsi="Arial"/>
            <w:b/>
            <w:noProof/>
            <w:color w:val="0563C1"/>
            <w:sz w:val="22"/>
            <w:u w:val="single"/>
            <w:lang w:val="es-CO"/>
          </w:rPr>
          <w:t>1</w:t>
        </w:r>
        <w:r w:rsidRPr="0011752D">
          <w:rPr>
            <w:rFonts w:ascii="Calibri" w:hAnsi="Calibri"/>
            <w:noProof/>
            <w:sz w:val="22"/>
            <w:szCs w:val="22"/>
          </w:rPr>
          <w:tab/>
        </w:r>
        <w:r w:rsidRPr="0011752D">
          <w:rPr>
            <w:rFonts w:ascii="Arial" w:hAnsi="Arial"/>
            <w:b/>
            <w:noProof/>
            <w:color w:val="0563C1"/>
            <w:sz w:val="22"/>
            <w:u w:val="single"/>
            <w:lang w:val="es-CO"/>
          </w:rPr>
          <w:t>Introducción</w:t>
        </w:r>
        <w:r w:rsidRPr="0011752D">
          <w:rPr>
            <w:rFonts w:ascii="Arial" w:hAnsi="Arial"/>
            <w:b/>
            <w:noProof/>
            <w:webHidden/>
            <w:sz w:val="22"/>
            <w:lang w:val="es-CO"/>
          </w:rPr>
          <w:tab/>
        </w:r>
        <w:r w:rsidRPr="0011752D">
          <w:rPr>
            <w:rFonts w:ascii="Arial" w:hAnsi="Arial"/>
            <w:b/>
            <w:noProof/>
            <w:webHidden/>
            <w:sz w:val="22"/>
            <w:lang w:val="es-CO"/>
          </w:rPr>
          <w:fldChar w:fldCharType="begin"/>
        </w:r>
        <w:r w:rsidRPr="0011752D">
          <w:rPr>
            <w:rFonts w:ascii="Arial" w:hAnsi="Arial"/>
            <w:b/>
            <w:noProof/>
            <w:webHidden/>
            <w:sz w:val="22"/>
            <w:lang w:val="es-CO"/>
          </w:rPr>
          <w:instrText xml:space="preserve"> PAGEREF _Toc474797014 \h </w:instrText>
        </w:r>
        <w:r w:rsidRPr="0011752D">
          <w:rPr>
            <w:rFonts w:ascii="Arial" w:hAnsi="Arial"/>
            <w:b/>
            <w:noProof/>
            <w:webHidden/>
            <w:sz w:val="22"/>
            <w:lang w:val="es-CO"/>
          </w:rPr>
        </w:r>
        <w:r w:rsidRPr="0011752D">
          <w:rPr>
            <w:rFonts w:ascii="Arial" w:hAnsi="Arial"/>
            <w:b/>
            <w:noProof/>
            <w:webHidden/>
            <w:sz w:val="22"/>
            <w:lang w:val="es-CO"/>
          </w:rPr>
          <w:fldChar w:fldCharType="separate"/>
        </w:r>
        <w:r w:rsidRPr="0011752D">
          <w:rPr>
            <w:rFonts w:ascii="Arial" w:hAnsi="Arial"/>
            <w:b/>
            <w:noProof/>
            <w:webHidden/>
            <w:sz w:val="22"/>
            <w:lang w:val="es-CO"/>
          </w:rPr>
          <w:t>5</w:t>
        </w:r>
        <w:r w:rsidRPr="0011752D">
          <w:rPr>
            <w:rFonts w:ascii="Arial" w:hAnsi="Arial"/>
            <w:b/>
            <w:noProof/>
            <w:webHidden/>
            <w:sz w:val="22"/>
            <w:lang w:val="es-CO"/>
          </w:rPr>
          <w:fldChar w:fldCharType="end"/>
        </w:r>
      </w:hyperlink>
    </w:p>
    <w:p w14:paraId="2341A72F"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15" w:history="1">
        <w:r w:rsidR="0011752D" w:rsidRPr="0011752D">
          <w:rPr>
            <w:rFonts w:ascii="Arial" w:hAnsi="Arial"/>
            <w:noProof/>
            <w:color w:val="0563C1"/>
            <w:sz w:val="22"/>
            <w:u w:val="single"/>
            <w:lang w:val="es-CO"/>
          </w:rPr>
          <w:t>1.1</w:t>
        </w:r>
        <w:r w:rsidR="0011752D" w:rsidRPr="0011752D">
          <w:rPr>
            <w:rFonts w:ascii="Calibri" w:hAnsi="Calibri"/>
            <w:noProof/>
            <w:sz w:val="22"/>
            <w:szCs w:val="22"/>
          </w:rPr>
          <w:tab/>
        </w:r>
        <w:r w:rsidR="0011752D" w:rsidRPr="0011752D">
          <w:rPr>
            <w:rFonts w:ascii="Arial" w:hAnsi="Arial"/>
            <w:noProof/>
            <w:color w:val="0563C1"/>
            <w:sz w:val="22"/>
            <w:u w:val="single"/>
            <w:lang w:val="es-CO"/>
          </w:rPr>
          <w:t>Antecedentes y objetivo del Proyecto</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_Toc474797015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5</w:t>
        </w:r>
        <w:r w:rsidR="0011752D" w:rsidRPr="0011752D">
          <w:rPr>
            <w:rFonts w:ascii="Arial" w:hAnsi="Arial"/>
            <w:noProof/>
            <w:webHidden/>
            <w:sz w:val="22"/>
            <w:lang w:val="es-CO"/>
          </w:rPr>
          <w:fldChar w:fldCharType="end"/>
        </w:r>
      </w:hyperlink>
    </w:p>
    <w:p w14:paraId="2341A730"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16" w:history="1">
        <w:r w:rsidR="0011752D" w:rsidRPr="0011752D">
          <w:rPr>
            <w:rFonts w:ascii="Arial" w:hAnsi="Arial"/>
            <w:noProof/>
            <w:color w:val="0563C1"/>
            <w:sz w:val="22"/>
            <w:u w:val="single"/>
            <w:lang w:val="es-CO"/>
          </w:rPr>
          <w:t>1.2</w:t>
        </w:r>
        <w:r w:rsidR="0011752D" w:rsidRPr="0011752D">
          <w:rPr>
            <w:rFonts w:ascii="Calibri" w:hAnsi="Calibri"/>
            <w:noProof/>
            <w:sz w:val="22"/>
            <w:szCs w:val="22"/>
          </w:rPr>
          <w:tab/>
        </w:r>
        <w:r w:rsidR="0011752D" w:rsidRPr="0011752D">
          <w:rPr>
            <w:rFonts w:ascii="Arial" w:hAnsi="Arial"/>
            <w:noProof/>
            <w:color w:val="0563C1"/>
            <w:sz w:val="22"/>
            <w:u w:val="single"/>
            <w:lang w:val="es-CO"/>
          </w:rPr>
          <w:t>Objetivo del Análisis Económico</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_Toc474797016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7</w:t>
        </w:r>
        <w:r w:rsidR="0011752D" w:rsidRPr="0011752D">
          <w:rPr>
            <w:rFonts w:ascii="Arial" w:hAnsi="Arial"/>
            <w:noProof/>
            <w:webHidden/>
            <w:sz w:val="22"/>
            <w:lang w:val="es-CO"/>
          </w:rPr>
          <w:fldChar w:fldCharType="end"/>
        </w:r>
      </w:hyperlink>
    </w:p>
    <w:p w14:paraId="2341A731"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17" w:history="1">
        <w:r w:rsidR="0011752D" w:rsidRPr="0011752D">
          <w:rPr>
            <w:rFonts w:ascii="Arial" w:hAnsi="Arial"/>
            <w:noProof/>
            <w:color w:val="0563C1"/>
            <w:sz w:val="22"/>
            <w:u w:val="single"/>
            <w:lang w:val="es-CO"/>
          </w:rPr>
          <w:t>1.3</w:t>
        </w:r>
        <w:r w:rsidR="0011752D" w:rsidRPr="0011752D">
          <w:rPr>
            <w:rFonts w:ascii="Calibri" w:hAnsi="Calibri"/>
            <w:noProof/>
            <w:sz w:val="22"/>
            <w:szCs w:val="22"/>
          </w:rPr>
          <w:tab/>
        </w:r>
        <w:r w:rsidR="0011752D" w:rsidRPr="0011752D">
          <w:rPr>
            <w:rFonts w:ascii="Arial" w:hAnsi="Arial"/>
            <w:noProof/>
            <w:color w:val="0563C1"/>
            <w:sz w:val="22"/>
            <w:u w:val="single"/>
            <w:lang w:val="es-CO"/>
          </w:rPr>
          <w:t>Componentes de la Matriz de Políticas</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_Toc474797017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7</w:t>
        </w:r>
        <w:r w:rsidR="0011752D" w:rsidRPr="0011752D">
          <w:rPr>
            <w:rFonts w:ascii="Arial" w:hAnsi="Arial"/>
            <w:noProof/>
            <w:webHidden/>
            <w:sz w:val="22"/>
            <w:lang w:val="es-CO"/>
          </w:rPr>
          <w:fldChar w:fldCharType="end"/>
        </w:r>
      </w:hyperlink>
    </w:p>
    <w:p w14:paraId="2341A732" w14:textId="77777777" w:rsidR="0011752D" w:rsidRPr="0011752D" w:rsidRDefault="004932D7" w:rsidP="0011752D">
      <w:pPr>
        <w:tabs>
          <w:tab w:val="left" w:pos="480"/>
          <w:tab w:val="right" w:leader="dot" w:pos="8828"/>
        </w:tabs>
        <w:spacing w:before="240" w:after="100"/>
        <w:jc w:val="both"/>
        <w:rPr>
          <w:rFonts w:ascii="Calibri" w:hAnsi="Calibri"/>
          <w:noProof/>
          <w:sz w:val="22"/>
          <w:szCs w:val="22"/>
        </w:rPr>
      </w:pPr>
      <w:hyperlink w:anchor="_Toc474797018" w:history="1">
        <w:r w:rsidR="0011752D" w:rsidRPr="0011752D">
          <w:rPr>
            <w:rFonts w:ascii="Arial" w:hAnsi="Arial"/>
            <w:b/>
            <w:noProof/>
            <w:color w:val="0563C1"/>
            <w:sz w:val="22"/>
            <w:u w:val="single"/>
            <w:lang w:val="es-CO"/>
          </w:rPr>
          <w:t>2</w:t>
        </w:r>
        <w:r w:rsidR="0011752D" w:rsidRPr="0011752D">
          <w:rPr>
            <w:rFonts w:ascii="Calibri" w:hAnsi="Calibri"/>
            <w:noProof/>
            <w:sz w:val="22"/>
            <w:szCs w:val="22"/>
          </w:rPr>
          <w:tab/>
        </w:r>
        <w:r w:rsidR="0011752D" w:rsidRPr="0011752D">
          <w:rPr>
            <w:rFonts w:ascii="Arial" w:hAnsi="Arial"/>
            <w:b/>
            <w:noProof/>
            <w:color w:val="0563C1"/>
            <w:sz w:val="22"/>
            <w:u w:val="single"/>
            <w:lang w:val="es-CO"/>
          </w:rPr>
          <w:t>Evaluación económica del Subcomponente 2.1 relacionado con la diversificación eficiente de la matriz energética del SIN</w:t>
        </w:r>
        <w:r w:rsidR="0011752D" w:rsidRPr="0011752D">
          <w:rPr>
            <w:rFonts w:ascii="Arial" w:hAnsi="Arial"/>
            <w:b/>
            <w:noProof/>
            <w:webHidden/>
            <w:sz w:val="22"/>
            <w:lang w:val="es-CO"/>
          </w:rPr>
          <w:tab/>
        </w:r>
        <w:r w:rsidR="0011752D" w:rsidRPr="0011752D">
          <w:rPr>
            <w:rFonts w:ascii="Arial" w:hAnsi="Arial"/>
            <w:b/>
            <w:noProof/>
            <w:webHidden/>
            <w:sz w:val="22"/>
            <w:lang w:val="es-CO"/>
          </w:rPr>
          <w:fldChar w:fldCharType="begin"/>
        </w:r>
        <w:r w:rsidR="0011752D" w:rsidRPr="0011752D">
          <w:rPr>
            <w:rFonts w:ascii="Arial" w:hAnsi="Arial"/>
            <w:b/>
            <w:noProof/>
            <w:webHidden/>
            <w:sz w:val="22"/>
            <w:lang w:val="es-CO"/>
          </w:rPr>
          <w:instrText xml:space="preserve"> PAGEREF _Toc474797018 \h </w:instrText>
        </w:r>
        <w:r w:rsidR="0011752D" w:rsidRPr="0011752D">
          <w:rPr>
            <w:rFonts w:ascii="Arial" w:hAnsi="Arial"/>
            <w:b/>
            <w:noProof/>
            <w:webHidden/>
            <w:sz w:val="22"/>
            <w:lang w:val="es-CO"/>
          </w:rPr>
        </w:r>
        <w:r w:rsidR="0011752D" w:rsidRPr="0011752D">
          <w:rPr>
            <w:rFonts w:ascii="Arial" w:hAnsi="Arial"/>
            <w:b/>
            <w:noProof/>
            <w:webHidden/>
            <w:sz w:val="22"/>
            <w:lang w:val="es-CO"/>
          </w:rPr>
          <w:fldChar w:fldCharType="separate"/>
        </w:r>
        <w:r w:rsidR="0011752D" w:rsidRPr="0011752D">
          <w:rPr>
            <w:rFonts w:ascii="Arial" w:hAnsi="Arial"/>
            <w:b/>
            <w:noProof/>
            <w:webHidden/>
            <w:sz w:val="22"/>
            <w:lang w:val="es-CO"/>
          </w:rPr>
          <w:t>8</w:t>
        </w:r>
        <w:r w:rsidR="0011752D" w:rsidRPr="0011752D">
          <w:rPr>
            <w:rFonts w:ascii="Arial" w:hAnsi="Arial"/>
            <w:b/>
            <w:noProof/>
            <w:webHidden/>
            <w:sz w:val="22"/>
            <w:lang w:val="es-CO"/>
          </w:rPr>
          <w:fldChar w:fldCharType="end"/>
        </w:r>
      </w:hyperlink>
    </w:p>
    <w:p w14:paraId="2341A733"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19" w:history="1">
        <w:r w:rsidR="0011752D" w:rsidRPr="0011752D">
          <w:rPr>
            <w:rFonts w:ascii="Arial" w:hAnsi="Arial"/>
            <w:noProof/>
            <w:color w:val="0563C1"/>
            <w:sz w:val="22"/>
            <w:u w:val="single"/>
            <w:lang w:val="es-ES"/>
          </w:rPr>
          <w:t>2.1</w:t>
        </w:r>
        <w:r w:rsidR="0011752D" w:rsidRPr="0011752D">
          <w:rPr>
            <w:rFonts w:ascii="Calibri" w:hAnsi="Calibri"/>
            <w:noProof/>
            <w:sz w:val="22"/>
            <w:szCs w:val="22"/>
          </w:rPr>
          <w:tab/>
        </w:r>
        <w:r w:rsidR="0011752D" w:rsidRPr="0011752D">
          <w:rPr>
            <w:rFonts w:ascii="Arial" w:hAnsi="Arial"/>
            <w:noProof/>
            <w:color w:val="0563C1"/>
            <w:sz w:val="22"/>
            <w:u w:val="single"/>
            <w:lang w:val="es-ES"/>
          </w:rPr>
          <w:t>Supuestos y metodología</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_Toc474797019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8</w:t>
        </w:r>
        <w:r w:rsidR="0011752D" w:rsidRPr="0011752D">
          <w:rPr>
            <w:rFonts w:ascii="Arial" w:hAnsi="Arial"/>
            <w:noProof/>
            <w:webHidden/>
            <w:sz w:val="22"/>
            <w:lang w:val="es-CO"/>
          </w:rPr>
          <w:fldChar w:fldCharType="end"/>
        </w:r>
      </w:hyperlink>
    </w:p>
    <w:p w14:paraId="2341A734" w14:textId="77777777" w:rsidR="0011752D" w:rsidRPr="0011752D" w:rsidRDefault="004932D7" w:rsidP="0011752D">
      <w:pPr>
        <w:tabs>
          <w:tab w:val="left" w:pos="1320"/>
          <w:tab w:val="right" w:leader="dot" w:pos="8828"/>
        </w:tabs>
        <w:spacing w:before="120"/>
        <w:ind w:left="480"/>
        <w:jc w:val="both"/>
        <w:rPr>
          <w:rFonts w:ascii="Calibri" w:hAnsi="Calibri"/>
          <w:noProof/>
          <w:sz w:val="22"/>
          <w:szCs w:val="22"/>
        </w:rPr>
      </w:pPr>
      <w:hyperlink w:anchor="_Toc474797020" w:history="1">
        <w:r w:rsidR="0011752D" w:rsidRPr="0011752D">
          <w:rPr>
            <w:rFonts w:ascii="Arial" w:hAnsi="Arial"/>
            <w:noProof/>
            <w:color w:val="0563C1"/>
            <w:sz w:val="22"/>
            <w:u w:val="single"/>
            <w:lang w:val="es-ES"/>
          </w:rPr>
          <w:t>2.1.1</w:t>
        </w:r>
        <w:r w:rsidR="0011752D" w:rsidRPr="0011752D">
          <w:rPr>
            <w:rFonts w:ascii="Calibri" w:hAnsi="Calibri"/>
            <w:noProof/>
            <w:sz w:val="22"/>
            <w:szCs w:val="22"/>
          </w:rPr>
          <w:tab/>
        </w:r>
        <w:r w:rsidR="0011752D" w:rsidRPr="0011752D">
          <w:rPr>
            <w:rFonts w:ascii="Arial" w:hAnsi="Arial"/>
            <w:noProof/>
            <w:color w:val="0563C1"/>
            <w:sz w:val="22"/>
            <w:u w:val="single"/>
            <w:lang w:val="es-ES"/>
          </w:rPr>
          <w:t>Precios para la valoración de los beneficios y costos</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_Toc474797020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9</w:t>
        </w:r>
        <w:r w:rsidR="0011752D" w:rsidRPr="0011752D">
          <w:rPr>
            <w:rFonts w:ascii="Arial" w:hAnsi="Arial"/>
            <w:noProof/>
            <w:webHidden/>
            <w:sz w:val="22"/>
            <w:lang w:val="es-CO"/>
          </w:rPr>
          <w:fldChar w:fldCharType="end"/>
        </w:r>
      </w:hyperlink>
    </w:p>
    <w:p w14:paraId="2341A735" w14:textId="77777777" w:rsidR="0011752D" w:rsidRPr="0011752D" w:rsidRDefault="004932D7" w:rsidP="0011752D">
      <w:pPr>
        <w:tabs>
          <w:tab w:val="left" w:pos="1320"/>
          <w:tab w:val="right" w:leader="dot" w:pos="8828"/>
        </w:tabs>
        <w:spacing w:before="120"/>
        <w:ind w:left="480"/>
        <w:jc w:val="both"/>
        <w:rPr>
          <w:rFonts w:ascii="Calibri" w:hAnsi="Calibri"/>
          <w:noProof/>
          <w:sz w:val="22"/>
          <w:szCs w:val="22"/>
        </w:rPr>
      </w:pPr>
      <w:hyperlink w:anchor="_Toc474797021" w:history="1">
        <w:r w:rsidR="0011752D" w:rsidRPr="0011752D">
          <w:rPr>
            <w:rFonts w:ascii="Arial" w:hAnsi="Arial"/>
            <w:noProof/>
            <w:color w:val="0563C1"/>
            <w:sz w:val="22"/>
            <w:u w:val="single"/>
            <w:lang w:val="es-ES"/>
          </w:rPr>
          <w:t>2.1.2</w:t>
        </w:r>
        <w:r w:rsidR="0011752D" w:rsidRPr="0011752D">
          <w:rPr>
            <w:rFonts w:ascii="Calibri" w:hAnsi="Calibri"/>
            <w:noProof/>
            <w:sz w:val="22"/>
            <w:szCs w:val="22"/>
          </w:rPr>
          <w:tab/>
        </w:r>
        <w:r w:rsidR="0011752D" w:rsidRPr="0011752D">
          <w:rPr>
            <w:rFonts w:ascii="Arial" w:hAnsi="Arial"/>
            <w:noProof/>
            <w:color w:val="0563C1"/>
            <w:sz w:val="22"/>
            <w:u w:val="single"/>
            <w:lang w:val="es-ES"/>
          </w:rPr>
          <w:t>Remuneración de la generación y formación de precios en el MEM</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_Toc474797021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10</w:t>
        </w:r>
        <w:r w:rsidR="0011752D" w:rsidRPr="0011752D">
          <w:rPr>
            <w:rFonts w:ascii="Arial" w:hAnsi="Arial"/>
            <w:noProof/>
            <w:webHidden/>
            <w:sz w:val="22"/>
            <w:lang w:val="es-CO"/>
          </w:rPr>
          <w:fldChar w:fldCharType="end"/>
        </w:r>
      </w:hyperlink>
    </w:p>
    <w:p w14:paraId="2341A736" w14:textId="77777777" w:rsidR="0011752D" w:rsidRPr="0011752D" w:rsidRDefault="004932D7" w:rsidP="0011752D">
      <w:pPr>
        <w:tabs>
          <w:tab w:val="left" w:pos="1320"/>
          <w:tab w:val="right" w:leader="dot" w:pos="8828"/>
        </w:tabs>
        <w:spacing w:before="120"/>
        <w:ind w:left="480"/>
        <w:jc w:val="both"/>
        <w:rPr>
          <w:rFonts w:ascii="Calibri" w:hAnsi="Calibri"/>
          <w:noProof/>
          <w:sz w:val="22"/>
          <w:szCs w:val="22"/>
        </w:rPr>
      </w:pPr>
      <w:hyperlink w:anchor="_Toc474797022" w:history="1">
        <w:r w:rsidR="0011752D" w:rsidRPr="0011752D">
          <w:rPr>
            <w:rFonts w:ascii="Arial" w:hAnsi="Arial"/>
            <w:noProof/>
            <w:color w:val="0563C1"/>
            <w:sz w:val="22"/>
            <w:u w:val="single"/>
            <w:lang w:val="es-CO"/>
          </w:rPr>
          <w:t>2.1.3</w:t>
        </w:r>
        <w:r w:rsidR="0011752D" w:rsidRPr="0011752D">
          <w:rPr>
            <w:rFonts w:ascii="Calibri" w:hAnsi="Calibri"/>
            <w:noProof/>
            <w:sz w:val="22"/>
            <w:szCs w:val="22"/>
          </w:rPr>
          <w:tab/>
        </w:r>
        <w:r w:rsidR="0011752D" w:rsidRPr="0011752D">
          <w:rPr>
            <w:rFonts w:ascii="Arial" w:hAnsi="Arial"/>
            <w:noProof/>
            <w:color w:val="0563C1"/>
            <w:sz w:val="22"/>
            <w:u w:val="single"/>
            <w:lang w:val="es-CO"/>
          </w:rPr>
          <w:t>Funcionamiento de la bolsa de energía y precios marginales</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_Toc474797022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11</w:t>
        </w:r>
        <w:r w:rsidR="0011752D" w:rsidRPr="0011752D">
          <w:rPr>
            <w:rFonts w:ascii="Arial" w:hAnsi="Arial"/>
            <w:noProof/>
            <w:webHidden/>
            <w:sz w:val="22"/>
            <w:lang w:val="es-CO"/>
          </w:rPr>
          <w:fldChar w:fldCharType="end"/>
        </w:r>
      </w:hyperlink>
    </w:p>
    <w:p w14:paraId="2341A737" w14:textId="77777777" w:rsidR="0011752D" w:rsidRPr="0011752D" w:rsidRDefault="004932D7" w:rsidP="0011752D">
      <w:pPr>
        <w:tabs>
          <w:tab w:val="left" w:pos="1320"/>
          <w:tab w:val="right" w:leader="dot" w:pos="8828"/>
        </w:tabs>
        <w:spacing w:before="120"/>
        <w:ind w:left="480"/>
        <w:jc w:val="both"/>
        <w:rPr>
          <w:rFonts w:ascii="Calibri" w:hAnsi="Calibri"/>
          <w:noProof/>
          <w:sz w:val="22"/>
          <w:szCs w:val="22"/>
        </w:rPr>
      </w:pPr>
      <w:hyperlink w:anchor="_Toc474797023" w:history="1">
        <w:r w:rsidR="0011752D" w:rsidRPr="0011752D">
          <w:rPr>
            <w:rFonts w:ascii="Arial" w:hAnsi="Arial"/>
            <w:noProof/>
            <w:color w:val="0563C1"/>
            <w:sz w:val="22"/>
            <w:u w:val="single"/>
            <w:lang w:val="es-CO"/>
          </w:rPr>
          <w:t>2.1.4</w:t>
        </w:r>
        <w:r w:rsidR="0011752D" w:rsidRPr="0011752D">
          <w:rPr>
            <w:rFonts w:ascii="Calibri" w:hAnsi="Calibri"/>
            <w:noProof/>
            <w:sz w:val="22"/>
            <w:szCs w:val="22"/>
          </w:rPr>
          <w:tab/>
        </w:r>
        <w:r w:rsidR="0011752D" w:rsidRPr="0011752D">
          <w:rPr>
            <w:rFonts w:ascii="Arial" w:hAnsi="Arial"/>
            <w:noProof/>
            <w:color w:val="0563C1"/>
            <w:sz w:val="22"/>
            <w:u w:val="single"/>
            <w:lang w:val="es-CO"/>
          </w:rPr>
          <w:t>El Cargo por Confiabilidad en el MEM</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_Toc474797023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12</w:t>
        </w:r>
        <w:r w:rsidR="0011752D" w:rsidRPr="0011752D">
          <w:rPr>
            <w:rFonts w:ascii="Arial" w:hAnsi="Arial"/>
            <w:noProof/>
            <w:webHidden/>
            <w:sz w:val="22"/>
            <w:lang w:val="es-CO"/>
          </w:rPr>
          <w:fldChar w:fldCharType="end"/>
        </w:r>
      </w:hyperlink>
    </w:p>
    <w:p w14:paraId="2341A738" w14:textId="77777777" w:rsidR="0011752D" w:rsidRPr="0011752D" w:rsidRDefault="004932D7" w:rsidP="0011752D">
      <w:pPr>
        <w:tabs>
          <w:tab w:val="left" w:pos="1320"/>
          <w:tab w:val="right" w:leader="dot" w:pos="8828"/>
        </w:tabs>
        <w:spacing w:before="120"/>
        <w:ind w:left="480"/>
        <w:jc w:val="both"/>
        <w:rPr>
          <w:rFonts w:ascii="Calibri" w:hAnsi="Calibri"/>
          <w:noProof/>
          <w:sz w:val="22"/>
          <w:szCs w:val="22"/>
        </w:rPr>
      </w:pPr>
      <w:hyperlink w:anchor="_Toc474797024" w:history="1">
        <w:r w:rsidR="0011752D" w:rsidRPr="0011752D">
          <w:rPr>
            <w:rFonts w:ascii="Arial" w:hAnsi="Arial"/>
            <w:noProof/>
            <w:color w:val="0563C1"/>
            <w:sz w:val="22"/>
            <w:u w:val="single"/>
            <w:lang w:val="es-ES"/>
          </w:rPr>
          <w:t>2.1.5</w:t>
        </w:r>
        <w:r w:rsidR="0011752D" w:rsidRPr="0011752D">
          <w:rPr>
            <w:rFonts w:ascii="Calibri" w:hAnsi="Calibri"/>
            <w:noProof/>
            <w:sz w:val="22"/>
            <w:szCs w:val="22"/>
          </w:rPr>
          <w:tab/>
        </w:r>
        <w:r w:rsidR="0011752D" w:rsidRPr="0011752D">
          <w:rPr>
            <w:rFonts w:ascii="Arial" w:hAnsi="Arial"/>
            <w:noProof/>
            <w:color w:val="0563C1"/>
            <w:sz w:val="22"/>
            <w:u w:val="single"/>
            <w:lang w:val="es-ES"/>
          </w:rPr>
          <w:t>El ingreso neto de un generador</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_Toc474797024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14</w:t>
        </w:r>
        <w:r w:rsidR="0011752D" w:rsidRPr="0011752D">
          <w:rPr>
            <w:rFonts w:ascii="Arial" w:hAnsi="Arial"/>
            <w:noProof/>
            <w:webHidden/>
            <w:sz w:val="22"/>
            <w:lang w:val="es-CO"/>
          </w:rPr>
          <w:fldChar w:fldCharType="end"/>
        </w:r>
      </w:hyperlink>
    </w:p>
    <w:p w14:paraId="2341A739" w14:textId="77777777" w:rsidR="0011752D" w:rsidRPr="0011752D" w:rsidRDefault="004932D7" w:rsidP="0011752D">
      <w:pPr>
        <w:tabs>
          <w:tab w:val="left" w:pos="1320"/>
          <w:tab w:val="right" w:leader="dot" w:pos="8828"/>
        </w:tabs>
        <w:spacing w:before="120"/>
        <w:ind w:left="480"/>
        <w:jc w:val="both"/>
        <w:rPr>
          <w:rFonts w:ascii="Calibri" w:hAnsi="Calibri"/>
          <w:noProof/>
          <w:sz w:val="22"/>
          <w:szCs w:val="22"/>
        </w:rPr>
      </w:pPr>
      <w:hyperlink w:anchor="_Toc474797025" w:history="1">
        <w:r w:rsidR="0011752D" w:rsidRPr="0011752D">
          <w:rPr>
            <w:rFonts w:ascii="Arial" w:hAnsi="Arial"/>
            <w:noProof/>
            <w:color w:val="0563C1"/>
            <w:sz w:val="22"/>
            <w:u w:val="single"/>
            <w:lang w:val="es-ES"/>
          </w:rPr>
          <w:t>2.1.6</w:t>
        </w:r>
        <w:r w:rsidR="0011752D" w:rsidRPr="0011752D">
          <w:rPr>
            <w:rFonts w:ascii="Calibri" w:hAnsi="Calibri"/>
            <w:noProof/>
            <w:sz w:val="22"/>
            <w:szCs w:val="22"/>
          </w:rPr>
          <w:tab/>
        </w:r>
        <w:r w:rsidR="0011752D" w:rsidRPr="0011752D">
          <w:rPr>
            <w:rFonts w:ascii="Arial" w:hAnsi="Arial"/>
            <w:noProof/>
            <w:color w:val="0563C1"/>
            <w:sz w:val="22"/>
            <w:u w:val="single"/>
            <w:lang w:val="es-ES"/>
          </w:rPr>
          <w:t>Metodología de estimación de costos marginales y del beneficio neto</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_Toc474797025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14</w:t>
        </w:r>
        <w:r w:rsidR="0011752D" w:rsidRPr="0011752D">
          <w:rPr>
            <w:rFonts w:ascii="Arial" w:hAnsi="Arial"/>
            <w:noProof/>
            <w:webHidden/>
            <w:sz w:val="22"/>
            <w:lang w:val="es-CO"/>
          </w:rPr>
          <w:fldChar w:fldCharType="end"/>
        </w:r>
      </w:hyperlink>
    </w:p>
    <w:p w14:paraId="2341A73A"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26" w:history="1">
        <w:r w:rsidR="0011752D" w:rsidRPr="0011752D">
          <w:rPr>
            <w:rFonts w:ascii="Arial" w:hAnsi="Arial"/>
            <w:noProof/>
            <w:color w:val="0563C1"/>
            <w:sz w:val="22"/>
            <w:u w:val="single"/>
            <w:lang w:val="es-ES"/>
          </w:rPr>
          <w:t>2.2</w:t>
        </w:r>
        <w:r w:rsidR="0011752D" w:rsidRPr="0011752D">
          <w:rPr>
            <w:rFonts w:ascii="Calibri" w:hAnsi="Calibri"/>
            <w:noProof/>
            <w:sz w:val="22"/>
            <w:szCs w:val="22"/>
          </w:rPr>
          <w:tab/>
        </w:r>
        <w:r w:rsidR="0011752D" w:rsidRPr="0011752D">
          <w:rPr>
            <w:rFonts w:ascii="Arial" w:hAnsi="Arial"/>
            <w:noProof/>
            <w:color w:val="0563C1"/>
            <w:sz w:val="22"/>
            <w:u w:val="single"/>
            <w:lang w:val="es-ES"/>
          </w:rPr>
          <w:t>Cálculo de beneficios netos de la diversificación eficiente de la matriz energética del SIN</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_Toc474797026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19</w:t>
        </w:r>
        <w:r w:rsidR="0011752D" w:rsidRPr="0011752D">
          <w:rPr>
            <w:rFonts w:ascii="Arial" w:hAnsi="Arial"/>
            <w:noProof/>
            <w:webHidden/>
            <w:sz w:val="22"/>
            <w:lang w:val="es-CO"/>
          </w:rPr>
          <w:fldChar w:fldCharType="end"/>
        </w:r>
      </w:hyperlink>
    </w:p>
    <w:p w14:paraId="2341A73B"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27" w:history="1">
        <w:r w:rsidR="0011752D" w:rsidRPr="0011752D">
          <w:rPr>
            <w:rFonts w:ascii="Arial" w:hAnsi="Arial"/>
            <w:noProof/>
            <w:color w:val="0563C1"/>
            <w:sz w:val="22"/>
            <w:u w:val="single"/>
            <w:lang w:val="es-ES"/>
          </w:rPr>
          <w:t>2.3</w:t>
        </w:r>
        <w:r w:rsidR="0011752D" w:rsidRPr="0011752D">
          <w:rPr>
            <w:rFonts w:ascii="Calibri" w:hAnsi="Calibri"/>
            <w:noProof/>
            <w:sz w:val="22"/>
            <w:szCs w:val="22"/>
          </w:rPr>
          <w:tab/>
        </w:r>
        <w:r w:rsidR="0011752D" w:rsidRPr="0011752D">
          <w:rPr>
            <w:rFonts w:ascii="Arial" w:hAnsi="Arial"/>
            <w:noProof/>
            <w:color w:val="0563C1"/>
            <w:sz w:val="22"/>
            <w:u w:val="single"/>
            <w:lang w:val="es-ES"/>
          </w:rPr>
          <w:t>Beneficiarios</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_Toc474797027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23</w:t>
        </w:r>
        <w:r w:rsidR="0011752D" w:rsidRPr="0011752D">
          <w:rPr>
            <w:rFonts w:ascii="Arial" w:hAnsi="Arial"/>
            <w:noProof/>
            <w:webHidden/>
            <w:sz w:val="22"/>
            <w:lang w:val="es-CO"/>
          </w:rPr>
          <w:fldChar w:fldCharType="end"/>
        </w:r>
      </w:hyperlink>
    </w:p>
    <w:p w14:paraId="2341A73C"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28" w:history="1">
        <w:r w:rsidR="0011752D" w:rsidRPr="0011752D">
          <w:rPr>
            <w:rFonts w:ascii="Arial" w:hAnsi="Arial"/>
            <w:noProof/>
            <w:color w:val="0563C1"/>
            <w:sz w:val="22"/>
            <w:u w:val="single"/>
            <w:lang w:val="es-CO"/>
          </w:rPr>
          <w:t>2.4</w:t>
        </w:r>
        <w:r w:rsidR="0011752D" w:rsidRPr="0011752D">
          <w:rPr>
            <w:rFonts w:ascii="Calibri" w:hAnsi="Calibri"/>
            <w:noProof/>
            <w:sz w:val="22"/>
            <w:szCs w:val="22"/>
          </w:rPr>
          <w:tab/>
        </w:r>
        <w:r w:rsidR="0011752D" w:rsidRPr="0011752D">
          <w:rPr>
            <w:rFonts w:ascii="Arial" w:hAnsi="Arial"/>
            <w:noProof/>
            <w:color w:val="0563C1"/>
            <w:sz w:val="22"/>
            <w:u w:val="single"/>
            <w:lang w:val="es-CO"/>
          </w:rPr>
          <w:t>Análisis de sensibilidad</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_Toc474797028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23</w:t>
        </w:r>
        <w:r w:rsidR="0011752D" w:rsidRPr="0011752D">
          <w:rPr>
            <w:rFonts w:ascii="Arial" w:hAnsi="Arial"/>
            <w:noProof/>
            <w:webHidden/>
            <w:sz w:val="22"/>
            <w:lang w:val="es-CO"/>
          </w:rPr>
          <w:fldChar w:fldCharType="end"/>
        </w:r>
      </w:hyperlink>
    </w:p>
    <w:p w14:paraId="2341A73D" w14:textId="77777777" w:rsidR="0011752D" w:rsidRPr="0011752D" w:rsidRDefault="004932D7" w:rsidP="0011752D">
      <w:pPr>
        <w:tabs>
          <w:tab w:val="left" w:pos="480"/>
          <w:tab w:val="right" w:leader="dot" w:pos="8828"/>
        </w:tabs>
        <w:spacing w:before="240" w:after="100"/>
        <w:jc w:val="both"/>
        <w:rPr>
          <w:rFonts w:ascii="Calibri" w:hAnsi="Calibri"/>
          <w:noProof/>
          <w:sz w:val="22"/>
          <w:szCs w:val="22"/>
        </w:rPr>
      </w:pPr>
      <w:hyperlink w:anchor="_Toc474797029" w:history="1">
        <w:r w:rsidR="0011752D" w:rsidRPr="0011752D">
          <w:rPr>
            <w:rFonts w:ascii="Arial" w:hAnsi="Arial"/>
            <w:b/>
            <w:noProof/>
            <w:color w:val="0563C1"/>
            <w:sz w:val="22"/>
            <w:u w:val="single"/>
            <w:lang w:val="es-CO"/>
          </w:rPr>
          <w:t>3</w:t>
        </w:r>
        <w:r w:rsidR="0011752D" w:rsidRPr="0011752D">
          <w:rPr>
            <w:rFonts w:ascii="Calibri" w:hAnsi="Calibri"/>
            <w:noProof/>
            <w:sz w:val="22"/>
            <w:szCs w:val="22"/>
          </w:rPr>
          <w:tab/>
        </w:r>
        <w:r w:rsidR="0011752D" w:rsidRPr="0011752D">
          <w:rPr>
            <w:rFonts w:ascii="Arial" w:hAnsi="Arial"/>
            <w:b/>
            <w:noProof/>
            <w:color w:val="0563C1"/>
            <w:sz w:val="22"/>
            <w:u w:val="single"/>
            <w:lang w:val="es-CO"/>
          </w:rPr>
          <w:t>Evaluación económica del Subcomponente 2.2 Fortalecimiento del Mercado Eléctrico en lo relacionado con la oferta de Gas natural para la generación eléctrica y gestión eficiente de la demanda de energía eléctrica</w:t>
        </w:r>
        <w:r w:rsidR="0011752D" w:rsidRPr="0011752D">
          <w:rPr>
            <w:rFonts w:ascii="Arial" w:hAnsi="Arial"/>
            <w:b/>
            <w:noProof/>
            <w:webHidden/>
            <w:sz w:val="22"/>
            <w:lang w:val="es-CO"/>
          </w:rPr>
          <w:tab/>
        </w:r>
        <w:r w:rsidR="0011752D" w:rsidRPr="0011752D">
          <w:rPr>
            <w:rFonts w:ascii="Arial" w:hAnsi="Arial"/>
            <w:b/>
            <w:noProof/>
            <w:webHidden/>
            <w:sz w:val="22"/>
            <w:lang w:val="es-CO"/>
          </w:rPr>
          <w:fldChar w:fldCharType="begin"/>
        </w:r>
        <w:r w:rsidR="0011752D" w:rsidRPr="0011752D">
          <w:rPr>
            <w:rFonts w:ascii="Arial" w:hAnsi="Arial"/>
            <w:b/>
            <w:noProof/>
            <w:webHidden/>
            <w:sz w:val="22"/>
            <w:lang w:val="es-CO"/>
          </w:rPr>
          <w:instrText xml:space="preserve"> PAGEREF _Toc474797029 \h </w:instrText>
        </w:r>
        <w:r w:rsidR="0011752D" w:rsidRPr="0011752D">
          <w:rPr>
            <w:rFonts w:ascii="Arial" w:hAnsi="Arial"/>
            <w:b/>
            <w:noProof/>
            <w:webHidden/>
            <w:sz w:val="22"/>
            <w:lang w:val="es-CO"/>
          </w:rPr>
        </w:r>
        <w:r w:rsidR="0011752D" w:rsidRPr="0011752D">
          <w:rPr>
            <w:rFonts w:ascii="Arial" w:hAnsi="Arial"/>
            <w:b/>
            <w:noProof/>
            <w:webHidden/>
            <w:sz w:val="22"/>
            <w:lang w:val="es-CO"/>
          </w:rPr>
          <w:fldChar w:fldCharType="separate"/>
        </w:r>
        <w:r w:rsidR="0011752D" w:rsidRPr="0011752D">
          <w:rPr>
            <w:rFonts w:ascii="Arial" w:hAnsi="Arial"/>
            <w:b/>
            <w:noProof/>
            <w:webHidden/>
            <w:sz w:val="22"/>
            <w:lang w:val="es-CO"/>
          </w:rPr>
          <w:t>25</w:t>
        </w:r>
        <w:r w:rsidR="0011752D" w:rsidRPr="0011752D">
          <w:rPr>
            <w:rFonts w:ascii="Arial" w:hAnsi="Arial"/>
            <w:b/>
            <w:noProof/>
            <w:webHidden/>
            <w:sz w:val="22"/>
            <w:lang w:val="es-CO"/>
          </w:rPr>
          <w:fldChar w:fldCharType="end"/>
        </w:r>
      </w:hyperlink>
    </w:p>
    <w:p w14:paraId="2341A73E"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30" w:history="1">
        <w:r w:rsidR="0011752D" w:rsidRPr="0011752D">
          <w:rPr>
            <w:rFonts w:ascii="Arial" w:hAnsi="Arial"/>
            <w:noProof/>
            <w:color w:val="0563C1"/>
            <w:sz w:val="22"/>
            <w:u w:val="single"/>
            <w:lang w:val="es-CO"/>
          </w:rPr>
          <w:t>3.1</w:t>
        </w:r>
        <w:r w:rsidR="0011752D" w:rsidRPr="0011752D">
          <w:rPr>
            <w:rFonts w:ascii="Calibri" w:hAnsi="Calibri"/>
            <w:noProof/>
            <w:sz w:val="22"/>
            <w:szCs w:val="22"/>
          </w:rPr>
          <w:tab/>
        </w:r>
        <w:r w:rsidR="0011752D" w:rsidRPr="0011752D">
          <w:rPr>
            <w:rFonts w:ascii="Arial" w:hAnsi="Arial"/>
            <w:noProof/>
            <w:color w:val="0563C1"/>
            <w:sz w:val="22"/>
            <w:u w:val="single"/>
            <w:lang w:val="es-CO"/>
          </w:rPr>
          <w:t>Evaluación económica de las medidas tendientes a aumentar y garantizar la oferta de Gas Natural (GN)</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_Toc474797030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25</w:t>
        </w:r>
        <w:r w:rsidR="0011752D" w:rsidRPr="0011752D">
          <w:rPr>
            <w:rFonts w:ascii="Arial" w:hAnsi="Arial"/>
            <w:noProof/>
            <w:webHidden/>
            <w:sz w:val="22"/>
            <w:lang w:val="es-CO"/>
          </w:rPr>
          <w:fldChar w:fldCharType="end"/>
        </w:r>
      </w:hyperlink>
    </w:p>
    <w:p w14:paraId="2341A73F"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31" w:history="1">
        <w:r w:rsidR="0011752D" w:rsidRPr="0011752D">
          <w:rPr>
            <w:rFonts w:ascii="Arial" w:hAnsi="Arial"/>
            <w:noProof/>
            <w:color w:val="0563C1"/>
            <w:sz w:val="22"/>
            <w:u w:val="single"/>
            <w:lang w:val="es-CO"/>
          </w:rPr>
          <w:t>3.2</w:t>
        </w:r>
        <w:r w:rsidR="0011752D" w:rsidRPr="0011752D">
          <w:rPr>
            <w:rFonts w:ascii="Calibri" w:hAnsi="Calibri"/>
            <w:noProof/>
            <w:sz w:val="22"/>
            <w:szCs w:val="22"/>
          </w:rPr>
          <w:tab/>
        </w:r>
        <w:r w:rsidR="0011752D" w:rsidRPr="0011752D">
          <w:rPr>
            <w:rFonts w:ascii="Arial" w:hAnsi="Arial"/>
            <w:noProof/>
            <w:color w:val="0563C1"/>
            <w:sz w:val="22"/>
            <w:u w:val="single"/>
            <w:lang w:val="es-CO"/>
          </w:rPr>
          <w:t>Evaluación económica de las medidas relacionadas con la GEDE</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_Toc474797031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28</w:t>
        </w:r>
        <w:r w:rsidR="0011752D" w:rsidRPr="0011752D">
          <w:rPr>
            <w:rFonts w:ascii="Arial" w:hAnsi="Arial"/>
            <w:noProof/>
            <w:webHidden/>
            <w:sz w:val="22"/>
            <w:lang w:val="es-CO"/>
          </w:rPr>
          <w:fldChar w:fldCharType="end"/>
        </w:r>
      </w:hyperlink>
    </w:p>
    <w:p w14:paraId="2341A740" w14:textId="77777777" w:rsidR="0011752D" w:rsidRPr="0011752D" w:rsidRDefault="004932D7" w:rsidP="0011752D">
      <w:pPr>
        <w:tabs>
          <w:tab w:val="left" w:pos="1320"/>
          <w:tab w:val="right" w:leader="dot" w:pos="8828"/>
        </w:tabs>
        <w:spacing w:before="120"/>
        <w:ind w:left="480"/>
        <w:jc w:val="both"/>
        <w:rPr>
          <w:rFonts w:ascii="Calibri" w:hAnsi="Calibri"/>
          <w:noProof/>
          <w:sz w:val="22"/>
          <w:szCs w:val="22"/>
        </w:rPr>
      </w:pPr>
      <w:hyperlink w:anchor="_Toc474797032" w:history="1">
        <w:r w:rsidR="0011752D" w:rsidRPr="0011752D">
          <w:rPr>
            <w:rFonts w:ascii="Arial" w:hAnsi="Arial"/>
            <w:noProof/>
            <w:color w:val="0563C1"/>
            <w:sz w:val="22"/>
            <w:u w:val="single"/>
            <w:lang w:val="es-ES"/>
          </w:rPr>
          <w:t>3.2.1</w:t>
        </w:r>
        <w:r w:rsidR="0011752D" w:rsidRPr="0011752D">
          <w:rPr>
            <w:rFonts w:ascii="Calibri" w:hAnsi="Calibri"/>
            <w:noProof/>
            <w:sz w:val="22"/>
            <w:szCs w:val="22"/>
          </w:rPr>
          <w:tab/>
        </w:r>
        <w:r w:rsidR="0011752D" w:rsidRPr="0011752D">
          <w:rPr>
            <w:rFonts w:ascii="Arial" w:hAnsi="Arial"/>
            <w:noProof/>
            <w:color w:val="0563C1"/>
            <w:sz w:val="22"/>
            <w:u w:val="single"/>
            <w:lang w:val="es-ES"/>
          </w:rPr>
          <w:t>Supuestos y metodología</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_Toc474797032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28</w:t>
        </w:r>
        <w:r w:rsidR="0011752D" w:rsidRPr="0011752D">
          <w:rPr>
            <w:rFonts w:ascii="Arial" w:hAnsi="Arial"/>
            <w:noProof/>
            <w:webHidden/>
            <w:sz w:val="22"/>
            <w:lang w:val="es-CO"/>
          </w:rPr>
          <w:fldChar w:fldCharType="end"/>
        </w:r>
      </w:hyperlink>
    </w:p>
    <w:p w14:paraId="2341A741" w14:textId="77777777" w:rsidR="0011752D" w:rsidRPr="0011752D" w:rsidRDefault="004932D7" w:rsidP="0011752D">
      <w:pPr>
        <w:tabs>
          <w:tab w:val="left" w:pos="1320"/>
          <w:tab w:val="right" w:leader="dot" w:pos="8828"/>
        </w:tabs>
        <w:spacing w:before="120"/>
        <w:ind w:left="480"/>
        <w:jc w:val="both"/>
        <w:rPr>
          <w:rFonts w:ascii="Calibri" w:hAnsi="Calibri"/>
          <w:noProof/>
          <w:sz w:val="22"/>
          <w:szCs w:val="22"/>
        </w:rPr>
      </w:pPr>
      <w:hyperlink w:anchor="_Toc474797033" w:history="1">
        <w:r w:rsidR="0011752D" w:rsidRPr="0011752D">
          <w:rPr>
            <w:rFonts w:ascii="Arial" w:hAnsi="Arial"/>
            <w:noProof/>
            <w:color w:val="0563C1"/>
            <w:sz w:val="22"/>
            <w:u w:val="single"/>
            <w:lang w:val="es-CO"/>
          </w:rPr>
          <w:t>3.2.2</w:t>
        </w:r>
        <w:r w:rsidR="0011752D" w:rsidRPr="0011752D">
          <w:rPr>
            <w:rFonts w:ascii="Calibri" w:hAnsi="Calibri"/>
            <w:noProof/>
            <w:sz w:val="22"/>
            <w:szCs w:val="22"/>
          </w:rPr>
          <w:tab/>
        </w:r>
        <w:r w:rsidR="0011752D" w:rsidRPr="0011752D">
          <w:rPr>
            <w:rFonts w:ascii="Arial" w:hAnsi="Arial"/>
            <w:noProof/>
            <w:color w:val="0563C1"/>
            <w:sz w:val="22"/>
            <w:u w:val="single"/>
            <w:lang w:val="es-CO"/>
          </w:rPr>
          <w:t>Beneficios netos de las medidas de gestión eficiente de la demanda</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_Toc474797033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28</w:t>
        </w:r>
        <w:r w:rsidR="0011752D" w:rsidRPr="0011752D">
          <w:rPr>
            <w:rFonts w:ascii="Arial" w:hAnsi="Arial"/>
            <w:noProof/>
            <w:webHidden/>
            <w:sz w:val="22"/>
            <w:lang w:val="es-CO"/>
          </w:rPr>
          <w:fldChar w:fldCharType="end"/>
        </w:r>
      </w:hyperlink>
    </w:p>
    <w:p w14:paraId="2341A742" w14:textId="77777777" w:rsidR="0011752D" w:rsidRPr="0011752D" w:rsidRDefault="004932D7" w:rsidP="0011752D">
      <w:pPr>
        <w:tabs>
          <w:tab w:val="left" w:pos="1320"/>
          <w:tab w:val="right" w:leader="dot" w:pos="8828"/>
        </w:tabs>
        <w:spacing w:before="120"/>
        <w:ind w:left="480"/>
        <w:jc w:val="both"/>
        <w:rPr>
          <w:rFonts w:ascii="Calibri" w:hAnsi="Calibri"/>
          <w:noProof/>
          <w:sz w:val="22"/>
          <w:szCs w:val="22"/>
        </w:rPr>
      </w:pPr>
      <w:hyperlink w:anchor="_Toc474797034" w:history="1">
        <w:r w:rsidR="0011752D" w:rsidRPr="0011752D">
          <w:rPr>
            <w:rFonts w:ascii="Arial" w:hAnsi="Arial"/>
            <w:noProof/>
            <w:color w:val="0563C1"/>
            <w:sz w:val="22"/>
            <w:u w:val="single"/>
            <w:lang w:val="es-ES"/>
          </w:rPr>
          <w:t>3.2.3</w:t>
        </w:r>
        <w:r w:rsidR="0011752D" w:rsidRPr="0011752D">
          <w:rPr>
            <w:rFonts w:ascii="Calibri" w:hAnsi="Calibri"/>
            <w:noProof/>
            <w:sz w:val="22"/>
            <w:szCs w:val="22"/>
          </w:rPr>
          <w:tab/>
        </w:r>
        <w:r w:rsidR="0011752D" w:rsidRPr="0011752D">
          <w:rPr>
            <w:rFonts w:ascii="Arial" w:hAnsi="Arial"/>
            <w:noProof/>
            <w:color w:val="0563C1"/>
            <w:sz w:val="22"/>
            <w:u w:val="single"/>
            <w:lang w:val="es-ES"/>
          </w:rPr>
          <w:t>Beneficiarios</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_Toc474797034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35</w:t>
        </w:r>
        <w:r w:rsidR="0011752D" w:rsidRPr="0011752D">
          <w:rPr>
            <w:rFonts w:ascii="Arial" w:hAnsi="Arial"/>
            <w:noProof/>
            <w:webHidden/>
            <w:sz w:val="22"/>
            <w:lang w:val="es-CO"/>
          </w:rPr>
          <w:fldChar w:fldCharType="end"/>
        </w:r>
      </w:hyperlink>
    </w:p>
    <w:p w14:paraId="2341A743" w14:textId="77777777" w:rsidR="0011752D" w:rsidRPr="0011752D" w:rsidRDefault="004932D7" w:rsidP="0011752D">
      <w:pPr>
        <w:tabs>
          <w:tab w:val="left" w:pos="1320"/>
          <w:tab w:val="right" w:leader="dot" w:pos="8828"/>
        </w:tabs>
        <w:spacing w:before="120"/>
        <w:ind w:left="480"/>
        <w:jc w:val="both"/>
        <w:rPr>
          <w:rFonts w:ascii="Calibri" w:hAnsi="Calibri"/>
          <w:noProof/>
          <w:sz w:val="22"/>
          <w:szCs w:val="22"/>
        </w:rPr>
      </w:pPr>
      <w:hyperlink w:anchor="_Toc474797035" w:history="1">
        <w:r w:rsidR="0011752D" w:rsidRPr="0011752D">
          <w:rPr>
            <w:rFonts w:ascii="Arial" w:hAnsi="Arial"/>
            <w:noProof/>
            <w:color w:val="0563C1"/>
            <w:sz w:val="22"/>
            <w:u w:val="single"/>
            <w:lang w:val="es-CO"/>
          </w:rPr>
          <w:t>3.2.4</w:t>
        </w:r>
        <w:r w:rsidR="0011752D" w:rsidRPr="0011752D">
          <w:rPr>
            <w:rFonts w:ascii="Calibri" w:hAnsi="Calibri"/>
            <w:noProof/>
            <w:sz w:val="22"/>
            <w:szCs w:val="22"/>
          </w:rPr>
          <w:tab/>
        </w:r>
        <w:r w:rsidR="0011752D" w:rsidRPr="0011752D">
          <w:rPr>
            <w:rFonts w:ascii="Arial" w:hAnsi="Arial"/>
            <w:noProof/>
            <w:color w:val="0563C1"/>
            <w:sz w:val="22"/>
            <w:u w:val="single"/>
            <w:lang w:val="es-CO"/>
          </w:rPr>
          <w:t>Análisis de sensibilidad</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_Toc474797035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35</w:t>
        </w:r>
        <w:r w:rsidR="0011752D" w:rsidRPr="0011752D">
          <w:rPr>
            <w:rFonts w:ascii="Arial" w:hAnsi="Arial"/>
            <w:noProof/>
            <w:webHidden/>
            <w:sz w:val="22"/>
            <w:lang w:val="es-CO"/>
          </w:rPr>
          <w:fldChar w:fldCharType="end"/>
        </w:r>
      </w:hyperlink>
    </w:p>
    <w:p w14:paraId="2341A744"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36" w:history="1">
        <w:r w:rsidR="0011752D" w:rsidRPr="0011752D">
          <w:rPr>
            <w:rFonts w:ascii="Arial" w:hAnsi="Arial"/>
            <w:noProof/>
            <w:color w:val="0563C1"/>
            <w:sz w:val="22"/>
            <w:u w:val="single"/>
            <w:lang w:val="es-CO"/>
          </w:rPr>
          <w:t>3.3</w:t>
        </w:r>
        <w:r w:rsidR="0011752D" w:rsidRPr="0011752D">
          <w:rPr>
            <w:rFonts w:ascii="Calibri" w:hAnsi="Calibri"/>
            <w:noProof/>
            <w:sz w:val="22"/>
            <w:szCs w:val="22"/>
          </w:rPr>
          <w:tab/>
        </w:r>
        <w:r w:rsidR="0011752D" w:rsidRPr="0011752D">
          <w:rPr>
            <w:rFonts w:ascii="Arial" w:hAnsi="Arial"/>
            <w:noProof/>
            <w:color w:val="0563C1"/>
            <w:sz w:val="22"/>
            <w:u w:val="single"/>
            <w:lang w:val="es-CO"/>
          </w:rPr>
          <w:t>Conclusiones de la evaluación económica del Componente 2</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_Toc474797036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36</w:t>
        </w:r>
        <w:r w:rsidR="0011752D" w:rsidRPr="0011752D">
          <w:rPr>
            <w:rFonts w:ascii="Arial" w:hAnsi="Arial"/>
            <w:noProof/>
            <w:webHidden/>
            <w:sz w:val="22"/>
            <w:lang w:val="es-CO"/>
          </w:rPr>
          <w:fldChar w:fldCharType="end"/>
        </w:r>
      </w:hyperlink>
    </w:p>
    <w:p w14:paraId="2341A745" w14:textId="77777777" w:rsidR="0011752D" w:rsidRPr="0011752D" w:rsidRDefault="004932D7" w:rsidP="0011752D">
      <w:pPr>
        <w:tabs>
          <w:tab w:val="left" w:pos="480"/>
          <w:tab w:val="right" w:leader="dot" w:pos="8828"/>
        </w:tabs>
        <w:spacing w:before="240" w:after="100"/>
        <w:jc w:val="both"/>
        <w:rPr>
          <w:rFonts w:ascii="Calibri" w:hAnsi="Calibri"/>
          <w:noProof/>
          <w:sz w:val="22"/>
          <w:szCs w:val="22"/>
        </w:rPr>
      </w:pPr>
      <w:hyperlink w:anchor="_Toc474797037" w:history="1">
        <w:r w:rsidR="0011752D" w:rsidRPr="0011752D">
          <w:rPr>
            <w:rFonts w:ascii="Arial" w:hAnsi="Arial"/>
            <w:b/>
            <w:noProof/>
            <w:color w:val="0563C1"/>
            <w:sz w:val="22"/>
            <w:u w:val="single"/>
            <w:lang w:val="es-CO"/>
          </w:rPr>
          <w:t>4</w:t>
        </w:r>
        <w:r w:rsidR="0011752D" w:rsidRPr="0011752D">
          <w:rPr>
            <w:rFonts w:ascii="Calibri" w:hAnsi="Calibri"/>
            <w:noProof/>
            <w:sz w:val="22"/>
            <w:szCs w:val="22"/>
          </w:rPr>
          <w:tab/>
        </w:r>
        <w:r w:rsidR="0011752D" w:rsidRPr="0011752D">
          <w:rPr>
            <w:rFonts w:ascii="Arial" w:hAnsi="Arial"/>
            <w:b/>
            <w:noProof/>
            <w:color w:val="0563C1"/>
            <w:sz w:val="22"/>
            <w:u w:val="single"/>
            <w:lang w:val="es-CO"/>
          </w:rPr>
          <w:t>Evaluación económica del Componente 3 relacionado con la promoción del acceso a la energía en ZNI</w:t>
        </w:r>
        <w:r w:rsidR="0011752D" w:rsidRPr="0011752D">
          <w:rPr>
            <w:rFonts w:ascii="Arial" w:hAnsi="Arial"/>
            <w:b/>
            <w:noProof/>
            <w:webHidden/>
            <w:sz w:val="22"/>
            <w:lang w:val="es-CO"/>
          </w:rPr>
          <w:tab/>
        </w:r>
        <w:r w:rsidR="0011752D" w:rsidRPr="0011752D">
          <w:rPr>
            <w:rFonts w:ascii="Arial" w:hAnsi="Arial"/>
            <w:b/>
            <w:noProof/>
            <w:webHidden/>
            <w:sz w:val="22"/>
            <w:lang w:val="es-CO"/>
          </w:rPr>
          <w:fldChar w:fldCharType="begin"/>
        </w:r>
        <w:r w:rsidR="0011752D" w:rsidRPr="0011752D">
          <w:rPr>
            <w:rFonts w:ascii="Arial" w:hAnsi="Arial"/>
            <w:b/>
            <w:noProof/>
            <w:webHidden/>
            <w:sz w:val="22"/>
            <w:lang w:val="es-CO"/>
          </w:rPr>
          <w:instrText xml:space="preserve"> PAGEREF _Toc474797037 \h </w:instrText>
        </w:r>
        <w:r w:rsidR="0011752D" w:rsidRPr="0011752D">
          <w:rPr>
            <w:rFonts w:ascii="Arial" w:hAnsi="Arial"/>
            <w:b/>
            <w:noProof/>
            <w:webHidden/>
            <w:sz w:val="22"/>
            <w:lang w:val="es-CO"/>
          </w:rPr>
        </w:r>
        <w:r w:rsidR="0011752D" w:rsidRPr="0011752D">
          <w:rPr>
            <w:rFonts w:ascii="Arial" w:hAnsi="Arial"/>
            <w:b/>
            <w:noProof/>
            <w:webHidden/>
            <w:sz w:val="22"/>
            <w:lang w:val="es-CO"/>
          </w:rPr>
          <w:fldChar w:fldCharType="separate"/>
        </w:r>
        <w:r w:rsidR="0011752D" w:rsidRPr="0011752D">
          <w:rPr>
            <w:rFonts w:ascii="Arial" w:hAnsi="Arial"/>
            <w:b/>
            <w:noProof/>
            <w:webHidden/>
            <w:sz w:val="22"/>
            <w:lang w:val="es-CO"/>
          </w:rPr>
          <w:t>37</w:t>
        </w:r>
        <w:r w:rsidR="0011752D" w:rsidRPr="0011752D">
          <w:rPr>
            <w:rFonts w:ascii="Arial" w:hAnsi="Arial"/>
            <w:b/>
            <w:noProof/>
            <w:webHidden/>
            <w:sz w:val="22"/>
            <w:lang w:val="es-CO"/>
          </w:rPr>
          <w:fldChar w:fldCharType="end"/>
        </w:r>
      </w:hyperlink>
    </w:p>
    <w:p w14:paraId="2341A746"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38" w:history="1">
        <w:r w:rsidR="0011752D" w:rsidRPr="0011752D">
          <w:rPr>
            <w:rFonts w:ascii="Arial" w:hAnsi="Arial"/>
            <w:noProof/>
            <w:color w:val="0563C1"/>
            <w:sz w:val="22"/>
            <w:u w:val="single"/>
            <w:lang w:val="es-ES"/>
          </w:rPr>
          <w:t>4.1</w:t>
        </w:r>
        <w:r w:rsidR="0011752D" w:rsidRPr="0011752D">
          <w:rPr>
            <w:rFonts w:ascii="Calibri" w:hAnsi="Calibri"/>
            <w:noProof/>
            <w:sz w:val="22"/>
            <w:szCs w:val="22"/>
          </w:rPr>
          <w:tab/>
        </w:r>
        <w:r w:rsidR="0011752D" w:rsidRPr="0011752D">
          <w:rPr>
            <w:rFonts w:ascii="Arial" w:hAnsi="Arial"/>
            <w:noProof/>
            <w:color w:val="0563C1"/>
            <w:sz w:val="22"/>
            <w:u w:val="single"/>
            <w:lang w:val="es-ES"/>
          </w:rPr>
          <w:t>Supuestos y metodología</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_Toc474797038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37</w:t>
        </w:r>
        <w:r w:rsidR="0011752D" w:rsidRPr="0011752D">
          <w:rPr>
            <w:rFonts w:ascii="Arial" w:hAnsi="Arial"/>
            <w:noProof/>
            <w:webHidden/>
            <w:sz w:val="22"/>
            <w:lang w:val="es-CO"/>
          </w:rPr>
          <w:fldChar w:fldCharType="end"/>
        </w:r>
      </w:hyperlink>
    </w:p>
    <w:p w14:paraId="2341A747"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39" w:history="1">
        <w:r w:rsidR="0011752D" w:rsidRPr="0011752D">
          <w:rPr>
            <w:rFonts w:ascii="Arial" w:hAnsi="Arial"/>
            <w:noProof/>
            <w:color w:val="0563C1"/>
            <w:sz w:val="22"/>
            <w:u w:val="single"/>
            <w:lang w:val="es-ES"/>
          </w:rPr>
          <w:t>4.2</w:t>
        </w:r>
        <w:r w:rsidR="0011752D" w:rsidRPr="0011752D">
          <w:rPr>
            <w:rFonts w:ascii="Calibri" w:hAnsi="Calibri"/>
            <w:noProof/>
            <w:sz w:val="22"/>
            <w:szCs w:val="22"/>
          </w:rPr>
          <w:tab/>
        </w:r>
        <w:r w:rsidR="0011752D" w:rsidRPr="0011752D">
          <w:rPr>
            <w:rFonts w:ascii="Arial" w:hAnsi="Arial"/>
            <w:noProof/>
            <w:color w:val="0563C1"/>
            <w:sz w:val="22"/>
            <w:u w:val="single"/>
            <w:lang w:val="es-ES"/>
          </w:rPr>
          <w:t>Análisis costo efectividad</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_Toc474797039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39</w:t>
        </w:r>
        <w:r w:rsidR="0011752D" w:rsidRPr="0011752D">
          <w:rPr>
            <w:rFonts w:ascii="Arial" w:hAnsi="Arial"/>
            <w:noProof/>
            <w:webHidden/>
            <w:sz w:val="22"/>
            <w:lang w:val="es-CO"/>
          </w:rPr>
          <w:fldChar w:fldCharType="end"/>
        </w:r>
      </w:hyperlink>
    </w:p>
    <w:p w14:paraId="2341A748"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40" w:history="1">
        <w:r w:rsidR="0011752D" w:rsidRPr="0011752D">
          <w:rPr>
            <w:rFonts w:ascii="Arial" w:hAnsi="Arial"/>
            <w:noProof/>
            <w:color w:val="0563C1"/>
            <w:sz w:val="22"/>
            <w:u w:val="single"/>
            <w:lang w:val="es-ES"/>
          </w:rPr>
          <w:t>4.3</w:t>
        </w:r>
        <w:r w:rsidR="0011752D" w:rsidRPr="0011752D">
          <w:rPr>
            <w:rFonts w:ascii="Calibri" w:hAnsi="Calibri"/>
            <w:noProof/>
            <w:sz w:val="22"/>
            <w:szCs w:val="22"/>
          </w:rPr>
          <w:tab/>
        </w:r>
        <w:r w:rsidR="0011752D" w:rsidRPr="0011752D">
          <w:rPr>
            <w:rFonts w:ascii="Arial" w:hAnsi="Arial"/>
            <w:noProof/>
            <w:color w:val="0563C1"/>
            <w:sz w:val="22"/>
            <w:u w:val="single"/>
            <w:lang w:val="es-ES"/>
          </w:rPr>
          <w:t>Beneficiarios</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_Toc474797040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41</w:t>
        </w:r>
        <w:r w:rsidR="0011752D" w:rsidRPr="0011752D">
          <w:rPr>
            <w:rFonts w:ascii="Arial" w:hAnsi="Arial"/>
            <w:noProof/>
            <w:webHidden/>
            <w:sz w:val="22"/>
            <w:lang w:val="es-CO"/>
          </w:rPr>
          <w:fldChar w:fldCharType="end"/>
        </w:r>
      </w:hyperlink>
    </w:p>
    <w:p w14:paraId="2341A749"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41" w:history="1">
        <w:r w:rsidR="0011752D" w:rsidRPr="0011752D">
          <w:rPr>
            <w:rFonts w:ascii="Arial" w:hAnsi="Arial"/>
            <w:noProof/>
            <w:color w:val="0563C1"/>
            <w:sz w:val="22"/>
            <w:u w:val="single"/>
            <w:lang w:val="es-ES"/>
          </w:rPr>
          <w:t>4.4</w:t>
        </w:r>
        <w:r w:rsidR="0011752D" w:rsidRPr="0011752D">
          <w:rPr>
            <w:rFonts w:ascii="Calibri" w:hAnsi="Calibri"/>
            <w:noProof/>
            <w:sz w:val="22"/>
            <w:szCs w:val="22"/>
          </w:rPr>
          <w:tab/>
        </w:r>
        <w:r w:rsidR="0011752D" w:rsidRPr="0011752D">
          <w:rPr>
            <w:rFonts w:ascii="Arial" w:hAnsi="Arial"/>
            <w:noProof/>
            <w:color w:val="0563C1"/>
            <w:sz w:val="22"/>
            <w:u w:val="single"/>
            <w:lang w:val="es-ES"/>
          </w:rPr>
          <w:t>Análisis de sensibilidad</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_Toc474797041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41</w:t>
        </w:r>
        <w:r w:rsidR="0011752D" w:rsidRPr="0011752D">
          <w:rPr>
            <w:rFonts w:ascii="Arial" w:hAnsi="Arial"/>
            <w:noProof/>
            <w:webHidden/>
            <w:sz w:val="22"/>
            <w:lang w:val="es-CO"/>
          </w:rPr>
          <w:fldChar w:fldCharType="end"/>
        </w:r>
      </w:hyperlink>
    </w:p>
    <w:p w14:paraId="2341A74A"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42" w:history="1">
        <w:r w:rsidR="0011752D" w:rsidRPr="0011752D">
          <w:rPr>
            <w:rFonts w:ascii="Arial" w:hAnsi="Arial"/>
            <w:noProof/>
            <w:color w:val="0563C1"/>
            <w:sz w:val="22"/>
            <w:u w:val="single"/>
            <w:lang w:val="es-CO"/>
          </w:rPr>
          <w:t>4.5</w:t>
        </w:r>
        <w:r w:rsidR="0011752D" w:rsidRPr="0011752D">
          <w:rPr>
            <w:rFonts w:ascii="Calibri" w:hAnsi="Calibri"/>
            <w:noProof/>
            <w:sz w:val="22"/>
            <w:szCs w:val="22"/>
          </w:rPr>
          <w:tab/>
        </w:r>
        <w:r w:rsidR="0011752D" w:rsidRPr="0011752D">
          <w:rPr>
            <w:rFonts w:ascii="Arial" w:hAnsi="Arial"/>
            <w:noProof/>
            <w:color w:val="0563C1"/>
            <w:sz w:val="22"/>
            <w:u w:val="single"/>
            <w:lang w:val="es-CO"/>
          </w:rPr>
          <w:t>Conclusiones y Recomendaciones</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_Toc474797042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41</w:t>
        </w:r>
        <w:r w:rsidR="0011752D" w:rsidRPr="0011752D">
          <w:rPr>
            <w:rFonts w:ascii="Arial" w:hAnsi="Arial"/>
            <w:noProof/>
            <w:webHidden/>
            <w:sz w:val="22"/>
            <w:lang w:val="es-CO"/>
          </w:rPr>
          <w:fldChar w:fldCharType="end"/>
        </w:r>
      </w:hyperlink>
    </w:p>
    <w:p w14:paraId="2341A74B" w14:textId="77777777" w:rsidR="0011752D" w:rsidRPr="0011752D" w:rsidRDefault="004932D7" w:rsidP="0011752D">
      <w:pPr>
        <w:tabs>
          <w:tab w:val="left" w:pos="480"/>
          <w:tab w:val="right" w:leader="dot" w:pos="8828"/>
        </w:tabs>
        <w:spacing w:before="240" w:after="100"/>
        <w:jc w:val="both"/>
        <w:rPr>
          <w:rFonts w:ascii="Calibri" w:hAnsi="Calibri"/>
          <w:noProof/>
          <w:sz w:val="22"/>
          <w:szCs w:val="22"/>
        </w:rPr>
      </w:pPr>
      <w:hyperlink w:anchor="_Toc474797043" w:history="1">
        <w:r w:rsidR="0011752D" w:rsidRPr="0011752D">
          <w:rPr>
            <w:rFonts w:ascii="Arial" w:hAnsi="Arial"/>
            <w:b/>
            <w:noProof/>
            <w:color w:val="0563C1"/>
            <w:sz w:val="22"/>
            <w:u w:val="single"/>
            <w:lang w:val="es-CO"/>
          </w:rPr>
          <w:t>5</w:t>
        </w:r>
        <w:r w:rsidR="0011752D" w:rsidRPr="0011752D">
          <w:rPr>
            <w:rFonts w:ascii="Calibri" w:hAnsi="Calibri"/>
            <w:noProof/>
            <w:sz w:val="22"/>
            <w:szCs w:val="22"/>
          </w:rPr>
          <w:tab/>
        </w:r>
        <w:r w:rsidR="0011752D" w:rsidRPr="0011752D">
          <w:rPr>
            <w:rFonts w:ascii="Arial" w:hAnsi="Arial"/>
            <w:b/>
            <w:noProof/>
            <w:color w:val="0563C1"/>
            <w:sz w:val="22"/>
            <w:u w:val="single"/>
            <w:lang w:val="es-CO"/>
          </w:rPr>
          <w:t>Anexos</w:t>
        </w:r>
        <w:r w:rsidR="0011752D" w:rsidRPr="0011752D">
          <w:rPr>
            <w:rFonts w:ascii="Arial" w:hAnsi="Arial"/>
            <w:b/>
            <w:noProof/>
            <w:webHidden/>
            <w:sz w:val="22"/>
            <w:lang w:val="es-CO"/>
          </w:rPr>
          <w:tab/>
        </w:r>
        <w:r w:rsidR="0011752D" w:rsidRPr="0011752D">
          <w:rPr>
            <w:rFonts w:ascii="Arial" w:hAnsi="Arial"/>
            <w:b/>
            <w:noProof/>
            <w:webHidden/>
            <w:sz w:val="22"/>
            <w:lang w:val="es-CO"/>
          </w:rPr>
          <w:fldChar w:fldCharType="begin"/>
        </w:r>
        <w:r w:rsidR="0011752D" w:rsidRPr="0011752D">
          <w:rPr>
            <w:rFonts w:ascii="Arial" w:hAnsi="Arial"/>
            <w:b/>
            <w:noProof/>
            <w:webHidden/>
            <w:sz w:val="22"/>
            <w:lang w:val="es-CO"/>
          </w:rPr>
          <w:instrText xml:space="preserve"> PAGEREF _Toc474797043 \h </w:instrText>
        </w:r>
        <w:r w:rsidR="0011752D" w:rsidRPr="0011752D">
          <w:rPr>
            <w:rFonts w:ascii="Arial" w:hAnsi="Arial"/>
            <w:b/>
            <w:noProof/>
            <w:webHidden/>
            <w:sz w:val="22"/>
            <w:lang w:val="es-CO"/>
          </w:rPr>
        </w:r>
        <w:r w:rsidR="0011752D" w:rsidRPr="0011752D">
          <w:rPr>
            <w:rFonts w:ascii="Arial" w:hAnsi="Arial"/>
            <w:b/>
            <w:noProof/>
            <w:webHidden/>
            <w:sz w:val="22"/>
            <w:lang w:val="es-CO"/>
          </w:rPr>
          <w:fldChar w:fldCharType="separate"/>
        </w:r>
        <w:r w:rsidR="0011752D" w:rsidRPr="0011752D">
          <w:rPr>
            <w:rFonts w:ascii="Arial" w:hAnsi="Arial"/>
            <w:b/>
            <w:noProof/>
            <w:webHidden/>
            <w:sz w:val="22"/>
            <w:lang w:val="es-CO"/>
          </w:rPr>
          <w:t>43</w:t>
        </w:r>
        <w:r w:rsidR="0011752D" w:rsidRPr="0011752D">
          <w:rPr>
            <w:rFonts w:ascii="Arial" w:hAnsi="Arial"/>
            <w:b/>
            <w:noProof/>
            <w:webHidden/>
            <w:sz w:val="22"/>
            <w:lang w:val="es-CO"/>
          </w:rPr>
          <w:fldChar w:fldCharType="end"/>
        </w:r>
      </w:hyperlink>
    </w:p>
    <w:p w14:paraId="2341A74C" w14:textId="77777777" w:rsidR="0011752D" w:rsidRPr="0011752D" w:rsidRDefault="004932D7" w:rsidP="0011752D">
      <w:pPr>
        <w:numPr>
          <w:ilvl w:val="0"/>
          <w:numId w:val="27"/>
        </w:numPr>
        <w:tabs>
          <w:tab w:val="left" w:pos="880"/>
          <w:tab w:val="right" w:leader="dot" w:pos="8828"/>
        </w:tabs>
        <w:spacing w:before="240" w:after="240"/>
        <w:ind w:left="240" w:firstLine="0"/>
        <w:jc w:val="both"/>
        <w:rPr>
          <w:rFonts w:ascii="Calibri" w:hAnsi="Calibri"/>
          <w:noProof/>
          <w:sz w:val="22"/>
          <w:szCs w:val="22"/>
        </w:rPr>
      </w:pPr>
      <w:hyperlink w:anchor="_Toc474797044" w:history="1">
        <w:r w:rsidR="0011752D" w:rsidRPr="0011752D">
          <w:rPr>
            <w:rFonts w:ascii="Arial" w:hAnsi="Arial"/>
            <w:noProof/>
            <w:color w:val="0563C1"/>
            <w:sz w:val="22"/>
            <w:u w:val="single"/>
            <w:lang w:val="es-CO"/>
          </w:rPr>
          <w:t>5.1</w:t>
        </w:r>
        <w:r w:rsidR="0011752D" w:rsidRPr="0011752D">
          <w:rPr>
            <w:rFonts w:ascii="Calibri" w:hAnsi="Calibri"/>
            <w:noProof/>
            <w:sz w:val="22"/>
            <w:szCs w:val="22"/>
          </w:rPr>
          <w:tab/>
        </w:r>
        <w:r w:rsidR="0011752D" w:rsidRPr="0011752D">
          <w:rPr>
            <w:rFonts w:ascii="Arial" w:hAnsi="Arial"/>
            <w:noProof/>
            <w:color w:val="0563C1"/>
            <w:sz w:val="22"/>
            <w:u w:val="single"/>
            <w:lang w:val="es-CO"/>
          </w:rPr>
          <w:t>Parámetros y cálculos para la estimación de beneficios y costos de medidas de eficiencia energética</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_Toc474797044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43</w:t>
        </w:r>
        <w:r w:rsidR="0011752D" w:rsidRPr="0011752D">
          <w:rPr>
            <w:rFonts w:ascii="Arial" w:hAnsi="Arial"/>
            <w:noProof/>
            <w:webHidden/>
            <w:sz w:val="22"/>
            <w:lang w:val="es-CO"/>
          </w:rPr>
          <w:fldChar w:fldCharType="end"/>
        </w:r>
      </w:hyperlink>
    </w:p>
    <w:p w14:paraId="2341A74D" w14:textId="77777777" w:rsidR="0011752D" w:rsidRPr="0011752D" w:rsidRDefault="0011752D" w:rsidP="0011752D">
      <w:pPr>
        <w:spacing w:after="160" w:line="259" w:lineRule="auto"/>
        <w:rPr>
          <w:rFonts w:ascii="Calibri Light" w:hAnsi="Calibri Light"/>
          <w:color w:val="2E74B5"/>
          <w:sz w:val="32"/>
          <w:szCs w:val="32"/>
          <w:lang w:val="es-ES" w:eastAsia="es-CO"/>
        </w:rPr>
      </w:pPr>
      <w:r w:rsidRPr="0011752D">
        <w:rPr>
          <w:rFonts w:ascii="Arial" w:hAnsi="Arial"/>
          <w:sz w:val="22"/>
          <w:lang w:val="es-ES"/>
        </w:rPr>
        <w:fldChar w:fldCharType="end"/>
      </w:r>
    </w:p>
    <w:p w14:paraId="2341A74E" w14:textId="77777777" w:rsidR="0011752D" w:rsidRPr="0011752D" w:rsidRDefault="0011752D" w:rsidP="0011752D">
      <w:pPr>
        <w:keepNext/>
        <w:keepLines/>
        <w:spacing w:before="240" w:line="259" w:lineRule="auto"/>
        <w:jc w:val="center"/>
        <w:rPr>
          <w:rFonts w:ascii="Arial" w:hAnsi="Arial"/>
          <w:color w:val="1F3864"/>
          <w:sz w:val="28"/>
          <w:szCs w:val="32"/>
          <w:lang w:val="es-ES" w:eastAsia="es-CO"/>
        </w:rPr>
      </w:pPr>
      <w:r w:rsidRPr="0011752D">
        <w:rPr>
          <w:rFonts w:ascii="Arial" w:hAnsi="Arial"/>
          <w:color w:val="1F3864"/>
          <w:sz w:val="28"/>
          <w:szCs w:val="32"/>
          <w:lang w:val="es-ES" w:eastAsia="es-CO"/>
        </w:rPr>
        <w:t>Índice de Gráficas</w:t>
      </w:r>
    </w:p>
    <w:p w14:paraId="2341A74F" w14:textId="77777777" w:rsidR="0011752D" w:rsidRPr="0011752D" w:rsidRDefault="0011752D" w:rsidP="0011752D">
      <w:pPr>
        <w:tabs>
          <w:tab w:val="right" w:leader="dot" w:pos="8828"/>
        </w:tabs>
        <w:spacing w:before="240"/>
        <w:jc w:val="both"/>
        <w:rPr>
          <w:rFonts w:ascii="Calibri" w:hAnsi="Calibri"/>
          <w:noProof/>
          <w:sz w:val="22"/>
          <w:szCs w:val="22"/>
        </w:rPr>
      </w:pPr>
      <w:r w:rsidRPr="0011752D">
        <w:rPr>
          <w:rFonts w:ascii="Arial" w:hAnsi="Arial"/>
          <w:sz w:val="22"/>
          <w:lang w:val="es-CO"/>
        </w:rPr>
        <w:fldChar w:fldCharType="begin"/>
      </w:r>
      <w:r w:rsidRPr="0011752D">
        <w:rPr>
          <w:rFonts w:ascii="Arial" w:hAnsi="Arial"/>
          <w:sz w:val="22"/>
          <w:lang w:val="es-CO"/>
        </w:rPr>
        <w:instrText xml:space="preserve"> TOC \h \z \c "Ilustración" </w:instrText>
      </w:r>
      <w:r w:rsidRPr="0011752D">
        <w:rPr>
          <w:rFonts w:ascii="Arial" w:hAnsi="Arial"/>
          <w:sz w:val="22"/>
          <w:lang w:val="es-CO"/>
        </w:rPr>
        <w:fldChar w:fldCharType="separate"/>
      </w:r>
      <w:hyperlink w:anchor="_Toc474797045" w:history="1">
        <w:r w:rsidRPr="0011752D">
          <w:rPr>
            <w:rFonts w:ascii="Arial" w:hAnsi="Arial"/>
            <w:b/>
            <w:noProof/>
            <w:color w:val="0563C1"/>
            <w:sz w:val="22"/>
            <w:u w:val="single"/>
            <w:lang w:val="es-CO"/>
          </w:rPr>
          <w:t>Ilustración 1 – Precios de bolsa promedio diario enero 2005 – abril 2016</w:t>
        </w:r>
        <w:r w:rsidRPr="0011752D">
          <w:rPr>
            <w:rFonts w:ascii="Arial" w:hAnsi="Arial"/>
            <w:noProof/>
            <w:webHidden/>
            <w:sz w:val="22"/>
            <w:lang w:val="es-CO"/>
          </w:rPr>
          <w:tab/>
        </w:r>
        <w:r w:rsidRPr="0011752D">
          <w:rPr>
            <w:rFonts w:ascii="Arial" w:hAnsi="Arial"/>
            <w:noProof/>
            <w:webHidden/>
            <w:sz w:val="22"/>
            <w:lang w:val="es-CO"/>
          </w:rPr>
          <w:fldChar w:fldCharType="begin"/>
        </w:r>
        <w:r w:rsidRPr="0011752D">
          <w:rPr>
            <w:rFonts w:ascii="Arial" w:hAnsi="Arial"/>
            <w:noProof/>
            <w:webHidden/>
            <w:sz w:val="22"/>
            <w:lang w:val="es-CO"/>
          </w:rPr>
          <w:instrText xml:space="preserve"> PAGEREF _Toc474797045 \h </w:instrText>
        </w:r>
        <w:r w:rsidRPr="0011752D">
          <w:rPr>
            <w:rFonts w:ascii="Arial" w:hAnsi="Arial"/>
            <w:noProof/>
            <w:webHidden/>
            <w:sz w:val="22"/>
            <w:lang w:val="es-CO"/>
          </w:rPr>
        </w:r>
        <w:r w:rsidRPr="0011752D">
          <w:rPr>
            <w:rFonts w:ascii="Arial" w:hAnsi="Arial"/>
            <w:noProof/>
            <w:webHidden/>
            <w:sz w:val="22"/>
            <w:lang w:val="es-CO"/>
          </w:rPr>
          <w:fldChar w:fldCharType="separate"/>
        </w:r>
        <w:r w:rsidRPr="0011752D">
          <w:rPr>
            <w:rFonts w:ascii="Arial" w:hAnsi="Arial"/>
            <w:noProof/>
            <w:webHidden/>
            <w:sz w:val="22"/>
            <w:lang w:val="es-CO"/>
          </w:rPr>
          <w:t>11</w:t>
        </w:r>
        <w:r w:rsidRPr="0011752D">
          <w:rPr>
            <w:rFonts w:ascii="Arial" w:hAnsi="Arial"/>
            <w:noProof/>
            <w:webHidden/>
            <w:sz w:val="22"/>
            <w:lang w:val="es-CO"/>
          </w:rPr>
          <w:fldChar w:fldCharType="end"/>
        </w:r>
      </w:hyperlink>
    </w:p>
    <w:p w14:paraId="2341A750"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46" w:history="1">
        <w:r w:rsidR="0011752D" w:rsidRPr="0011752D">
          <w:rPr>
            <w:rFonts w:ascii="Arial" w:hAnsi="Arial"/>
            <w:b/>
            <w:noProof/>
            <w:color w:val="0563C1"/>
            <w:sz w:val="22"/>
            <w:u w:val="single"/>
            <w:lang w:val="es-CO"/>
          </w:rPr>
          <w:t>Ilustración 2 – Despacho energético y formación del precio en Bolsa</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_Toc474797046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12</w:t>
        </w:r>
        <w:r w:rsidR="0011752D" w:rsidRPr="0011752D">
          <w:rPr>
            <w:rFonts w:ascii="Arial" w:hAnsi="Arial"/>
            <w:noProof/>
            <w:webHidden/>
            <w:sz w:val="22"/>
            <w:lang w:val="es-CO"/>
          </w:rPr>
          <w:fldChar w:fldCharType="end"/>
        </w:r>
      </w:hyperlink>
    </w:p>
    <w:p w14:paraId="2341A751"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47" w:history="1">
        <w:r w:rsidR="0011752D" w:rsidRPr="0011752D">
          <w:rPr>
            <w:rFonts w:ascii="Arial" w:hAnsi="Arial"/>
            <w:b/>
            <w:noProof/>
            <w:color w:val="0563C1"/>
            <w:sz w:val="22"/>
            <w:u w:val="single"/>
            <w:lang w:val="es-CO"/>
          </w:rPr>
          <w:t>Ilustración 3 – Esquema de Precio de Bolsa y Precio de Escasez</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_Toc474797047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14</w:t>
        </w:r>
        <w:r w:rsidR="0011752D" w:rsidRPr="0011752D">
          <w:rPr>
            <w:rFonts w:ascii="Arial" w:hAnsi="Arial"/>
            <w:noProof/>
            <w:webHidden/>
            <w:sz w:val="22"/>
            <w:lang w:val="es-CO"/>
          </w:rPr>
          <w:fldChar w:fldCharType="end"/>
        </w:r>
      </w:hyperlink>
    </w:p>
    <w:p w14:paraId="2341A752"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48" w:history="1">
        <w:r w:rsidR="0011752D" w:rsidRPr="0011752D">
          <w:rPr>
            <w:rFonts w:ascii="Arial" w:hAnsi="Arial"/>
            <w:b/>
            <w:noProof/>
            <w:color w:val="0563C1"/>
            <w:sz w:val="22"/>
            <w:u w:val="single"/>
            <w:lang w:val="es-CO"/>
          </w:rPr>
          <w:t xml:space="preserve">Ilustración </w:t>
        </w:r>
        <w:r w:rsidR="0011752D" w:rsidRPr="0011752D">
          <w:rPr>
            <w:rFonts w:ascii="Arial" w:hAnsi="Arial"/>
            <w:b/>
            <w:bCs/>
            <w:noProof/>
            <w:color w:val="0563C1"/>
            <w:sz w:val="22"/>
            <w:u w:val="single"/>
            <w:lang w:val="es-CO"/>
          </w:rPr>
          <w:t>4</w:t>
        </w:r>
        <w:r w:rsidR="0011752D" w:rsidRPr="0011752D">
          <w:rPr>
            <w:rFonts w:ascii="Arial" w:hAnsi="Arial"/>
            <w:b/>
            <w:noProof/>
            <w:color w:val="0563C1"/>
            <w:sz w:val="22"/>
            <w:u w:val="single"/>
            <w:lang w:val="es-CO"/>
          </w:rPr>
          <w:t xml:space="preserve"> – Representación de la curva de oferta precios</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_Toc474797048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16</w:t>
        </w:r>
        <w:r w:rsidR="0011752D" w:rsidRPr="0011752D">
          <w:rPr>
            <w:rFonts w:ascii="Arial" w:hAnsi="Arial"/>
            <w:noProof/>
            <w:webHidden/>
            <w:sz w:val="22"/>
            <w:lang w:val="es-CO"/>
          </w:rPr>
          <w:fldChar w:fldCharType="end"/>
        </w:r>
      </w:hyperlink>
    </w:p>
    <w:p w14:paraId="2341A753"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49" w:history="1">
        <w:r w:rsidR="0011752D" w:rsidRPr="0011752D">
          <w:rPr>
            <w:rFonts w:ascii="Arial" w:hAnsi="Arial"/>
            <w:b/>
            <w:noProof/>
            <w:color w:val="0563C1"/>
            <w:sz w:val="22"/>
            <w:u w:val="single"/>
            <w:lang w:val="es-CO"/>
          </w:rPr>
          <w:t xml:space="preserve">Ilustración </w:t>
        </w:r>
        <w:r w:rsidR="0011752D" w:rsidRPr="0011752D">
          <w:rPr>
            <w:rFonts w:ascii="Arial" w:hAnsi="Arial"/>
            <w:b/>
            <w:bCs/>
            <w:noProof/>
            <w:color w:val="0563C1"/>
            <w:sz w:val="22"/>
            <w:u w:val="single"/>
            <w:lang w:val="es-CO"/>
          </w:rPr>
          <w:t>5</w:t>
        </w:r>
        <w:r w:rsidR="0011752D" w:rsidRPr="0011752D">
          <w:rPr>
            <w:rFonts w:ascii="Arial" w:hAnsi="Arial"/>
            <w:b/>
            <w:noProof/>
            <w:color w:val="0563C1"/>
            <w:sz w:val="22"/>
            <w:u w:val="single"/>
            <w:lang w:val="es-CO"/>
          </w:rPr>
          <w:t xml:space="preserve"> – Representación del desplazamiento de la curva de oferta de precios con nueva capacidad de FNCER</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_Toc474797049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16</w:t>
        </w:r>
        <w:r w:rsidR="0011752D" w:rsidRPr="0011752D">
          <w:rPr>
            <w:rFonts w:ascii="Arial" w:hAnsi="Arial"/>
            <w:noProof/>
            <w:webHidden/>
            <w:sz w:val="22"/>
            <w:lang w:val="es-CO"/>
          </w:rPr>
          <w:fldChar w:fldCharType="end"/>
        </w:r>
      </w:hyperlink>
    </w:p>
    <w:p w14:paraId="2341A754"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50" w:history="1">
        <w:r w:rsidR="0011752D" w:rsidRPr="0011752D">
          <w:rPr>
            <w:rFonts w:ascii="Arial" w:hAnsi="Arial"/>
            <w:b/>
            <w:noProof/>
            <w:color w:val="0563C1"/>
            <w:sz w:val="22"/>
            <w:u w:val="single"/>
            <w:lang w:val="es-CO"/>
          </w:rPr>
          <w:t xml:space="preserve">Ilustración </w:t>
        </w:r>
        <w:r w:rsidR="0011752D" w:rsidRPr="0011752D">
          <w:rPr>
            <w:rFonts w:ascii="Arial" w:hAnsi="Arial"/>
            <w:b/>
            <w:bCs/>
            <w:noProof/>
            <w:color w:val="0563C1"/>
            <w:sz w:val="22"/>
            <w:u w:val="single"/>
            <w:lang w:val="es-CO"/>
          </w:rPr>
          <w:t>6</w:t>
        </w:r>
        <w:r w:rsidR="0011752D" w:rsidRPr="0011752D">
          <w:rPr>
            <w:rFonts w:ascii="Arial" w:hAnsi="Arial"/>
            <w:b/>
            <w:noProof/>
            <w:color w:val="0563C1"/>
            <w:sz w:val="22"/>
            <w:u w:val="single"/>
            <w:lang w:val="es-CO"/>
          </w:rPr>
          <w:t xml:space="preserve"> – Representación del desplazamiento de la curva de oferta de precios con FNCER y variación en el excedente del consumidor y del productor</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_Toc474797050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18</w:t>
        </w:r>
        <w:r w:rsidR="0011752D" w:rsidRPr="0011752D">
          <w:rPr>
            <w:rFonts w:ascii="Arial" w:hAnsi="Arial"/>
            <w:noProof/>
            <w:webHidden/>
            <w:sz w:val="22"/>
            <w:lang w:val="es-CO"/>
          </w:rPr>
          <w:fldChar w:fldCharType="end"/>
        </w:r>
      </w:hyperlink>
    </w:p>
    <w:p w14:paraId="2341A755"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51" w:history="1">
        <w:r w:rsidR="0011752D" w:rsidRPr="0011752D">
          <w:rPr>
            <w:rFonts w:ascii="Arial" w:hAnsi="Arial"/>
            <w:b/>
            <w:noProof/>
            <w:color w:val="0563C1"/>
            <w:sz w:val="22"/>
            <w:u w:val="single"/>
            <w:lang w:val="es-CO"/>
          </w:rPr>
          <w:t xml:space="preserve">Ilustración </w:t>
        </w:r>
        <w:r w:rsidR="0011752D" w:rsidRPr="0011752D">
          <w:rPr>
            <w:rFonts w:ascii="Arial" w:hAnsi="Arial"/>
            <w:b/>
            <w:bCs/>
            <w:noProof/>
            <w:color w:val="0563C1"/>
            <w:sz w:val="22"/>
            <w:u w:val="single"/>
            <w:lang w:val="es-CO"/>
          </w:rPr>
          <w:t>7</w:t>
        </w:r>
        <w:r w:rsidR="0011752D" w:rsidRPr="0011752D">
          <w:rPr>
            <w:rFonts w:ascii="Arial" w:hAnsi="Arial"/>
            <w:b/>
            <w:noProof/>
            <w:color w:val="0563C1"/>
            <w:sz w:val="22"/>
            <w:u w:val="single"/>
            <w:lang w:val="es-CO"/>
          </w:rPr>
          <w:t xml:space="preserve"> – Potencial composición de la matriz de generación con y sin FNCER</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_Toc474797051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20</w:t>
        </w:r>
        <w:r w:rsidR="0011752D" w:rsidRPr="0011752D">
          <w:rPr>
            <w:rFonts w:ascii="Arial" w:hAnsi="Arial"/>
            <w:noProof/>
            <w:webHidden/>
            <w:sz w:val="22"/>
            <w:lang w:val="es-CO"/>
          </w:rPr>
          <w:fldChar w:fldCharType="end"/>
        </w:r>
      </w:hyperlink>
    </w:p>
    <w:p w14:paraId="2341A756"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52" w:history="1">
        <w:r w:rsidR="0011752D" w:rsidRPr="0011752D">
          <w:rPr>
            <w:rFonts w:ascii="Arial" w:hAnsi="Arial"/>
            <w:b/>
            <w:noProof/>
            <w:color w:val="0563C1"/>
            <w:sz w:val="22"/>
            <w:u w:val="single"/>
            <w:lang w:val="es-CO"/>
          </w:rPr>
          <w:t xml:space="preserve">Ilustración </w:t>
        </w:r>
        <w:r w:rsidR="0011752D" w:rsidRPr="0011752D">
          <w:rPr>
            <w:rFonts w:ascii="Arial" w:hAnsi="Arial"/>
            <w:b/>
            <w:bCs/>
            <w:noProof/>
            <w:color w:val="0563C1"/>
            <w:sz w:val="22"/>
            <w:u w:val="single"/>
            <w:lang w:val="es-CO"/>
          </w:rPr>
          <w:t>8</w:t>
        </w:r>
        <w:r w:rsidR="0011752D" w:rsidRPr="0011752D">
          <w:rPr>
            <w:rFonts w:ascii="Arial" w:hAnsi="Arial"/>
            <w:b/>
            <w:noProof/>
            <w:color w:val="0563C1"/>
            <w:sz w:val="22"/>
            <w:u w:val="single"/>
            <w:lang w:val="es-CO"/>
          </w:rPr>
          <w:t xml:space="preserve"> – Proyección de costos marginales de generación según escenario</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_Toc474797052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21</w:t>
        </w:r>
        <w:r w:rsidR="0011752D" w:rsidRPr="0011752D">
          <w:rPr>
            <w:rFonts w:ascii="Arial" w:hAnsi="Arial"/>
            <w:noProof/>
            <w:webHidden/>
            <w:sz w:val="22"/>
            <w:lang w:val="es-CO"/>
          </w:rPr>
          <w:fldChar w:fldCharType="end"/>
        </w:r>
      </w:hyperlink>
    </w:p>
    <w:p w14:paraId="2341A757"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53" w:history="1">
        <w:r w:rsidR="0011752D" w:rsidRPr="0011752D">
          <w:rPr>
            <w:rFonts w:ascii="Arial" w:hAnsi="Arial"/>
            <w:b/>
            <w:noProof/>
            <w:color w:val="0563C1"/>
            <w:sz w:val="22"/>
            <w:u w:val="single"/>
            <w:lang w:val="es-CO"/>
          </w:rPr>
          <w:t xml:space="preserve">Ilustración </w:t>
        </w:r>
        <w:r w:rsidR="0011752D" w:rsidRPr="0011752D">
          <w:rPr>
            <w:rFonts w:ascii="Arial" w:hAnsi="Arial"/>
            <w:b/>
            <w:bCs/>
            <w:noProof/>
            <w:color w:val="0563C1"/>
            <w:sz w:val="22"/>
            <w:u w:val="single"/>
            <w:lang w:val="es-CO"/>
          </w:rPr>
          <w:t>9</w:t>
        </w:r>
        <w:r w:rsidR="0011752D" w:rsidRPr="0011752D">
          <w:rPr>
            <w:rFonts w:ascii="Arial" w:hAnsi="Arial"/>
            <w:b/>
            <w:noProof/>
            <w:color w:val="0563C1"/>
            <w:sz w:val="22"/>
            <w:u w:val="single"/>
            <w:lang w:val="es-CO"/>
          </w:rPr>
          <w:t xml:space="preserve"> – Proyección de emisiones de CO</w:t>
        </w:r>
        <w:r w:rsidR="0011752D" w:rsidRPr="0011752D">
          <w:rPr>
            <w:rFonts w:ascii="Arial" w:hAnsi="Arial"/>
            <w:b/>
            <w:noProof/>
            <w:color w:val="0563C1"/>
            <w:sz w:val="22"/>
            <w:u w:val="single"/>
            <w:vertAlign w:val="subscript"/>
            <w:lang w:val="es-CO"/>
          </w:rPr>
          <w:t>2</w:t>
        </w:r>
        <w:r w:rsidR="0011752D" w:rsidRPr="0011752D">
          <w:rPr>
            <w:rFonts w:ascii="Arial" w:hAnsi="Arial"/>
            <w:b/>
            <w:noProof/>
            <w:color w:val="0563C1"/>
            <w:sz w:val="22"/>
            <w:u w:val="single"/>
            <w:lang w:val="es-CO"/>
          </w:rPr>
          <w:t xml:space="preserve"> según escenario</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_Toc474797053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22</w:t>
        </w:r>
        <w:r w:rsidR="0011752D" w:rsidRPr="0011752D">
          <w:rPr>
            <w:rFonts w:ascii="Arial" w:hAnsi="Arial"/>
            <w:noProof/>
            <w:webHidden/>
            <w:sz w:val="22"/>
            <w:lang w:val="es-CO"/>
          </w:rPr>
          <w:fldChar w:fldCharType="end"/>
        </w:r>
      </w:hyperlink>
    </w:p>
    <w:p w14:paraId="2341A758"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54" w:history="1">
        <w:r w:rsidR="0011752D" w:rsidRPr="0011752D">
          <w:rPr>
            <w:rFonts w:ascii="Arial" w:hAnsi="Arial"/>
            <w:b/>
            <w:noProof/>
            <w:color w:val="0563C1"/>
            <w:sz w:val="22"/>
            <w:u w:val="single"/>
            <w:lang w:val="es-CO"/>
          </w:rPr>
          <w:t xml:space="preserve">Ilustración </w:t>
        </w:r>
        <w:r w:rsidR="0011752D" w:rsidRPr="0011752D">
          <w:rPr>
            <w:rFonts w:ascii="Arial" w:hAnsi="Arial"/>
            <w:b/>
            <w:bCs/>
            <w:noProof/>
            <w:color w:val="0563C1"/>
            <w:sz w:val="22"/>
            <w:u w:val="single"/>
            <w:lang w:val="es-CO"/>
          </w:rPr>
          <w:t>10</w:t>
        </w:r>
        <w:r w:rsidR="0011752D" w:rsidRPr="0011752D">
          <w:rPr>
            <w:rFonts w:ascii="Arial" w:hAnsi="Arial"/>
            <w:b/>
            <w:noProof/>
            <w:color w:val="0563C1"/>
            <w:sz w:val="22"/>
            <w:u w:val="single"/>
            <w:lang w:val="es-CO"/>
          </w:rPr>
          <w:t xml:space="preserve"> – Resultados generales PIEC 2016 - 2020</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_Toc474797054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40</w:t>
        </w:r>
        <w:r w:rsidR="0011752D" w:rsidRPr="0011752D">
          <w:rPr>
            <w:rFonts w:ascii="Arial" w:hAnsi="Arial"/>
            <w:noProof/>
            <w:webHidden/>
            <w:sz w:val="22"/>
            <w:lang w:val="es-CO"/>
          </w:rPr>
          <w:fldChar w:fldCharType="end"/>
        </w:r>
      </w:hyperlink>
    </w:p>
    <w:p w14:paraId="2341A759"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fldChar w:fldCharType="end"/>
      </w:r>
    </w:p>
    <w:p w14:paraId="2341A75A" w14:textId="77777777" w:rsidR="0011752D" w:rsidRPr="0011752D" w:rsidRDefault="0011752D" w:rsidP="0011752D">
      <w:pPr>
        <w:keepNext/>
        <w:keepLines/>
        <w:spacing w:before="240" w:line="259" w:lineRule="auto"/>
        <w:jc w:val="center"/>
        <w:rPr>
          <w:rFonts w:ascii="Arial" w:hAnsi="Arial"/>
          <w:color w:val="1F3864"/>
          <w:sz w:val="28"/>
          <w:szCs w:val="32"/>
          <w:lang w:val="es-ES" w:eastAsia="es-CO"/>
        </w:rPr>
      </w:pPr>
      <w:r w:rsidRPr="0011752D">
        <w:rPr>
          <w:rFonts w:ascii="Arial" w:hAnsi="Arial"/>
          <w:color w:val="1F3864"/>
          <w:sz w:val="28"/>
          <w:szCs w:val="32"/>
          <w:lang w:val="es-ES" w:eastAsia="es-CO"/>
        </w:rPr>
        <w:t>Índice de Tablas</w:t>
      </w:r>
    </w:p>
    <w:p w14:paraId="2341A75B" w14:textId="77777777" w:rsidR="0011752D" w:rsidRPr="0011752D" w:rsidRDefault="0011752D" w:rsidP="0011752D">
      <w:pPr>
        <w:tabs>
          <w:tab w:val="right" w:leader="dot" w:pos="8828"/>
        </w:tabs>
        <w:spacing w:before="240"/>
        <w:jc w:val="both"/>
        <w:rPr>
          <w:rFonts w:ascii="Calibri" w:hAnsi="Calibri"/>
          <w:noProof/>
          <w:sz w:val="22"/>
          <w:szCs w:val="22"/>
        </w:rPr>
      </w:pPr>
      <w:r w:rsidRPr="0011752D">
        <w:rPr>
          <w:rFonts w:ascii="Arial" w:hAnsi="Arial"/>
          <w:sz w:val="22"/>
          <w:lang w:val="es-CO"/>
        </w:rPr>
        <w:fldChar w:fldCharType="begin"/>
      </w:r>
      <w:r w:rsidRPr="0011752D">
        <w:rPr>
          <w:rFonts w:ascii="Arial" w:hAnsi="Arial"/>
          <w:sz w:val="22"/>
          <w:lang w:val="es-CO"/>
        </w:rPr>
        <w:instrText xml:space="preserve"> TOC \h \z \c "Tabla" </w:instrText>
      </w:r>
      <w:r w:rsidRPr="0011752D">
        <w:rPr>
          <w:rFonts w:ascii="Arial" w:hAnsi="Arial"/>
          <w:sz w:val="22"/>
          <w:lang w:val="es-CO"/>
        </w:rPr>
        <w:fldChar w:fldCharType="separate"/>
      </w:r>
      <w:hyperlink w:anchor="_Toc474797055" w:history="1">
        <w:r w:rsidRPr="0011752D">
          <w:rPr>
            <w:rFonts w:ascii="Arial" w:hAnsi="Arial"/>
            <w:b/>
            <w:noProof/>
            <w:color w:val="0563C1"/>
            <w:sz w:val="22"/>
            <w:u w:val="single"/>
            <w:lang w:val="es-CO"/>
          </w:rPr>
          <w:t>Tabla 1 – Evaluación de beneficios por menores costos marginales de generación</w:t>
        </w:r>
        <w:r w:rsidRPr="0011752D">
          <w:rPr>
            <w:rFonts w:ascii="Arial" w:hAnsi="Arial"/>
            <w:noProof/>
            <w:webHidden/>
            <w:sz w:val="22"/>
            <w:lang w:val="es-CO"/>
          </w:rPr>
          <w:tab/>
        </w:r>
        <w:r w:rsidRPr="0011752D">
          <w:rPr>
            <w:rFonts w:ascii="Arial" w:hAnsi="Arial"/>
            <w:noProof/>
            <w:webHidden/>
            <w:sz w:val="22"/>
            <w:lang w:val="es-CO"/>
          </w:rPr>
          <w:fldChar w:fldCharType="begin"/>
        </w:r>
        <w:r w:rsidRPr="0011752D">
          <w:rPr>
            <w:rFonts w:ascii="Arial" w:hAnsi="Arial"/>
            <w:noProof/>
            <w:webHidden/>
            <w:sz w:val="22"/>
            <w:lang w:val="es-CO"/>
          </w:rPr>
          <w:instrText xml:space="preserve"> PAGEREF _Toc474797055 \h </w:instrText>
        </w:r>
        <w:r w:rsidRPr="0011752D">
          <w:rPr>
            <w:rFonts w:ascii="Arial" w:hAnsi="Arial"/>
            <w:noProof/>
            <w:webHidden/>
            <w:sz w:val="22"/>
            <w:lang w:val="es-CO"/>
          </w:rPr>
        </w:r>
        <w:r w:rsidRPr="0011752D">
          <w:rPr>
            <w:rFonts w:ascii="Arial" w:hAnsi="Arial"/>
            <w:noProof/>
            <w:webHidden/>
            <w:sz w:val="22"/>
            <w:lang w:val="es-CO"/>
          </w:rPr>
          <w:fldChar w:fldCharType="separate"/>
        </w:r>
        <w:r w:rsidRPr="0011752D">
          <w:rPr>
            <w:rFonts w:ascii="Arial" w:hAnsi="Arial"/>
            <w:noProof/>
            <w:webHidden/>
            <w:sz w:val="22"/>
            <w:lang w:val="es-CO"/>
          </w:rPr>
          <w:t>22</w:t>
        </w:r>
        <w:r w:rsidRPr="0011752D">
          <w:rPr>
            <w:rFonts w:ascii="Arial" w:hAnsi="Arial"/>
            <w:noProof/>
            <w:webHidden/>
            <w:sz w:val="22"/>
            <w:lang w:val="es-CO"/>
          </w:rPr>
          <w:fldChar w:fldCharType="end"/>
        </w:r>
      </w:hyperlink>
    </w:p>
    <w:p w14:paraId="2341A75C"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56" w:history="1">
        <w:r w:rsidR="0011752D" w:rsidRPr="0011752D">
          <w:rPr>
            <w:rFonts w:ascii="Arial" w:hAnsi="Arial"/>
            <w:b/>
            <w:noProof/>
            <w:color w:val="0563C1"/>
            <w:sz w:val="22"/>
            <w:u w:val="single"/>
            <w:lang w:val="es-CO"/>
          </w:rPr>
          <w:t>Tabla 2 – Evaluación de beneficios por menores emisiones de CO</w:t>
        </w:r>
        <w:r w:rsidR="0011752D" w:rsidRPr="0011752D">
          <w:rPr>
            <w:rFonts w:ascii="Arial" w:hAnsi="Arial"/>
            <w:b/>
            <w:noProof/>
            <w:color w:val="0563C1"/>
            <w:sz w:val="22"/>
            <w:u w:val="single"/>
            <w:vertAlign w:val="subscript"/>
            <w:lang w:val="es-CO"/>
          </w:rPr>
          <w:t>2</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_Toc474797056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24</w:t>
        </w:r>
        <w:r w:rsidR="0011752D" w:rsidRPr="0011752D">
          <w:rPr>
            <w:rFonts w:ascii="Arial" w:hAnsi="Arial"/>
            <w:noProof/>
            <w:webHidden/>
            <w:sz w:val="22"/>
            <w:lang w:val="es-CO"/>
          </w:rPr>
          <w:fldChar w:fldCharType="end"/>
        </w:r>
      </w:hyperlink>
    </w:p>
    <w:p w14:paraId="2341A75D"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57" w:history="1">
        <w:r w:rsidR="0011752D" w:rsidRPr="0011752D">
          <w:rPr>
            <w:rFonts w:ascii="Arial" w:hAnsi="Arial"/>
            <w:b/>
            <w:noProof/>
            <w:color w:val="0563C1"/>
            <w:sz w:val="22"/>
            <w:u w:val="single"/>
            <w:lang w:val="es-CO"/>
          </w:rPr>
          <w:t>Tabla 3 – VPN del beneficio por introducción de FNCER ante variaciones en el precio de generación y en la demanda energética (Millones USD$)</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_Toc474797057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25</w:t>
        </w:r>
        <w:r w:rsidR="0011752D" w:rsidRPr="0011752D">
          <w:rPr>
            <w:rFonts w:ascii="Arial" w:hAnsi="Arial"/>
            <w:noProof/>
            <w:webHidden/>
            <w:sz w:val="22"/>
            <w:lang w:val="es-CO"/>
          </w:rPr>
          <w:fldChar w:fldCharType="end"/>
        </w:r>
      </w:hyperlink>
    </w:p>
    <w:p w14:paraId="2341A75E"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58" w:history="1">
        <w:r w:rsidR="0011752D" w:rsidRPr="0011752D">
          <w:rPr>
            <w:rFonts w:ascii="Arial" w:hAnsi="Arial"/>
            <w:b/>
            <w:noProof/>
            <w:color w:val="0563C1"/>
            <w:sz w:val="22"/>
            <w:u w:val="single"/>
            <w:lang w:val="es-CO"/>
          </w:rPr>
          <w:t>Tabla 4 – VPN del beneficio por introducción de FNCER ante variaciones en las emisiones y valoración del CO</w:t>
        </w:r>
        <w:r w:rsidR="0011752D" w:rsidRPr="0011752D">
          <w:rPr>
            <w:rFonts w:ascii="Arial" w:hAnsi="Arial"/>
            <w:b/>
            <w:noProof/>
            <w:color w:val="0563C1"/>
            <w:sz w:val="22"/>
            <w:u w:val="single"/>
            <w:vertAlign w:val="subscript"/>
            <w:lang w:val="es-CO"/>
          </w:rPr>
          <w:t>2</w:t>
        </w:r>
        <w:r w:rsidR="0011752D" w:rsidRPr="0011752D">
          <w:rPr>
            <w:rFonts w:ascii="Arial" w:hAnsi="Arial"/>
            <w:b/>
            <w:noProof/>
            <w:color w:val="0563C1"/>
            <w:sz w:val="22"/>
            <w:u w:val="single"/>
            <w:lang w:val="es-CO"/>
          </w:rPr>
          <w:t xml:space="preserve"> (Millones $USD)</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_Toc474797058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25</w:t>
        </w:r>
        <w:r w:rsidR="0011752D" w:rsidRPr="0011752D">
          <w:rPr>
            <w:rFonts w:ascii="Arial" w:hAnsi="Arial"/>
            <w:noProof/>
            <w:webHidden/>
            <w:sz w:val="22"/>
            <w:lang w:val="es-CO"/>
          </w:rPr>
          <w:fldChar w:fldCharType="end"/>
        </w:r>
      </w:hyperlink>
    </w:p>
    <w:p w14:paraId="2341A75F"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59" w:history="1">
        <w:r w:rsidR="0011752D" w:rsidRPr="0011752D">
          <w:rPr>
            <w:rFonts w:ascii="Arial" w:hAnsi="Arial"/>
            <w:b/>
            <w:noProof/>
            <w:color w:val="0563C1"/>
            <w:sz w:val="22"/>
            <w:u w:val="single"/>
            <w:lang w:val="es-CO"/>
          </w:rPr>
          <w:t>Tabla 5 – Distribución del consumo eléctrico por sectores 2015</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_Toc474797059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30</w:t>
        </w:r>
        <w:r w:rsidR="0011752D" w:rsidRPr="0011752D">
          <w:rPr>
            <w:rFonts w:ascii="Arial" w:hAnsi="Arial"/>
            <w:noProof/>
            <w:webHidden/>
            <w:sz w:val="22"/>
            <w:lang w:val="es-CO"/>
          </w:rPr>
          <w:fldChar w:fldCharType="end"/>
        </w:r>
      </w:hyperlink>
    </w:p>
    <w:p w14:paraId="2341A760"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60" w:history="1">
        <w:r w:rsidR="0011752D" w:rsidRPr="0011752D">
          <w:rPr>
            <w:rFonts w:ascii="Arial" w:hAnsi="Arial"/>
            <w:b/>
            <w:noProof/>
            <w:color w:val="0563C1"/>
            <w:sz w:val="22"/>
            <w:u w:val="single"/>
            <w:lang w:val="es-CO"/>
          </w:rPr>
          <w:t>Tabla 6 – Metas indicativas de ahorro de energía 2017 – 2022 definidas en el PROURE</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_Toc474797060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30</w:t>
        </w:r>
        <w:r w:rsidR="0011752D" w:rsidRPr="0011752D">
          <w:rPr>
            <w:rFonts w:ascii="Arial" w:hAnsi="Arial"/>
            <w:noProof/>
            <w:webHidden/>
            <w:sz w:val="22"/>
            <w:lang w:val="es-CO"/>
          </w:rPr>
          <w:fldChar w:fldCharType="end"/>
        </w:r>
      </w:hyperlink>
    </w:p>
    <w:p w14:paraId="2341A761"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61" w:history="1">
        <w:r w:rsidR="0011752D" w:rsidRPr="0011752D">
          <w:rPr>
            <w:rFonts w:ascii="Arial" w:hAnsi="Arial"/>
            <w:b/>
            <w:noProof/>
            <w:color w:val="0563C1"/>
            <w:sz w:val="22"/>
            <w:u w:val="single"/>
            <w:lang w:val="es-CO"/>
          </w:rPr>
          <w:t>Tabla 7 – Medidas generales de eficiencia energética definidas en el PROURE</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_Toc474797061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31</w:t>
        </w:r>
        <w:r w:rsidR="0011752D" w:rsidRPr="0011752D">
          <w:rPr>
            <w:rFonts w:ascii="Arial" w:hAnsi="Arial"/>
            <w:noProof/>
            <w:webHidden/>
            <w:sz w:val="22"/>
            <w:lang w:val="es-CO"/>
          </w:rPr>
          <w:fldChar w:fldCharType="end"/>
        </w:r>
      </w:hyperlink>
    </w:p>
    <w:p w14:paraId="2341A762"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62" w:history="1">
        <w:r w:rsidR="0011752D" w:rsidRPr="0011752D">
          <w:rPr>
            <w:rFonts w:ascii="Arial" w:hAnsi="Arial"/>
            <w:b/>
            <w:noProof/>
            <w:color w:val="0563C1"/>
            <w:sz w:val="22"/>
            <w:u w:val="single"/>
            <w:lang w:val="es-CO"/>
          </w:rPr>
          <w:t>Tabla 8 – Efecto de las medidas tendientes a la gestión eficiente de la demanda</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_Toc474797062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32</w:t>
        </w:r>
        <w:r w:rsidR="0011752D" w:rsidRPr="0011752D">
          <w:rPr>
            <w:rFonts w:ascii="Arial" w:hAnsi="Arial"/>
            <w:noProof/>
            <w:webHidden/>
            <w:sz w:val="22"/>
            <w:lang w:val="es-CO"/>
          </w:rPr>
          <w:fldChar w:fldCharType="end"/>
        </w:r>
      </w:hyperlink>
    </w:p>
    <w:p w14:paraId="2341A763"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63" w:history="1">
        <w:r w:rsidR="0011752D" w:rsidRPr="0011752D">
          <w:rPr>
            <w:rFonts w:ascii="Arial" w:hAnsi="Arial"/>
            <w:b/>
            <w:noProof/>
            <w:color w:val="0563C1"/>
            <w:sz w:val="22"/>
            <w:u w:val="single"/>
            <w:lang w:val="es-CO"/>
          </w:rPr>
          <w:t>Tabla 9 – Potencial ahorro energético por la implementación de medidas de eficiencia energética (GWh)</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_Toc474797063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34</w:t>
        </w:r>
        <w:r w:rsidR="0011752D" w:rsidRPr="0011752D">
          <w:rPr>
            <w:rFonts w:ascii="Arial" w:hAnsi="Arial"/>
            <w:noProof/>
            <w:webHidden/>
            <w:sz w:val="22"/>
            <w:lang w:val="es-CO"/>
          </w:rPr>
          <w:fldChar w:fldCharType="end"/>
        </w:r>
      </w:hyperlink>
    </w:p>
    <w:p w14:paraId="2341A764"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64" w:history="1">
        <w:r w:rsidR="0011752D" w:rsidRPr="0011752D">
          <w:rPr>
            <w:rFonts w:ascii="Arial" w:hAnsi="Arial"/>
            <w:b/>
            <w:noProof/>
            <w:color w:val="0563C1"/>
            <w:sz w:val="22"/>
            <w:u w:val="single"/>
            <w:lang w:val="es-CO"/>
          </w:rPr>
          <w:t>Tabla 10 – Potencial de emisiones de CO</w:t>
        </w:r>
        <w:r w:rsidR="0011752D" w:rsidRPr="0011752D">
          <w:rPr>
            <w:rFonts w:ascii="Arial" w:hAnsi="Arial"/>
            <w:b/>
            <w:noProof/>
            <w:color w:val="0563C1"/>
            <w:sz w:val="22"/>
            <w:u w:val="single"/>
            <w:vertAlign w:val="subscript"/>
            <w:lang w:val="es-CO"/>
          </w:rPr>
          <w:t>2</w:t>
        </w:r>
        <w:r w:rsidR="0011752D" w:rsidRPr="0011752D">
          <w:rPr>
            <w:rFonts w:ascii="Arial" w:hAnsi="Arial"/>
            <w:b/>
            <w:noProof/>
            <w:color w:val="0563C1"/>
            <w:sz w:val="22"/>
            <w:u w:val="single"/>
            <w:lang w:val="es-CO"/>
          </w:rPr>
          <w:t xml:space="preserve"> evitadas por implementación de medidas de eficiencia energética (TonCO</w:t>
        </w:r>
        <w:r w:rsidR="0011752D" w:rsidRPr="0011752D">
          <w:rPr>
            <w:rFonts w:ascii="Arial" w:hAnsi="Arial"/>
            <w:b/>
            <w:noProof/>
            <w:color w:val="0563C1"/>
            <w:sz w:val="22"/>
            <w:u w:val="single"/>
            <w:vertAlign w:val="subscript"/>
            <w:lang w:val="es-CO"/>
          </w:rPr>
          <w:t>2</w:t>
        </w:r>
        <w:r w:rsidR="0011752D" w:rsidRPr="0011752D">
          <w:rPr>
            <w:rFonts w:ascii="Arial" w:hAnsi="Arial"/>
            <w:b/>
            <w:noProof/>
            <w:color w:val="0563C1"/>
            <w:sz w:val="22"/>
            <w:u w:val="single"/>
            <w:lang w:val="es-CO"/>
          </w:rPr>
          <w:t>)</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_Toc474797064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34</w:t>
        </w:r>
        <w:r w:rsidR="0011752D" w:rsidRPr="0011752D">
          <w:rPr>
            <w:rFonts w:ascii="Arial" w:hAnsi="Arial"/>
            <w:noProof/>
            <w:webHidden/>
            <w:sz w:val="22"/>
            <w:lang w:val="es-CO"/>
          </w:rPr>
          <w:fldChar w:fldCharType="end"/>
        </w:r>
      </w:hyperlink>
    </w:p>
    <w:p w14:paraId="2341A765"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65" w:history="1">
        <w:r w:rsidR="0011752D" w:rsidRPr="0011752D">
          <w:rPr>
            <w:rFonts w:ascii="Arial" w:hAnsi="Arial"/>
            <w:b/>
            <w:noProof/>
            <w:color w:val="0563C1"/>
            <w:sz w:val="22"/>
            <w:u w:val="single"/>
            <w:lang w:val="es-CO"/>
          </w:rPr>
          <w:t>Tabla 11 – Resumen de beneficios y costos por la implementación de medidas de eficiencia energética en el sector eléctrico ($USD Millones)</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_Toc474797065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35</w:t>
        </w:r>
        <w:r w:rsidR="0011752D" w:rsidRPr="0011752D">
          <w:rPr>
            <w:rFonts w:ascii="Arial" w:hAnsi="Arial"/>
            <w:noProof/>
            <w:webHidden/>
            <w:sz w:val="22"/>
            <w:lang w:val="es-CO"/>
          </w:rPr>
          <w:fldChar w:fldCharType="end"/>
        </w:r>
      </w:hyperlink>
    </w:p>
    <w:p w14:paraId="2341A766"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66" w:history="1">
        <w:r w:rsidR="0011752D" w:rsidRPr="0011752D">
          <w:rPr>
            <w:rFonts w:ascii="Arial" w:hAnsi="Arial"/>
            <w:b/>
            <w:noProof/>
            <w:color w:val="0563C1"/>
            <w:sz w:val="22"/>
            <w:u w:val="single"/>
            <w:lang w:val="es-CO"/>
          </w:rPr>
          <w:t>Tabla 12 – Sensibilidad del beneficio neto de las medidas de GED a reducción de la tarifa de electricidad</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_Toc474797066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36</w:t>
        </w:r>
        <w:r w:rsidR="0011752D" w:rsidRPr="0011752D">
          <w:rPr>
            <w:rFonts w:ascii="Arial" w:hAnsi="Arial"/>
            <w:noProof/>
            <w:webHidden/>
            <w:sz w:val="22"/>
            <w:lang w:val="es-CO"/>
          </w:rPr>
          <w:fldChar w:fldCharType="end"/>
        </w:r>
      </w:hyperlink>
    </w:p>
    <w:p w14:paraId="2341A767"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67" w:history="1">
        <w:r w:rsidR="0011752D" w:rsidRPr="0011752D">
          <w:rPr>
            <w:rFonts w:ascii="Arial" w:hAnsi="Arial"/>
            <w:b/>
            <w:noProof/>
            <w:color w:val="0563C1"/>
            <w:sz w:val="22"/>
            <w:u w:val="single"/>
            <w:lang w:val="es-CO"/>
          </w:rPr>
          <w:t>Tabla 13 – Costo efectividad de soluciones con FNCER respecto a solución con diésel</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_Toc474797067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41</w:t>
        </w:r>
        <w:r w:rsidR="0011752D" w:rsidRPr="0011752D">
          <w:rPr>
            <w:rFonts w:ascii="Arial" w:hAnsi="Arial"/>
            <w:noProof/>
            <w:webHidden/>
            <w:sz w:val="22"/>
            <w:lang w:val="es-CO"/>
          </w:rPr>
          <w:fldChar w:fldCharType="end"/>
        </w:r>
      </w:hyperlink>
    </w:p>
    <w:p w14:paraId="2341A768"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68" w:history="1">
        <w:r w:rsidR="0011752D" w:rsidRPr="0011752D">
          <w:rPr>
            <w:rFonts w:ascii="Arial" w:hAnsi="Arial"/>
            <w:b/>
            <w:noProof/>
            <w:color w:val="0563C1"/>
            <w:sz w:val="22"/>
            <w:u w:val="single"/>
            <w:lang w:val="es-CO"/>
          </w:rPr>
          <w:t>Tabla 14 – Parámetros generales</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_Toc474797068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45</w:t>
        </w:r>
        <w:r w:rsidR="0011752D" w:rsidRPr="0011752D">
          <w:rPr>
            <w:rFonts w:ascii="Arial" w:hAnsi="Arial"/>
            <w:noProof/>
            <w:webHidden/>
            <w:sz w:val="22"/>
            <w:lang w:val="es-CO"/>
          </w:rPr>
          <w:fldChar w:fldCharType="end"/>
        </w:r>
      </w:hyperlink>
    </w:p>
    <w:p w14:paraId="2341A769"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69" w:history="1">
        <w:r w:rsidR="0011752D" w:rsidRPr="0011752D">
          <w:rPr>
            <w:rFonts w:ascii="Arial" w:hAnsi="Arial"/>
            <w:b/>
            <w:noProof/>
            <w:color w:val="0563C1"/>
            <w:sz w:val="22"/>
            <w:u w:val="single"/>
            <w:lang w:val="es-CO"/>
          </w:rPr>
          <w:t>Tabla 15 – Proyección de beneficios y costos para la medida de sustitución de bombillos (Sector Residencial)</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_Toc474797069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46</w:t>
        </w:r>
        <w:r w:rsidR="0011752D" w:rsidRPr="0011752D">
          <w:rPr>
            <w:rFonts w:ascii="Arial" w:hAnsi="Arial"/>
            <w:noProof/>
            <w:webHidden/>
            <w:sz w:val="22"/>
            <w:lang w:val="es-CO"/>
          </w:rPr>
          <w:fldChar w:fldCharType="end"/>
        </w:r>
      </w:hyperlink>
    </w:p>
    <w:p w14:paraId="2341A76A"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70" w:history="1">
        <w:r w:rsidR="0011752D" w:rsidRPr="0011752D">
          <w:rPr>
            <w:rFonts w:ascii="Arial" w:hAnsi="Arial"/>
            <w:b/>
            <w:noProof/>
            <w:color w:val="0563C1"/>
            <w:sz w:val="22"/>
            <w:u w:val="single"/>
            <w:lang w:val="es-CO"/>
          </w:rPr>
          <w:t>Tabla 16 – Proyección de beneficios y costos para la medida de sustitución de neveras (Sector Residencial)</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_Toc474797070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47</w:t>
        </w:r>
        <w:r w:rsidR="0011752D" w:rsidRPr="0011752D">
          <w:rPr>
            <w:rFonts w:ascii="Arial" w:hAnsi="Arial"/>
            <w:noProof/>
            <w:webHidden/>
            <w:sz w:val="22"/>
            <w:lang w:val="es-CO"/>
          </w:rPr>
          <w:fldChar w:fldCharType="end"/>
        </w:r>
      </w:hyperlink>
    </w:p>
    <w:p w14:paraId="2341A76B"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71" w:history="1">
        <w:r w:rsidR="0011752D" w:rsidRPr="0011752D">
          <w:rPr>
            <w:rFonts w:ascii="Arial" w:hAnsi="Arial"/>
            <w:b/>
            <w:noProof/>
            <w:color w:val="0563C1"/>
            <w:sz w:val="22"/>
            <w:u w:val="single"/>
            <w:lang w:val="es-CO"/>
          </w:rPr>
          <w:t>Tabla 17 – Proyección de beneficios y costos para la medida de sustitución de estufas (Sector Residencial)</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_Toc474797071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48</w:t>
        </w:r>
        <w:r w:rsidR="0011752D" w:rsidRPr="0011752D">
          <w:rPr>
            <w:rFonts w:ascii="Arial" w:hAnsi="Arial"/>
            <w:noProof/>
            <w:webHidden/>
            <w:sz w:val="22"/>
            <w:lang w:val="es-CO"/>
          </w:rPr>
          <w:fldChar w:fldCharType="end"/>
        </w:r>
      </w:hyperlink>
    </w:p>
    <w:p w14:paraId="2341A76C"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72" w:history="1">
        <w:r w:rsidR="0011752D" w:rsidRPr="0011752D">
          <w:rPr>
            <w:rFonts w:ascii="Arial" w:hAnsi="Arial"/>
            <w:b/>
            <w:noProof/>
            <w:color w:val="0563C1"/>
            <w:sz w:val="22"/>
            <w:u w:val="single"/>
            <w:lang w:val="es-CO"/>
          </w:rPr>
          <w:t>Tabla 18 – Proyecciones para la medida de sustitución equipos de climatización (Sector Comercial)</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_Toc474797072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49</w:t>
        </w:r>
        <w:r w:rsidR="0011752D" w:rsidRPr="0011752D">
          <w:rPr>
            <w:rFonts w:ascii="Arial" w:hAnsi="Arial"/>
            <w:noProof/>
            <w:webHidden/>
            <w:sz w:val="22"/>
            <w:lang w:val="es-CO"/>
          </w:rPr>
          <w:fldChar w:fldCharType="end"/>
        </w:r>
      </w:hyperlink>
    </w:p>
    <w:p w14:paraId="2341A76D"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73" w:history="1">
        <w:r w:rsidR="0011752D" w:rsidRPr="0011752D">
          <w:rPr>
            <w:rFonts w:ascii="Arial" w:hAnsi="Arial"/>
            <w:b/>
            <w:noProof/>
            <w:color w:val="0563C1"/>
            <w:sz w:val="22"/>
            <w:u w:val="single"/>
            <w:lang w:val="es-CO"/>
          </w:rPr>
          <w:t>Tabla 19 – Proyección de beneficios y costos para la medida de sustitución de refrigeradores (Sector Comercial)</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_Toc474797073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50</w:t>
        </w:r>
        <w:r w:rsidR="0011752D" w:rsidRPr="0011752D">
          <w:rPr>
            <w:rFonts w:ascii="Arial" w:hAnsi="Arial"/>
            <w:noProof/>
            <w:webHidden/>
            <w:sz w:val="22"/>
            <w:lang w:val="es-CO"/>
          </w:rPr>
          <w:fldChar w:fldCharType="end"/>
        </w:r>
      </w:hyperlink>
    </w:p>
    <w:p w14:paraId="2341A76E"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74" w:history="1">
        <w:r w:rsidR="0011752D" w:rsidRPr="0011752D">
          <w:rPr>
            <w:rFonts w:ascii="Arial" w:hAnsi="Arial"/>
            <w:b/>
            <w:noProof/>
            <w:color w:val="0563C1"/>
            <w:sz w:val="22"/>
            <w:u w:val="single"/>
            <w:lang w:val="es-CO"/>
          </w:rPr>
          <w:t>Tabla 20 – Proyección de beneficios y costos para la medida de sustitución de bombillos (Sector Comercial)</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_Toc474797074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51</w:t>
        </w:r>
        <w:r w:rsidR="0011752D" w:rsidRPr="0011752D">
          <w:rPr>
            <w:rFonts w:ascii="Arial" w:hAnsi="Arial"/>
            <w:noProof/>
            <w:webHidden/>
            <w:sz w:val="22"/>
            <w:lang w:val="es-CO"/>
          </w:rPr>
          <w:fldChar w:fldCharType="end"/>
        </w:r>
      </w:hyperlink>
    </w:p>
    <w:p w14:paraId="2341A76F"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75" w:history="1">
        <w:r w:rsidR="0011752D" w:rsidRPr="0011752D">
          <w:rPr>
            <w:rFonts w:ascii="Arial" w:hAnsi="Arial"/>
            <w:b/>
            <w:noProof/>
            <w:color w:val="0563C1"/>
            <w:sz w:val="22"/>
            <w:u w:val="single"/>
            <w:lang w:val="es-CO"/>
          </w:rPr>
          <w:t>Tabla 21 – Proyección de beneficios y costos para la medida de sustitución de equipos de fuerza motriz (Sector Comercial)</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_Toc474797075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52</w:t>
        </w:r>
        <w:r w:rsidR="0011752D" w:rsidRPr="0011752D">
          <w:rPr>
            <w:rFonts w:ascii="Arial" w:hAnsi="Arial"/>
            <w:noProof/>
            <w:webHidden/>
            <w:sz w:val="22"/>
            <w:lang w:val="es-CO"/>
          </w:rPr>
          <w:fldChar w:fldCharType="end"/>
        </w:r>
      </w:hyperlink>
    </w:p>
    <w:p w14:paraId="2341A770"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76" w:history="1">
        <w:r w:rsidR="0011752D" w:rsidRPr="0011752D">
          <w:rPr>
            <w:rFonts w:ascii="Arial" w:hAnsi="Arial"/>
            <w:b/>
            <w:noProof/>
            <w:color w:val="0563C1"/>
            <w:sz w:val="22"/>
            <w:u w:val="single"/>
            <w:lang w:val="es-CO"/>
          </w:rPr>
          <w:t>Tabla 22 – Proyección de beneficios y costos para la medida de sustitución de motores industria de alimentos (Sector Industrial)</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_Toc474797076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53</w:t>
        </w:r>
        <w:r w:rsidR="0011752D" w:rsidRPr="0011752D">
          <w:rPr>
            <w:rFonts w:ascii="Arial" w:hAnsi="Arial"/>
            <w:noProof/>
            <w:webHidden/>
            <w:sz w:val="22"/>
            <w:lang w:val="es-CO"/>
          </w:rPr>
          <w:fldChar w:fldCharType="end"/>
        </w:r>
      </w:hyperlink>
    </w:p>
    <w:p w14:paraId="2341A771"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77" w:history="1">
        <w:r w:rsidR="0011752D" w:rsidRPr="0011752D">
          <w:rPr>
            <w:rFonts w:ascii="Arial" w:hAnsi="Arial"/>
            <w:b/>
            <w:noProof/>
            <w:color w:val="0563C1"/>
            <w:sz w:val="22"/>
            <w:u w:val="single"/>
            <w:lang w:val="es-CO"/>
          </w:rPr>
          <w:t>Tabla 23 – Proyección de beneficios y costos para la medida de sustitución de motores industria de químicos (Sector Industrial)</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_Toc474797077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54</w:t>
        </w:r>
        <w:r w:rsidR="0011752D" w:rsidRPr="0011752D">
          <w:rPr>
            <w:rFonts w:ascii="Arial" w:hAnsi="Arial"/>
            <w:noProof/>
            <w:webHidden/>
            <w:sz w:val="22"/>
            <w:lang w:val="es-CO"/>
          </w:rPr>
          <w:fldChar w:fldCharType="end"/>
        </w:r>
      </w:hyperlink>
    </w:p>
    <w:p w14:paraId="2341A772"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78" w:history="1">
        <w:r w:rsidR="0011752D" w:rsidRPr="0011752D">
          <w:rPr>
            <w:rFonts w:ascii="Arial" w:hAnsi="Arial"/>
            <w:b/>
            <w:noProof/>
            <w:color w:val="0563C1"/>
            <w:sz w:val="22"/>
            <w:u w:val="single"/>
            <w:lang w:val="es-CO"/>
          </w:rPr>
          <w:t>Tabla 24 – Proyección de beneficios y costos para la medida de sustitución de motores industria metalúrgica (Sector Industrial)</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_Toc474797078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55</w:t>
        </w:r>
        <w:r w:rsidR="0011752D" w:rsidRPr="0011752D">
          <w:rPr>
            <w:rFonts w:ascii="Arial" w:hAnsi="Arial"/>
            <w:noProof/>
            <w:webHidden/>
            <w:sz w:val="22"/>
            <w:lang w:val="es-CO"/>
          </w:rPr>
          <w:fldChar w:fldCharType="end"/>
        </w:r>
      </w:hyperlink>
    </w:p>
    <w:p w14:paraId="2341A773" w14:textId="77777777" w:rsidR="0011752D" w:rsidRPr="0011752D" w:rsidRDefault="004932D7" w:rsidP="0011752D">
      <w:pPr>
        <w:tabs>
          <w:tab w:val="right" w:leader="dot" w:pos="8828"/>
        </w:tabs>
        <w:spacing w:before="240"/>
        <w:jc w:val="both"/>
        <w:rPr>
          <w:rFonts w:ascii="Calibri" w:hAnsi="Calibri"/>
          <w:noProof/>
          <w:sz w:val="22"/>
          <w:szCs w:val="22"/>
        </w:rPr>
      </w:pPr>
      <w:hyperlink w:anchor="_Toc474797079" w:history="1">
        <w:r w:rsidR="0011752D" w:rsidRPr="0011752D">
          <w:rPr>
            <w:rFonts w:ascii="Arial" w:hAnsi="Arial"/>
            <w:b/>
            <w:noProof/>
            <w:color w:val="0563C1"/>
            <w:sz w:val="22"/>
            <w:u w:val="single"/>
            <w:lang w:val="es-CO"/>
          </w:rPr>
          <w:t>Tabla 25 – Proyección de beneficios y costos para la medida de mantenimiento y optimización de la operación de los aires acondicionados (Sector Industrial)</w:t>
        </w:r>
        <w:r w:rsidR="0011752D" w:rsidRPr="0011752D">
          <w:rPr>
            <w:rFonts w:ascii="Arial" w:hAnsi="Arial"/>
            <w:noProof/>
            <w:webHidden/>
            <w:sz w:val="22"/>
            <w:lang w:val="es-CO"/>
          </w:rPr>
          <w:tab/>
        </w:r>
        <w:r w:rsidR="0011752D" w:rsidRPr="0011752D">
          <w:rPr>
            <w:rFonts w:ascii="Arial" w:hAnsi="Arial"/>
            <w:noProof/>
            <w:webHidden/>
            <w:sz w:val="22"/>
            <w:lang w:val="es-CO"/>
          </w:rPr>
          <w:fldChar w:fldCharType="begin"/>
        </w:r>
        <w:r w:rsidR="0011752D" w:rsidRPr="0011752D">
          <w:rPr>
            <w:rFonts w:ascii="Arial" w:hAnsi="Arial"/>
            <w:noProof/>
            <w:webHidden/>
            <w:sz w:val="22"/>
            <w:lang w:val="es-CO"/>
          </w:rPr>
          <w:instrText xml:space="preserve"> PAGEREF _Toc474797079 \h </w:instrText>
        </w:r>
        <w:r w:rsidR="0011752D" w:rsidRPr="0011752D">
          <w:rPr>
            <w:rFonts w:ascii="Arial" w:hAnsi="Arial"/>
            <w:noProof/>
            <w:webHidden/>
            <w:sz w:val="22"/>
            <w:lang w:val="es-CO"/>
          </w:rPr>
        </w:r>
        <w:r w:rsidR="0011752D" w:rsidRPr="0011752D">
          <w:rPr>
            <w:rFonts w:ascii="Arial" w:hAnsi="Arial"/>
            <w:noProof/>
            <w:webHidden/>
            <w:sz w:val="22"/>
            <w:lang w:val="es-CO"/>
          </w:rPr>
          <w:fldChar w:fldCharType="separate"/>
        </w:r>
        <w:r w:rsidR="0011752D" w:rsidRPr="0011752D">
          <w:rPr>
            <w:rFonts w:ascii="Arial" w:hAnsi="Arial"/>
            <w:noProof/>
            <w:webHidden/>
            <w:sz w:val="22"/>
            <w:lang w:val="es-CO"/>
          </w:rPr>
          <w:t>56</w:t>
        </w:r>
        <w:r w:rsidR="0011752D" w:rsidRPr="0011752D">
          <w:rPr>
            <w:rFonts w:ascii="Arial" w:hAnsi="Arial"/>
            <w:noProof/>
            <w:webHidden/>
            <w:sz w:val="22"/>
            <w:lang w:val="es-CO"/>
          </w:rPr>
          <w:fldChar w:fldCharType="end"/>
        </w:r>
      </w:hyperlink>
    </w:p>
    <w:p w14:paraId="2341A774"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fldChar w:fldCharType="end"/>
      </w:r>
      <w:r w:rsidRPr="0011752D">
        <w:rPr>
          <w:rFonts w:ascii="Arial" w:hAnsi="Arial"/>
          <w:sz w:val="22"/>
          <w:lang w:val="es-CO"/>
        </w:rPr>
        <w:br w:type="page"/>
      </w:r>
    </w:p>
    <w:p w14:paraId="2341A775" w14:textId="77777777" w:rsidR="0011752D" w:rsidRPr="0011752D" w:rsidRDefault="0011752D" w:rsidP="0011752D">
      <w:pPr>
        <w:spacing w:before="240" w:after="240"/>
        <w:jc w:val="both"/>
        <w:rPr>
          <w:rFonts w:ascii="Arial" w:hAnsi="Arial"/>
          <w:sz w:val="22"/>
          <w:lang w:val="es-CO"/>
        </w:rPr>
      </w:pPr>
    </w:p>
    <w:p w14:paraId="2341A776" w14:textId="77777777" w:rsidR="0011752D" w:rsidRPr="0011752D" w:rsidRDefault="0011752D" w:rsidP="0011752D">
      <w:pPr>
        <w:tabs>
          <w:tab w:val="left" w:pos="1440"/>
          <w:tab w:val="left" w:pos="3060"/>
        </w:tabs>
        <w:jc w:val="center"/>
        <w:rPr>
          <w:rFonts w:ascii="Arial" w:hAnsi="Arial" w:cs="Arial"/>
          <w:b/>
          <w:smallCaps/>
          <w:sz w:val="28"/>
          <w:szCs w:val="28"/>
          <w:lang w:val="es-ES"/>
        </w:rPr>
      </w:pPr>
      <w:r w:rsidRPr="0011752D">
        <w:rPr>
          <w:rFonts w:ascii="Arial" w:hAnsi="Arial" w:cs="Arial"/>
          <w:b/>
          <w:smallCaps/>
          <w:sz w:val="28"/>
          <w:szCs w:val="28"/>
          <w:lang w:val="es-ES"/>
        </w:rPr>
        <w:t>Colombia</w:t>
      </w:r>
    </w:p>
    <w:p w14:paraId="2341A777" w14:textId="77777777" w:rsidR="0011752D" w:rsidRPr="0011752D" w:rsidRDefault="0011752D" w:rsidP="0011752D">
      <w:pPr>
        <w:spacing w:after="160" w:line="259" w:lineRule="auto"/>
        <w:jc w:val="center"/>
        <w:rPr>
          <w:rFonts w:ascii="Arial" w:hAnsi="Arial"/>
          <w:b/>
          <w:sz w:val="22"/>
          <w:szCs w:val="28"/>
          <w:lang w:val="es-CO"/>
        </w:rPr>
      </w:pPr>
    </w:p>
    <w:p w14:paraId="2341A778" w14:textId="77777777" w:rsidR="0011752D" w:rsidRPr="0011752D" w:rsidRDefault="0011752D" w:rsidP="0011752D">
      <w:pPr>
        <w:spacing w:after="160" w:line="259" w:lineRule="auto"/>
        <w:jc w:val="center"/>
        <w:rPr>
          <w:rFonts w:ascii="Arial" w:hAnsi="Arial"/>
          <w:b/>
          <w:sz w:val="22"/>
          <w:szCs w:val="28"/>
          <w:lang w:val="es-CO"/>
        </w:rPr>
      </w:pPr>
      <w:r w:rsidRPr="0011752D">
        <w:rPr>
          <w:rFonts w:ascii="Arial" w:hAnsi="Arial"/>
          <w:b/>
          <w:sz w:val="22"/>
          <w:szCs w:val="28"/>
          <w:lang w:val="es-CO"/>
        </w:rPr>
        <w:t>Evaluación Económica del Proyecto Programa Nacional para Asegurar un Suministro de Energía Sostenible y Eficiente</w:t>
      </w:r>
    </w:p>
    <w:p w14:paraId="2341A779" w14:textId="77777777" w:rsidR="0011752D" w:rsidRPr="0011752D" w:rsidRDefault="0011752D" w:rsidP="0011752D">
      <w:pPr>
        <w:spacing w:after="160" w:line="259" w:lineRule="auto"/>
        <w:jc w:val="center"/>
        <w:rPr>
          <w:rFonts w:ascii="Arial" w:hAnsi="Arial"/>
          <w:sz w:val="18"/>
          <w:lang w:val="es-CO"/>
        </w:rPr>
      </w:pPr>
    </w:p>
    <w:p w14:paraId="2341A77A" w14:textId="77777777" w:rsidR="0011752D" w:rsidRPr="0011752D" w:rsidRDefault="0011752D" w:rsidP="0011752D">
      <w:pPr>
        <w:spacing w:after="240"/>
        <w:jc w:val="center"/>
        <w:rPr>
          <w:rFonts w:ascii="Arial" w:hAnsi="Arial" w:cs="Arial"/>
          <w:b/>
          <w:sz w:val="22"/>
          <w:lang w:val="es-ES"/>
        </w:rPr>
      </w:pPr>
      <w:r w:rsidRPr="0011752D">
        <w:rPr>
          <w:rFonts w:ascii="Arial" w:hAnsi="Arial" w:cs="Arial"/>
          <w:b/>
          <w:sz w:val="22"/>
          <w:lang w:val="es-ES"/>
        </w:rPr>
        <w:t>Evaluación Económica</w:t>
      </w:r>
    </w:p>
    <w:p w14:paraId="2341A77B" w14:textId="77777777" w:rsidR="0011752D" w:rsidRPr="0011752D" w:rsidRDefault="0011752D" w:rsidP="0011752D">
      <w:pPr>
        <w:keepNext/>
        <w:keepLines/>
        <w:spacing w:before="240" w:after="240"/>
        <w:ind w:left="432" w:hanging="432"/>
        <w:jc w:val="both"/>
        <w:outlineLvl w:val="0"/>
        <w:rPr>
          <w:rFonts w:ascii="Arial" w:hAnsi="Arial"/>
          <w:b/>
          <w:color w:val="002060"/>
          <w:sz w:val="28"/>
          <w:szCs w:val="32"/>
          <w:lang w:val="es-CO"/>
        </w:rPr>
      </w:pPr>
      <w:bookmarkStart w:id="16" w:name="_Toc474797014"/>
      <w:r w:rsidRPr="0011752D">
        <w:rPr>
          <w:rFonts w:ascii="Arial" w:hAnsi="Arial"/>
          <w:b/>
          <w:color w:val="002060"/>
          <w:sz w:val="28"/>
          <w:szCs w:val="32"/>
          <w:lang w:val="es-CO"/>
        </w:rPr>
        <w:t>Introducción</w:t>
      </w:r>
      <w:bookmarkEnd w:id="16"/>
    </w:p>
    <w:p w14:paraId="2341A77C" w14:textId="77777777" w:rsidR="0011752D" w:rsidRPr="0011752D" w:rsidRDefault="0011752D" w:rsidP="0011752D">
      <w:pPr>
        <w:tabs>
          <w:tab w:val="num" w:pos="540"/>
        </w:tabs>
        <w:spacing w:before="240" w:after="240"/>
        <w:jc w:val="both"/>
        <w:rPr>
          <w:rFonts w:ascii="Arial" w:hAnsi="Arial"/>
          <w:sz w:val="22"/>
          <w:lang w:val="es-ES"/>
        </w:rPr>
      </w:pPr>
      <w:r w:rsidRPr="0011752D">
        <w:rPr>
          <w:rFonts w:ascii="Arial" w:hAnsi="Arial" w:cs="Arial"/>
          <w:bCs/>
          <w:sz w:val="22"/>
          <w:szCs w:val="22"/>
          <w:lang w:val="es-ES"/>
        </w:rPr>
        <w:t xml:space="preserve">El objetivo específico de la consultoría es la evaluación económica del </w:t>
      </w:r>
      <w:r w:rsidRPr="0011752D">
        <w:rPr>
          <w:rFonts w:ascii="Arial" w:hAnsi="Arial" w:cs="Arial"/>
          <w:b/>
          <w:bCs/>
          <w:sz w:val="22"/>
          <w:szCs w:val="22"/>
          <w:lang w:val="es-ES"/>
        </w:rPr>
        <w:t>Programa para Asegurar un Suministro de Energía Sostenible y Eficiente</w:t>
      </w:r>
      <w:r w:rsidRPr="0011752D">
        <w:rPr>
          <w:rFonts w:ascii="Arial" w:hAnsi="Arial" w:cs="Arial"/>
          <w:bCs/>
          <w:sz w:val="22"/>
          <w:szCs w:val="22"/>
          <w:lang w:val="es-ES"/>
        </w:rPr>
        <w:t xml:space="preserve"> (CO-L1217), elaborada acorde con los lineamientos del Banco para este tipo de operación. </w:t>
      </w:r>
      <w:r w:rsidRPr="0011752D">
        <w:rPr>
          <w:rFonts w:ascii="Arial" w:hAnsi="Arial"/>
          <w:sz w:val="22"/>
          <w:lang w:val="es-ES"/>
        </w:rPr>
        <w:t xml:space="preserve">El presente </w:t>
      </w:r>
      <w:r w:rsidRPr="0011752D">
        <w:rPr>
          <w:rFonts w:ascii="Arial" w:hAnsi="Arial"/>
          <w:b/>
          <w:sz w:val="22"/>
          <w:lang w:val="es-ES"/>
        </w:rPr>
        <w:t>Informe Final</w:t>
      </w:r>
      <w:r w:rsidRPr="0011752D">
        <w:rPr>
          <w:rFonts w:ascii="Arial" w:hAnsi="Arial"/>
          <w:sz w:val="22"/>
          <w:lang w:val="es-ES"/>
        </w:rPr>
        <w:t xml:space="preserve"> incorpora la evaluación económica del PBP, a través de cinco secciones así: La primera, correspondiente a esta introducción, con el fin de contextualizar la metodología propuesta y la evaluación económica realizada, presenta algunos antecedentes, el alcance y objetivos del PBP para Colombia; las tres secciones siguientes elaboran sobre la evaluación económica de los subcomponentes 2.1 y 2.2 y el componente 3 de la Matriz de Políticas, respectivamente; y la sección quinta, presenta las conclusiones. </w:t>
      </w:r>
    </w:p>
    <w:p w14:paraId="2341A77D"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CO"/>
        </w:rPr>
      </w:pPr>
      <w:bookmarkStart w:id="17" w:name="_Toc474797015"/>
      <w:r w:rsidRPr="0011752D">
        <w:rPr>
          <w:rFonts w:ascii="Arial" w:hAnsi="Arial"/>
          <w:b/>
          <w:color w:val="1F3864"/>
          <w:szCs w:val="26"/>
          <w:lang w:val="es-CO"/>
        </w:rPr>
        <w:t>Antecedentes y objetivo del Proyecto</w:t>
      </w:r>
      <w:bookmarkEnd w:id="17"/>
    </w:p>
    <w:p w14:paraId="2341A77E" w14:textId="77777777" w:rsidR="0011752D" w:rsidRPr="0011752D" w:rsidRDefault="0011752D" w:rsidP="0011752D">
      <w:pPr>
        <w:spacing w:before="240" w:after="240"/>
        <w:jc w:val="both"/>
        <w:rPr>
          <w:rFonts w:ascii="Arial" w:hAnsi="Arial" w:cs="Arial"/>
          <w:sz w:val="22"/>
          <w:szCs w:val="22"/>
          <w:lang w:val="es-ES"/>
        </w:rPr>
      </w:pPr>
      <w:r w:rsidRPr="0011752D">
        <w:rPr>
          <w:rFonts w:ascii="Arial" w:hAnsi="Arial"/>
          <w:sz w:val="22"/>
          <w:lang w:val="es-CO"/>
        </w:rPr>
        <w:t xml:space="preserve">El Programa Nacional para Asegurar un Suministro de Energía Sostenible y Eficiente responde a la solicitud del Gobierno de Colombia (GdC) </w:t>
      </w:r>
      <w:r w:rsidRPr="0011752D">
        <w:rPr>
          <w:rFonts w:ascii="Arial" w:hAnsi="Arial" w:cs="Arial"/>
          <w:sz w:val="22"/>
          <w:szCs w:val="22"/>
          <w:lang w:val="es-CO"/>
        </w:rPr>
        <w:t>para enfrentar los desafíos planteados en el sector energético. S</w:t>
      </w:r>
      <w:r w:rsidRPr="0011752D">
        <w:rPr>
          <w:rFonts w:ascii="Arial" w:hAnsi="Arial" w:cs="Arial"/>
          <w:bCs/>
          <w:sz w:val="22"/>
          <w:szCs w:val="22"/>
          <w:lang w:val="es-ES"/>
        </w:rPr>
        <w:t xml:space="preserve">e acordó que el préstamo de tipo </w:t>
      </w:r>
      <w:r w:rsidRPr="0011752D">
        <w:rPr>
          <w:rFonts w:ascii="Arial" w:hAnsi="Arial" w:cs="Arial"/>
          <w:sz w:val="22"/>
          <w:szCs w:val="22"/>
          <w:lang w:val="es-ES"/>
        </w:rPr>
        <w:t xml:space="preserve">Programático Basado en Políticas (PBP), constituye el instrumento del BID más apropiado para apoyar la profundización de los avances del gobierno en la gestión sostenible del sector. </w:t>
      </w:r>
    </w:p>
    <w:p w14:paraId="2341A77F" w14:textId="77777777" w:rsidR="0011752D" w:rsidRPr="0011752D" w:rsidRDefault="0011752D" w:rsidP="0011752D">
      <w:pPr>
        <w:spacing w:before="240" w:after="240"/>
        <w:jc w:val="both"/>
        <w:rPr>
          <w:rFonts w:ascii="Arial" w:hAnsi="Arial" w:cs="Arial"/>
          <w:bCs/>
          <w:sz w:val="22"/>
          <w:szCs w:val="22"/>
          <w:lang w:val="es-CO"/>
        </w:rPr>
      </w:pPr>
      <w:r w:rsidRPr="0011752D">
        <w:rPr>
          <w:rFonts w:ascii="Arial" w:hAnsi="Arial" w:cs="Arial"/>
          <w:sz w:val="22"/>
          <w:szCs w:val="22"/>
          <w:lang w:val="es-ES"/>
        </w:rPr>
        <w:t xml:space="preserve">Los </w:t>
      </w:r>
      <w:r w:rsidRPr="0011752D">
        <w:rPr>
          <w:rFonts w:ascii="Arial" w:hAnsi="Arial" w:cs="Arial"/>
          <w:sz w:val="22"/>
          <w:szCs w:val="22"/>
          <w:lang w:val="es-CO"/>
        </w:rPr>
        <w:t xml:space="preserve">desafíos del sector energético identificados por el Banco se relacionan con las </w:t>
      </w:r>
      <w:r w:rsidRPr="0011752D">
        <w:rPr>
          <w:rFonts w:ascii="Arial" w:hAnsi="Arial" w:cs="Arial"/>
          <w:bCs/>
          <w:sz w:val="22"/>
          <w:szCs w:val="22"/>
          <w:lang w:val="es-ES"/>
        </w:rPr>
        <w:t>vulnerabilidades evidenciadas que arriesgan la capacidad para garantizar una provisión confiable de la energía eléctrica. En el Sistema Interconectado Nacional (SIN) estas vulnerabilidades se evidenciaron en infortunados eventos durante 2015-2016, destacándose: (i) el Fenómeno El Niño 2015–2016, que en Colombia se manifiesta con fuertes sequías, redujo la disponibilidad del recurso hídrico para generación eléctrica, dejando al sistema dependiente de la generación térmica; (ii) la empresa TermoCandelaria (230MW) no entregó la energía contratada por falta de recursos financieros para pagar su combustible; (iii) un incendio sacó de operación la  hidroeléctrica Guatapé (560MW) y las plantas aguas abajo (San Carlos 1240MW y Las Playas 200MW), exponiendo al sistema al riego de racionamiento en horas de mayor demanda; y (iv) la falta de suministro de GN para la generación, principalmente por el retraso en la entrada en operación de la planta de regasificación de Gas Natural Licuado en Cartagena.</w:t>
      </w:r>
      <w:r w:rsidRPr="0011752D">
        <w:rPr>
          <w:rFonts w:ascii="Arial" w:hAnsi="Arial" w:cs="Arial"/>
          <w:bCs/>
          <w:sz w:val="22"/>
          <w:szCs w:val="22"/>
          <w:lang w:val="es-CO"/>
        </w:rPr>
        <w:t xml:space="preserve"> Se señala que, aunque no hubo racionamiento de energía en Colombia se hizo evidente: (i) la necesidad de diversificar la matriz energética altamente concentrada en el recurso hídrico y combustibles líquidos; (ii) la importancia de promover las interconexiones eléctricas regionales, dado que durante el periodo de crisis (2015-2016) la importaciones desde Ecuador (420GWh) redujeron los riesgos de desabastecimiento; (iii) la capacidad de reacción de la demanda para racionalizar el consumo </w:t>
      </w:r>
      <w:r w:rsidRPr="0011752D">
        <w:rPr>
          <w:rFonts w:ascii="Arial" w:hAnsi="Arial" w:cs="Arial"/>
          <w:bCs/>
          <w:sz w:val="22"/>
          <w:szCs w:val="22"/>
          <w:lang w:val="es-CO"/>
        </w:rPr>
        <w:lastRenderedPageBreak/>
        <w:t>(aproximadamente 5% en ese período), principalmente por medidas de gestión; y (iv) la necesidad de fortalecer la oferta y mercado de GN.</w:t>
      </w:r>
      <w:r w:rsidRPr="0011752D">
        <w:rPr>
          <w:rFonts w:ascii="Arial" w:hAnsi="Arial" w:cs="Arial"/>
          <w:bCs/>
          <w:sz w:val="22"/>
          <w:szCs w:val="22"/>
          <w:vertAlign w:val="superscript"/>
          <w:lang w:val="es-CO"/>
        </w:rPr>
        <w:footnoteReference w:id="5"/>
      </w:r>
      <w:r w:rsidRPr="0011752D">
        <w:rPr>
          <w:rFonts w:ascii="Arial" w:hAnsi="Arial" w:cs="Arial"/>
          <w:bCs/>
          <w:sz w:val="22"/>
          <w:szCs w:val="22"/>
          <w:lang w:val="es-CO"/>
        </w:rPr>
        <w:t xml:space="preserve"> </w:t>
      </w:r>
    </w:p>
    <w:p w14:paraId="2341A780" w14:textId="77777777" w:rsidR="0011752D" w:rsidRPr="0011752D" w:rsidRDefault="0011752D" w:rsidP="0011752D">
      <w:pPr>
        <w:spacing w:before="240" w:after="240"/>
        <w:jc w:val="both"/>
        <w:rPr>
          <w:rFonts w:ascii="Arial" w:hAnsi="Arial" w:cs="Arial"/>
          <w:sz w:val="22"/>
          <w:szCs w:val="22"/>
          <w:lang w:val="es-ES"/>
        </w:rPr>
      </w:pPr>
      <w:r w:rsidRPr="0011752D">
        <w:rPr>
          <w:rFonts w:ascii="Arial" w:hAnsi="Arial" w:cs="Arial"/>
          <w:sz w:val="22"/>
          <w:szCs w:val="22"/>
          <w:lang w:val="es-ES"/>
        </w:rPr>
        <w:t>En las ZNI el mayor desafío consiste en promover el desarrollo de energías renovables y el diseño de esquemas administrativos que aseguren la operación y mantenimiento de los sistemas comunitarios e individuales.</w:t>
      </w:r>
    </w:p>
    <w:p w14:paraId="2341A781" w14:textId="77777777" w:rsidR="0011752D" w:rsidRPr="0011752D" w:rsidRDefault="0011752D" w:rsidP="0011752D">
      <w:pPr>
        <w:spacing w:before="240" w:after="240"/>
        <w:jc w:val="both"/>
        <w:rPr>
          <w:rFonts w:ascii="Arial" w:hAnsi="Arial" w:cs="Arial"/>
          <w:bCs/>
          <w:sz w:val="22"/>
          <w:szCs w:val="22"/>
          <w:lang w:val="es-ES"/>
        </w:rPr>
      </w:pPr>
      <w:r w:rsidRPr="0011752D">
        <w:rPr>
          <w:rFonts w:ascii="Arial" w:hAnsi="Arial" w:cs="Arial"/>
          <w:sz w:val="22"/>
          <w:szCs w:val="22"/>
          <w:lang w:val="es-CO"/>
        </w:rPr>
        <w:t xml:space="preserve">Para atender los desafíos identificados, </w:t>
      </w:r>
      <w:r w:rsidRPr="0011752D">
        <w:rPr>
          <w:rFonts w:ascii="Arial" w:hAnsi="Arial" w:cs="Arial"/>
          <w:bCs/>
          <w:sz w:val="22"/>
          <w:szCs w:val="22"/>
          <w:lang w:val="es-ES"/>
        </w:rPr>
        <w:t>el GdC considera necesario avanzar en las reformas del sector energético para diversificar la matriz energética y precisar políticas para el suministro de energía sostenible y eficiente, con la calidad, cobertura, asequibilidad y confiabilidad necesarias en el SIN y en las ZNI. Para atender los desafíos actuales, el país ha avanzado en: (i) promover la diversificación de la matriz energética por medio de un marco legal que facilita la incorporación de las FNCER al mercado de energía mayorista (MEM); (ii) definir un marco regulatorio para la sustitución de combustibles líquidos en la generación eléctrica; (iii) promover procesos de integración eléctrica regional con los países vecinos, en especial con Panamá y Ecuador; (iv) definir lineamientos de política para la promoción de la Gestión Eficiente de la Demanda de Energía (GEDE); (v) implementar medidas para mejorar la operación y liquidez en el mercado de GN y (vi) promover el uso de las FNCER para ampliar la cobertura en las Zonas no Interconectadas (ZNI). El GdC está avanzando en otras reformas al sector que incluyen: (i) ajustar el funcionamiento del MEM para mejorar la capacidad de respuesta ante situaciones de crisis y estrés como El Niño 2015-2016; (ii) implementar la Hoja de Ruta del SINEA para avanzar en las conexiones binacionales identificadas y armonización regulatoria del mercado regional; y (iii) definir mecanismos para entregar en operación las ZNI, a través de áreas de servicio exclusivo, de Asociaciones Público Privadas (APP), u otros.</w:t>
      </w:r>
    </w:p>
    <w:p w14:paraId="2341A782" w14:textId="77777777" w:rsidR="0011752D" w:rsidRPr="0011752D" w:rsidRDefault="0011752D" w:rsidP="0011752D">
      <w:pPr>
        <w:spacing w:before="240" w:after="240"/>
        <w:jc w:val="both"/>
        <w:rPr>
          <w:rFonts w:ascii="Arial" w:hAnsi="Arial" w:cs="Arial"/>
          <w:sz w:val="22"/>
          <w:szCs w:val="22"/>
          <w:lang w:val="es-CO"/>
        </w:rPr>
      </w:pPr>
      <w:r w:rsidRPr="0011752D">
        <w:rPr>
          <w:rFonts w:ascii="Arial" w:hAnsi="Arial" w:cs="Arial"/>
          <w:sz w:val="22"/>
          <w:szCs w:val="22"/>
          <w:lang w:val="es-CO"/>
        </w:rPr>
        <w:t xml:space="preserve">Como resultados, este programa busca apoyar al GdC en las siguientes acciones: </w:t>
      </w:r>
      <w:r w:rsidRPr="0011752D">
        <w:rPr>
          <w:rFonts w:ascii="Arial" w:hAnsi="Arial" w:cs="Arial"/>
          <w:bCs/>
          <w:sz w:val="22"/>
          <w:szCs w:val="22"/>
          <w:lang w:val="es-ES"/>
        </w:rPr>
        <w:t>(i) incrementar la oferta de energía eléctrica promoviendo la diversificación y participación de las FNCER en el SIN y las transferencias de energía binacionales con Ecuador y en un futuro cercano con Panamá</w:t>
      </w:r>
      <w:r w:rsidRPr="0011752D">
        <w:rPr>
          <w:rFonts w:ascii="Arial" w:hAnsi="Arial" w:cs="Arial"/>
          <w:sz w:val="22"/>
          <w:szCs w:val="22"/>
          <w:lang w:val="es-CO"/>
        </w:rPr>
        <w:t xml:space="preserve">; (iii) fortalecer el MEM con medidas que permitan garantizar la oferta de GN y administrar la demanda y (iv) promover el acceso a la energía en las ZNI mediante el uso de FNCER. </w:t>
      </w:r>
    </w:p>
    <w:p w14:paraId="2341A783" w14:textId="77777777" w:rsidR="0011752D" w:rsidRPr="0011752D" w:rsidRDefault="0011752D" w:rsidP="0011752D">
      <w:pPr>
        <w:spacing w:before="240" w:after="240"/>
        <w:jc w:val="both"/>
        <w:rPr>
          <w:rFonts w:ascii="Arial" w:hAnsi="Arial" w:cs="Arial"/>
          <w:bCs/>
          <w:sz w:val="22"/>
          <w:szCs w:val="22"/>
          <w:lang w:val="es-ES"/>
        </w:rPr>
      </w:pPr>
      <w:r w:rsidRPr="0011752D">
        <w:rPr>
          <w:rFonts w:ascii="Arial" w:hAnsi="Arial" w:cs="Arial"/>
          <w:bCs/>
          <w:sz w:val="22"/>
          <w:szCs w:val="22"/>
          <w:lang w:val="es-ES"/>
        </w:rPr>
        <w:t xml:space="preserve">El objetivo general del programa es contribuir a la sostenibilidad del sector energético del país a través de un proceso de reformas de políticas que permitan asegurar la oferta de energía eléctrica en el SIN y las ZNI, a fin de reducir la vulnerabilidad del sector frente a los efectos del cambio climático y aumentar el acceso. </w:t>
      </w:r>
    </w:p>
    <w:p w14:paraId="2341A784" w14:textId="77777777" w:rsidR="0011752D" w:rsidRPr="0011752D" w:rsidRDefault="0011752D" w:rsidP="0011752D">
      <w:pPr>
        <w:spacing w:before="240" w:after="240"/>
        <w:jc w:val="both"/>
        <w:rPr>
          <w:rFonts w:ascii="Arial" w:hAnsi="Arial" w:cs="Arial"/>
          <w:sz w:val="22"/>
          <w:szCs w:val="22"/>
          <w:lang w:val="es-CO"/>
        </w:rPr>
      </w:pPr>
      <w:r w:rsidRPr="0011752D">
        <w:rPr>
          <w:rFonts w:ascii="Arial" w:hAnsi="Arial" w:cs="Arial"/>
          <w:bCs/>
          <w:sz w:val="22"/>
          <w:szCs w:val="22"/>
          <w:lang w:val="es-ES"/>
        </w:rPr>
        <w:t>Los objetivos específicos son</w:t>
      </w:r>
      <w:r w:rsidRPr="0011752D">
        <w:rPr>
          <w:rFonts w:ascii="Arial" w:hAnsi="Arial" w:cs="Arial"/>
          <w:sz w:val="22"/>
          <w:szCs w:val="22"/>
          <w:lang w:val="es-CO"/>
        </w:rPr>
        <w:t>: (i) asegurar un contexto macroeconómico congruente con los objetivos del programa según lo establecido en la Matriz de Políticas; (ii) contribuir a garantizar el abastecimiento de energía mediante la diversificación de la matriz energética con FNCER y el incremento de los intercambios energía a nivel internacional; (iii) fortalecer el MEM con medidas que permitan aumentar y garantizar la oferta de GN, y administrar la demanda y (iv) promover el acceso a la energía en las ZNI mediante el uso de FNCER. El primer objetivo no hace parte del alcance del presente estudio.</w:t>
      </w:r>
    </w:p>
    <w:p w14:paraId="2341A785"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CO"/>
        </w:rPr>
      </w:pPr>
      <w:bookmarkStart w:id="18" w:name="_Toc474797016"/>
      <w:r w:rsidRPr="0011752D">
        <w:rPr>
          <w:rFonts w:ascii="Arial" w:hAnsi="Arial"/>
          <w:b/>
          <w:color w:val="1F3864"/>
          <w:szCs w:val="26"/>
          <w:lang w:val="es-CO"/>
        </w:rPr>
        <w:lastRenderedPageBreak/>
        <w:t>Objetivo del Análisis Económico</w:t>
      </w:r>
      <w:bookmarkEnd w:id="18"/>
    </w:p>
    <w:p w14:paraId="2341A786" w14:textId="77777777" w:rsidR="0011752D" w:rsidRPr="0011752D" w:rsidRDefault="0011752D" w:rsidP="0011752D">
      <w:pPr>
        <w:spacing w:before="240" w:after="240"/>
        <w:jc w:val="both"/>
        <w:rPr>
          <w:rFonts w:ascii="Arial" w:hAnsi="Arial" w:cs="Arial"/>
          <w:bCs/>
          <w:sz w:val="22"/>
          <w:szCs w:val="22"/>
          <w:lang w:val="es-ES"/>
        </w:rPr>
      </w:pPr>
      <w:r w:rsidRPr="0011752D">
        <w:rPr>
          <w:rFonts w:ascii="Arial" w:hAnsi="Arial" w:cs="Arial"/>
          <w:bCs/>
          <w:sz w:val="22"/>
          <w:szCs w:val="22"/>
          <w:lang w:val="es-ES"/>
        </w:rPr>
        <w:t>El objetivo principal de elaborar el análisis económico, de acuerdo con las Guías del BID, es contribuir al diseño de proyectos que buscan efectivamente contribuir al desarrollo del país. Se señala en las Guías que, mientras que el resultado del análisis económico en términos de VPN o TIR son importantes, es el proceso de desarrollo del análisis y las ideas que aporta lo que puede ser más útil al diseño de un mejor proyecto, punto que será tenido en cuenta en el análisis.</w:t>
      </w:r>
      <w:r w:rsidRPr="0011752D">
        <w:rPr>
          <w:rFonts w:ascii="Arial" w:hAnsi="Arial" w:cs="Arial"/>
          <w:bCs/>
          <w:sz w:val="22"/>
          <w:szCs w:val="22"/>
          <w:vertAlign w:val="superscript"/>
          <w:lang w:val="es-ES"/>
        </w:rPr>
        <w:footnoteReference w:id="6"/>
      </w:r>
      <w:r w:rsidRPr="0011752D">
        <w:rPr>
          <w:rFonts w:ascii="Arial" w:hAnsi="Arial" w:cs="Arial"/>
          <w:bCs/>
          <w:sz w:val="22"/>
          <w:szCs w:val="22"/>
          <w:lang w:val="es-ES"/>
        </w:rPr>
        <w:t xml:space="preserve"> En este sentido, el Consultor ha incluido en el documento algunas recomendaciones, ya sea para el PBP o para futuros apoyos del BID, relacionadas con campos de acción para coadyuvar en el logro de los objetivos de política.</w:t>
      </w:r>
    </w:p>
    <w:p w14:paraId="2341A787" w14:textId="77777777" w:rsidR="0011752D" w:rsidRPr="0011752D" w:rsidRDefault="0011752D" w:rsidP="0011752D">
      <w:pPr>
        <w:spacing w:before="240" w:after="240"/>
        <w:jc w:val="both"/>
        <w:rPr>
          <w:rFonts w:ascii="Arial" w:hAnsi="Arial" w:cs="Arial"/>
          <w:color w:val="000000"/>
          <w:sz w:val="22"/>
          <w:szCs w:val="22"/>
          <w:lang w:val="es-CO"/>
        </w:rPr>
      </w:pPr>
      <w:r w:rsidRPr="0011752D">
        <w:rPr>
          <w:rFonts w:ascii="Arial" w:hAnsi="Arial"/>
          <w:color w:val="000000"/>
          <w:sz w:val="22"/>
          <w:lang w:val="es-CO"/>
        </w:rPr>
        <w:t>Se debe tener en cuenta que</w:t>
      </w:r>
      <w:r w:rsidRPr="0011752D">
        <w:rPr>
          <w:rFonts w:ascii="Arial" w:hAnsi="Arial" w:cs="Arial"/>
          <w:color w:val="000000"/>
          <w:sz w:val="22"/>
          <w:szCs w:val="22"/>
          <w:lang w:val="es-CO"/>
        </w:rPr>
        <w:t xml:space="preserve"> la evaluación económica de instrumentos basados en políticas difiere de la evaluación de proyectos de inversión, puesto que habitualmente no hay un vínculo directo entre el destino de los recursos desembolsados y los resultados específicos del programa al cual se brinda apoyo. Sin embargo, la implementación de políticas juega un papel crítico al inducir reformas e introducir incentivos que facilitan la ejecución de programas y proyectos específicos, y por lo tanto tiene per se, un valor económico.  En este sentido, no se intentó correlacionar el monto de la operación con los diferentes resultados esperados como resultado de las políticas. </w:t>
      </w:r>
    </w:p>
    <w:p w14:paraId="2341A788" w14:textId="77777777" w:rsidR="0011752D" w:rsidRPr="0011752D" w:rsidRDefault="0011752D" w:rsidP="0011752D">
      <w:pPr>
        <w:spacing w:before="240" w:after="240"/>
        <w:jc w:val="both"/>
        <w:rPr>
          <w:rFonts w:ascii="Arial" w:hAnsi="Arial" w:cs="Arial"/>
          <w:bCs/>
          <w:sz w:val="22"/>
          <w:szCs w:val="22"/>
          <w:lang w:val="es-ES"/>
        </w:rPr>
      </w:pPr>
      <w:r w:rsidRPr="0011752D">
        <w:rPr>
          <w:rFonts w:ascii="Arial" w:hAnsi="Arial" w:cs="Arial"/>
          <w:bCs/>
          <w:sz w:val="22"/>
          <w:szCs w:val="22"/>
          <w:lang w:val="es-ES"/>
        </w:rPr>
        <w:t>Tomando en cuenta este enfoque, a continuación se hace referencia a la Matriz de Políticas y a los componentes de la misma que se consideraron objeto de la presente evaluación económica, en la medida que se detectaron variables que de alguna manera podían ser cuantificadas.</w:t>
      </w:r>
    </w:p>
    <w:p w14:paraId="2341A789"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CO"/>
        </w:rPr>
      </w:pPr>
      <w:bookmarkStart w:id="19" w:name="_Toc474797017"/>
      <w:r w:rsidRPr="0011752D">
        <w:rPr>
          <w:rFonts w:ascii="Arial" w:hAnsi="Arial"/>
          <w:b/>
          <w:color w:val="1F3864"/>
          <w:szCs w:val="26"/>
          <w:lang w:val="es-CO"/>
        </w:rPr>
        <w:t>Componentes de la Matriz de Políticas</w:t>
      </w:r>
      <w:bookmarkEnd w:id="19"/>
    </w:p>
    <w:p w14:paraId="2341A78A"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ES"/>
        </w:rPr>
        <w:t xml:space="preserve">La Matriz de Políticas del programa constituye el marco de referencia sobre el cual se centra el análisis que se expone adelante. Los objetivos de política buscan alcanzarse a través de un conjunto de reformas de política agrupadas en tres componentes. </w:t>
      </w:r>
      <w:r w:rsidRPr="0011752D">
        <w:rPr>
          <w:rFonts w:ascii="Arial" w:hAnsi="Arial"/>
          <w:sz w:val="22"/>
          <w:lang w:val="es-CO"/>
        </w:rPr>
        <w:t>La evaluación económica que se desarrolla se enfoca en los beneficios asociados a cada uno de estos componentes</w:t>
      </w:r>
      <w:r w:rsidRPr="0011752D">
        <w:rPr>
          <w:rFonts w:ascii="Arial" w:hAnsi="Arial"/>
          <w:sz w:val="22"/>
          <w:vertAlign w:val="superscript"/>
          <w:lang w:val="es-CO"/>
        </w:rPr>
        <w:footnoteReference w:id="7"/>
      </w:r>
      <w:r w:rsidRPr="0011752D">
        <w:rPr>
          <w:rFonts w:ascii="Arial" w:hAnsi="Arial"/>
          <w:sz w:val="22"/>
          <w:lang w:val="es-CO"/>
        </w:rPr>
        <w:t>:</w:t>
      </w:r>
    </w:p>
    <w:p w14:paraId="2341A78B" w14:textId="77777777" w:rsidR="0011752D" w:rsidRPr="0011752D" w:rsidRDefault="0011752D" w:rsidP="0011752D">
      <w:pPr>
        <w:spacing w:before="240" w:after="240"/>
        <w:jc w:val="both"/>
        <w:rPr>
          <w:rFonts w:ascii="Arial" w:hAnsi="Arial"/>
          <w:sz w:val="22"/>
          <w:lang w:val="es-CO"/>
        </w:rPr>
      </w:pPr>
      <w:r w:rsidRPr="0011752D">
        <w:rPr>
          <w:rFonts w:ascii="Arial" w:hAnsi="Arial"/>
          <w:b/>
          <w:sz w:val="22"/>
          <w:lang w:val="es-CO"/>
        </w:rPr>
        <w:t xml:space="preserve">Componente 2. Apoyo a la confiabilidad del abastecimiento eléctrico del SIN. </w:t>
      </w:r>
      <w:r w:rsidRPr="0011752D">
        <w:rPr>
          <w:rFonts w:ascii="Arial" w:hAnsi="Arial"/>
          <w:sz w:val="22"/>
          <w:lang w:val="es-CO"/>
        </w:rPr>
        <w:t>Bajo este componente se apoyan las siguientes medidas que reducen el riesgo de desabastecimiento del SIN: promoción de la diversificación de la matriz energética con FNCER y mayor integración eléctrica regional; y medidas para mejorar la operación del mercado eléctrico. Incluye los siguientes subcomponentes:</w:t>
      </w:r>
    </w:p>
    <w:p w14:paraId="2341A78C" w14:textId="77777777" w:rsidR="0011752D" w:rsidRPr="0011752D" w:rsidRDefault="0011752D" w:rsidP="0011752D">
      <w:pPr>
        <w:numPr>
          <w:ilvl w:val="0"/>
          <w:numId w:val="29"/>
        </w:numPr>
        <w:spacing w:before="240" w:after="240"/>
        <w:ind w:left="360"/>
        <w:jc w:val="both"/>
        <w:rPr>
          <w:rFonts w:ascii="Arial" w:hAnsi="Arial"/>
          <w:sz w:val="22"/>
          <w:lang w:val="es-CO"/>
        </w:rPr>
      </w:pPr>
      <w:r w:rsidRPr="0011752D">
        <w:rPr>
          <w:rFonts w:ascii="Arial" w:hAnsi="Arial" w:cs="Arial"/>
          <w:b/>
          <w:sz w:val="22"/>
          <w:szCs w:val="22"/>
          <w:lang w:val="es-CO"/>
        </w:rPr>
        <w:lastRenderedPageBreak/>
        <w:t xml:space="preserve">Subcomponente 2.1. Apoyo a la diversificación de la matriz energética </w:t>
      </w:r>
      <w:r w:rsidRPr="0011752D">
        <w:rPr>
          <w:rFonts w:ascii="Arial" w:hAnsi="Arial" w:cs="Arial"/>
          <w:b/>
          <w:sz w:val="22"/>
          <w:szCs w:val="22"/>
          <w:lang w:val="es-ES_tradnl"/>
        </w:rPr>
        <w:t>y a la integración eléctrica regional</w:t>
      </w:r>
      <w:r w:rsidRPr="0011752D">
        <w:rPr>
          <w:rFonts w:ascii="Arial" w:hAnsi="Arial" w:cs="Arial"/>
          <w:b/>
          <w:sz w:val="22"/>
          <w:szCs w:val="22"/>
          <w:lang w:val="es-CO"/>
        </w:rPr>
        <w:t>.</w:t>
      </w:r>
      <w:r w:rsidRPr="0011752D">
        <w:rPr>
          <w:rFonts w:ascii="Arial" w:hAnsi="Arial" w:cs="Arial"/>
          <w:sz w:val="22"/>
          <w:szCs w:val="22"/>
          <w:lang w:val="es-CO"/>
        </w:rPr>
        <w:t xml:space="preserve"> Apoyará </w:t>
      </w:r>
      <w:r w:rsidRPr="0011752D">
        <w:rPr>
          <w:rFonts w:ascii="Arial" w:hAnsi="Arial" w:cs="Arial"/>
          <w:bCs/>
          <w:sz w:val="22"/>
          <w:szCs w:val="22"/>
          <w:lang w:val="es-CO"/>
        </w:rPr>
        <w:t xml:space="preserve">la adopción de políticas enfocadas a la diversificación de la matriz energética mediante la promoción e incorporación de las </w:t>
      </w:r>
      <w:r w:rsidRPr="0011752D">
        <w:rPr>
          <w:rFonts w:ascii="Arial" w:hAnsi="Arial" w:cs="Arial"/>
          <w:sz w:val="22"/>
          <w:szCs w:val="22"/>
          <w:lang w:val="es-CO"/>
        </w:rPr>
        <w:t>FNCER</w:t>
      </w:r>
      <w:r w:rsidRPr="0011752D">
        <w:rPr>
          <w:rFonts w:ascii="Arial" w:hAnsi="Arial" w:cs="Arial"/>
          <w:bCs/>
          <w:sz w:val="22"/>
          <w:szCs w:val="22"/>
          <w:lang w:val="es-CO"/>
        </w:rPr>
        <w:t xml:space="preserve"> al SIN y la promoción de las interconexiones eléctricas regionales, con el objetivo de asegurar el abastecimiento eléctrico del SIN</w:t>
      </w:r>
    </w:p>
    <w:p w14:paraId="2341A78D" w14:textId="77777777" w:rsidR="0011752D" w:rsidRPr="0011752D" w:rsidRDefault="0011752D" w:rsidP="0011752D">
      <w:pPr>
        <w:numPr>
          <w:ilvl w:val="0"/>
          <w:numId w:val="29"/>
        </w:numPr>
        <w:spacing w:before="240" w:after="240"/>
        <w:ind w:left="360"/>
        <w:jc w:val="both"/>
        <w:rPr>
          <w:rFonts w:ascii="Arial" w:hAnsi="Arial"/>
          <w:sz w:val="22"/>
          <w:lang w:val="es-CO"/>
        </w:rPr>
      </w:pPr>
      <w:r w:rsidRPr="0011752D">
        <w:rPr>
          <w:rFonts w:ascii="Arial" w:hAnsi="Arial"/>
          <w:b/>
          <w:sz w:val="22"/>
          <w:lang w:val="es-CO"/>
        </w:rPr>
        <w:t>Subcomponente 2.2. Fortalecimiento del mercado eléctrico.</w:t>
      </w:r>
      <w:r w:rsidRPr="0011752D">
        <w:rPr>
          <w:rFonts w:ascii="Arial" w:hAnsi="Arial"/>
          <w:sz w:val="22"/>
          <w:lang w:val="es-CO"/>
        </w:rPr>
        <w:t xml:space="preserve"> Apoyará </w:t>
      </w:r>
      <w:r w:rsidRPr="0011752D">
        <w:rPr>
          <w:rFonts w:ascii="Arial" w:hAnsi="Arial"/>
          <w:bCs/>
          <w:sz w:val="22"/>
          <w:lang w:val="es-ES"/>
        </w:rPr>
        <w:t xml:space="preserve">la adopción de reformas y políticas para el fortalecimiento del MEM, incluyendo </w:t>
      </w:r>
      <w:r w:rsidRPr="0011752D">
        <w:rPr>
          <w:rFonts w:ascii="Arial" w:hAnsi="Arial"/>
          <w:bCs/>
          <w:sz w:val="22"/>
          <w:lang w:val="es-CO"/>
        </w:rPr>
        <w:t>medidas que permitan: (i) garantizar la oferta de GN para generación eléctrica;</w:t>
      </w:r>
      <w:r w:rsidRPr="0011752D">
        <w:rPr>
          <w:rFonts w:ascii="Arial" w:hAnsi="Arial"/>
          <w:bCs/>
          <w:sz w:val="22"/>
          <w:lang w:val="es-ES"/>
        </w:rPr>
        <w:t xml:space="preserve"> y (ii) promover la gestión eficiente de la demanda de energía eléctrica (GEDE).</w:t>
      </w:r>
    </w:p>
    <w:p w14:paraId="2341A78E" w14:textId="77777777" w:rsidR="0011752D" w:rsidRPr="0011752D" w:rsidRDefault="0011752D" w:rsidP="0011752D">
      <w:pPr>
        <w:spacing w:before="240" w:after="240"/>
        <w:jc w:val="both"/>
        <w:rPr>
          <w:rFonts w:ascii="Arial" w:hAnsi="Arial"/>
          <w:sz w:val="22"/>
          <w:lang w:val="es-CO"/>
        </w:rPr>
      </w:pPr>
      <w:r w:rsidRPr="0011752D">
        <w:rPr>
          <w:rFonts w:ascii="Arial" w:hAnsi="Arial"/>
          <w:b/>
          <w:sz w:val="22"/>
          <w:lang w:val="es-CO"/>
        </w:rPr>
        <w:t xml:space="preserve">Componente 3. Promoción del Acceso a la energía en ZNI. </w:t>
      </w:r>
      <w:r w:rsidRPr="0011752D">
        <w:rPr>
          <w:rFonts w:ascii="Arial" w:hAnsi="Arial"/>
          <w:sz w:val="22"/>
          <w:lang w:val="es-CO"/>
        </w:rPr>
        <w:t>Apoyará la adopción de medidas que permitan incrementar el acceso a la energía en ZNI considerando el uso de FNCER, y la entrega de estas áreas a concesiones exclusivas o APP.</w:t>
      </w:r>
    </w:p>
    <w:p w14:paraId="2341A78F" w14:textId="77777777" w:rsidR="0011752D" w:rsidRPr="0011752D" w:rsidRDefault="0011752D" w:rsidP="0011752D">
      <w:pPr>
        <w:spacing w:before="240" w:after="240"/>
        <w:jc w:val="both"/>
        <w:rPr>
          <w:rFonts w:ascii="Arial" w:hAnsi="Arial" w:cs="Arial"/>
          <w:bCs/>
          <w:color w:val="000000"/>
          <w:sz w:val="22"/>
          <w:szCs w:val="22"/>
          <w:lang w:val="es-ES"/>
        </w:rPr>
      </w:pPr>
      <w:r w:rsidRPr="0011752D">
        <w:rPr>
          <w:rFonts w:ascii="Arial" w:hAnsi="Arial" w:cs="Arial"/>
          <w:bCs/>
          <w:color w:val="000000"/>
          <w:sz w:val="22"/>
          <w:szCs w:val="22"/>
          <w:lang w:val="es-ES"/>
        </w:rPr>
        <w:t>El presente documento aborda la evaluación económica de aquellos componentes de la matriz de resultados cuyas variables se consideraron sujeto de este tipo de evaluación, de acuerdo con el análisis presentado en el Informe Intermedio, así:</w:t>
      </w:r>
    </w:p>
    <w:p w14:paraId="2341A790" w14:textId="77777777" w:rsidR="0011752D" w:rsidRPr="0011752D" w:rsidRDefault="0011752D" w:rsidP="0011752D">
      <w:pPr>
        <w:numPr>
          <w:ilvl w:val="0"/>
          <w:numId w:val="29"/>
        </w:numPr>
        <w:spacing w:before="240" w:after="240"/>
        <w:ind w:left="360"/>
        <w:jc w:val="both"/>
        <w:rPr>
          <w:rFonts w:ascii="Arial" w:hAnsi="Arial"/>
          <w:sz w:val="22"/>
          <w:lang w:val="es-CO"/>
        </w:rPr>
      </w:pPr>
      <w:r w:rsidRPr="0011752D">
        <w:rPr>
          <w:rFonts w:ascii="Arial" w:hAnsi="Arial"/>
          <w:b/>
          <w:sz w:val="22"/>
          <w:lang w:val="es-CO"/>
        </w:rPr>
        <w:t>Subcomponente 2.1. Apoyo a la diversificación de la matriz energética y confiabilidad eléctrica del SIN, y a la promoción de la integración energética.</w:t>
      </w:r>
      <w:r w:rsidRPr="0011752D">
        <w:rPr>
          <w:rFonts w:ascii="Arial" w:hAnsi="Arial"/>
          <w:sz w:val="22"/>
          <w:lang w:val="es-CO"/>
        </w:rPr>
        <w:t xml:space="preserve"> D</w:t>
      </w:r>
      <w:r w:rsidRPr="0011752D">
        <w:rPr>
          <w:rFonts w:ascii="Arial" w:hAnsi="Arial"/>
          <w:bCs/>
          <w:sz w:val="22"/>
          <w:lang w:val="es-ES"/>
        </w:rPr>
        <w:t>diversificación de la matriz energética mediante la promoción e incorporación de las FNCER al SIN.</w:t>
      </w:r>
    </w:p>
    <w:p w14:paraId="2341A791" w14:textId="77777777" w:rsidR="0011752D" w:rsidRPr="0011752D" w:rsidRDefault="0011752D" w:rsidP="0011752D">
      <w:pPr>
        <w:numPr>
          <w:ilvl w:val="0"/>
          <w:numId w:val="29"/>
        </w:numPr>
        <w:spacing w:before="240" w:after="240"/>
        <w:ind w:left="360"/>
        <w:jc w:val="both"/>
        <w:rPr>
          <w:rFonts w:ascii="Arial" w:hAnsi="Arial"/>
          <w:sz w:val="22"/>
          <w:lang w:val="es-CO"/>
        </w:rPr>
      </w:pPr>
      <w:r w:rsidRPr="0011752D">
        <w:rPr>
          <w:rFonts w:ascii="Arial" w:hAnsi="Arial"/>
          <w:b/>
          <w:sz w:val="22"/>
          <w:lang w:val="es-CO"/>
        </w:rPr>
        <w:t>Subcomponente 2.2. Fortalecimiento del mercado eléctrico.</w:t>
      </w:r>
      <w:r w:rsidRPr="0011752D">
        <w:rPr>
          <w:rFonts w:ascii="Arial" w:hAnsi="Arial"/>
          <w:sz w:val="22"/>
          <w:lang w:val="es-CO"/>
        </w:rPr>
        <w:t xml:space="preserve"> Promoción de </w:t>
      </w:r>
      <w:r w:rsidRPr="0011752D">
        <w:rPr>
          <w:rFonts w:ascii="Arial" w:hAnsi="Arial"/>
          <w:bCs/>
          <w:sz w:val="22"/>
          <w:lang w:val="es-ES"/>
        </w:rPr>
        <w:t>la GEDE.</w:t>
      </w:r>
    </w:p>
    <w:p w14:paraId="2341A792" w14:textId="77777777" w:rsidR="0011752D" w:rsidRPr="0011752D" w:rsidRDefault="0011752D" w:rsidP="0011752D">
      <w:pPr>
        <w:numPr>
          <w:ilvl w:val="0"/>
          <w:numId w:val="29"/>
        </w:numPr>
        <w:spacing w:before="240" w:after="240"/>
        <w:ind w:left="360"/>
        <w:jc w:val="both"/>
        <w:rPr>
          <w:rFonts w:ascii="Arial" w:hAnsi="Arial"/>
          <w:sz w:val="22"/>
          <w:lang w:val="es-CO"/>
        </w:rPr>
      </w:pPr>
      <w:r w:rsidRPr="0011752D">
        <w:rPr>
          <w:rFonts w:ascii="Arial" w:hAnsi="Arial"/>
          <w:b/>
          <w:sz w:val="22"/>
          <w:lang w:val="es-CO"/>
        </w:rPr>
        <w:t xml:space="preserve">Componente 3. Promoción del Acceso a la energía en ZNI. </w:t>
      </w:r>
      <w:r w:rsidRPr="0011752D">
        <w:rPr>
          <w:rFonts w:ascii="Arial" w:hAnsi="Arial"/>
          <w:sz w:val="22"/>
          <w:lang w:val="es-CO"/>
        </w:rPr>
        <w:t>Incremento del acceso a la energía en ZNI considerando el uso de FNCER.</w:t>
      </w:r>
    </w:p>
    <w:p w14:paraId="2341A793" w14:textId="77777777" w:rsidR="0011752D" w:rsidRPr="0011752D" w:rsidRDefault="0011752D" w:rsidP="0011752D">
      <w:pPr>
        <w:spacing w:before="240" w:after="240"/>
        <w:jc w:val="both"/>
        <w:rPr>
          <w:rFonts w:ascii="Arial" w:hAnsi="Arial" w:cs="Arial"/>
          <w:bCs/>
          <w:color w:val="000000"/>
          <w:sz w:val="22"/>
          <w:szCs w:val="22"/>
          <w:lang w:val="es-ES"/>
        </w:rPr>
      </w:pPr>
      <w:r w:rsidRPr="0011752D">
        <w:rPr>
          <w:rFonts w:ascii="Arial" w:hAnsi="Arial" w:cs="Arial"/>
          <w:bCs/>
          <w:color w:val="000000"/>
          <w:sz w:val="22"/>
          <w:szCs w:val="22"/>
          <w:lang w:val="es-ES"/>
        </w:rPr>
        <w:t>En las secciones siguientes se elabora cada componente.</w:t>
      </w:r>
    </w:p>
    <w:p w14:paraId="2341A794" w14:textId="77777777" w:rsidR="0011752D" w:rsidRPr="0011752D" w:rsidRDefault="0011752D" w:rsidP="0011752D">
      <w:pPr>
        <w:keepNext/>
        <w:keepLines/>
        <w:spacing w:before="240" w:after="240"/>
        <w:ind w:left="432" w:hanging="432"/>
        <w:jc w:val="both"/>
        <w:outlineLvl w:val="0"/>
        <w:rPr>
          <w:rFonts w:ascii="Arial" w:hAnsi="Arial"/>
          <w:b/>
          <w:color w:val="002060"/>
          <w:sz w:val="28"/>
          <w:szCs w:val="32"/>
          <w:lang w:val="es-CO"/>
        </w:rPr>
      </w:pPr>
      <w:bookmarkStart w:id="20" w:name="_Toc474797018"/>
      <w:r w:rsidRPr="0011752D">
        <w:rPr>
          <w:rFonts w:ascii="Arial" w:hAnsi="Arial"/>
          <w:b/>
          <w:color w:val="002060"/>
          <w:sz w:val="28"/>
          <w:szCs w:val="32"/>
          <w:lang w:val="es-CO"/>
        </w:rPr>
        <w:t>Evaluación económica del Subcomponente 2.1 relacionado con la diversificación eficiente de la matriz energética del SIN</w:t>
      </w:r>
      <w:bookmarkEnd w:id="20"/>
    </w:p>
    <w:p w14:paraId="2341A795"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ES"/>
        </w:rPr>
      </w:pPr>
      <w:bookmarkStart w:id="21" w:name="_Ref470459248"/>
      <w:bookmarkStart w:id="22" w:name="_Toc474797019"/>
      <w:r w:rsidRPr="0011752D">
        <w:rPr>
          <w:rFonts w:ascii="Arial" w:hAnsi="Arial"/>
          <w:b/>
          <w:color w:val="1F3864"/>
          <w:szCs w:val="26"/>
          <w:lang w:val="es-ES"/>
        </w:rPr>
        <w:t>Supuestos y metodología</w:t>
      </w:r>
      <w:bookmarkEnd w:id="21"/>
      <w:bookmarkEnd w:id="22"/>
    </w:p>
    <w:p w14:paraId="2341A796" w14:textId="77777777" w:rsidR="0011752D" w:rsidRPr="0011752D" w:rsidRDefault="0011752D" w:rsidP="0011752D">
      <w:pPr>
        <w:spacing w:before="120" w:after="120"/>
        <w:jc w:val="both"/>
        <w:rPr>
          <w:rFonts w:ascii="Arial" w:hAnsi="Arial" w:cs="Arial"/>
          <w:sz w:val="22"/>
          <w:szCs w:val="22"/>
          <w:lang w:val="es-CO"/>
        </w:rPr>
      </w:pPr>
      <w:r w:rsidRPr="0011752D">
        <w:rPr>
          <w:rFonts w:ascii="Arial" w:hAnsi="Arial" w:cs="Arial"/>
          <w:sz w:val="22"/>
          <w:szCs w:val="22"/>
          <w:lang w:val="es-CO"/>
        </w:rPr>
        <w:t>El objetivo del Subcomponente 2.1 es principalmente contribuir a garantizar el abastecimiento eficiente de energía mediante la diversificación de la matriz energética con FNCER a través de diferentes mecanismos de intervención de política que han iniciado con la expedición de la Ley 1715 de 2014 y su posterior reglamentación por parte del Ministerio de Minas y Energía (MME), la CREG, UPME y demás autoridades.</w:t>
      </w:r>
    </w:p>
    <w:p w14:paraId="2341A797" w14:textId="77777777" w:rsidR="0011752D" w:rsidRPr="0011752D" w:rsidRDefault="0011752D" w:rsidP="0011752D">
      <w:pPr>
        <w:spacing w:before="120" w:after="120"/>
        <w:jc w:val="both"/>
        <w:rPr>
          <w:rFonts w:ascii="Arial" w:hAnsi="Arial" w:cs="Arial"/>
          <w:sz w:val="22"/>
          <w:szCs w:val="22"/>
          <w:lang w:val="es-CO"/>
        </w:rPr>
      </w:pPr>
      <w:r w:rsidRPr="0011752D">
        <w:rPr>
          <w:rFonts w:ascii="Arial" w:hAnsi="Arial" w:cs="Arial"/>
          <w:sz w:val="22"/>
          <w:szCs w:val="22"/>
          <w:lang w:val="es-CO"/>
        </w:rPr>
        <w:t xml:space="preserve">El sector eléctrico atendido por el SIN se encuentra organizado alrededor en un Mercado de Energía Mayorista (MEM) en el cual, las diferentes tecnologías de generación compiten para abastecer la demanda, en el marco de restricciones de confiabilidad, formación de precios en bolsa y en contratos e incentivos de diferente índole (económicos, de despacho, de comercialización de energía, etc.), dados por decisiones de política y regulación. Por lo tanto, en los programas de préstamo basados en políticas (PBP), como el presente no existe un vínculo directo entre el destino de los recursos desembolsados y los resultados específicos del programa relacionados con el SIN al cual </w:t>
      </w:r>
      <w:r w:rsidRPr="0011752D">
        <w:rPr>
          <w:rFonts w:ascii="Arial" w:hAnsi="Arial" w:cs="Arial"/>
          <w:sz w:val="22"/>
          <w:szCs w:val="22"/>
          <w:lang w:val="es-CO"/>
        </w:rPr>
        <w:lastRenderedPageBreak/>
        <w:t>se brinda apoyo. Sin embargo, la implementación de políticas juega un papel crítico al inducir reformas e introducir incentivos que facilitan la ejecución de programas y proyectos específicos, y por lo tanto tiene per se, un valor económico.</w:t>
      </w:r>
    </w:p>
    <w:p w14:paraId="2341A798" w14:textId="77777777" w:rsidR="0011752D" w:rsidRPr="0011752D" w:rsidRDefault="0011752D" w:rsidP="0011752D">
      <w:pPr>
        <w:spacing w:before="120" w:after="120"/>
        <w:jc w:val="both"/>
        <w:rPr>
          <w:rFonts w:ascii="Arial" w:hAnsi="Arial" w:cs="Arial"/>
          <w:sz w:val="22"/>
          <w:szCs w:val="22"/>
          <w:lang w:val="es-CO"/>
        </w:rPr>
      </w:pPr>
      <w:r w:rsidRPr="0011752D">
        <w:rPr>
          <w:rFonts w:ascii="Arial" w:hAnsi="Arial" w:cs="Arial"/>
          <w:sz w:val="22"/>
          <w:szCs w:val="22"/>
          <w:lang w:val="es-CO"/>
        </w:rPr>
        <w:t>El país cuenta con la Unidad de Planeación Minero Energética (UPME) que elabora planes indicativos sobre diversos escenarios de la expansión de la generación / transmisión (incluyendo conexiones internacionales), los cuales permiten contar con insumos de información para la evaluación económica sobre posibles resultados de intervención mediante incentivos de reformas de política. Los resultados en términos de costo marginal permiten la evaluación beneficio – costo de los diferentes escenarios, así como el nivel de emisiones de CO</w:t>
      </w:r>
      <w:r w:rsidRPr="0011752D">
        <w:rPr>
          <w:rFonts w:ascii="Arial" w:hAnsi="Arial" w:cs="Arial"/>
          <w:sz w:val="22"/>
          <w:szCs w:val="22"/>
          <w:vertAlign w:val="subscript"/>
          <w:lang w:val="es-CO"/>
        </w:rPr>
        <w:t>2</w:t>
      </w:r>
      <w:r w:rsidRPr="0011752D">
        <w:rPr>
          <w:rFonts w:ascii="Arial" w:hAnsi="Arial" w:cs="Arial"/>
          <w:sz w:val="22"/>
          <w:szCs w:val="22"/>
          <w:lang w:val="es-CO"/>
        </w:rPr>
        <w:t>, según se describe y amplía en secciones adelante.</w:t>
      </w:r>
    </w:p>
    <w:p w14:paraId="2341A799" w14:textId="77777777" w:rsidR="0011752D" w:rsidRPr="0011752D" w:rsidRDefault="0011752D" w:rsidP="0011752D">
      <w:pPr>
        <w:spacing w:before="120" w:after="120"/>
        <w:jc w:val="both"/>
        <w:rPr>
          <w:rFonts w:ascii="Arial" w:hAnsi="Arial" w:cs="Arial"/>
          <w:sz w:val="22"/>
          <w:szCs w:val="22"/>
          <w:lang w:val="es-CO"/>
        </w:rPr>
      </w:pPr>
      <w:r w:rsidRPr="0011752D">
        <w:rPr>
          <w:rFonts w:ascii="Arial" w:hAnsi="Arial" w:cs="Arial"/>
          <w:sz w:val="22"/>
          <w:szCs w:val="22"/>
          <w:lang w:val="es-CO"/>
        </w:rPr>
        <w:t>En cuanto a la prestación del servicio de electricidad en ZNI, el país cuenta con políticas y regulación particulares, diferentes al SIN. Dentro de los instrumentos de prestación del servicio se encuentra la adjudicación de “áreas de servicio exclusivo”. Las ZNI están conformadas por una gran heterogeneidad de comunidades y localidades, con variadas condiciones de dispersión y dotación de recursos. Lo anterior implica que las soluciones de suministro de energía son también variadas, así como su estimación de costos es específica a cada caso considerado. La UPME y el MME han venido adelantando estudios orientados a definir y contratar esquemas empresariales para áreas predefinidas en las ZNI que permitan mejorar la eficiencia y cobertura del servicio eléctrico, en el marco de la Ley 1715 de 2014. Es posible que dichos estudios arrojen información que sea útil para la evaluación económica bajo un enfoque costo – efectividad tal como se expone adelante.</w:t>
      </w:r>
    </w:p>
    <w:p w14:paraId="2341A79A" w14:textId="77777777" w:rsidR="0011752D" w:rsidRPr="0011752D" w:rsidRDefault="0011752D" w:rsidP="0011752D">
      <w:pPr>
        <w:spacing w:before="120" w:after="120"/>
        <w:jc w:val="both"/>
        <w:rPr>
          <w:rFonts w:ascii="Arial" w:hAnsi="Arial" w:cs="Arial"/>
          <w:sz w:val="22"/>
          <w:szCs w:val="22"/>
          <w:lang w:val="es-CO"/>
        </w:rPr>
      </w:pPr>
      <w:r w:rsidRPr="0011752D">
        <w:rPr>
          <w:rFonts w:ascii="Arial" w:hAnsi="Arial" w:cs="Arial"/>
          <w:sz w:val="22"/>
          <w:szCs w:val="22"/>
          <w:lang w:val="es-CO"/>
        </w:rPr>
        <w:t>En el campo de la eficiencia energética se han realizado en el pasado diferentes estudios por parte de la UPME y el MME que fueron consultados para revisar la información disponible, y que han servido de base para la adopción de políticas en este campo.</w:t>
      </w:r>
    </w:p>
    <w:p w14:paraId="2341A79B" w14:textId="77777777" w:rsidR="0011752D" w:rsidRPr="0011752D" w:rsidRDefault="0011752D" w:rsidP="0011752D">
      <w:pPr>
        <w:spacing w:before="240" w:after="240"/>
        <w:jc w:val="both"/>
        <w:rPr>
          <w:rFonts w:ascii="Arial" w:hAnsi="Arial"/>
          <w:sz w:val="22"/>
          <w:lang w:val="es-ES"/>
        </w:rPr>
      </w:pPr>
      <w:r w:rsidRPr="0011752D">
        <w:rPr>
          <w:rFonts w:ascii="Arial" w:hAnsi="Arial"/>
          <w:sz w:val="22"/>
          <w:lang w:val="es-CO"/>
        </w:rPr>
        <w:t>La regulación de la CREG como instrumento de intervención en el mercado, juega un papel determinante en el logro de los objetivos de política. Los diferentes estudios que contribuyen al desarrollo de la regulación orientada a los objetivos del Programa tienen en consecuencia incidencia en los resultados esperados.</w:t>
      </w:r>
    </w:p>
    <w:p w14:paraId="2341A79C" w14:textId="77777777" w:rsidR="0011752D" w:rsidRPr="0011752D" w:rsidRDefault="0011752D" w:rsidP="0011752D">
      <w:pPr>
        <w:spacing w:before="240" w:after="240"/>
        <w:jc w:val="both"/>
        <w:rPr>
          <w:rFonts w:ascii="Arial" w:hAnsi="Arial"/>
          <w:sz w:val="22"/>
          <w:lang w:val="es-ES"/>
        </w:rPr>
      </w:pPr>
      <w:r w:rsidRPr="0011752D">
        <w:rPr>
          <w:rFonts w:ascii="Arial" w:hAnsi="Arial"/>
          <w:sz w:val="22"/>
          <w:lang w:val="es-ES"/>
        </w:rPr>
        <w:t xml:space="preserve">En el contexto del Mercado de Energía Mayorista (MEM), </w:t>
      </w:r>
      <w:r w:rsidRPr="0011752D">
        <w:rPr>
          <w:rFonts w:ascii="Arial" w:hAnsi="Arial"/>
          <w:sz w:val="22"/>
          <w:u w:val="single"/>
          <w:lang w:val="es-ES"/>
        </w:rPr>
        <w:t>el beneficio que se espera de las medidas de intervención es el incremento en el excedente del consumidor originado por los menores precios de la generación en el mercado</w:t>
      </w:r>
      <w:r w:rsidRPr="0011752D">
        <w:rPr>
          <w:rFonts w:ascii="Arial" w:hAnsi="Arial"/>
          <w:sz w:val="22"/>
          <w:lang w:val="es-ES"/>
        </w:rPr>
        <w:t>, tal como se expone a continuación.</w:t>
      </w:r>
    </w:p>
    <w:p w14:paraId="2341A79D" w14:textId="77777777" w:rsidR="0011752D" w:rsidRPr="0011752D" w:rsidRDefault="0011752D" w:rsidP="0011752D">
      <w:pPr>
        <w:spacing w:before="240" w:after="240"/>
        <w:jc w:val="both"/>
        <w:rPr>
          <w:rFonts w:ascii="Arial" w:hAnsi="Arial"/>
          <w:sz w:val="22"/>
          <w:lang w:val="es-ES"/>
        </w:rPr>
      </w:pPr>
      <w:r w:rsidRPr="0011752D">
        <w:rPr>
          <w:rFonts w:ascii="Arial" w:hAnsi="Arial"/>
          <w:sz w:val="22"/>
          <w:lang w:val="es-ES"/>
        </w:rPr>
        <w:t>El supuesto base es que todas las reformas señaladas promovidas por el Programa contribuyen a la creación de incentivos económicos y de condiciones de conexión, despacho y comercialización de energía que favorece una mayor penetración en el SIN de FNCER.</w:t>
      </w:r>
    </w:p>
    <w:p w14:paraId="2341A79E" w14:textId="77777777" w:rsidR="0011752D" w:rsidRPr="0011752D" w:rsidRDefault="0011752D" w:rsidP="0011752D">
      <w:pPr>
        <w:keepNext/>
        <w:keepLines/>
        <w:numPr>
          <w:ilvl w:val="2"/>
          <w:numId w:val="0"/>
        </w:numPr>
        <w:spacing w:before="360" w:after="360"/>
        <w:ind w:left="720" w:hanging="720"/>
        <w:jc w:val="both"/>
        <w:outlineLvl w:val="2"/>
        <w:rPr>
          <w:rFonts w:ascii="Arial" w:hAnsi="Arial"/>
          <w:b/>
          <w:color w:val="1F4D78"/>
          <w:sz w:val="22"/>
          <w:szCs w:val="24"/>
          <w:lang w:val="es-ES"/>
        </w:rPr>
      </w:pPr>
      <w:bookmarkStart w:id="23" w:name="_Toc474797020"/>
      <w:r w:rsidRPr="0011752D">
        <w:rPr>
          <w:rFonts w:ascii="Arial" w:hAnsi="Arial"/>
          <w:b/>
          <w:color w:val="1F4D78"/>
          <w:sz w:val="22"/>
          <w:szCs w:val="24"/>
          <w:lang w:val="es-ES"/>
        </w:rPr>
        <w:t>Precios para la valoración de los beneficios y costos</w:t>
      </w:r>
      <w:bookmarkEnd w:id="23"/>
    </w:p>
    <w:p w14:paraId="2341A79F" w14:textId="77777777" w:rsidR="0011752D" w:rsidRPr="0011752D" w:rsidRDefault="0011752D" w:rsidP="0011752D">
      <w:pPr>
        <w:spacing w:before="240" w:after="240"/>
        <w:jc w:val="both"/>
        <w:rPr>
          <w:rFonts w:ascii="Arial" w:hAnsi="Arial"/>
          <w:color w:val="000000"/>
          <w:sz w:val="22"/>
          <w:highlight w:val="yellow"/>
          <w:lang w:val="es-ES"/>
        </w:rPr>
      </w:pPr>
      <w:r w:rsidRPr="0011752D">
        <w:rPr>
          <w:rFonts w:ascii="Arial" w:hAnsi="Arial"/>
          <w:sz w:val="22"/>
          <w:lang w:val="es-ES"/>
        </w:rPr>
        <w:t xml:space="preserve">Cuando se considera que un mercado funciona adecuadamente y que sus precios no presentan distorsiones, es aceptable utilizar los precios de ese mercado para realizar una evaluación económica, en la medida que la asignación de recursos coincide con el óptimo </w:t>
      </w:r>
      <w:r w:rsidRPr="0011752D">
        <w:rPr>
          <w:rFonts w:ascii="Arial" w:hAnsi="Arial"/>
          <w:sz w:val="22"/>
          <w:lang w:val="es-ES"/>
        </w:rPr>
        <w:lastRenderedPageBreak/>
        <w:t>social. De esta manera, no hay necesidad de recurrir a la estimación de precios sombra.</w:t>
      </w:r>
      <w:r w:rsidRPr="0011752D">
        <w:rPr>
          <w:rFonts w:ascii="Arial" w:hAnsi="Arial"/>
          <w:sz w:val="22"/>
          <w:vertAlign w:val="superscript"/>
          <w:lang w:val="es-CO"/>
        </w:rPr>
        <w:t xml:space="preserve"> </w:t>
      </w:r>
      <w:r w:rsidRPr="0011752D">
        <w:rPr>
          <w:rFonts w:ascii="Arial" w:hAnsi="Arial"/>
          <w:sz w:val="22"/>
          <w:vertAlign w:val="superscript"/>
          <w:lang w:val="es-CO"/>
        </w:rPr>
        <w:footnoteReference w:id="8"/>
      </w:r>
    </w:p>
    <w:p w14:paraId="2341A7A0" w14:textId="77777777" w:rsidR="0011752D" w:rsidRPr="0011752D" w:rsidRDefault="0011752D" w:rsidP="0011752D">
      <w:pPr>
        <w:spacing w:after="160" w:line="259" w:lineRule="auto"/>
        <w:jc w:val="both"/>
        <w:rPr>
          <w:rFonts w:ascii="Arial" w:hAnsi="Arial"/>
          <w:sz w:val="22"/>
          <w:lang w:val="es-ES"/>
        </w:rPr>
      </w:pPr>
      <w:r w:rsidRPr="0011752D">
        <w:rPr>
          <w:rFonts w:ascii="Arial" w:hAnsi="Arial"/>
          <w:sz w:val="22"/>
          <w:lang w:val="es-ES"/>
        </w:rPr>
        <w:t>Dado que en Colombia existe un mercado de energía mayorista cuyas reglas buscan incentivar la competencia, y que en los costos de generación no existen subsidios que generen distorsiones en los precios (por ejemplo, subsidios en los combustibles), los precios del mercado (o su proxy – los costos marginales de escenarios proyectados - según se explica adelante), constituyen referentes apropiados para la estimación de los beneficios netos. En las secciones que sigue, se explica el funcionamiento del mercado y el mecanismo de formación de precios (o costos marginales en las proyecciones que simulan el mercado) tomados en cuenta en la estimación de los beneficios netos (dados unos costos de generación que son asumidos por la UPME en las proyecciones de diferentes escenarios).</w:t>
      </w:r>
    </w:p>
    <w:p w14:paraId="2341A7A1" w14:textId="77777777" w:rsidR="0011752D" w:rsidRPr="0011752D" w:rsidRDefault="0011752D" w:rsidP="0011752D">
      <w:pPr>
        <w:spacing w:after="160" w:line="259" w:lineRule="auto"/>
        <w:jc w:val="both"/>
        <w:rPr>
          <w:rFonts w:ascii="Arial" w:hAnsi="Arial"/>
          <w:sz w:val="22"/>
          <w:lang w:val="es-ES"/>
        </w:rPr>
      </w:pPr>
      <w:r w:rsidRPr="0011752D">
        <w:rPr>
          <w:rFonts w:ascii="Arial" w:hAnsi="Arial"/>
          <w:sz w:val="22"/>
          <w:lang w:val="es-ES"/>
        </w:rPr>
        <w:t>Adicionalmente, en cuanto a externalidades se refiere, se incluye la estimación de beneficios por reducción de emisiones de CO</w:t>
      </w:r>
      <w:r w:rsidRPr="0011752D">
        <w:rPr>
          <w:rFonts w:ascii="Arial" w:hAnsi="Arial"/>
          <w:sz w:val="22"/>
          <w:vertAlign w:val="subscript"/>
          <w:lang w:val="es-ES"/>
        </w:rPr>
        <w:t>2</w:t>
      </w:r>
      <w:r w:rsidRPr="0011752D">
        <w:rPr>
          <w:rFonts w:ascii="Arial" w:hAnsi="Arial"/>
          <w:sz w:val="22"/>
          <w:lang w:val="es-ES"/>
        </w:rPr>
        <w:t xml:space="preserve"> para lo cual también se utilizan precios de mercado de los certificados de emisiones, sin que tampoco se requiera de elaborar estimaciones de un precio sombra.</w:t>
      </w:r>
    </w:p>
    <w:p w14:paraId="2341A7A2" w14:textId="77777777" w:rsidR="0011752D" w:rsidRPr="0011752D" w:rsidRDefault="0011752D" w:rsidP="0011752D">
      <w:pPr>
        <w:keepNext/>
        <w:keepLines/>
        <w:numPr>
          <w:ilvl w:val="2"/>
          <w:numId w:val="0"/>
        </w:numPr>
        <w:spacing w:before="360" w:after="360"/>
        <w:ind w:left="720" w:hanging="720"/>
        <w:jc w:val="both"/>
        <w:outlineLvl w:val="2"/>
        <w:rPr>
          <w:rFonts w:ascii="Arial" w:hAnsi="Arial"/>
          <w:b/>
          <w:color w:val="1F4D78"/>
          <w:sz w:val="22"/>
          <w:szCs w:val="24"/>
          <w:lang w:val="es-ES"/>
        </w:rPr>
      </w:pPr>
      <w:bookmarkStart w:id="24" w:name="_Toc474797021"/>
      <w:r w:rsidRPr="0011752D">
        <w:rPr>
          <w:rFonts w:ascii="Arial" w:hAnsi="Arial"/>
          <w:b/>
          <w:color w:val="1F4D78"/>
          <w:sz w:val="22"/>
          <w:szCs w:val="24"/>
          <w:lang w:val="es-ES"/>
        </w:rPr>
        <w:t>Remuneración de la generación y formación de precios en el MEM</w:t>
      </w:r>
      <w:bookmarkEnd w:id="24"/>
      <w:r w:rsidRPr="0011752D">
        <w:rPr>
          <w:rFonts w:ascii="Arial" w:hAnsi="Arial"/>
          <w:b/>
          <w:color w:val="1F4D78"/>
          <w:sz w:val="22"/>
          <w:szCs w:val="24"/>
          <w:lang w:val="es-ES"/>
        </w:rPr>
        <w:t xml:space="preserve"> </w:t>
      </w:r>
    </w:p>
    <w:p w14:paraId="2341A7A3" w14:textId="77777777" w:rsidR="0011752D" w:rsidRPr="0011752D" w:rsidRDefault="0011752D" w:rsidP="0011752D">
      <w:pPr>
        <w:spacing w:after="160" w:line="259" w:lineRule="auto"/>
        <w:jc w:val="both"/>
        <w:rPr>
          <w:rFonts w:ascii="Arial" w:hAnsi="Arial"/>
          <w:sz w:val="22"/>
          <w:lang w:val="es-ES"/>
        </w:rPr>
      </w:pPr>
      <w:r w:rsidRPr="0011752D">
        <w:rPr>
          <w:rFonts w:ascii="Arial" w:hAnsi="Arial"/>
          <w:sz w:val="22"/>
          <w:lang w:val="es-ES"/>
        </w:rPr>
        <w:t>Una planta de generación tiene por objeto producir energía y el negocio consiste en obtener ingresos suficientes para cubrir los costos fijos (incluida la rentabilidad) y variables. En Colombia, se remuneran dos productos, ambos en términos de energía (kWh o MWh): i) la energía producida y ii) la confiabilidad. El primer producto se remunera al Precio de Bolsa y el segundo al precio del Cargo por Confiabilidad (CXC) según la energía firme asignada a la planta. También existen ingresos por servicios complementarios como la regulación de frecuencia (conocida como AGC por sus siglas en inglés), pero la viabilidad del negocio de generación se evalúa alrededor de los dos primeros productos mencionados. Los contratos de largo plazo</w:t>
      </w:r>
      <w:r w:rsidRPr="0011752D">
        <w:rPr>
          <w:rFonts w:ascii="Arial" w:hAnsi="Arial"/>
          <w:sz w:val="22"/>
          <w:vertAlign w:val="superscript"/>
          <w:lang w:val="es-ES"/>
        </w:rPr>
        <w:footnoteReference w:id="9"/>
      </w:r>
      <w:r w:rsidRPr="0011752D">
        <w:rPr>
          <w:rFonts w:ascii="Arial" w:hAnsi="Arial"/>
          <w:sz w:val="22"/>
          <w:lang w:val="es-ES"/>
        </w:rPr>
        <w:t xml:space="preserve"> son de tipo financiero para cubrir el riesgo de precio en Bolsa y no constituyen el factor determinante de la viabilidad de un proyecto de generación en cuanto a su competitividad propiamente dicha.</w:t>
      </w:r>
    </w:p>
    <w:p w14:paraId="2341A7A4"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Los ingresos de una planta de generación (sin tomar en cuenta contratos que como se indicó tienen una función principal de cobertura financiera y estabilización de los ingresos del generador) se pueden expresar de la siguiente manera:</w:t>
      </w:r>
    </w:p>
    <w:p w14:paraId="2341A7A5" w14:textId="77777777" w:rsidR="0011752D" w:rsidRPr="0011752D" w:rsidRDefault="0011752D" w:rsidP="0011752D">
      <w:pPr>
        <w:spacing w:before="240" w:after="240"/>
        <w:jc w:val="both"/>
        <w:rPr>
          <w:rFonts w:ascii="Arial" w:hAnsi="Arial"/>
          <w:sz w:val="22"/>
          <w:lang w:val="es-CO"/>
        </w:rPr>
      </w:pPr>
      <m:oMathPara>
        <m:oMath>
          <m:r>
            <w:rPr>
              <w:rFonts w:ascii="Cambria Math" w:hAnsi="Cambria Math"/>
              <w:sz w:val="22"/>
              <w:lang w:val="es-CO"/>
            </w:rPr>
            <m:t xml:space="preserve">Ingreso Anual= </m:t>
          </m:r>
          <m:nary>
            <m:naryPr>
              <m:chr m:val="∑"/>
              <m:limLoc m:val="undOvr"/>
              <m:ctrlPr>
                <w:rPr>
                  <w:rFonts w:ascii="Cambria Math" w:hAnsi="Cambria Math"/>
                  <w:i/>
                  <w:sz w:val="22"/>
                  <w:lang w:val="es-CO"/>
                </w:rPr>
              </m:ctrlPr>
            </m:naryPr>
            <m:sub>
              <m:r>
                <w:rPr>
                  <w:rFonts w:ascii="Cambria Math" w:hAnsi="Cambria Math"/>
                  <w:sz w:val="22"/>
                  <w:lang w:val="es-CO"/>
                </w:rPr>
                <m:t>i=1</m:t>
              </m:r>
            </m:sub>
            <m:sup>
              <m:r>
                <w:rPr>
                  <w:rFonts w:ascii="Cambria Math" w:hAnsi="Cambria Math"/>
                  <w:sz w:val="22"/>
                  <w:lang w:val="es-CO"/>
                </w:rPr>
                <m:t>8760</m:t>
              </m:r>
            </m:sup>
            <m:e>
              <m:sSub>
                <m:sSubPr>
                  <m:ctrlPr>
                    <w:rPr>
                      <w:rFonts w:ascii="Cambria Math" w:hAnsi="Cambria Math"/>
                      <w:i/>
                      <w:sz w:val="22"/>
                      <w:lang w:val="es-CO"/>
                    </w:rPr>
                  </m:ctrlPr>
                </m:sSubPr>
                <m:e>
                  <m:r>
                    <w:rPr>
                      <w:rFonts w:ascii="Cambria Math" w:hAnsi="Cambria Math"/>
                      <w:sz w:val="22"/>
                      <w:lang w:val="es-CO"/>
                    </w:rPr>
                    <m:t>G</m:t>
                  </m:r>
                </m:e>
                <m:sub>
                  <m:r>
                    <w:rPr>
                      <w:rFonts w:ascii="Cambria Math" w:hAnsi="Cambria Math"/>
                      <w:sz w:val="22"/>
                      <w:lang w:val="es-CO"/>
                    </w:rPr>
                    <m:t>i</m:t>
                  </m:r>
                </m:sub>
              </m:sSub>
              <m:r>
                <w:rPr>
                  <w:rFonts w:ascii="Cambria Math" w:hAnsi="Cambria Math"/>
                  <w:sz w:val="22"/>
                  <w:lang w:val="es-CO"/>
                </w:rPr>
                <m:t>*</m:t>
              </m:r>
              <m:sSub>
                <m:sSubPr>
                  <m:ctrlPr>
                    <w:rPr>
                      <w:rFonts w:ascii="Cambria Math" w:hAnsi="Cambria Math"/>
                      <w:i/>
                      <w:sz w:val="22"/>
                      <w:lang w:val="es-CO"/>
                    </w:rPr>
                  </m:ctrlPr>
                </m:sSubPr>
                <m:e>
                  <m:r>
                    <w:rPr>
                      <w:rFonts w:ascii="Cambria Math" w:hAnsi="Cambria Math"/>
                      <w:sz w:val="22"/>
                      <w:lang w:val="es-CO"/>
                    </w:rPr>
                    <m:t>Pb</m:t>
                  </m:r>
                </m:e>
                <m:sub>
                  <m:r>
                    <w:rPr>
                      <w:rFonts w:ascii="Cambria Math" w:hAnsi="Cambria Math"/>
                      <w:sz w:val="22"/>
                      <w:lang w:val="es-CO"/>
                    </w:rPr>
                    <m:t>i</m:t>
                  </m:r>
                </m:sub>
              </m:sSub>
              <m:r>
                <w:rPr>
                  <w:rFonts w:ascii="Cambria Math" w:hAnsi="Cambria Math"/>
                  <w:sz w:val="22"/>
                  <w:lang w:val="es-CO"/>
                </w:rPr>
                <m:t>+OEF*</m:t>
              </m:r>
              <m:sSub>
                <m:sSubPr>
                  <m:ctrlPr>
                    <w:rPr>
                      <w:rFonts w:ascii="Cambria Math" w:hAnsi="Cambria Math"/>
                      <w:i/>
                      <w:sz w:val="22"/>
                      <w:lang w:val="es-CO"/>
                    </w:rPr>
                  </m:ctrlPr>
                </m:sSubPr>
                <m:e>
                  <m:r>
                    <w:rPr>
                      <w:rFonts w:ascii="Cambria Math" w:hAnsi="Cambria Math"/>
                      <w:sz w:val="22"/>
                      <w:lang w:val="es-CO"/>
                    </w:rPr>
                    <m:t>Pcxc</m:t>
                  </m:r>
                </m:e>
                <m:sub/>
              </m:sSub>
            </m:e>
          </m:nary>
        </m:oMath>
      </m:oMathPara>
    </w:p>
    <w:p w14:paraId="2341A7A6"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lastRenderedPageBreak/>
        <w:t xml:space="preserve">Donde Gi es la generación en cada hora del año (un año tiene 8.760 horas) y Pbi es el precio de bolsa en la respectiva hora. OEF es la cantidad de Obligaciones de Energía Firme del Cargo por Confiabilidad asignadas a la planta, remuneradas al precio Pcxc. </w:t>
      </w:r>
    </w:p>
    <w:p w14:paraId="2341A7A7"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En las secciones siguientes se explica el cálculo del precio de bolsa y el mecanismo de CXC.</w:t>
      </w:r>
    </w:p>
    <w:p w14:paraId="2341A7A8" w14:textId="77777777" w:rsidR="0011752D" w:rsidRPr="0011752D" w:rsidRDefault="0011752D" w:rsidP="0011752D">
      <w:pPr>
        <w:keepNext/>
        <w:keepLines/>
        <w:numPr>
          <w:ilvl w:val="2"/>
          <w:numId w:val="0"/>
        </w:numPr>
        <w:spacing w:before="360" w:after="360"/>
        <w:ind w:left="720" w:hanging="720"/>
        <w:jc w:val="both"/>
        <w:outlineLvl w:val="2"/>
        <w:rPr>
          <w:rFonts w:ascii="Arial" w:hAnsi="Arial"/>
          <w:b/>
          <w:color w:val="1F4D78"/>
          <w:sz w:val="22"/>
          <w:szCs w:val="24"/>
          <w:lang w:val="es-CO"/>
        </w:rPr>
      </w:pPr>
      <w:bookmarkStart w:id="25" w:name="_Toc474797022"/>
      <w:r w:rsidRPr="0011752D">
        <w:rPr>
          <w:rFonts w:ascii="Arial" w:hAnsi="Arial"/>
          <w:b/>
          <w:color w:val="1F4D78"/>
          <w:sz w:val="22"/>
          <w:szCs w:val="24"/>
          <w:lang w:val="es-CO"/>
        </w:rPr>
        <w:t>Funcionamiento de la bolsa de energía y precios marginales</w:t>
      </w:r>
      <w:bookmarkEnd w:id="25"/>
    </w:p>
    <w:p w14:paraId="2341A7A9"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El mercado de energía colombiano es de un solo nodo siendo el precio de bolsa único para todo el Sistema Interconectado Nacional. Cada planta oferta cantidades para cada hora del día siguiente y un solo precio para las 24 horas. Aunque es una oferta libre, debe reflejar los costos variables de los combustibles (no está escrito pero se entiende que puede ser el precio de compra o el costo de oportunidad del mismo en el mercado secundario) y la “percepción del riesgo”, término no definido, pero que puede asociarse con la estimación del costo de oportunidad del agua por parte del generador en el caso de plantas hidroeléctricas. En este último caso, el costo de oportunidad del agua embalsada depende de su utilización alternativa en el tiempo, tomando en cuenta las probabilidades de evitar generación térmica más costosa y racionamientos.</w:t>
      </w:r>
    </w:p>
    <w:p w14:paraId="2341A7AA"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Dada la composición de la matriz de generación, en épocas de la Niña los precios de la energía en la bolsa son bajos y en épocas de hidrologías severas los precios tienden a ser muy altos tal como se muestra en la </w:t>
      </w:r>
      <w:r w:rsidRPr="0011752D">
        <w:rPr>
          <w:rFonts w:ascii="Arial" w:hAnsi="Arial"/>
          <w:sz w:val="22"/>
          <w:lang w:val="es-CO"/>
        </w:rPr>
        <w:fldChar w:fldCharType="begin"/>
      </w:r>
      <w:r w:rsidRPr="0011752D">
        <w:rPr>
          <w:rFonts w:ascii="Arial" w:hAnsi="Arial"/>
          <w:sz w:val="22"/>
          <w:lang w:val="es-CO"/>
        </w:rPr>
        <w:instrText xml:space="preserve"> REF _Ref418016635 \h </w:instrText>
      </w:r>
      <w:r w:rsidRPr="0011752D">
        <w:rPr>
          <w:rFonts w:ascii="Arial" w:hAnsi="Arial"/>
          <w:sz w:val="22"/>
          <w:lang w:val="es-CO"/>
        </w:rPr>
      </w:r>
      <w:r w:rsidRPr="0011752D">
        <w:rPr>
          <w:rFonts w:ascii="Arial" w:hAnsi="Arial"/>
          <w:sz w:val="22"/>
          <w:lang w:val="es-CO"/>
        </w:rPr>
        <w:fldChar w:fldCharType="separate"/>
      </w:r>
      <w:r w:rsidRPr="0011752D">
        <w:rPr>
          <w:rFonts w:ascii="Arial" w:hAnsi="Arial"/>
          <w:b/>
          <w:sz w:val="22"/>
          <w:lang w:val="es-CO"/>
        </w:rPr>
        <w:t xml:space="preserve">Ilustración </w:t>
      </w:r>
      <w:r w:rsidRPr="0011752D">
        <w:rPr>
          <w:rFonts w:ascii="Arial" w:hAnsi="Arial"/>
          <w:b/>
          <w:noProof/>
          <w:sz w:val="22"/>
          <w:lang w:val="es-CO"/>
        </w:rPr>
        <w:t>1</w:t>
      </w:r>
      <w:r w:rsidRPr="0011752D">
        <w:rPr>
          <w:rFonts w:ascii="Arial" w:hAnsi="Arial"/>
          <w:sz w:val="22"/>
          <w:lang w:val="es-CO"/>
        </w:rPr>
        <w:fldChar w:fldCharType="end"/>
      </w:r>
      <w:r w:rsidRPr="0011752D">
        <w:rPr>
          <w:rFonts w:ascii="Arial" w:hAnsi="Arial"/>
          <w:b/>
          <w:sz w:val="22"/>
          <w:lang w:val="es-CO"/>
        </w:rPr>
        <w:t>.</w:t>
      </w:r>
    </w:p>
    <w:p w14:paraId="2341A7AB" w14:textId="77777777" w:rsidR="0011752D" w:rsidRPr="0011752D" w:rsidRDefault="0011752D" w:rsidP="0011752D">
      <w:pPr>
        <w:spacing w:before="240" w:after="240"/>
        <w:ind w:left="720"/>
        <w:jc w:val="center"/>
        <w:rPr>
          <w:rFonts w:ascii="Arial" w:hAnsi="Arial"/>
          <w:b/>
          <w:sz w:val="22"/>
          <w:lang w:val="es-CO"/>
        </w:rPr>
      </w:pPr>
      <w:bookmarkStart w:id="26" w:name="_Ref418016635"/>
      <w:bookmarkStart w:id="27" w:name="_Toc468124565"/>
      <w:bookmarkStart w:id="28" w:name="_Toc474797045"/>
      <w:r w:rsidRPr="0011752D">
        <w:rPr>
          <w:rFonts w:ascii="Arial" w:hAnsi="Arial"/>
          <w:b/>
          <w:sz w:val="22"/>
          <w:lang w:val="es-CO"/>
        </w:rPr>
        <w:t xml:space="preserve">Ilustración </w:t>
      </w:r>
      <w:r w:rsidRPr="0011752D">
        <w:rPr>
          <w:rFonts w:ascii="Arial" w:hAnsi="Arial"/>
          <w:b/>
          <w:sz w:val="22"/>
          <w:lang w:val="es-CO"/>
        </w:rPr>
        <w:fldChar w:fldCharType="begin"/>
      </w:r>
      <w:r w:rsidRPr="0011752D">
        <w:rPr>
          <w:rFonts w:ascii="Arial" w:hAnsi="Arial"/>
          <w:b/>
          <w:sz w:val="22"/>
          <w:lang w:val="es-CO"/>
        </w:rPr>
        <w:instrText xml:space="preserve"> SEQ Ilustración \* ARABIC </w:instrText>
      </w:r>
      <w:r w:rsidRPr="0011752D">
        <w:rPr>
          <w:rFonts w:ascii="Arial" w:hAnsi="Arial"/>
          <w:b/>
          <w:sz w:val="22"/>
          <w:lang w:val="es-CO"/>
        </w:rPr>
        <w:fldChar w:fldCharType="separate"/>
      </w:r>
      <w:r w:rsidRPr="0011752D">
        <w:rPr>
          <w:rFonts w:ascii="Arial" w:hAnsi="Arial"/>
          <w:b/>
          <w:noProof/>
          <w:sz w:val="22"/>
          <w:lang w:val="es-CO"/>
        </w:rPr>
        <w:t>1</w:t>
      </w:r>
      <w:r w:rsidRPr="0011752D">
        <w:rPr>
          <w:rFonts w:ascii="Arial" w:hAnsi="Arial"/>
          <w:b/>
          <w:sz w:val="22"/>
          <w:lang w:val="es-CO"/>
        </w:rPr>
        <w:fldChar w:fldCharType="end"/>
      </w:r>
      <w:bookmarkEnd w:id="26"/>
      <w:r w:rsidRPr="0011752D">
        <w:rPr>
          <w:rFonts w:ascii="Arial" w:hAnsi="Arial"/>
          <w:b/>
          <w:sz w:val="22"/>
          <w:lang w:val="es-CO"/>
        </w:rPr>
        <w:t xml:space="preserve"> – Precios de bolsa promedio diario enero 2005 – abril 2016</w:t>
      </w:r>
      <w:bookmarkEnd w:id="27"/>
      <w:bookmarkEnd w:id="28"/>
    </w:p>
    <w:p w14:paraId="2341A7AC" w14:textId="77777777" w:rsidR="0011752D" w:rsidRPr="0011752D" w:rsidRDefault="0011752D" w:rsidP="0011752D">
      <w:pPr>
        <w:spacing w:before="240" w:after="240"/>
        <w:jc w:val="center"/>
        <w:rPr>
          <w:rFonts w:ascii="Arial" w:hAnsi="Arial"/>
          <w:sz w:val="20"/>
          <w:lang w:val="es-CO"/>
        </w:rPr>
      </w:pPr>
      <w:r w:rsidRPr="0011752D">
        <w:rPr>
          <w:rFonts w:ascii="Arial" w:hAnsi="Arial"/>
          <w:noProof/>
          <w:sz w:val="22"/>
          <w:lang w:val="es-US" w:eastAsia="zh-CN"/>
        </w:rPr>
        <w:drawing>
          <wp:inline distT="0" distB="0" distL="0" distR="0" wp14:anchorId="2341BDAA" wp14:editId="2341BDAB">
            <wp:extent cx="5612130" cy="2343150"/>
            <wp:effectExtent l="0" t="0" r="7620" b="0"/>
            <wp:docPr id="3"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612130" cy="2343150"/>
                    </a:xfrm>
                    <a:prstGeom prst="rect">
                      <a:avLst/>
                    </a:prstGeom>
                  </pic:spPr>
                </pic:pic>
              </a:graphicData>
            </a:graphic>
          </wp:inline>
        </w:drawing>
      </w:r>
    </w:p>
    <w:p w14:paraId="2341A7AD" w14:textId="77777777" w:rsidR="0011752D" w:rsidRPr="0011752D" w:rsidRDefault="0011752D" w:rsidP="0011752D">
      <w:pPr>
        <w:spacing w:before="240"/>
        <w:jc w:val="center"/>
        <w:rPr>
          <w:rFonts w:ascii="Arial" w:hAnsi="Arial"/>
          <w:sz w:val="20"/>
          <w:lang w:val="es-CO"/>
        </w:rPr>
      </w:pPr>
      <w:r w:rsidRPr="0011752D">
        <w:rPr>
          <w:rFonts w:ascii="Arial" w:hAnsi="Arial"/>
          <w:sz w:val="20"/>
          <w:lang w:val="es-CO"/>
        </w:rPr>
        <w:t>Fuente: Elaborado por el consultor con base en información histórica de XM - Precios reales 2008</w:t>
      </w:r>
    </w:p>
    <w:p w14:paraId="2341A7AE"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Para cada día siguiente, los comercializadores reportan la demanda esperada en cada hora.</w:t>
      </w:r>
    </w:p>
    <w:p w14:paraId="2341A7AF"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El despacho de generación se hace por orden de mérito (primero generación económica) y el precio de la Bolsa es fijado por la planta marginal requerida en el despacho para atender la demanda en cada hora (ver </w:t>
      </w:r>
      <w:r w:rsidRPr="0011752D">
        <w:rPr>
          <w:rFonts w:ascii="Arial" w:hAnsi="Arial"/>
          <w:sz w:val="22"/>
          <w:lang w:val="es-CO"/>
        </w:rPr>
        <w:fldChar w:fldCharType="begin"/>
      </w:r>
      <w:r w:rsidRPr="0011752D">
        <w:rPr>
          <w:rFonts w:ascii="Arial" w:hAnsi="Arial"/>
          <w:sz w:val="22"/>
          <w:lang w:val="es-CO"/>
        </w:rPr>
        <w:instrText xml:space="preserve"> REF _Ref417895865 \h </w:instrText>
      </w:r>
      <w:r w:rsidRPr="0011752D">
        <w:rPr>
          <w:rFonts w:ascii="Arial" w:hAnsi="Arial"/>
          <w:sz w:val="22"/>
          <w:lang w:val="es-CO"/>
        </w:rPr>
      </w:r>
      <w:r w:rsidRPr="0011752D">
        <w:rPr>
          <w:rFonts w:ascii="Arial" w:hAnsi="Arial"/>
          <w:sz w:val="22"/>
          <w:lang w:val="es-CO"/>
        </w:rPr>
        <w:fldChar w:fldCharType="separate"/>
      </w:r>
      <w:r w:rsidRPr="0011752D">
        <w:rPr>
          <w:rFonts w:ascii="Arial" w:hAnsi="Arial"/>
          <w:b/>
          <w:sz w:val="22"/>
          <w:lang w:val="es-CO"/>
        </w:rPr>
        <w:t xml:space="preserve">Ilustración </w:t>
      </w:r>
      <w:r w:rsidRPr="0011752D">
        <w:rPr>
          <w:rFonts w:ascii="Arial" w:hAnsi="Arial"/>
          <w:b/>
          <w:noProof/>
          <w:sz w:val="22"/>
          <w:lang w:val="es-CO"/>
        </w:rPr>
        <w:t>2</w:t>
      </w:r>
      <w:r w:rsidRPr="0011752D">
        <w:rPr>
          <w:rFonts w:ascii="Arial" w:hAnsi="Arial"/>
          <w:sz w:val="22"/>
          <w:lang w:val="es-CO"/>
        </w:rPr>
        <w:fldChar w:fldCharType="end"/>
      </w:r>
      <w:r w:rsidRPr="0011752D">
        <w:rPr>
          <w:rFonts w:ascii="Arial" w:hAnsi="Arial"/>
          <w:sz w:val="22"/>
          <w:lang w:val="es-CO"/>
        </w:rPr>
        <w:t xml:space="preserve">). </w:t>
      </w:r>
    </w:p>
    <w:p w14:paraId="2341A7B0"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lastRenderedPageBreak/>
        <w:t>Como se puede observar, las plantas con costos variables por debajo del precio de bolsa obtienen una renta que contribuye a remunerar la inversión y los costos fijos.</w:t>
      </w:r>
    </w:p>
    <w:p w14:paraId="2341A7B1" w14:textId="77777777" w:rsidR="0011752D" w:rsidRPr="0011752D" w:rsidRDefault="0011752D" w:rsidP="0011752D">
      <w:pPr>
        <w:spacing w:before="240" w:after="240"/>
        <w:jc w:val="both"/>
        <w:rPr>
          <w:rFonts w:ascii="Arial" w:hAnsi="Arial"/>
          <w:sz w:val="22"/>
          <w:vertAlign w:val="superscript"/>
          <w:lang w:val="es-CO"/>
        </w:rPr>
      </w:pPr>
    </w:p>
    <w:p w14:paraId="2341A7B2" w14:textId="77777777" w:rsidR="0011752D" w:rsidRPr="0011752D" w:rsidRDefault="0011752D" w:rsidP="0011752D">
      <w:pPr>
        <w:spacing w:before="240" w:after="240"/>
        <w:ind w:left="720"/>
        <w:jc w:val="center"/>
        <w:rPr>
          <w:rFonts w:ascii="Arial" w:hAnsi="Arial"/>
          <w:b/>
          <w:sz w:val="22"/>
          <w:lang w:val="es-CO"/>
        </w:rPr>
      </w:pPr>
      <w:bookmarkStart w:id="29" w:name="_Ref417895865"/>
      <w:bookmarkStart w:id="30" w:name="_Toc468124562"/>
      <w:bookmarkStart w:id="31" w:name="_Toc474797046"/>
      <w:r w:rsidRPr="0011752D">
        <w:rPr>
          <w:rFonts w:ascii="Arial" w:hAnsi="Arial"/>
          <w:b/>
          <w:sz w:val="22"/>
          <w:lang w:val="es-CO"/>
        </w:rPr>
        <w:t xml:space="preserve">Ilustración </w:t>
      </w:r>
      <w:r w:rsidRPr="0011752D">
        <w:rPr>
          <w:rFonts w:ascii="Arial" w:hAnsi="Arial"/>
          <w:b/>
          <w:sz w:val="22"/>
          <w:lang w:val="es-CO"/>
        </w:rPr>
        <w:fldChar w:fldCharType="begin"/>
      </w:r>
      <w:r w:rsidRPr="0011752D">
        <w:rPr>
          <w:rFonts w:ascii="Arial" w:hAnsi="Arial"/>
          <w:b/>
          <w:sz w:val="22"/>
          <w:lang w:val="es-CO"/>
        </w:rPr>
        <w:instrText xml:space="preserve"> SEQ Ilustración \* ARABIC </w:instrText>
      </w:r>
      <w:r w:rsidRPr="0011752D">
        <w:rPr>
          <w:rFonts w:ascii="Arial" w:hAnsi="Arial"/>
          <w:b/>
          <w:sz w:val="22"/>
          <w:lang w:val="es-CO"/>
        </w:rPr>
        <w:fldChar w:fldCharType="separate"/>
      </w:r>
      <w:r w:rsidRPr="0011752D">
        <w:rPr>
          <w:rFonts w:ascii="Arial" w:hAnsi="Arial"/>
          <w:b/>
          <w:noProof/>
          <w:sz w:val="22"/>
          <w:lang w:val="es-CO"/>
        </w:rPr>
        <w:t>2</w:t>
      </w:r>
      <w:r w:rsidRPr="0011752D">
        <w:rPr>
          <w:rFonts w:ascii="Arial" w:hAnsi="Arial"/>
          <w:b/>
          <w:sz w:val="22"/>
          <w:lang w:val="es-CO"/>
        </w:rPr>
        <w:fldChar w:fldCharType="end"/>
      </w:r>
      <w:bookmarkEnd w:id="29"/>
      <w:r w:rsidRPr="0011752D">
        <w:rPr>
          <w:rFonts w:ascii="Arial" w:hAnsi="Arial"/>
          <w:b/>
          <w:sz w:val="22"/>
          <w:lang w:val="es-CO"/>
        </w:rPr>
        <w:t xml:space="preserve"> – Despacho energético y formación del precio en Bolsa</w:t>
      </w:r>
      <w:bookmarkEnd w:id="30"/>
      <w:bookmarkEnd w:id="31"/>
    </w:p>
    <w:p w14:paraId="2341A7B3" w14:textId="77777777" w:rsidR="0011752D" w:rsidRPr="0011752D" w:rsidRDefault="0011752D" w:rsidP="0011752D">
      <w:pPr>
        <w:spacing w:before="240" w:after="240"/>
        <w:jc w:val="center"/>
        <w:rPr>
          <w:rFonts w:ascii="Arial" w:hAnsi="Arial"/>
          <w:b/>
          <w:bCs/>
          <w:color w:val="000000"/>
          <w:sz w:val="22"/>
          <w:lang w:val="es-CO"/>
        </w:rPr>
      </w:pPr>
      <w:bookmarkStart w:id="32" w:name="_Toc380490453"/>
      <w:bookmarkStart w:id="33" w:name="_Toc380491553"/>
      <w:bookmarkStart w:id="34" w:name="_Toc380491769"/>
      <w:bookmarkStart w:id="35" w:name="_Toc383190847"/>
      <w:r w:rsidRPr="0011752D">
        <w:rPr>
          <w:rFonts w:ascii="Arial" w:hAnsi="Arial"/>
          <w:noProof/>
          <w:sz w:val="22"/>
          <w:lang w:val="es-US" w:eastAsia="zh-CN"/>
        </w:rPr>
        <w:drawing>
          <wp:inline distT="0" distB="0" distL="0" distR="0" wp14:anchorId="2341BDAC" wp14:editId="2341BDAD">
            <wp:extent cx="4738978" cy="3067381"/>
            <wp:effectExtent l="0" t="0" r="5080" b="0"/>
            <wp:docPr id="2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743227" cy="3070131"/>
                    </a:xfrm>
                    <a:prstGeom prst="rect">
                      <a:avLst/>
                    </a:prstGeom>
                  </pic:spPr>
                </pic:pic>
              </a:graphicData>
            </a:graphic>
          </wp:inline>
        </w:drawing>
      </w:r>
    </w:p>
    <w:bookmarkEnd w:id="32"/>
    <w:bookmarkEnd w:id="33"/>
    <w:bookmarkEnd w:id="34"/>
    <w:bookmarkEnd w:id="35"/>
    <w:p w14:paraId="2341A7B4" w14:textId="77777777" w:rsidR="0011752D" w:rsidRPr="0011752D" w:rsidRDefault="0011752D" w:rsidP="0011752D">
      <w:pPr>
        <w:spacing w:after="160" w:line="259" w:lineRule="auto"/>
        <w:jc w:val="center"/>
        <w:rPr>
          <w:rFonts w:ascii="Arial" w:hAnsi="Arial"/>
          <w:color w:val="000000"/>
          <w:sz w:val="20"/>
          <w:lang w:val="es-ES"/>
        </w:rPr>
      </w:pPr>
      <w:r w:rsidRPr="0011752D">
        <w:rPr>
          <w:rFonts w:ascii="Arial" w:hAnsi="Arial"/>
          <w:color w:val="000000"/>
          <w:sz w:val="20"/>
          <w:lang w:val="es-ES"/>
        </w:rPr>
        <w:t>Fuente: Ilustración elaborada por el Consultor</w:t>
      </w:r>
    </w:p>
    <w:p w14:paraId="2341A7B5" w14:textId="77777777" w:rsidR="0011752D" w:rsidRPr="0011752D" w:rsidRDefault="0011752D" w:rsidP="0011752D">
      <w:pPr>
        <w:spacing w:after="160" w:line="259" w:lineRule="auto"/>
        <w:jc w:val="both"/>
        <w:rPr>
          <w:rFonts w:ascii="Arial" w:hAnsi="Arial"/>
          <w:sz w:val="22"/>
          <w:lang w:val="es-ES"/>
        </w:rPr>
      </w:pPr>
      <w:r w:rsidRPr="0011752D">
        <w:rPr>
          <w:rFonts w:ascii="Arial" w:hAnsi="Arial"/>
          <w:sz w:val="22"/>
          <w:lang w:val="es-ES"/>
        </w:rPr>
        <w:t>Las plantas con costos variables más altos son las que generan con combustibles líquidos como el Diésel o ACPM, seguidas por las de gas natural (especialmente GNL a partir de diciembre de 2016). Cuando los aportes hídricos bajan, el costo de oportunidad del agua tiende a ser más alto, referido a las plantas térmicas más costosas que podrían salir despachadas. Dependiendo de la intensidad de la reducción de los aportes hídricos, se requerirán en mayor o menor medida las plantas térmicas con costos variables más altos, tal como ocurrió en el reciente fenómeno de El Niño.</w:t>
      </w:r>
    </w:p>
    <w:p w14:paraId="2341A7B6" w14:textId="77777777" w:rsidR="0011752D" w:rsidRPr="0011752D" w:rsidRDefault="0011752D" w:rsidP="0011752D">
      <w:pPr>
        <w:spacing w:after="160" w:line="259" w:lineRule="auto"/>
        <w:jc w:val="both"/>
        <w:rPr>
          <w:rFonts w:ascii="Arial" w:hAnsi="Arial"/>
          <w:sz w:val="22"/>
          <w:lang w:val="es-ES"/>
        </w:rPr>
      </w:pPr>
      <w:r w:rsidRPr="0011752D">
        <w:rPr>
          <w:rFonts w:ascii="Arial" w:hAnsi="Arial"/>
          <w:sz w:val="22"/>
          <w:lang w:val="es-ES"/>
        </w:rPr>
        <w:t xml:space="preserve">El precio de bolsa incluye como costo variable un valor denominado CEE (Cargo por Confiabilidad Equivalente en Energía) que consiste en el mecanismo de recaudo de los recursos del Cargo por Confiabilidad que se pagan a los generadores por sus Obligaciones de Energía Firme (término </w:t>
      </w:r>
      <w:r w:rsidRPr="0011752D">
        <w:rPr>
          <w:rFonts w:ascii="Arial" w:hAnsi="Arial"/>
          <w:i/>
          <w:sz w:val="22"/>
          <w:lang w:val="es-ES"/>
        </w:rPr>
        <w:t xml:space="preserve">OEFxPcxc </w:t>
      </w:r>
      <w:r w:rsidRPr="0011752D">
        <w:rPr>
          <w:rFonts w:ascii="Arial" w:hAnsi="Arial"/>
          <w:sz w:val="22"/>
          <w:lang w:val="es-ES"/>
        </w:rPr>
        <w:t>en ecuación anterior), según se explica a continuación.</w:t>
      </w:r>
    </w:p>
    <w:p w14:paraId="2341A7B7" w14:textId="77777777" w:rsidR="0011752D" w:rsidRPr="0011752D" w:rsidRDefault="0011752D" w:rsidP="0011752D">
      <w:pPr>
        <w:keepNext/>
        <w:keepLines/>
        <w:numPr>
          <w:ilvl w:val="2"/>
          <w:numId w:val="0"/>
        </w:numPr>
        <w:spacing w:before="360" w:after="360"/>
        <w:ind w:left="720" w:hanging="720"/>
        <w:jc w:val="both"/>
        <w:outlineLvl w:val="2"/>
        <w:rPr>
          <w:rFonts w:ascii="Arial" w:hAnsi="Arial"/>
          <w:b/>
          <w:color w:val="1F4D78"/>
          <w:sz w:val="22"/>
          <w:szCs w:val="24"/>
          <w:lang w:val="es-CO"/>
        </w:rPr>
      </w:pPr>
      <w:bookmarkStart w:id="36" w:name="_Ref420684837"/>
      <w:bookmarkStart w:id="37" w:name="_Toc468124474"/>
      <w:bookmarkStart w:id="38" w:name="_Toc474797023"/>
      <w:r w:rsidRPr="0011752D">
        <w:rPr>
          <w:rFonts w:ascii="Arial" w:hAnsi="Arial"/>
          <w:b/>
          <w:color w:val="1F4D78"/>
          <w:sz w:val="22"/>
          <w:szCs w:val="24"/>
          <w:lang w:val="es-CO"/>
        </w:rPr>
        <w:t>El Cargo por Confiabilidad en el MEM</w:t>
      </w:r>
      <w:bookmarkEnd w:id="36"/>
      <w:bookmarkEnd w:id="37"/>
      <w:bookmarkEnd w:id="38"/>
    </w:p>
    <w:p w14:paraId="2341A7B8" w14:textId="77777777" w:rsidR="0011752D" w:rsidRPr="0011752D" w:rsidRDefault="0011752D" w:rsidP="0011752D">
      <w:pPr>
        <w:spacing w:before="240" w:after="120"/>
        <w:jc w:val="both"/>
        <w:rPr>
          <w:rFonts w:ascii="Arial" w:hAnsi="Arial"/>
          <w:sz w:val="22"/>
          <w:lang w:val="es-CO"/>
        </w:rPr>
      </w:pPr>
      <w:r w:rsidRPr="0011752D">
        <w:rPr>
          <w:rFonts w:ascii="Arial" w:hAnsi="Arial"/>
          <w:sz w:val="22"/>
          <w:lang w:val="es-CO"/>
        </w:rPr>
        <w:t>Debido a que cerca del 70% de la capacidad instalada en Colombia corresponde a centrales hidroeléctricas, la estacionalidad climática y el fenómeno de El Niño pueden constituir un riesgo considerable para el sistema de generación.</w:t>
      </w:r>
    </w:p>
    <w:p w14:paraId="2341A7B9" w14:textId="77777777" w:rsidR="0011752D" w:rsidRPr="0011752D" w:rsidRDefault="0011752D" w:rsidP="0011752D">
      <w:pPr>
        <w:spacing w:before="240" w:after="120"/>
        <w:jc w:val="both"/>
        <w:rPr>
          <w:rFonts w:ascii="Arial" w:hAnsi="Arial"/>
          <w:sz w:val="22"/>
          <w:lang w:val="es-CO"/>
        </w:rPr>
      </w:pPr>
      <w:r w:rsidRPr="0011752D">
        <w:rPr>
          <w:rFonts w:ascii="Arial" w:hAnsi="Arial"/>
          <w:sz w:val="22"/>
          <w:lang w:val="es-CO"/>
        </w:rPr>
        <w:t xml:space="preserve">Para brindar una cobertura frente a este riesgo, en 2006 comenzó a funcionar El Cargo por Confiabilidad (CXC) definido como la remuneración por MWh que se paga a un agente </w:t>
      </w:r>
      <w:r w:rsidRPr="0011752D">
        <w:rPr>
          <w:rFonts w:ascii="Arial" w:hAnsi="Arial"/>
          <w:sz w:val="22"/>
          <w:lang w:val="es-CO"/>
        </w:rPr>
        <w:lastRenderedPageBreak/>
        <w:t>generador por la disponibilidad de activos de generación con las características y parámetros declarados para el cálculo de la Energía Firme para el Cargo por Confiabilidad (ENFICC), que garantiza el cumplimiento del compromiso denominado Obligación de Energía Firme (OEF) que le fue asignada. En otras palabras, el CXC corresponde a una remuneración de los activos de generación que contribuyen a la generación de energía bajo condiciones de baja hidrología o condiciones críticas.</w:t>
      </w:r>
    </w:p>
    <w:p w14:paraId="2341A7BA" w14:textId="77777777" w:rsidR="0011752D" w:rsidRPr="0011752D" w:rsidRDefault="0011752D" w:rsidP="0011752D">
      <w:pPr>
        <w:spacing w:before="240" w:after="120"/>
        <w:jc w:val="both"/>
        <w:rPr>
          <w:rFonts w:ascii="Arial" w:hAnsi="Arial"/>
          <w:sz w:val="22"/>
          <w:lang w:val="es-CO"/>
        </w:rPr>
      </w:pPr>
      <w:r w:rsidRPr="0011752D">
        <w:rPr>
          <w:rFonts w:ascii="Arial" w:hAnsi="Arial"/>
          <w:sz w:val="22"/>
          <w:lang w:val="es-CO"/>
        </w:rPr>
        <w:t>La remuneración de CXC (o de una OEF) está alrededor de 16US$/MWh, mientras que el precio promedio del MWh en el mercado puede variar alrededor de los 65 y 70US$/MWh (incluido el CXC).</w:t>
      </w:r>
    </w:p>
    <w:p w14:paraId="2341A7BB" w14:textId="77777777" w:rsidR="0011752D" w:rsidRPr="0011752D" w:rsidRDefault="0011752D" w:rsidP="0011752D">
      <w:pPr>
        <w:spacing w:before="240" w:after="120"/>
        <w:jc w:val="both"/>
        <w:rPr>
          <w:rFonts w:ascii="Arial" w:hAnsi="Arial"/>
          <w:sz w:val="22"/>
          <w:lang w:val="es-CO"/>
        </w:rPr>
      </w:pPr>
      <w:r w:rsidRPr="0011752D">
        <w:rPr>
          <w:rFonts w:ascii="Arial" w:hAnsi="Arial"/>
          <w:sz w:val="22"/>
          <w:lang w:val="es-CO"/>
        </w:rPr>
        <w:t>Como ya se anotó, desde la óptica de la factibilidad de un nuevo proyecto de generación, y sin considerar el mundo de los contratos financieros en Colombia, el ingreso de la planta está constituido por las ventas de la energía generada al precio del mercado spot, más el ingreso por CXC. De esta manera, el ingreso del CXC varía en la participación en el ingreso total de la planta dependiendo del tipo de proyecto. Para una hidroeléctrica puede ser del orden del 15%, mientras que para una térmica con vocación de planta de respaldo en el margen, puede ser el 90% o más. Igualmente, para una FNCER intermitente como la eólica y la solar fotovoltáica con reducida energía firme el ingreso por CXC es bajo.</w:t>
      </w:r>
    </w:p>
    <w:p w14:paraId="2341A7BC" w14:textId="77777777" w:rsidR="0011752D" w:rsidRPr="0011752D" w:rsidRDefault="0011752D" w:rsidP="0011752D">
      <w:pPr>
        <w:spacing w:before="240" w:after="120"/>
        <w:jc w:val="both"/>
        <w:rPr>
          <w:rFonts w:ascii="Arial" w:hAnsi="Arial"/>
          <w:sz w:val="22"/>
          <w:lang w:val="es-CO"/>
        </w:rPr>
      </w:pPr>
      <w:r w:rsidRPr="0011752D">
        <w:rPr>
          <w:rFonts w:ascii="Arial" w:hAnsi="Arial"/>
          <w:sz w:val="22"/>
          <w:lang w:val="es-CO"/>
        </w:rPr>
        <w:t>La ENFICC se define como la “</w:t>
      </w:r>
      <w:r w:rsidRPr="0011752D">
        <w:rPr>
          <w:rFonts w:ascii="Arial" w:hAnsi="Arial"/>
          <w:i/>
          <w:sz w:val="22"/>
          <w:lang w:val="es-CO"/>
        </w:rPr>
        <w:t>máxima energía que es capaz de entregar una planta continuamente, en condiciones de baja hidrología</w:t>
      </w:r>
      <w:r w:rsidRPr="0011752D">
        <w:rPr>
          <w:rFonts w:ascii="Arial" w:hAnsi="Arial"/>
          <w:sz w:val="22"/>
          <w:lang w:val="es-CO"/>
        </w:rPr>
        <w:t>”. Para una hidroeléctrica, se aplica un modelo de la CREG que básicamente arroja la energía que se puede generar en forma continua durante un año en un escenario del 100% de probabilidad de ser superada - PSS (la hidrología más crítica). Para una térmica, la ENFICC es su capacidad efectiva neta, siempre y cuando esté respaldada con contratos firmes de suministro y transporte del combustible, en caso contrario, quedará limitada a la disponibilidad de dichos contratos.</w:t>
      </w:r>
    </w:p>
    <w:p w14:paraId="2341A7BD" w14:textId="77777777" w:rsidR="0011752D" w:rsidRPr="0011752D" w:rsidRDefault="0011752D" w:rsidP="0011752D">
      <w:pPr>
        <w:spacing w:before="240" w:after="120"/>
        <w:jc w:val="both"/>
        <w:rPr>
          <w:rFonts w:ascii="Arial" w:hAnsi="Arial"/>
          <w:sz w:val="22"/>
          <w:lang w:val="es-CO"/>
        </w:rPr>
      </w:pPr>
      <w:r w:rsidRPr="0011752D">
        <w:rPr>
          <w:rFonts w:ascii="Arial" w:hAnsi="Arial"/>
          <w:sz w:val="22"/>
          <w:lang w:val="es-CO"/>
        </w:rPr>
        <w:t>Las Obligaciones de Energía Firme OEF (las cuales deben estar respaldadas en ENFICC) corresponden a los compromisos de los generadores de generar una cantidad diaria de energía cuando se presenten situaciones de hidrología crítica que conducen a un incremento en el precio de bolsa por encima de un límite denominado Precio de Escasez</w:t>
      </w:r>
      <w:r w:rsidRPr="0011752D">
        <w:rPr>
          <w:rFonts w:ascii="Arial" w:hAnsi="Arial"/>
          <w:sz w:val="22"/>
          <w:vertAlign w:val="superscript"/>
          <w:lang w:val="es-CO"/>
        </w:rPr>
        <w:footnoteReference w:id="10"/>
      </w:r>
      <w:r w:rsidRPr="0011752D">
        <w:rPr>
          <w:rFonts w:ascii="Arial" w:hAnsi="Arial"/>
          <w:sz w:val="22"/>
          <w:lang w:val="es-CO"/>
        </w:rPr>
        <w:t>. Una cosa es la ENFICC y otra las OEF, una planta puede tener ENFICC de 1.000.000 MWh al año pero tener asignadas OEF (que es lo que se remunera) por una cantidad menor. Las OEF se asignan mediante subastas o un mecanismo de prorrata cuando la primera no es necesaria.</w:t>
      </w:r>
    </w:p>
    <w:p w14:paraId="2341A7BE" w14:textId="77777777" w:rsidR="0011752D" w:rsidRPr="0011752D" w:rsidRDefault="0011752D" w:rsidP="0011752D">
      <w:pPr>
        <w:spacing w:before="240" w:after="120"/>
        <w:jc w:val="both"/>
        <w:rPr>
          <w:rFonts w:ascii="Arial" w:hAnsi="Arial"/>
          <w:sz w:val="22"/>
          <w:lang w:val="es-CO"/>
        </w:rPr>
      </w:pPr>
      <w:r w:rsidRPr="0011752D">
        <w:rPr>
          <w:rFonts w:ascii="Arial" w:hAnsi="Arial"/>
          <w:sz w:val="22"/>
          <w:lang w:val="es-CO"/>
        </w:rPr>
        <w:t xml:space="preserve">Las OEF funcionan a semejanza de una opción financiera tipo </w:t>
      </w:r>
      <w:r w:rsidRPr="0011752D">
        <w:rPr>
          <w:rFonts w:ascii="Arial" w:hAnsi="Arial"/>
          <w:i/>
          <w:sz w:val="22"/>
          <w:lang w:val="es-CO"/>
        </w:rPr>
        <w:t>call</w:t>
      </w:r>
      <w:r w:rsidRPr="0011752D">
        <w:rPr>
          <w:rFonts w:ascii="Arial" w:hAnsi="Arial"/>
          <w:sz w:val="22"/>
          <w:lang w:val="es-CO"/>
        </w:rPr>
        <w:t xml:space="preserve"> pero con respaldo físico. En lugar de un precio de ejercicio existe un Precio de Escasez - PE</w:t>
      </w:r>
      <w:r w:rsidRPr="0011752D">
        <w:rPr>
          <w:rFonts w:ascii="Arial" w:hAnsi="Arial"/>
          <w:sz w:val="22"/>
          <w:vertAlign w:val="superscript"/>
          <w:lang w:val="es-CO"/>
        </w:rPr>
        <w:footnoteReference w:id="11"/>
      </w:r>
      <w:r w:rsidRPr="0011752D">
        <w:rPr>
          <w:rFonts w:ascii="Arial" w:hAnsi="Arial"/>
          <w:sz w:val="22"/>
          <w:lang w:val="es-CO"/>
        </w:rPr>
        <w:t xml:space="preserve">. Cuando el precio de bolsa supera el PE, la planta debe generar la energía correspondiente a sus </w:t>
      </w:r>
      <w:r w:rsidRPr="0011752D">
        <w:rPr>
          <w:rFonts w:ascii="Arial" w:hAnsi="Arial"/>
          <w:sz w:val="22"/>
          <w:lang w:val="es-CO"/>
        </w:rPr>
        <w:lastRenderedPageBreak/>
        <w:t>OEF. En su defecto, deberá adquirir la energía al precio al que se encuentre en la Bolsa y venderla al Sistema al PE.</w:t>
      </w:r>
    </w:p>
    <w:p w14:paraId="2341A7BF" w14:textId="77777777" w:rsidR="0011752D" w:rsidRPr="0011752D" w:rsidRDefault="0011752D" w:rsidP="0011752D">
      <w:pPr>
        <w:spacing w:before="240" w:after="240"/>
        <w:ind w:left="720"/>
        <w:jc w:val="center"/>
        <w:rPr>
          <w:rFonts w:ascii="Arial" w:hAnsi="Arial"/>
          <w:b/>
          <w:sz w:val="22"/>
          <w:lang w:val="es-CO"/>
        </w:rPr>
      </w:pPr>
      <w:bookmarkStart w:id="39" w:name="_Ref416959147"/>
      <w:bookmarkStart w:id="40" w:name="_Toc468124564"/>
      <w:bookmarkStart w:id="41" w:name="_Toc474797047"/>
      <w:r w:rsidRPr="0011752D">
        <w:rPr>
          <w:rFonts w:ascii="Arial" w:hAnsi="Arial"/>
          <w:b/>
          <w:sz w:val="22"/>
          <w:lang w:val="es-CO"/>
        </w:rPr>
        <w:t xml:space="preserve">Ilustración </w:t>
      </w:r>
      <w:r w:rsidRPr="0011752D">
        <w:rPr>
          <w:rFonts w:ascii="Arial" w:hAnsi="Arial"/>
          <w:b/>
          <w:sz w:val="22"/>
          <w:lang w:val="es-CO"/>
        </w:rPr>
        <w:fldChar w:fldCharType="begin"/>
      </w:r>
      <w:r w:rsidRPr="0011752D">
        <w:rPr>
          <w:rFonts w:ascii="Arial" w:hAnsi="Arial"/>
          <w:b/>
          <w:sz w:val="22"/>
          <w:lang w:val="es-CO"/>
        </w:rPr>
        <w:instrText xml:space="preserve"> SEQ Ilustración \* ARABIC </w:instrText>
      </w:r>
      <w:r w:rsidRPr="0011752D">
        <w:rPr>
          <w:rFonts w:ascii="Arial" w:hAnsi="Arial"/>
          <w:b/>
          <w:sz w:val="22"/>
          <w:lang w:val="es-CO"/>
        </w:rPr>
        <w:fldChar w:fldCharType="separate"/>
      </w:r>
      <w:r w:rsidRPr="0011752D">
        <w:rPr>
          <w:rFonts w:ascii="Arial" w:hAnsi="Arial"/>
          <w:b/>
          <w:noProof/>
          <w:sz w:val="22"/>
          <w:lang w:val="es-CO"/>
        </w:rPr>
        <w:t>3</w:t>
      </w:r>
      <w:r w:rsidRPr="0011752D">
        <w:rPr>
          <w:rFonts w:ascii="Arial" w:hAnsi="Arial"/>
          <w:b/>
          <w:sz w:val="22"/>
          <w:lang w:val="es-CO"/>
        </w:rPr>
        <w:fldChar w:fldCharType="end"/>
      </w:r>
      <w:bookmarkEnd w:id="39"/>
      <w:r w:rsidRPr="0011752D">
        <w:rPr>
          <w:rFonts w:ascii="Arial" w:hAnsi="Arial"/>
          <w:b/>
          <w:sz w:val="22"/>
          <w:lang w:val="es-CO"/>
        </w:rPr>
        <w:t xml:space="preserve"> – Esquema de Precio de Bolsa y Precio de Escasez</w:t>
      </w:r>
      <w:bookmarkEnd w:id="40"/>
      <w:bookmarkEnd w:id="41"/>
    </w:p>
    <w:p w14:paraId="2341A7C0" w14:textId="77777777" w:rsidR="0011752D" w:rsidRPr="0011752D" w:rsidRDefault="0011752D" w:rsidP="0011752D">
      <w:pPr>
        <w:spacing w:before="240" w:after="120"/>
        <w:jc w:val="center"/>
        <w:rPr>
          <w:rFonts w:ascii="Arial" w:hAnsi="Arial"/>
          <w:sz w:val="22"/>
          <w:lang w:val="es-CO"/>
        </w:rPr>
      </w:pPr>
      <w:r w:rsidRPr="0011752D">
        <w:rPr>
          <w:rFonts w:ascii="Arial" w:hAnsi="Arial"/>
          <w:noProof/>
          <w:sz w:val="22"/>
          <w:lang w:val="es-US" w:eastAsia="zh-CN"/>
        </w:rPr>
        <w:drawing>
          <wp:inline distT="0" distB="0" distL="0" distR="0" wp14:anchorId="2341BDAE" wp14:editId="2341BDAF">
            <wp:extent cx="2513959" cy="1324051"/>
            <wp:effectExtent l="0" t="0" r="1270" b="0"/>
            <wp:docPr id="24" name="Imagen 8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528776" cy="1331855"/>
                    </a:xfrm>
                    <a:prstGeom prst="rect">
                      <a:avLst/>
                    </a:prstGeom>
                  </pic:spPr>
                </pic:pic>
              </a:graphicData>
            </a:graphic>
          </wp:inline>
        </w:drawing>
      </w:r>
    </w:p>
    <w:p w14:paraId="2341A7C1" w14:textId="77777777" w:rsidR="0011752D" w:rsidRPr="0011752D" w:rsidRDefault="0011752D" w:rsidP="0011752D">
      <w:pPr>
        <w:spacing w:before="240" w:after="120"/>
        <w:jc w:val="center"/>
        <w:rPr>
          <w:rFonts w:ascii="Arial" w:hAnsi="Arial"/>
          <w:sz w:val="18"/>
          <w:lang w:val="es-CO"/>
        </w:rPr>
      </w:pPr>
      <w:r w:rsidRPr="0011752D">
        <w:rPr>
          <w:rFonts w:ascii="Arial" w:hAnsi="Arial"/>
          <w:sz w:val="18"/>
          <w:lang w:val="es-CO"/>
        </w:rPr>
        <w:t>Fuente: CREG</w:t>
      </w:r>
    </w:p>
    <w:p w14:paraId="2341A7C2" w14:textId="77777777" w:rsidR="0011752D" w:rsidRPr="0011752D" w:rsidRDefault="0011752D" w:rsidP="0011752D">
      <w:pPr>
        <w:keepNext/>
        <w:keepLines/>
        <w:numPr>
          <w:ilvl w:val="2"/>
          <w:numId w:val="0"/>
        </w:numPr>
        <w:spacing w:before="360" w:after="360"/>
        <w:ind w:left="720" w:hanging="720"/>
        <w:jc w:val="both"/>
        <w:outlineLvl w:val="2"/>
        <w:rPr>
          <w:rFonts w:ascii="Arial" w:hAnsi="Arial"/>
          <w:b/>
          <w:color w:val="1F4D78"/>
          <w:sz w:val="22"/>
          <w:szCs w:val="24"/>
          <w:lang w:val="es-ES"/>
        </w:rPr>
      </w:pPr>
      <w:bookmarkStart w:id="42" w:name="_Toc474797024"/>
      <w:r w:rsidRPr="0011752D">
        <w:rPr>
          <w:rFonts w:ascii="Arial" w:hAnsi="Arial"/>
          <w:b/>
          <w:color w:val="1F4D78"/>
          <w:sz w:val="22"/>
          <w:szCs w:val="24"/>
          <w:lang w:val="es-ES"/>
        </w:rPr>
        <w:t>El ingreso neto de un generador</w:t>
      </w:r>
      <w:bookmarkEnd w:id="42"/>
    </w:p>
    <w:p w14:paraId="2341A7C3"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Tomando en cuenta los factores el ingreso y costos variables antes anotados, el ingreso operativo neto se puede expresar de la siguiente manera:</w:t>
      </w:r>
    </w:p>
    <w:p w14:paraId="2341A7C4" w14:textId="77777777" w:rsidR="0011752D" w:rsidRPr="0011752D" w:rsidRDefault="0011752D" w:rsidP="0011752D">
      <w:pPr>
        <w:spacing w:before="240" w:after="240"/>
        <w:jc w:val="both"/>
        <w:rPr>
          <w:rFonts w:ascii="Arial" w:hAnsi="Arial"/>
          <w:sz w:val="22"/>
          <w:lang w:val="es-CO"/>
        </w:rPr>
      </w:pPr>
      <m:oMathPara>
        <m:oMath>
          <m:r>
            <w:rPr>
              <w:rFonts w:ascii="Cambria Math" w:hAnsi="Cambria Math"/>
              <w:sz w:val="22"/>
              <w:lang w:val="es-CO"/>
            </w:rPr>
            <m:t xml:space="preserve">Ingreso Neto= </m:t>
          </m:r>
          <m:nary>
            <m:naryPr>
              <m:chr m:val="∑"/>
              <m:limLoc m:val="undOvr"/>
              <m:ctrlPr>
                <w:rPr>
                  <w:rFonts w:ascii="Cambria Math" w:hAnsi="Cambria Math"/>
                  <w:i/>
                  <w:sz w:val="22"/>
                  <w:lang w:val="es-CO"/>
                </w:rPr>
              </m:ctrlPr>
            </m:naryPr>
            <m:sub>
              <m:r>
                <w:rPr>
                  <w:rFonts w:ascii="Cambria Math" w:hAnsi="Cambria Math"/>
                  <w:sz w:val="22"/>
                  <w:lang w:val="es-CO"/>
                </w:rPr>
                <m:t>i=1</m:t>
              </m:r>
            </m:sub>
            <m:sup>
              <m:r>
                <w:rPr>
                  <w:rFonts w:ascii="Cambria Math" w:hAnsi="Cambria Math"/>
                  <w:sz w:val="22"/>
                  <w:lang w:val="es-CO"/>
                </w:rPr>
                <m:t>8760</m:t>
              </m:r>
            </m:sup>
            <m:e>
              <m:sSub>
                <m:sSubPr>
                  <m:ctrlPr>
                    <w:rPr>
                      <w:rFonts w:ascii="Cambria Math" w:hAnsi="Cambria Math"/>
                      <w:i/>
                      <w:sz w:val="22"/>
                      <w:lang w:val="es-CO"/>
                    </w:rPr>
                  </m:ctrlPr>
                </m:sSubPr>
                <m:e>
                  <m:r>
                    <w:rPr>
                      <w:rFonts w:ascii="Cambria Math" w:hAnsi="Cambria Math"/>
                      <w:sz w:val="22"/>
                      <w:lang w:val="es-CO"/>
                    </w:rPr>
                    <m:t>G</m:t>
                  </m:r>
                </m:e>
                <m:sub>
                  <m:r>
                    <w:rPr>
                      <w:rFonts w:ascii="Cambria Math" w:hAnsi="Cambria Math"/>
                      <w:sz w:val="22"/>
                      <w:lang w:val="es-CO"/>
                    </w:rPr>
                    <m:t>i</m:t>
                  </m:r>
                </m:sub>
              </m:sSub>
              <m:r>
                <w:rPr>
                  <w:rFonts w:ascii="Cambria Math" w:hAnsi="Cambria Math"/>
                  <w:sz w:val="22"/>
                  <w:lang w:val="es-CO"/>
                </w:rPr>
                <m:t>*</m:t>
              </m:r>
              <m:sSub>
                <m:sSubPr>
                  <m:ctrlPr>
                    <w:rPr>
                      <w:rFonts w:ascii="Cambria Math" w:hAnsi="Cambria Math"/>
                      <w:i/>
                      <w:sz w:val="22"/>
                      <w:lang w:val="es-CO"/>
                    </w:rPr>
                  </m:ctrlPr>
                </m:sSubPr>
                <m:e>
                  <m:r>
                    <w:rPr>
                      <w:rFonts w:ascii="Cambria Math" w:hAnsi="Cambria Math"/>
                      <w:sz w:val="22"/>
                      <w:lang w:val="es-CO"/>
                    </w:rPr>
                    <m:t>(Pb</m:t>
                  </m:r>
                </m:e>
                <m:sub>
                  <m:r>
                    <w:rPr>
                      <w:rFonts w:ascii="Cambria Math" w:hAnsi="Cambria Math"/>
                      <w:sz w:val="22"/>
                      <w:lang w:val="es-CO"/>
                    </w:rPr>
                    <m:t>i</m:t>
                  </m:r>
                </m:sub>
              </m:sSub>
              <m:r>
                <w:rPr>
                  <w:rFonts w:ascii="Cambria Math" w:hAnsi="Cambria Math"/>
                  <w:sz w:val="22"/>
                  <w:lang w:val="es-CO"/>
                </w:rPr>
                <m:t>-</m:t>
              </m:r>
              <m:sSub>
                <m:sSubPr>
                  <m:ctrlPr>
                    <w:rPr>
                      <w:rFonts w:ascii="Cambria Math" w:hAnsi="Cambria Math"/>
                      <w:i/>
                      <w:sz w:val="22"/>
                      <w:lang w:val="es-CO"/>
                    </w:rPr>
                  </m:ctrlPr>
                </m:sSubPr>
                <m:e>
                  <m:r>
                    <w:rPr>
                      <w:rFonts w:ascii="Cambria Math" w:hAnsi="Cambria Math"/>
                      <w:sz w:val="22"/>
                      <w:lang w:val="es-CO"/>
                    </w:rPr>
                    <m:t>Cv</m:t>
                  </m:r>
                </m:e>
                <m:sub>
                  <m:r>
                    <w:rPr>
                      <w:rFonts w:ascii="Cambria Math" w:hAnsi="Cambria Math"/>
                      <w:sz w:val="22"/>
                      <w:lang w:val="es-CO"/>
                    </w:rPr>
                    <m:t>i</m:t>
                  </m:r>
                </m:sub>
              </m:sSub>
              <m:r>
                <w:rPr>
                  <w:rFonts w:ascii="Cambria Math" w:hAnsi="Cambria Math"/>
                  <w:sz w:val="22"/>
                  <w:lang w:val="es-CO"/>
                </w:rPr>
                <m:t>) +OEF*</m:t>
              </m:r>
              <m:sSub>
                <m:sSubPr>
                  <m:ctrlPr>
                    <w:rPr>
                      <w:rFonts w:ascii="Cambria Math" w:hAnsi="Cambria Math"/>
                      <w:i/>
                      <w:sz w:val="22"/>
                      <w:lang w:val="es-CO"/>
                    </w:rPr>
                  </m:ctrlPr>
                </m:sSubPr>
                <m:e>
                  <m:r>
                    <w:rPr>
                      <w:rFonts w:ascii="Cambria Math" w:hAnsi="Cambria Math"/>
                      <w:sz w:val="22"/>
                      <w:lang w:val="es-CO"/>
                    </w:rPr>
                    <m:t>Pcxc</m:t>
                  </m:r>
                </m:e>
                <m:sub/>
              </m:sSub>
            </m:e>
          </m:nary>
        </m:oMath>
      </m:oMathPara>
    </w:p>
    <w:p w14:paraId="2341A7C5" w14:textId="77777777" w:rsidR="0011752D" w:rsidRPr="0011752D" w:rsidRDefault="0011752D" w:rsidP="0011752D">
      <w:pPr>
        <w:spacing w:before="120"/>
        <w:jc w:val="both"/>
        <w:rPr>
          <w:rFonts w:ascii="Arial" w:hAnsi="Arial"/>
          <w:sz w:val="22"/>
          <w:lang w:val="es-CO"/>
        </w:rPr>
      </w:pPr>
      <w:r w:rsidRPr="0011752D">
        <w:rPr>
          <w:rFonts w:ascii="Arial" w:hAnsi="Arial"/>
          <w:sz w:val="22"/>
          <w:lang w:val="es-CO"/>
        </w:rPr>
        <w:t>Donde Cv</w:t>
      </w:r>
      <w:r w:rsidRPr="0011752D">
        <w:rPr>
          <w:rFonts w:ascii="Arial" w:hAnsi="Arial"/>
          <w:sz w:val="22"/>
          <w:vertAlign w:val="subscript"/>
          <w:lang w:val="es-CO"/>
        </w:rPr>
        <w:t>i</w:t>
      </w:r>
      <w:r w:rsidRPr="0011752D">
        <w:rPr>
          <w:rFonts w:ascii="Arial" w:hAnsi="Arial"/>
          <w:sz w:val="22"/>
          <w:lang w:val="es-CO"/>
        </w:rPr>
        <w:t xml:space="preserve"> es el costo variable de la planta en la hora i y los demás términos ya se han definido </w:t>
      </w:r>
      <w:r w:rsidRPr="0011752D">
        <w:rPr>
          <w:rFonts w:ascii="Arial" w:hAnsi="Arial"/>
          <w:sz w:val="22"/>
          <w:lang w:val="es-ES"/>
        </w:rPr>
        <w:t>antes</w:t>
      </w:r>
      <w:r w:rsidRPr="0011752D">
        <w:rPr>
          <w:rFonts w:ascii="Arial" w:hAnsi="Arial"/>
          <w:sz w:val="22"/>
          <w:lang w:val="es-CO"/>
        </w:rPr>
        <w:t>. Para efecto de una evaluación financiera de un proyecto hidroeléctrico, el costo variable ya no es el costo de oportunidad utilizado para la oferta de precios sino el costo incurrido en la generación.</w:t>
      </w:r>
    </w:p>
    <w:p w14:paraId="2341A7C6" w14:textId="77777777" w:rsidR="0011752D" w:rsidRPr="0011752D" w:rsidRDefault="0011752D" w:rsidP="0011752D">
      <w:pPr>
        <w:spacing w:before="120"/>
        <w:jc w:val="both"/>
        <w:rPr>
          <w:rFonts w:ascii="Arial" w:hAnsi="Arial"/>
          <w:sz w:val="22"/>
          <w:lang w:val="es-CO"/>
        </w:rPr>
      </w:pPr>
      <w:r w:rsidRPr="0011752D">
        <w:rPr>
          <w:rFonts w:ascii="Arial" w:hAnsi="Arial"/>
          <w:sz w:val="22"/>
          <w:lang w:val="es-CO"/>
        </w:rPr>
        <w:t xml:space="preserve">Como ya se anotó, en la medida que los costos variables de una planta de generación sean </w:t>
      </w:r>
      <w:r w:rsidRPr="0011752D">
        <w:rPr>
          <w:rFonts w:ascii="Arial" w:hAnsi="Arial"/>
          <w:sz w:val="22"/>
          <w:lang w:val="es-ES"/>
        </w:rPr>
        <w:t>inferiores</w:t>
      </w:r>
      <w:r w:rsidRPr="0011752D">
        <w:rPr>
          <w:rFonts w:ascii="Arial" w:hAnsi="Arial"/>
          <w:sz w:val="22"/>
          <w:lang w:val="es-CO"/>
        </w:rPr>
        <w:t xml:space="preserve"> al precio de bolsa cuando produce energía, se obtiene una renta que contribuye, conjuntamente con el ingreso por CXC, a la remuneración del capital invertido.</w:t>
      </w:r>
    </w:p>
    <w:p w14:paraId="2341A7C7" w14:textId="77777777" w:rsidR="0011752D" w:rsidRPr="0011752D" w:rsidRDefault="0011752D" w:rsidP="0011752D">
      <w:pPr>
        <w:spacing w:before="120"/>
        <w:jc w:val="both"/>
        <w:rPr>
          <w:rFonts w:ascii="Arial" w:hAnsi="Arial"/>
          <w:sz w:val="22"/>
          <w:lang w:val="es-CO"/>
        </w:rPr>
      </w:pPr>
    </w:p>
    <w:p w14:paraId="2341A7C8" w14:textId="77777777" w:rsidR="0011752D" w:rsidRPr="0011752D" w:rsidRDefault="0011752D" w:rsidP="0011752D">
      <w:pPr>
        <w:keepNext/>
        <w:keepLines/>
        <w:numPr>
          <w:ilvl w:val="2"/>
          <w:numId w:val="0"/>
        </w:numPr>
        <w:spacing w:before="240" w:after="120"/>
        <w:ind w:left="720" w:hanging="720"/>
        <w:jc w:val="both"/>
        <w:outlineLvl w:val="2"/>
        <w:rPr>
          <w:rFonts w:ascii="Arial" w:hAnsi="Arial"/>
          <w:b/>
          <w:color w:val="1F4D78"/>
          <w:sz w:val="22"/>
          <w:szCs w:val="24"/>
          <w:lang w:val="es-ES"/>
        </w:rPr>
      </w:pPr>
      <w:bookmarkStart w:id="43" w:name="_Toc474797025"/>
      <w:r w:rsidRPr="0011752D">
        <w:rPr>
          <w:rFonts w:ascii="Arial" w:hAnsi="Arial"/>
          <w:b/>
          <w:color w:val="1F4D78"/>
          <w:sz w:val="22"/>
          <w:szCs w:val="24"/>
          <w:lang w:val="es-ES"/>
        </w:rPr>
        <w:t>Metodología de estimación de costos marginales y del beneficio neto</w:t>
      </w:r>
      <w:bookmarkEnd w:id="43"/>
    </w:p>
    <w:p w14:paraId="2341A7C9" w14:textId="77777777" w:rsidR="0011752D" w:rsidRPr="0011752D" w:rsidRDefault="0011752D" w:rsidP="0011752D">
      <w:pPr>
        <w:spacing w:before="120"/>
        <w:jc w:val="both"/>
        <w:rPr>
          <w:rFonts w:ascii="Arial" w:hAnsi="Arial"/>
          <w:sz w:val="22"/>
          <w:lang w:val="es-CO"/>
        </w:rPr>
      </w:pPr>
      <w:r w:rsidRPr="0011752D">
        <w:rPr>
          <w:rFonts w:ascii="Arial" w:hAnsi="Arial"/>
          <w:sz w:val="22"/>
          <w:lang w:val="es-ES"/>
        </w:rPr>
        <w:t>La estimación de beneficios netos que se presenta adelante, se realiza a partir de la estimación de los costos marginales promedio del mercado para diferentes escenarios de expansión de generación por parte de la UPME. Para ello, se simula, mediante un modelo de despacho hidrotérmico</w:t>
      </w:r>
      <w:r w:rsidRPr="0011752D">
        <w:rPr>
          <w:rFonts w:ascii="Arial" w:hAnsi="Arial"/>
          <w:sz w:val="22"/>
          <w:vertAlign w:val="superscript"/>
          <w:lang w:val="es-ES"/>
        </w:rPr>
        <w:footnoteReference w:id="12"/>
      </w:r>
      <w:r w:rsidRPr="0011752D">
        <w:rPr>
          <w:rFonts w:ascii="Arial" w:hAnsi="Arial"/>
          <w:sz w:val="22"/>
          <w:lang w:val="es-ES"/>
        </w:rPr>
        <w:t xml:space="preserve"> en el cual se incluye como información de entrada: proyección de demanda de energía eléctrica</w:t>
      </w:r>
      <w:r w:rsidRPr="0011752D">
        <w:rPr>
          <w:rFonts w:ascii="Arial" w:hAnsi="Arial"/>
          <w:sz w:val="22"/>
          <w:vertAlign w:val="superscript"/>
          <w:lang w:val="es-ES"/>
        </w:rPr>
        <w:footnoteReference w:id="13"/>
      </w:r>
      <w:r w:rsidRPr="0011752D">
        <w:rPr>
          <w:rFonts w:ascii="Arial" w:hAnsi="Arial"/>
          <w:sz w:val="22"/>
          <w:lang w:val="es-ES"/>
        </w:rPr>
        <w:t xml:space="preserve"> para cada mes y bloque de demanda, parámetros técnicos de las plantas de generación existentes, proyección de precios de los combustibles</w:t>
      </w:r>
      <w:r w:rsidRPr="0011752D">
        <w:rPr>
          <w:rFonts w:ascii="Arial" w:hAnsi="Arial"/>
          <w:sz w:val="22"/>
          <w:vertAlign w:val="superscript"/>
          <w:lang w:val="es-ES"/>
        </w:rPr>
        <w:footnoteReference w:id="14"/>
      </w:r>
      <w:r w:rsidRPr="0011752D">
        <w:rPr>
          <w:rFonts w:ascii="Arial" w:hAnsi="Arial"/>
          <w:sz w:val="22"/>
          <w:lang w:val="es-ES"/>
        </w:rPr>
        <w:t xml:space="preserve">, escenario de expansión según fuentes de generación y sus costos de </w:t>
      </w:r>
      <w:r w:rsidRPr="0011752D">
        <w:rPr>
          <w:rFonts w:ascii="Arial" w:hAnsi="Arial"/>
          <w:sz w:val="22"/>
          <w:lang w:val="es-ES"/>
        </w:rPr>
        <w:lastRenderedPageBreak/>
        <w:t>inversión y operación y series históricas de la hidrología de las diferentes cuencas que aportan a las plantas de generación hidroeléctrica.</w:t>
      </w:r>
      <w:r w:rsidRPr="0011752D">
        <w:rPr>
          <w:rFonts w:ascii="Arial" w:hAnsi="Arial"/>
          <w:sz w:val="22"/>
          <w:vertAlign w:val="superscript"/>
          <w:lang w:val="es-ES"/>
        </w:rPr>
        <w:footnoteReference w:id="15"/>
      </w:r>
      <w:r w:rsidRPr="0011752D">
        <w:rPr>
          <w:rFonts w:ascii="Arial" w:hAnsi="Arial"/>
          <w:sz w:val="22"/>
          <w:lang w:val="es-ES"/>
        </w:rPr>
        <w:t xml:space="preserve"> El modelo minimiza la operación del SIN, considerando el comportamiento estocástico de la hidrología, </w:t>
      </w:r>
      <w:r w:rsidRPr="0011752D">
        <w:rPr>
          <w:rFonts w:ascii="Arial" w:hAnsi="Arial"/>
          <w:sz w:val="22"/>
          <w:lang w:val="es-CO"/>
        </w:rPr>
        <w:t>sujeto a unas restricciones operativas, de capacidad y de almacenamiento, cuya capacidad de pronóstico depende en gran medida del nivel de aportes hídricos esperado. Con base en este modelo se obtienen los costos marginales promedio del sistema para un horizonte de varios años.</w:t>
      </w:r>
    </w:p>
    <w:p w14:paraId="2341A7CA" w14:textId="77777777" w:rsidR="0011752D" w:rsidRPr="0011752D" w:rsidRDefault="0011752D" w:rsidP="0011752D">
      <w:pPr>
        <w:spacing w:before="120"/>
        <w:jc w:val="both"/>
        <w:rPr>
          <w:rFonts w:ascii="Arial" w:hAnsi="Arial"/>
          <w:sz w:val="22"/>
          <w:lang w:val="es-ES"/>
        </w:rPr>
      </w:pPr>
      <w:r w:rsidRPr="0011752D">
        <w:rPr>
          <w:rFonts w:ascii="Arial" w:hAnsi="Arial"/>
          <w:sz w:val="22"/>
          <w:lang w:val="es-ES"/>
        </w:rPr>
        <w:t xml:space="preserve">El criterio </w:t>
      </w:r>
      <w:r w:rsidRPr="0011752D">
        <w:rPr>
          <w:rFonts w:ascii="Arial" w:hAnsi="Arial"/>
          <w:sz w:val="22"/>
          <w:lang w:val="es-CO"/>
        </w:rPr>
        <w:t>bajo</w:t>
      </w:r>
      <w:r w:rsidRPr="0011752D">
        <w:rPr>
          <w:rFonts w:ascii="Arial" w:hAnsi="Arial"/>
          <w:sz w:val="22"/>
          <w:lang w:val="es-ES"/>
        </w:rPr>
        <w:t xml:space="preserve"> el cual se busca determinar la expansión y operación del sistema, es minimizar los costos de inversión y operación del mismo, garantizando el cumplimiento de los indicadores de confiabilidad, teniendo en consideración la diversidad y disponibilidad de los recursos energéticos con los que cuenta el país, para lo cual, se plantean diferentes escenarios o alternativas de expansión, que incluyen entre otros, atraso de proyectos, opciones autónomas de abastecimiento e incorporación de fuentes no convencionales de energía.</w:t>
      </w:r>
    </w:p>
    <w:p w14:paraId="2341A7CB" w14:textId="77777777" w:rsidR="0011752D" w:rsidRPr="0011752D" w:rsidRDefault="0011752D" w:rsidP="0011752D">
      <w:pPr>
        <w:spacing w:before="120"/>
        <w:jc w:val="both"/>
        <w:rPr>
          <w:rFonts w:ascii="Arial" w:hAnsi="Arial"/>
          <w:sz w:val="22"/>
          <w:lang w:val="es-ES"/>
        </w:rPr>
      </w:pPr>
      <w:r w:rsidRPr="0011752D">
        <w:rPr>
          <w:rFonts w:ascii="Arial" w:hAnsi="Arial"/>
          <w:sz w:val="22"/>
          <w:lang w:val="es-ES"/>
        </w:rPr>
        <w:t>Los costos de las diferentes tecnologías, incluyendo las FNCER, son estudiados por la UPME e incluidos en el modelo.</w:t>
      </w:r>
      <w:r w:rsidRPr="0011752D">
        <w:rPr>
          <w:rFonts w:ascii="Arial" w:hAnsi="Arial"/>
          <w:sz w:val="22"/>
          <w:vertAlign w:val="superscript"/>
          <w:lang w:val="es-ES"/>
        </w:rPr>
        <w:footnoteReference w:id="16"/>
      </w:r>
      <w:r w:rsidRPr="0011752D">
        <w:rPr>
          <w:rFonts w:ascii="Arial" w:hAnsi="Arial"/>
          <w:sz w:val="22"/>
          <w:lang w:val="es-ES"/>
        </w:rPr>
        <w:t xml:space="preserve"> En este sentido, la presente evaluación no entra en análisis respecto a los costos que fueron asumidos por esa entidad.</w:t>
      </w:r>
    </w:p>
    <w:p w14:paraId="2341A7CC" w14:textId="77777777" w:rsidR="0011752D" w:rsidRPr="0011752D" w:rsidRDefault="0011752D" w:rsidP="0011752D">
      <w:pPr>
        <w:spacing w:before="120"/>
        <w:jc w:val="both"/>
        <w:rPr>
          <w:rFonts w:ascii="Arial" w:hAnsi="Arial"/>
          <w:sz w:val="22"/>
          <w:lang w:val="es-ES"/>
        </w:rPr>
      </w:pPr>
      <w:r w:rsidRPr="0011752D">
        <w:rPr>
          <w:rFonts w:ascii="Arial" w:hAnsi="Arial"/>
          <w:sz w:val="22"/>
          <w:lang w:val="es-ES"/>
        </w:rPr>
        <w:t>Como ya se expuso, en un mercado de energía de precios marginales como el de Colombia, el precio de equilibrio en cada hora está fijado por la planta de precio más alto que es requerida para abastecer la demanda. Los generadores ofertan precios que reflejen sus costos variables (entre estos el combustible o el costo de oportunidad del agua y el recaudo de Cargo por Confiabilidad), y su percepción de riesgo asociado al despacho. De esta manera, y bajo un supuesto de demanda inelástica en el mercado spot (tal como sucede actualmente), la curva de oferta de precios de las plantas de generación se forma empezando con los generadores “</w:t>
      </w:r>
      <w:r w:rsidRPr="0011752D">
        <w:rPr>
          <w:rFonts w:ascii="Arial" w:hAnsi="Arial"/>
          <w:i/>
          <w:sz w:val="22"/>
          <w:lang w:val="es-ES"/>
        </w:rPr>
        <w:t>must run</w:t>
      </w:r>
      <w:r w:rsidRPr="0011752D">
        <w:rPr>
          <w:rFonts w:ascii="Arial" w:hAnsi="Arial"/>
          <w:sz w:val="22"/>
          <w:lang w:val="es-ES"/>
        </w:rPr>
        <w:t xml:space="preserve">” como las pequeñas centrales hidroeléctricas (PCH) y plantas hidroeléctricas más grandes pero a filo de agua y las FNCER como la eólica y solar, cuyos costos variables son muy bajos, y luego, en orden de mérito, con las demás plantas de generación, tal como se representa en </w:t>
      </w:r>
      <w:r w:rsidRPr="0011752D">
        <w:rPr>
          <w:rFonts w:ascii="Arial" w:hAnsi="Arial"/>
          <w:sz w:val="22"/>
          <w:lang w:val="es-ES"/>
        </w:rPr>
        <w:fldChar w:fldCharType="begin"/>
      </w:r>
      <w:r w:rsidRPr="0011752D">
        <w:rPr>
          <w:rFonts w:ascii="Arial" w:hAnsi="Arial"/>
          <w:sz w:val="22"/>
          <w:lang w:val="es-ES"/>
        </w:rPr>
        <w:instrText xml:space="preserve"> REF _Ref469474187 \h  \* MERGEFORMAT </w:instrText>
      </w:r>
      <w:r w:rsidRPr="0011752D">
        <w:rPr>
          <w:rFonts w:ascii="Arial" w:hAnsi="Arial"/>
          <w:sz w:val="22"/>
          <w:lang w:val="es-ES"/>
        </w:rPr>
      </w:r>
      <w:r w:rsidRPr="0011752D">
        <w:rPr>
          <w:rFonts w:ascii="Arial" w:hAnsi="Arial"/>
          <w:sz w:val="22"/>
          <w:lang w:val="es-ES"/>
        </w:rPr>
        <w:fldChar w:fldCharType="separate"/>
      </w:r>
      <w:r w:rsidRPr="0011752D">
        <w:rPr>
          <w:rFonts w:ascii="Arial" w:hAnsi="Arial"/>
          <w:b/>
          <w:sz w:val="22"/>
          <w:lang w:val="es-CO"/>
        </w:rPr>
        <w:t xml:space="preserve">Ilustración </w:t>
      </w:r>
      <w:r w:rsidRPr="0011752D">
        <w:rPr>
          <w:rFonts w:ascii="Arial" w:hAnsi="Arial"/>
          <w:b/>
          <w:bCs/>
          <w:noProof/>
          <w:sz w:val="22"/>
          <w:lang w:val="es-CO"/>
        </w:rPr>
        <w:t>4</w:t>
      </w:r>
      <w:r w:rsidRPr="0011752D">
        <w:rPr>
          <w:rFonts w:ascii="Arial" w:hAnsi="Arial"/>
          <w:sz w:val="22"/>
          <w:lang w:val="es-ES"/>
        </w:rPr>
        <w:fldChar w:fldCharType="end"/>
      </w:r>
      <w:r w:rsidRPr="0011752D">
        <w:rPr>
          <w:rFonts w:ascii="Arial" w:hAnsi="Arial"/>
          <w:sz w:val="22"/>
          <w:lang w:val="es-ES"/>
        </w:rPr>
        <w:t>.</w:t>
      </w:r>
      <w:bookmarkStart w:id="44" w:name="_Ref469474187"/>
      <w:bookmarkStart w:id="45" w:name="_Toc474797048"/>
      <w:bookmarkStart w:id="46" w:name="_Toc406621021"/>
      <w:bookmarkStart w:id="47" w:name="_Toc406748686"/>
    </w:p>
    <w:p w14:paraId="2341A7CD" w14:textId="77777777" w:rsidR="0011752D" w:rsidRPr="0011752D" w:rsidRDefault="0011752D" w:rsidP="0011752D">
      <w:pPr>
        <w:spacing w:before="120" w:after="60"/>
        <w:jc w:val="center"/>
        <w:rPr>
          <w:rFonts w:ascii="Arial" w:hAnsi="Arial"/>
          <w:b/>
          <w:sz w:val="22"/>
          <w:lang w:val="es-CO"/>
        </w:rPr>
      </w:pPr>
      <w:r w:rsidRPr="0011752D">
        <w:rPr>
          <w:rFonts w:ascii="Arial" w:hAnsi="Arial"/>
          <w:b/>
          <w:sz w:val="22"/>
          <w:lang w:val="es-CO"/>
        </w:rPr>
        <w:t xml:space="preserve">Ilustración </w:t>
      </w:r>
      <w:r w:rsidRPr="0011752D">
        <w:rPr>
          <w:rFonts w:ascii="Arial" w:hAnsi="Arial"/>
          <w:b/>
          <w:bCs/>
          <w:sz w:val="22"/>
          <w:lang w:val="es-CO"/>
        </w:rPr>
        <w:fldChar w:fldCharType="begin"/>
      </w:r>
      <w:r w:rsidRPr="0011752D">
        <w:rPr>
          <w:rFonts w:ascii="Arial" w:hAnsi="Arial"/>
          <w:b/>
          <w:bCs/>
          <w:sz w:val="22"/>
          <w:lang w:val="es-CO"/>
        </w:rPr>
        <w:instrText xml:space="preserve"> SEQ Ilustración \* ARABIC </w:instrText>
      </w:r>
      <w:r w:rsidRPr="0011752D">
        <w:rPr>
          <w:rFonts w:ascii="Arial" w:hAnsi="Arial"/>
          <w:b/>
          <w:bCs/>
          <w:sz w:val="22"/>
          <w:lang w:val="es-CO"/>
        </w:rPr>
        <w:fldChar w:fldCharType="separate"/>
      </w:r>
      <w:r w:rsidRPr="0011752D">
        <w:rPr>
          <w:rFonts w:ascii="Arial" w:hAnsi="Arial"/>
          <w:b/>
          <w:bCs/>
          <w:noProof/>
          <w:sz w:val="22"/>
          <w:lang w:val="es-CO"/>
        </w:rPr>
        <w:t>4</w:t>
      </w:r>
      <w:r w:rsidRPr="0011752D">
        <w:rPr>
          <w:rFonts w:ascii="Arial" w:hAnsi="Arial"/>
          <w:b/>
          <w:bCs/>
          <w:sz w:val="22"/>
          <w:lang w:val="es-CO"/>
        </w:rPr>
        <w:fldChar w:fldCharType="end"/>
      </w:r>
      <w:bookmarkEnd w:id="44"/>
      <w:r w:rsidRPr="0011752D">
        <w:rPr>
          <w:rFonts w:ascii="Arial" w:hAnsi="Arial"/>
          <w:b/>
          <w:sz w:val="22"/>
          <w:lang w:val="es-CO"/>
        </w:rPr>
        <w:t xml:space="preserve"> – </w:t>
      </w:r>
      <w:r w:rsidRPr="0011752D">
        <w:rPr>
          <w:rFonts w:ascii="Arial" w:hAnsi="Arial"/>
          <w:sz w:val="22"/>
          <w:lang w:val="es-ES"/>
        </w:rPr>
        <w:t>Representación</w:t>
      </w:r>
      <w:r w:rsidRPr="0011752D">
        <w:rPr>
          <w:rFonts w:ascii="Arial" w:hAnsi="Arial"/>
          <w:b/>
          <w:sz w:val="22"/>
          <w:lang w:val="es-CO"/>
        </w:rPr>
        <w:t xml:space="preserve"> de la curva de oferta precios</w:t>
      </w:r>
      <w:bookmarkEnd w:id="45"/>
      <w:bookmarkEnd w:id="46"/>
      <w:bookmarkEnd w:id="47"/>
    </w:p>
    <w:p w14:paraId="2341A7CE" w14:textId="77777777" w:rsidR="0011752D" w:rsidRPr="0011752D" w:rsidRDefault="0011752D" w:rsidP="0011752D">
      <w:pPr>
        <w:spacing w:after="160" w:line="259" w:lineRule="auto"/>
        <w:jc w:val="center"/>
        <w:rPr>
          <w:rFonts w:ascii="Arial" w:hAnsi="Arial"/>
          <w:sz w:val="22"/>
          <w:lang w:val="es-ES"/>
        </w:rPr>
      </w:pPr>
      <w:r w:rsidRPr="0011752D">
        <w:rPr>
          <w:rFonts w:ascii="Arial" w:hAnsi="Arial"/>
          <w:noProof/>
          <w:sz w:val="22"/>
          <w:lang w:val="es-US" w:eastAsia="zh-CN"/>
        </w:rPr>
        <w:lastRenderedPageBreak/>
        <w:drawing>
          <wp:inline distT="0" distB="0" distL="0" distR="0" wp14:anchorId="2341BDB0" wp14:editId="2341BDB1">
            <wp:extent cx="4625340" cy="2394314"/>
            <wp:effectExtent l="0" t="0" r="3810" b="6350"/>
            <wp:docPr id="2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4638603" cy="2401180"/>
                    </a:xfrm>
                    <a:prstGeom prst="rect">
                      <a:avLst/>
                    </a:prstGeom>
                  </pic:spPr>
                </pic:pic>
              </a:graphicData>
            </a:graphic>
          </wp:inline>
        </w:drawing>
      </w:r>
    </w:p>
    <w:p w14:paraId="2341A7CF" w14:textId="77777777" w:rsidR="0011752D" w:rsidRPr="0011752D" w:rsidRDefault="0011752D" w:rsidP="0011752D">
      <w:pPr>
        <w:spacing w:line="259" w:lineRule="auto"/>
        <w:jc w:val="center"/>
        <w:rPr>
          <w:rFonts w:ascii="Arial" w:hAnsi="Arial"/>
          <w:color w:val="000000"/>
          <w:sz w:val="20"/>
          <w:lang w:val="es-ES"/>
        </w:rPr>
      </w:pPr>
      <w:r w:rsidRPr="0011752D">
        <w:rPr>
          <w:rFonts w:ascii="Arial" w:hAnsi="Arial"/>
          <w:color w:val="000000"/>
          <w:sz w:val="20"/>
          <w:lang w:val="es-ES"/>
        </w:rPr>
        <w:t>Fuente: Ilustración elaborada por el Consultor</w:t>
      </w:r>
    </w:p>
    <w:p w14:paraId="2341A7D0" w14:textId="77777777" w:rsidR="0011752D" w:rsidRPr="0011752D" w:rsidRDefault="0011752D" w:rsidP="0011752D">
      <w:pPr>
        <w:spacing w:before="240" w:after="240"/>
        <w:jc w:val="both"/>
        <w:rPr>
          <w:rFonts w:ascii="Arial" w:hAnsi="Arial"/>
          <w:sz w:val="22"/>
          <w:lang w:val="es-ES"/>
        </w:rPr>
      </w:pPr>
      <w:r w:rsidRPr="0011752D">
        <w:rPr>
          <w:rFonts w:ascii="Arial" w:hAnsi="Arial"/>
          <w:sz w:val="22"/>
          <w:lang w:val="es-ES"/>
        </w:rPr>
        <w:t xml:space="preserve">En este contexto, en la medida que las FNCER tienen costos variables cercanos a cero, su introducción en la matriz de generación permite desplazar la curva de oferta de precios hacia la derecha, alejando las tecnologías más costosas de la posibilidad de fijar el precio de bolsa, haciendo viable la reducción de precios para la demanda (ver </w:t>
      </w:r>
      <w:r w:rsidRPr="0011752D">
        <w:rPr>
          <w:rFonts w:ascii="Arial" w:hAnsi="Arial"/>
          <w:sz w:val="22"/>
          <w:lang w:val="es-ES"/>
        </w:rPr>
        <w:fldChar w:fldCharType="begin"/>
      </w:r>
      <w:r w:rsidRPr="0011752D">
        <w:rPr>
          <w:rFonts w:ascii="Arial" w:hAnsi="Arial"/>
          <w:sz w:val="22"/>
          <w:lang w:val="es-ES"/>
        </w:rPr>
        <w:instrText xml:space="preserve"> REF _Ref474768314 \h </w:instrText>
      </w:r>
      <w:r w:rsidRPr="0011752D">
        <w:rPr>
          <w:rFonts w:ascii="Arial" w:hAnsi="Arial"/>
          <w:sz w:val="22"/>
          <w:lang w:val="es-ES"/>
        </w:rPr>
      </w:r>
      <w:r w:rsidRPr="0011752D">
        <w:rPr>
          <w:rFonts w:ascii="Arial" w:hAnsi="Arial"/>
          <w:sz w:val="22"/>
          <w:lang w:val="es-ES"/>
        </w:rPr>
        <w:fldChar w:fldCharType="separate"/>
      </w:r>
      <w:r w:rsidRPr="0011752D">
        <w:rPr>
          <w:rFonts w:ascii="Arial" w:hAnsi="Arial"/>
          <w:b/>
          <w:sz w:val="22"/>
          <w:lang w:val="es-CO"/>
        </w:rPr>
        <w:t xml:space="preserve">Ilustración </w:t>
      </w:r>
      <w:r w:rsidRPr="0011752D">
        <w:rPr>
          <w:rFonts w:ascii="Arial" w:hAnsi="Arial"/>
          <w:b/>
          <w:bCs/>
          <w:noProof/>
          <w:sz w:val="22"/>
          <w:lang w:val="es-CO"/>
        </w:rPr>
        <w:t>5</w:t>
      </w:r>
      <w:r w:rsidRPr="0011752D">
        <w:rPr>
          <w:rFonts w:ascii="Arial" w:hAnsi="Arial"/>
          <w:sz w:val="22"/>
          <w:lang w:val="es-ES"/>
        </w:rPr>
        <w:fldChar w:fldCharType="end"/>
      </w:r>
      <w:r w:rsidRPr="0011752D">
        <w:rPr>
          <w:rFonts w:ascii="Arial" w:hAnsi="Arial"/>
          <w:sz w:val="22"/>
          <w:lang w:val="es-ES"/>
        </w:rPr>
        <w:t xml:space="preserve">). </w:t>
      </w:r>
    </w:p>
    <w:p w14:paraId="2341A7D1" w14:textId="77777777" w:rsidR="0011752D" w:rsidRPr="0011752D" w:rsidRDefault="0011752D" w:rsidP="0011752D">
      <w:pPr>
        <w:spacing w:before="240" w:after="240"/>
        <w:ind w:left="720"/>
        <w:jc w:val="center"/>
        <w:rPr>
          <w:rFonts w:ascii="Arial" w:hAnsi="Arial"/>
          <w:b/>
          <w:sz w:val="22"/>
          <w:lang w:val="es-CO"/>
        </w:rPr>
      </w:pPr>
      <w:bookmarkStart w:id="48" w:name="_Ref474768314"/>
      <w:bookmarkStart w:id="49" w:name="_Toc474797049"/>
      <w:r w:rsidRPr="0011752D">
        <w:rPr>
          <w:rFonts w:ascii="Arial" w:hAnsi="Arial"/>
          <w:b/>
          <w:sz w:val="22"/>
          <w:lang w:val="es-CO"/>
        </w:rPr>
        <w:t xml:space="preserve">Ilustración </w:t>
      </w:r>
      <w:r w:rsidRPr="0011752D">
        <w:rPr>
          <w:rFonts w:ascii="Arial" w:hAnsi="Arial"/>
          <w:b/>
          <w:bCs/>
          <w:sz w:val="22"/>
          <w:lang w:val="es-CO"/>
        </w:rPr>
        <w:fldChar w:fldCharType="begin"/>
      </w:r>
      <w:r w:rsidRPr="0011752D">
        <w:rPr>
          <w:rFonts w:ascii="Arial" w:hAnsi="Arial"/>
          <w:b/>
          <w:bCs/>
          <w:sz w:val="22"/>
          <w:lang w:val="es-CO"/>
        </w:rPr>
        <w:instrText xml:space="preserve"> SEQ Ilustración \* ARABIC </w:instrText>
      </w:r>
      <w:r w:rsidRPr="0011752D">
        <w:rPr>
          <w:rFonts w:ascii="Arial" w:hAnsi="Arial"/>
          <w:b/>
          <w:bCs/>
          <w:sz w:val="22"/>
          <w:lang w:val="es-CO"/>
        </w:rPr>
        <w:fldChar w:fldCharType="separate"/>
      </w:r>
      <w:r w:rsidRPr="0011752D">
        <w:rPr>
          <w:rFonts w:ascii="Arial" w:hAnsi="Arial"/>
          <w:b/>
          <w:bCs/>
          <w:noProof/>
          <w:sz w:val="22"/>
          <w:lang w:val="es-CO"/>
        </w:rPr>
        <w:t>5</w:t>
      </w:r>
      <w:r w:rsidRPr="0011752D">
        <w:rPr>
          <w:rFonts w:ascii="Arial" w:hAnsi="Arial"/>
          <w:b/>
          <w:bCs/>
          <w:sz w:val="22"/>
          <w:lang w:val="es-CO"/>
        </w:rPr>
        <w:fldChar w:fldCharType="end"/>
      </w:r>
      <w:bookmarkEnd w:id="48"/>
      <w:r w:rsidRPr="0011752D">
        <w:rPr>
          <w:rFonts w:ascii="Arial" w:hAnsi="Arial"/>
          <w:b/>
          <w:sz w:val="22"/>
          <w:lang w:val="es-CO"/>
        </w:rPr>
        <w:t xml:space="preserve"> – Representación del desplazamiento de la curva de oferta de precios con nueva capacidad de FNCER</w:t>
      </w:r>
      <w:bookmarkEnd w:id="49"/>
      <w:r w:rsidRPr="0011752D">
        <w:rPr>
          <w:rFonts w:ascii="Arial" w:hAnsi="Arial"/>
          <w:b/>
          <w:sz w:val="22"/>
          <w:lang w:val="es-CO"/>
        </w:rPr>
        <w:t xml:space="preserve"> </w:t>
      </w:r>
    </w:p>
    <w:p w14:paraId="2341A7D2" w14:textId="77777777" w:rsidR="0011752D" w:rsidRPr="0011752D" w:rsidRDefault="0011752D" w:rsidP="0011752D">
      <w:pPr>
        <w:spacing w:before="240" w:after="240"/>
        <w:jc w:val="center"/>
        <w:rPr>
          <w:rFonts w:ascii="Arial" w:hAnsi="Arial"/>
          <w:sz w:val="22"/>
          <w:lang w:val="es-ES"/>
        </w:rPr>
      </w:pPr>
      <w:r w:rsidRPr="0011752D">
        <w:rPr>
          <w:rFonts w:ascii="Arial" w:hAnsi="Arial"/>
          <w:noProof/>
          <w:sz w:val="22"/>
          <w:lang w:val="es-US" w:eastAsia="zh-CN"/>
        </w:rPr>
        <w:drawing>
          <wp:inline distT="0" distB="0" distL="0" distR="0" wp14:anchorId="2341BDB2" wp14:editId="2341BDB3">
            <wp:extent cx="5080000" cy="2685997"/>
            <wp:effectExtent l="0" t="0" r="6350" b="635"/>
            <wp:docPr id="26"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086895" cy="2689643"/>
                    </a:xfrm>
                    <a:prstGeom prst="rect">
                      <a:avLst/>
                    </a:prstGeom>
                  </pic:spPr>
                </pic:pic>
              </a:graphicData>
            </a:graphic>
          </wp:inline>
        </w:drawing>
      </w:r>
    </w:p>
    <w:p w14:paraId="2341A7D3" w14:textId="77777777" w:rsidR="0011752D" w:rsidRPr="0011752D" w:rsidRDefault="0011752D" w:rsidP="0011752D">
      <w:pPr>
        <w:spacing w:line="259" w:lineRule="auto"/>
        <w:jc w:val="center"/>
        <w:rPr>
          <w:rFonts w:ascii="Arial" w:hAnsi="Arial"/>
          <w:sz w:val="20"/>
          <w:lang w:val="es-ES"/>
        </w:rPr>
      </w:pPr>
      <w:r w:rsidRPr="0011752D">
        <w:rPr>
          <w:rFonts w:ascii="Arial" w:hAnsi="Arial"/>
          <w:sz w:val="20"/>
          <w:lang w:val="es-ES"/>
        </w:rPr>
        <w:t>Fuente: Ilustración elaborada por el Consultor</w:t>
      </w:r>
    </w:p>
    <w:p w14:paraId="2341A7D4" w14:textId="77777777" w:rsidR="0011752D" w:rsidRPr="0011752D" w:rsidRDefault="0011752D" w:rsidP="0011752D">
      <w:pPr>
        <w:spacing w:before="120"/>
        <w:jc w:val="both"/>
        <w:rPr>
          <w:rFonts w:ascii="Arial" w:hAnsi="Arial"/>
          <w:sz w:val="22"/>
          <w:lang w:val="es-ES"/>
        </w:rPr>
      </w:pPr>
      <w:r w:rsidRPr="0011752D">
        <w:rPr>
          <w:rFonts w:ascii="Arial" w:hAnsi="Arial"/>
          <w:sz w:val="22"/>
          <w:lang w:val="es-ES"/>
        </w:rPr>
        <w:t>Dado que se trata de un mercado competitivo en el cual los generadores toman sus decisiones de entrar y salir del mercado, incluidas las FNCER, se supone que los productores que resulten competitivos capturan las rentas respectivas en el contexto de riesgos de mercado y de regulación, lo cual implica que el nuevo excedente del productor, bajo la entrada de las FNCER en competencia es eficiente, de tal forma que permite la sostenibilidad del negocio. El precio de bolsa con las FNCER representa un nuevo precio de equilibrio eficiente, que es menor al de la situación anterior.</w:t>
      </w:r>
    </w:p>
    <w:p w14:paraId="2341A7D5" w14:textId="77777777" w:rsidR="0011752D" w:rsidRPr="0011752D" w:rsidRDefault="0011752D" w:rsidP="0011752D">
      <w:pPr>
        <w:spacing w:before="120"/>
        <w:jc w:val="both"/>
        <w:rPr>
          <w:rFonts w:ascii="Arial" w:hAnsi="Arial"/>
          <w:sz w:val="22"/>
          <w:lang w:val="es-ES"/>
        </w:rPr>
      </w:pPr>
      <w:r w:rsidRPr="0011752D">
        <w:rPr>
          <w:rFonts w:ascii="Arial" w:hAnsi="Arial"/>
          <w:sz w:val="22"/>
          <w:lang w:val="es-ES"/>
        </w:rPr>
        <w:lastRenderedPageBreak/>
        <w:t>Como se puede observar, dependiendo de la forma que tome la curva de oferta de precios y de la demanda en cada hora del día, puede producirse una reducción del precio de bolsa, y por ende, un incremento del excedente del consumidor.</w:t>
      </w:r>
    </w:p>
    <w:p w14:paraId="2341A7D6" w14:textId="77777777" w:rsidR="0011752D" w:rsidRPr="0011752D" w:rsidRDefault="0011752D" w:rsidP="0011752D">
      <w:pPr>
        <w:spacing w:before="120"/>
        <w:jc w:val="both"/>
        <w:rPr>
          <w:rFonts w:ascii="Arial" w:hAnsi="Arial"/>
          <w:sz w:val="22"/>
          <w:lang w:val="es-ES"/>
        </w:rPr>
      </w:pPr>
      <w:r w:rsidRPr="0011752D">
        <w:rPr>
          <w:rFonts w:ascii="Arial" w:hAnsi="Arial"/>
          <w:sz w:val="22"/>
          <w:lang w:val="es-ES"/>
        </w:rPr>
        <w:t>En la medida que el precio de equilibrio se reduce por desplazamiento de la curva de oferta hacia la derecha, se produce un beneficio social neto positivo. Esta condición también se puede verificar en este caso (</w:t>
      </w:r>
      <w:r w:rsidRPr="0011752D">
        <w:rPr>
          <w:rFonts w:ascii="Arial" w:hAnsi="Arial"/>
          <w:sz w:val="22"/>
          <w:lang w:val="es-ES"/>
        </w:rPr>
        <w:fldChar w:fldCharType="begin"/>
      </w:r>
      <w:r w:rsidRPr="0011752D">
        <w:rPr>
          <w:rFonts w:ascii="Arial" w:hAnsi="Arial"/>
          <w:sz w:val="22"/>
          <w:lang w:val="es-ES"/>
        </w:rPr>
        <w:instrText xml:space="preserve"> REF _Ref474768363 \h </w:instrText>
      </w:r>
      <w:r w:rsidRPr="0011752D">
        <w:rPr>
          <w:rFonts w:ascii="Arial" w:hAnsi="Arial"/>
          <w:sz w:val="22"/>
          <w:lang w:val="es-ES"/>
        </w:rPr>
      </w:r>
      <w:r w:rsidRPr="0011752D">
        <w:rPr>
          <w:rFonts w:ascii="Arial" w:hAnsi="Arial"/>
          <w:sz w:val="22"/>
          <w:lang w:val="es-ES"/>
        </w:rPr>
        <w:fldChar w:fldCharType="separate"/>
      </w:r>
      <w:r w:rsidRPr="0011752D">
        <w:rPr>
          <w:rFonts w:ascii="Arial" w:hAnsi="Arial"/>
          <w:b/>
          <w:sz w:val="22"/>
          <w:lang w:val="es-CO"/>
        </w:rPr>
        <w:t xml:space="preserve">Ilustración </w:t>
      </w:r>
      <w:r w:rsidRPr="0011752D">
        <w:rPr>
          <w:rFonts w:ascii="Arial" w:hAnsi="Arial"/>
          <w:b/>
          <w:bCs/>
          <w:noProof/>
          <w:sz w:val="22"/>
          <w:lang w:val="es-CO"/>
        </w:rPr>
        <w:t>6</w:t>
      </w:r>
      <w:r w:rsidRPr="0011752D">
        <w:rPr>
          <w:rFonts w:ascii="Arial" w:hAnsi="Arial"/>
          <w:sz w:val="22"/>
          <w:lang w:val="es-ES"/>
        </w:rPr>
        <w:fldChar w:fldCharType="end"/>
      </w:r>
      <w:r w:rsidRPr="0011752D">
        <w:rPr>
          <w:rFonts w:ascii="Arial" w:hAnsi="Arial"/>
          <w:sz w:val="22"/>
          <w:lang w:val="es-ES"/>
        </w:rPr>
        <w:t xml:space="preserve">), en la medida que el área resultante de ganancia en el excedente del consumidor (área </w:t>
      </w:r>
      <w:r w:rsidRPr="0011752D">
        <w:rPr>
          <w:rFonts w:ascii="Arial" w:hAnsi="Arial"/>
          <w:b/>
          <w:sz w:val="22"/>
          <w:lang w:val="es-ES"/>
        </w:rPr>
        <w:t>A</w:t>
      </w:r>
      <w:r w:rsidRPr="0011752D">
        <w:rPr>
          <w:rFonts w:ascii="Arial" w:hAnsi="Arial"/>
          <w:sz w:val="22"/>
          <w:lang w:val="es-ES"/>
        </w:rPr>
        <w:t xml:space="preserve"> de la gráfica superior) más el nuevo excedente del productor (áreas </w:t>
      </w:r>
      <w:r w:rsidRPr="0011752D">
        <w:rPr>
          <w:rFonts w:ascii="Arial" w:hAnsi="Arial"/>
          <w:b/>
          <w:sz w:val="22"/>
          <w:lang w:val="es-ES"/>
        </w:rPr>
        <w:t>E + C</w:t>
      </w:r>
      <w:r w:rsidRPr="0011752D">
        <w:rPr>
          <w:rFonts w:ascii="Arial" w:hAnsi="Arial"/>
          <w:sz w:val="22"/>
          <w:lang w:val="es-ES"/>
        </w:rPr>
        <w:t xml:space="preserve"> de la gráfica inferior), es decir, </w:t>
      </w:r>
      <w:r w:rsidRPr="0011752D">
        <w:rPr>
          <w:rFonts w:ascii="Arial" w:hAnsi="Arial"/>
          <w:b/>
          <w:sz w:val="22"/>
          <w:lang w:val="es-ES"/>
        </w:rPr>
        <w:t>A + E + C</w:t>
      </w:r>
      <w:r w:rsidRPr="0011752D">
        <w:rPr>
          <w:rFonts w:ascii="Arial" w:hAnsi="Arial"/>
          <w:sz w:val="22"/>
          <w:lang w:val="es-ES"/>
        </w:rPr>
        <w:t xml:space="preserve"> sea mayor al excedente del productor en el escenario de referencia sin FNCER (igual a áreas </w:t>
      </w:r>
      <w:r w:rsidRPr="0011752D">
        <w:rPr>
          <w:rFonts w:ascii="Arial" w:hAnsi="Arial"/>
          <w:b/>
          <w:sz w:val="22"/>
          <w:lang w:val="es-ES"/>
        </w:rPr>
        <w:t>B + E</w:t>
      </w:r>
      <w:r w:rsidRPr="0011752D">
        <w:rPr>
          <w:rFonts w:ascii="Arial" w:hAnsi="Arial"/>
          <w:sz w:val="22"/>
          <w:lang w:val="es-ES"/>
        </w:rPr>
        <w:t xml:space="preserve"> de la gráfica inferior), lo cual ocurre tal como se demuestra a continuación:</w:t>
      </w:r>
    </w:p>
    <w:p w14:paraId="2341A7D7" w14:textId="77777777" w:rsidR="0011752D" w:rsidRPr="0011752D" w:rsidRDefault="0011752D" w:rsidP="0011752D">
      <w:pPr>
        <w:spacing w:before="120" w:line="259" w:lineRule="auto"/>
        <w:jc w:val="center"/>
        <w:rPr>
          <w:rFonts w:ascii="Arial" w:hAnsi="Arial"/>
          <w:b/>
          <w:sz w:val="22"/>
          <w:lang w:val="es-ES_tradnl"/>
        </w:rPr>
      </w:pPr>
      <w:r w:rsidRPr="0011752D">
        <w:rPr>
          <w:rFonts w:ascii="Arial" w:hAnsi="Arial"/>
          <w:b/>
          <w:sz w:val="22"/>
          <w:lang w:val="es-ES_tradnl"/>
        </w:rPr>
        <w:t xml:space="preserve">A + E + C  </w:t>
      </w:r>
      <w:r w:rsidRPr="0011752D">
        <w:rPr>
          <w:rFonts w:ascii="Arial" w:hAnsi="Arial" w:cs="Arial"/>
          <w:b/>
          <w:sz w:val="22"/>
          <w:lang w:val="es-ES_tradnl"/>
        </w:rPr>
        <w:t>≥</w:t>
      </w:r>
      <w:r w:rsidRPr="0011752D">
        <w:rPr>
          <w:rFonts w:ascii="Arial" w:hAnsi="Arial"/>
          <w:b/>
          <w:sz w:val="22"/>
          <w:lang w:val="es-ES_tradnl"/>
        </w:rPr>
        <w:t xml:space="preserve"> o &lt;  B + E</w:t>
      </w:r>
    </w:p>
    <w:p w14:paraId="2341A7D8" w14:textId="77777777" w:rsidR="0011752D" w:rsidRPr="0011752D" w:rsidRDefault="0011752D" w:rsidP="0011752D">
      <w:pPr>
        <w:spacing w:before="120" w:line="259" w:lineRule="auto"/>
        <w:jc w:val="center"/>
        <w:rPr>
          <w:rFonts w:ascii="Arial" w:hAnsi="Arial"/>
          <w:b/>
          <w:sz w:val="22"/>
          <w:lang w:val="es-ES_tradnl"/>
        </w:rPr>
      </w:pPr>
    </w:p>
    <w:p w14:paraId="2341A7D9" w14:textId="77777777" w:rsidR="0011752D" w:rsidRPr="0011752D" w:rsidRDefault="0011752D" w:rsidP="0011752D">
      <w:pPr>
        <w:spacing w:before="120"/>
        <w:jc w:val="both"/>
        <w:rPr>
          <w:rFonts w:ascii="Arial" w:hAnsi="Arial"/>
          <w:b/>
          <w:sz w:val="22"/>
          <w:lang w:val="es-ES_tradnl"/>
        </w:rPr>
      </w:pPr>
      <w:r w:rsidRPr="0011752D">
        <w:rPr>
          <w:rFonts w:ascii="Arial" w:hAnsi="Arial"/>
          <w:sz w:val="22"/>
          <w:lang w:val="es-ES"/>
        </w:rPr>
        <w:t xml:space="preserve">y cancelando E en ambos lados se </w:t>
      </w:r>
      <w:r w:rsidRPr="0011752D">
        <w:rPr>
          <w:rFonts w:ascii="Arial" w:hAnsi="Arial"/>
          <w:sz w:val="22"/>
          <w:lang w:val="es-ES_tradnl"/>
        </w:rPr>
        <w:t>tiene que:</w:t>
      </w:r>
      <w:r w:rsidRPr="0011752D">
        <w:rPr>
          <w:rFonts w:ascii="Arial" w:hAnsi="Arial"/>
          <w:b/>
          <w:sz w:val="22"/>
          <w:lang w:val="es-ES_tradnl"/>
        </w:rPr>
        <w:t xml:space="preserve"> </w:t>
      </w:r>
    </w:p>
    <w:p w14:paraId="2341A7DA" w14:textId="77777777" w:rsidR="0011752D" w:rsidRPr="0011752D" w:rsidRDefault="0011752D" w:rsidP="0011752D">
      <w:pPr>
        <w:spacing w:before="120" w:line="259" w:lineRule="auto"/>
        <w:jc w:val="center"/>
        <w:rPr>
          <w:rFonts w:ascii="Arial" w:hAnsi="Arial"/>
          <w:sz w:val="22"/>
          <w:lang w:val="es-ES"/>
        </w:rPr>
      </w:pPr>
      <w:r w:rsidRPr="0011752D">
        <w:rPr>
          <w:rFonts w:ascii="Arial" w:hAnsi="Arial"/>
          <w:b/>
          <w:sz w:val="22"/>
          <w:lang w:val="es-ES_tradnl"/>
        </w:rPr>
        <w:t>A + C  ≥ o</w:t>
      </w:r>
      <w:r w:rsidRPr="0011752D">
        <w:rPr>
          <w:rFonts w:ascii="Arial" w:hAnsi="Arial"/>
          <w:b/>
          <w:sz w:val="22"/>
          <w:lang w:val="es-ES"/>
        </w:rPr>
        <w:t xml:space="preserve"> &lt;  B</w:t>
      </w:r>
    </w:p>
    <w:p w14:paraId="2341A7DB" w14:textId="77777777" w:rsidR="0011752D" w:rsidRPr="0011752D" w:rsidRDefault="0011752D" w:rsidP="0011752D">
      <w:pPr>
        <w:spacing w:before="240" w:after="240"/>
        <w:jc w:val="both"/>
        <w:rPr>
          <w:rFonts w:ascii="Arial" w:hAnsi="Arial"/>
          <w:sz w:val="22"/>
          <w:lang w:val="es-ES"/>
        </w:rPr>
      </w:pPr>
      <w:r w:rsidRPr="0011752D">
        <w:rPr>
          <w:rFonts w:ascii="Arial" w:hAnsi="Arial"/>
          <w:sz w:val="22"/>
          <w:lang w:val="es-ES"/>
        </w:rPr>
        <w:t xml:space="preserve">Sin embargo, se puede observar que </w:t>
      </w:r>
      <w:r w:rsidRPr="0011752D">
        <w:rPr>
          <w:rFonts w:ascii="Arial" w:hAnsi="Arial"/>
          <w:b/>
          <w:sz w:val="22"/>
          <w:lang w:val="es-ES"/>
        </w:rPr>
        <w:t>A &gt; B</w:t>
      </w:r>
      <w:r w:rsidRPr="0011752D">
        <w:rPr>
          <w:rFonts w:ascii="Arial" w:hAnsi="Arial"/>
          <w:sz w:val="22"/>
          <w:lang w:val="es-ES"/>
        </w:rPr>
        <w:t xml:space="preserve"> dado que </w:t>
      </w:r>
      <w:r w:rsidRPr="0011752D">
        <w:rPr>
          <w:rFonts w:ascii="Arial" w:hAnsi="Arial"/>
          <w:b/>
          <w:sz w:val="22"/>
          <w:lang w:val="es-ES"/>
        </w:rPr>
        <w:t>A = B + σ,</w:t>
      </w:r>
      <w:r w:rsidRPr="0011752D">
        <w:rPr>
          <w:rFonts w:ascii="Arial" w:hAnsi="Arial"/>
          <w:sz w:val="22"/>
          <w:lang w:val="es-ES"/>
        </w:rPr>
        <w:t xml:space="preserve"> donde </w:t>
      </w:r>
      <w:r w:rsidRPr="0011752D">
        <w:rPr>
          <w:rFonts w:ascii="Arial" w:hAnsi="Arial"/>
          <w:b/>
          <w:sz w:val="22"/>
          <w:lang w:val="es-ES"/>
        </w:rPr>
        <w:t>σ</w:t>
      </w:r>
      <w:r w:rsidRPr="0011752D">
        <w:rPr>
          <w:rFonts w:ascii="Arial" w:hAnsi="Arial"/>
          <w:sz w:val="22"/>
          <w:lang w:val="es-ES"/>
        </w:rPr>
        <w:t xml:space="preserve"> es positivo pues corresponde al costo variable evitado de las plantas que resultan desplazadas por la generación de las FNCER en el período respectivo y que, por lo tanto, no constituyen renta del productor. Por lo tanto:</w:t>
      </w:r>
    </w:p>
    <w:p w14:paraId="2341A7DC" w14:textId="77777777" w:rsidR="0011752D" w:rsidRPr="0011752D" w:rsidRDefault="0011752D" w:rsidP="0011752D">
      <w:pPr>
        <w:spacing w:before="120" w:after="120"/>
        <w:jc w:val="center"/>
        <w:rPr>
          <w:rFonts w:ascii="Arial" w:hAnsi="Arial"/>
          <w:sz w:val="22"/>
          <w:lang w:val="es-ES"/>
        </w:rPr>
      </w:pPr>
      <w:r w:rsidRPr="0011752D">
        <w:rPr>
          <w:rFonts w:ascii="Arial" w:hAnsi="Arial"/>
          <w:b/>
          <w:sz w:val="22"/>
          <w:lang w:val="es-ES"/>
        </w:rPr>
        <w:t>A + E + C  &gt;  B + E</w:t>
      </w:r>
    </w:p>
    <w:p w14:paraId="2341A7DD" w14:textId="77777777" w:rsidR="0011752D" w:rsidRPr="0011752D" w:rsidRDefault="0011752D" w:rsidP="0011752D">
      <w:pPr>
        <w:spacing w:before="240" w:after="240"/>
        <w:jc w:val="both"/>
        <w:rPr>
          <w:rFonts w:ascii="Arial" w:hAnsi="Arial"/>
          <w:sz w:val="22"/>
          <w:lang w:val="es-ES"/>
        </w:rPr>
      </w:pPr>
      <w:bookmarkStart w:id="50" w:name="_Ref469477403"/>
      <w:bookmarkStart w:id="51" w:name="_Toc406621023"/>
      <w:bookmarkStart w:id="52" w:name="_Toc406748688"/>
      <w:r w:rsidRPr="0011752D">
        <w:rPr>
          <w:rFonts w:ascii="Arial" w:hAnsi="Arial"/>
          <w:sz w:val="22"/>
          <w:lang w:val="es-ES"/>
        </w:rPr>
        <w:t>El problema para la estimación del beneficio social neto es que no se cuenta con la información para calcular el excedente del productor bajo diferentes escenarios de expansión del Plan de Expansión Generación Transmisión 2015 – 2029</w:t>
      </w:r>
      <w:r w:rsidRPr="0011752D">
        <w:rPr>
          <w:rFonts w:ascii="Arial" w:hAnsi="Arial"/>
          <w:sz w:val="22"/>
          <w:vertAlign w:val="superscript"/>
          <w:lang w:val="es-ES"/>
        </w:rPr>
        <w:footnoteReference w:id="17"/>
      </w:r>
      <w:r w:rsidRPr="0011752D">
        <w:rPr>
          <w:rFonts w:ascii="Arial" w:hAnsi="Arial"/>
          <w:sz w:val="22"/>
          <w:lang w:val="es-ES"/>
        </w:rPr>
        <w:t xml:space="preserve"> de la UPME, sino los costos marginales del sistema. En consecuencia, el ACB es realizado en términos del excedente del consumidor que se ve afectado por la variación de precios de la energía producto de la penetración de las FNCER, comparando los precios marginales de un escenario sin penetración de FNCER y otro con penetración de estas fuentes, de acuerdo con los planes de la UPME.</w:t>
      </w:r>
      <w:bookmarkStart w:id="53" w:name="_Ref474768363"/>
      <w:bookmarkStart w:id="54" w:name="_Ref471290690"/>
      <w:bookmarkStart w:id="55" w:name="_Toc474797050"/>
      <w:bookmarkEnd w:id="50"/>
    </w:p>
    <w:p w14:paraId="2341A7DE" w14:textId="77777777" w:rsidR="0011752D" w:rsidRPr="0011752D" w:rsidRDefault="0011752D" w:rsidP="0011752D">
      <w:pPr>
        <w:spacing w:before="240" w:after="240"/>
        <w:jc w:val="both"/>
        <w:rPr>
          <w:rFonts w:ascii="Arial" w:hAnsi="Arial"/>
          <w:sz w:val="22"/>
          <w:lang w:val="es-ES"/>
        </w:rPr>
      </w:pPr>
      <w:r w:rsidRPr="0011752D">
        <w:rPr>
          <w:rFonts w:ascii="Arial" w:hAnsi="Arial"/>
          <w:sz w:val="22"/>
          <w:lang w:val="es-ES"/>
        </w:rPr>
        <w:t>Para el efecto, el beneficio incremental del excedente del consumidor se calcularía de acuerdo con la siguiente expresión matemática:</w:t>
      </w:r>
    </w:p>
    <w:p w14:paraId="2341A7DF" w14:textId="77777777" w:rsidR="0011752D" w:rsidRPr="0011752D" w:rsidRDefault="0011752D" w:rsidP="0011752D">
      <w:pPr>
        <w:spacing w:after="160" w:line="259" w:lineRule="auto"/>
        <w:jc w:val="center"/>
        <w:rPr>
          <w:rFonts w:ascii="Arial" w:hAnsi="Arial" w:cs="Arial"/>
          <w:sz w:val="28"/>
          <w:szCs w:val="28"/>
          <w:lang w:val="es-ES"/>
        </w:rPr>
      </w:pPr>
      <m:oMath>
        <m:r>
          <w:rPr>
            <w:rFonts w:ascii="Cambria Math" w:hAnsi="Cambria Math" w:cs="Arial"/>
            <w:sz w:val="28"/>
            <w:szCs w:val="28"/>
            <w:lang w:val="es-ES"/>
          </w:rPr>
          <m:t>B=</m:t>
        </m:r>
        <m:nary>
          <m:naryPr>
            <m:chr m:val="∑"/>
            <m:limLoc m:val="undOvr"/>
            <m:ctrlPr>
              <w:rPr>
                <w:rFonts w:ascii="Cambria Math" w:hAnsi="Cambria Math" w:cs="Arial"/>
                <w:i/>
                <w:sz w:val="28"/>
                <w:szCs w:val="28"/>
                <w:lang w:val="es-ES"/>
              </w:rPr>
            </m:ctrlPr>
          </m:naryPr>
          <m:sub>
            <m:r>
              <w:rPr>
                <w:rFonts w:ascii="Cambria Math" w:hAnsi="Cambria Math" w:cs="Arial"/>
                <w:sz w:val="28"/>
                <w:szCs w:val="28"/>
                <w:lang w:val="es-ES"/>
              </w:rPr>
              <m:t>i</m:t>
            </m:r>
          </m:sub>
          <m:sup>
            <m:r>
              <w:rPr>
                <w:rFonts w:ascii="Cambria Math" w:hAnsi="Cambria Math" w:cs="Arial"/>
                <w:sz w:val="28"/>
                <w:szCs w:val="28"/>
                <w:lang w:val="es-ES"/>
              </w:rPr>
              <m:t>n</m:t>
            </m:r>
          </m:sup>
          <m:e>
            <m:sSub>
              <m:sSubPr>
                <m:ctrlPr>
                  <w:rPr>
                    <w:rFonts w:ascii="Cambria Math" w:hAnsi="Cambria Math" w:cs="Arial"/>
                    <w:i/>
                    <w:sz w:val="28"/>
                    <w:szCs w:val="28"/>
                    <w:lang w:val="es-ES"/>
                  </w:rPr>
                </m:ctrlPr>
              </m:sSubPr>
              <m:e>
                <m:r>
                  <w:rPr>
                    <w:rFonts w:ascii="Cambria Math" w:hAnsi="Cambria Math" w:cs="Arial"/>
                    <w:sz w:val="28"/>
                    <w:szCs w:val="28"/>
                    <w:lang w:val="es-ES"/>
                  </w:rPr>
                  <m:t>VP(</m:t>
                </m:r>
                <m:sSub>
                  <m:sSubPr>
                    <m:ctrlPr>
                      <w:rPr>
                        <w:rFonts w:ascii="Cambria Math" w:hAnsi="Cambria Math" w:cs="Arial"/>
                        <w:i/>
                        <w:sz w:val="28"/>
                        <w:szCs w:val="28"/>
                        <w:lang w:val="es-ES"/>
                      </w:rPr>
                    </m:ctrlPr>
                  </m:sSubPr>
                  <m:e>
                    <m:r>
                      <w:rPr>
                        <w:rFonts w:ascii="Cambria Math" w:hAnsi="Cambria Math" w:cs="Arial"/>
                        <w:sz w:val="28"/>
                        <w:szCs w:val="28"/>
                        <w:lang w:val="es-ES"/>
                      </w:rPr>
                      <m:t>G</m:t>
                    </m:r>
                  </m:e>
                  <m:sub>
                    <m:r>
                      <w:rPr>
                        <w:rFonts w:ascii="Cambria Math" w:hAnsi="Cambria Math" w:cs="Arial"/>
                        <w:sz w:val="28"/>
                        <w:szCs w:val="28"/>
                        <w:lang w:val="es-ES"/>
                      </w:rPr>
                      <m:t>i</m:t>
                    </m:r>
                  </m:sub>
                </m:sSub>
                <m:r>
                  <w:rPr>
                    <w:rFonts w:ascii="Cambria Math" w:hAnsi="Cambria Math" w:cs="Arial"/>
                    <w:sz w:val="28"/>
                    <w:szCs w:val="28"/>
                    <w:lang w:val="es-ES"/>
                  </w:rPr>
                  <m:t>*(P</m:t>
                </m:r>
              </m:e>
              <m:sub>
                <m:r>
                  <w:rPr>
                    <w:rFonts w:ascii="Cambria Math" w:hAnsi="Cambria Math" w:cs="Arial"/>
                    <w:sz w:val="28"/>
                    <w:szCs w:val="28"/>
                    <w:lang w:val="es-ES"/>
                  </w:rPr>
                  <m:t>ESBASE-i</m:t>
                </m:r>
              </m:sub>
            </m:sSub>
            <m:r>
              <w:rPr>
                <w:rFonts w:ascii="Cambria Math" w:hAnsi="Cambria Math" w:cs="Arial"/>
                <w:sz w:val="28"/>
                <w:szCs w:val="28"/>
                <w:lang w:val="es-ES"/>
              </w:rPr>
              <m:t>-</m:t>
            </m:r>
            <m:sSub>
              <m:sSubPr>
                <m:ctrlPr>
                  <w:rPr>
                    <w:rFonts w:ascii="Cambria Math" w:hAnsi="Cambria Math" w:cs="Arial"/>
                    <w:i/>
                    <w:sz w:val="28"/>
                    <w:szCs w:val="28"/>
                    <w:lang w:val="es-ES"/>
                  </w:rPr>
                </m:ctrlPr>
              </m:sSubPr>
              <m:e>
                <m:r>
                  <w:rPr>
                    <w:rFonts w:ascii="Cambria Math" w:hAnsi="Cambria Math" w:cs="Arial"/>
                    <w:sz w:val="28"/>
                    <w:szCs w:val="28"/>
                    <w:lang w:val="es-ES"/>
                  </w:rPr>
                  <m:t>P</m:t>
                </m:r>
              </m:e>
              <m:sub>
                <m:r>
                  <w:rPr>
                    <w:rFonts w:ascii="Cambria Math" w:hAnsi="Cambria Math" w:cs="Arial"/>
                    <w:sz w:val="28"/>
                    <w:szCs w:val="28"/>
                    <w:lang w:val="es-ES"/>
                  </w:rPr>
                  <m:t>ESFNCER-i</m:t>
                </m:r>
              </m:sub>
            </m:sSub>
            <m:r>
              <w:rPr>
                <w:rFonts w:ascii="Cambria Math" w:hAnsi="Cambria Math" w:cs="Arial"/>
                <w:sz w:val="28"/>
                <w:szCs w:val="28"/>
                <w:lang w:val="es-ES"/>
              </w:rPr>
              <m:t>)</m:t>
            </m:r>
          </m:e>
        </m:nary>
      </m:oMath>
      <w:r w:rsidRPr="0011752D">
        <w:rPr>
          <w:rFonts w:ascii="Arial" w:hAnsi="Arial" w:cs="Arial"/>
          <w:sz w:val="28"/>
          <w:szCs w:val="28"/>
          <w:lang w:val="es-ES"/>
        </w:rPr>
        <w:t>)</w:t>
      </w:r>
    </w:p>
    <w:p w14:paraId="2341A7E0" w14:textId="77777777" w:rsidR="0011752D" w:rsidRPr="0011752D" w:rsidRDefault="0011752D" w:rsidP="0011752D">
      <w:pPr>
        <w:spacing w:after="160" w:line="259" w:lineRule="auto"/>
        <w:jc w:val="both"/>
        <w:rPr>
          <w:rFonts w:ascii="Arial" w:hAnsi="Arial"/>
          <w:sz w:val="22"/>
          <w:lang w:val="es-ES"/>
        </w:rPr>
      </w:pPr>
      <w:r w:rsidRPr="0011752D">
        <w:rPr>
          <w:rFonts w:ascii="Arial" w:hAnsi="Arial"/>
          <w:sz w:val="22"/>
          <w:lang w:val="es-ES"/>
        </w:rPr>
        <w:t>Donde:</w:t>
      </w:r>
    </w:p>
    <w:p w14:paraId="2341A7E1" w14:textId="77777777" w:rsidR="0011752D" w:rsidRPr="0011752D" w:rsidRDefault="0011752D" w:rsidP="0011752D">
      <w:pPr>
        <w:spacing w:line="259" w:lineRule="auto"/>
        <w:jc w:val="both"/>
        <w:rPr>
          <w:rFonts w:ascii="Arial" w:hAnsi="Arial"/>
          <w:sz w:val="22"/>
          <w:lang w:val="es-ES"/>
        </w:rPr>
      </w:pPr>
      <w:r w:rsidRPr="0011752D">
        <w:rPr>
          <w:rFonts w:ascii="Arial" w:hAnsi="Arial"/>
          <w:sz w:val="22"/>
          <w:lang w:val="es-ES"/>
        </w:rPr>
        <w:t>B</w:t>
      </w:r>
      <w:r w:rsidRPr="0011752D">
        <w:rPr>
          <w:rFonts w:ascii="Arial" w:hAnsi="Arial"/>
          <w:sz w:val="22"/>
          <w:lang w:val="es-ES"/>
        </w:rPr>
        <w:tab/>
      </w:r>
      <w:r w:rsidRPr="0011752D">
        <w:rPr>
          <w:rFonts w:ascii="Arial" w:hAnsi="Arial"/>
          <w:sz w:val="22"/>
          <w:lang w:val="es-ES"/>
        </w:rPr>
        <w:tab/>
        <w:t>Es el valor presente del excedente del consumidor</w:t>
      </w:r>
    </w:p>
    <w:p w14:paraId="2341A7E2" w14:textId="77777777" w:rsidR="0011752D" w:rsidRPr="0011752D" w:rsidRDefault="0011752D" w:rsidP="0011752D">
      <w:pPr>
        <w:spacing w:line="259" w:lineRule="auto"/>
        <w:jc w:val="both"/>
        <w:rPr>
          <w:rFonts w:ascii="Arial" w:hAnsi="Arial"/>
          <w:sz w:val="22"/>
          <w:lang w:val="es-ES"/>
        </w:rPr>
      </w:pPr>
      <w:r w:rsidRPr="0011752D">
        <w:rPr>
          <w:rFonts w:ascii="Arial" w:hAnsi="Arial"/>
          <w:sz w:val="22"/>
          <w:lang w:val="es-ES"/>
        </w:rPr>
        <w:t>G</w:t>
      </w:r>
      <w:r w:rsidRPr="0011752D">
        <w:rPr>
          <w:rFonts w:ascii="Arial" w:hAnsi="Arial"/>
          <w:sz w:val="22"/>
          <w:lang w:val="es-ES"/>
        </w:rPr>
        <w:tab/>
      </w:r>
      <w:r w:rsidRPr="0011752D">
        <w:rPr>
          <w:rFonts w:ascii="Arial" w:hAnsi="Arial"/>
          <w:sz w:val="22"/>
          <w:lang w:val="es-ES"/>
        </w:rPr>
        <w:tab/>
        <w:t xml:space="preserve">Es la generación del sistema en el período </w:t>
      </w:r>
      <w:r w:rsidRPr="0011752D">
        <w:rPr>
          <w:rFonts w:ascii="Arial" w:hAnsi="Arial"/>
          <w:b/>
          <w:i/>
          <w:sz w:val="22"/>
          <w:lang w:val="es-ES"/>
        </w:rPr>
        <w:t>i</w:t>
      </w:r>
    </w:p>
    <w:p w14:paraId="2341A7E3" w14:textId="77777777" w:rsidR="0011752D" w:rsidRPr="0011752D" w:rsidRDefault="004932D7" w:rsidP="0011752D">
      <w:pPr>
        <w:spacing w:after="160" w:line="259" w:lineRule="auto"/>
        <w:jc w:val="both"/>
        <w:rPr>
          <w:rFonts w:ascii="Arial" w:hAnsi="Arial"/>
          <w:sz w:val="22"/>
          <w:lang w:val="es-ES"/>
        </w:rPr>
      </w:pPr>
      <m:oMath>
        <m:sSub>
          <m:sSubPr>
            <m:ctrlPr>
              <w:rPr>
                <w:rFonts w:ascii="Cambria Math" w:hAnsi="Cambria Math" w:cs="Arial"/>
                <w:i/>
                <w:sz w:val="28"/>
                <w:szCs w:val="28"/>
                <w:lang w:val="es-ES"/>
              </w:rPr>
            </m:ctrlPr>
          </m:sSubPr>
          <m:e>
            <m:r>
              <w:rPr>
                <w:rFonts w:ascii="Cambria Math" w:hAnsi="Cambria Math" w:cs="Arial"/>
                <w:sz w:val="28"/>
                <w:szCs w:val="28"/>
                <w:lang w:val="es-ES"/>
              </w:rPr>
              <m:t>P</m:t>
            </m:r>
          </m:e>
          <m:sub>
            <m:r>
              <w:rPr>
                <w:rFonts w:ascii="Cambria Math" w:hAnsi="Cambria Math" w:cs="Arial"/>
                <w:sz w:val="28"/>
                <w:szCs w:val="28"/>
                <w:lang w:val="es-ES"/>
              </w:rPr>
              <m:t>ESBASE-i</m:t>
            </m:r>
          </m:sub>
        </m:sSub>
      </m:oMath>
      <w:r w:rsidR="0011752D" w:rsidRPr="0011752D">
        <w:rPr>
          <w:rFonts w:ascii="Arial" w:hAnsi="Arial" w:cs="Arial"/>
          <w:sz w:val="28"/>
          <w:szCs w:val="28"/>
          <w:lang w:val="es-ES"/>
        </w:rPr>
        <w:tab/>
      </w:r>
      <w:r w:rsidR="0011752D" w:rsidRPr="0011752D">
        <w:rPr>
          <w:rFonts w:ascii="Arial" w:hAnsi="Arial"/>
          <w:sz w:val="22"/>
          <w:lang w:val="es-ES"/>
        </w:rPr>
        <w:t xml:space="preserve">Es el precio de bolsa del escenario base o de referencia en el período </w:t>
      </w:r>
      <w:r w:rsidR="0011752D" w:rsidRPr="0011752D">
        <w:rPr>
          <w:rFonts w:ascii="Arial" w:hAnsi="Arial"/>
          <w:b/>
          <w:i/>
          <w:sz w:val="22"/>
          <w:lang w:val="es-ES"/>
        </w:rPr>
        <w:t>i</w:t>
      </w:r>
    </w:p>
    <w:p w14:paraId="2341A7E4" w14:textId="77777777" w:rsidR="0011752D" w:rsidRPr="0011752D" w:rsidRDefault="004932D7" w:rsidP="0011752D">
      <w:pPr>
        <w:spacing w:line="259" w:lineRule="auto"/>
        <w:jc w:val="both"/>
        <w:rPr>
          <w:rFonts w:ascii="Arial" w:hAnsi="Arial"/>
          <w:sz w:val="22"/>
          <w:lang w:val="es-ES"/>
        </w:rPr>
      </w:pPr>
      <m:oMath>
        <m:sSub>
          <m:sSubPr>
            <m:ctrlPr>
              <w:rPr>
                <w:rFonts w:ascii="Cambria Math" w:hAnsi="Cambria Math" w:cs="Arial"/>
                <w:i/>
                <w:sz w:val="28"/>
                <w:szCs w:val="28"/>
                <w:lang w:val="es-ES"/>
              </w:rPr>
            </m:ctrlPr>
          </m:sSubPr>
          <m:e>
            <m:r>
              <w:rPr>
                <w:rFonts w:ascii="Cambria Math" w:hAnsi="Cambria Math" w:cs="Arial"/>
                <w:sz w:val="28"/>
                <w:szCs w:val="28"/>
                <w:lang w:val="es-ES"/>
              </w:rPr>
              <m:t>P</m:t>
            </m:r>
          </m:e>
          <m:sub>
            <m:r>
              <w:rPr>
                <w:rFonts w:ascii="Cambria Math" w:hAnsi="Cambria Math" w:cs="Arial"/>
                <w:sz w:val="28"/>
                <w:szCs w:val="28"/>
                <w:lang w:val="es-ES"/>
              </w:rPr>
              <m:t>ESFNCER-i</m:t>
            </m:r>
          </m:sub>
        </m:sSub>
      </m:oMath>
      <w:r w:rsidR="0011752D" w:rsidRPr="0011752D">
        <w:rPr>
          <w:rFonts w:ascii="Arial" w:hAnsi="Arial" w:cs="Arial"/>
          <w:sz w:val="28"/>
          <w:szCs w:val="28"/>
          <w:lang w:val="es-ES"/>
        </w:rPr>
        <w:tab/>
      </w:r>
      <w:r w:rsidR="0011752D" w:rsidRPr="0011752D">
        <w:rPr>
          <w:rFonts w:ascii="Arial" w:hAnsi="Arial"/>
          <w:sz w:val="22"/>
          <w:lang w:val="es-ES"/>
        </w:rPr>
        <w:t xml:space="preserve">Es el precio de bolsa del escenario con FNCER en el período </w:t>
      </w:r>
      <w:r w:rsidR="0011752D" w:rsidRPr="0011752D">
        <w:rPr>
          <w:rFonts w:ascii="Arial" w:hAnsi="Arial"/>
          <w:b/>
          <w:i/>
          <w:sz w:val="22"/>
          <w:lang w:val="es-ES"/>
        </w:rPr>
        <w:t>i</w:t>
      </w:r>
    </w:p>
    <w:p w14:paraId="2341A7E5" w14:textId="77777777" w:rsidR="0011752D" w:rsidRPr="0011752D" w:rsidRDefault="0011752D" w:rsidP="0011752D">
      <w:pPr>
        <w:tabs>
          <w:tab w:val="left" w:pos="720"/>
        </w:tabs>
        <w:spacing w:line="259" w:lineRule="auto"/>
        <w:ind w:left="720" w:hanging="720"/>
        <w:jc w:val="both"/>
        <w:rPr>
          <w:rFonts w:ascii="Arial" w:hAnsi="Arial"/>
          <w:sz w:val="22"/>
          <w:lang w:val="es-ES"/>
        </w:rPr>
      </w:pPr>
      <w:r w:rsidRPr="0011752D">
        <w:rPr>
          <w:rFonts w:ascii="Arial" w:hAnsi="Arial"/>
          <w:i/>
          <w:sz w:val="22"/>
          <w:lang w:val="es-ES"/>
        </w:rPr>
        <w:lastRenderedPageBreak/>
        <w:t>n</w:t>
      </w:r>
      <w:r w:rsidRPr="0011752D">
        <w:rPr>
          <w:rFonts w:ascii="Arial" w:hAnsi="Arial"/>
          <w:sz w:val="22"/>
          <w:lang w:val="es-ES"/>
        </w:rPr>
        <w:tab/>
        <w:t>Es el número de períodos para los cuales se cuenta con estimativos de precios y generación en los planes indicativos de la UPME</w:t>
      </w:r>
    </w:p>
    <w:p w14:paraId="2341A7E6" w14:textId="77777777" w:rsidR="0011752D" w:rsidRPr="0011752D" w:rsidRDefault="0011752D" w:rsidP="0011752D">
      <w:pPr>
        <w:spacing w:before="240" w:after="240"/>
        <w:jc w:val="both"/>
        <w:rPr>
          <w:rFonts w:ascii="Arial" w:hAnsi="Arial"/>
          <w:sz w:val="22"/>
          <w:lang w:val="es-ES"/>
        </w:rPr>
      </w:pPr>
      <w:r w:rsidRPr="0011752D">
        <w:rPr>
          <w:rFonts w:ascii="Arial" w:hAnsi="Arial"/>
          <w:sz w:val="22"/>
          <w:lang w:val="es-ES"/>
        </w:rPr>
        <w:t>Para descontar el flujo de ahorros por menores precios se utiliza una tasa del 12%, sugerida en las Guías del Banco y un horizonte igual al considerado en los planes de la UPME para el largo plazo (15 años).</w:t>
      </w:r>
    </w:p>
    <w:p w14:paraId="2341A7E7" w14:textId="77777777" w:rsidR="0011752D" w:rsidRPr="0011752D" w:rsidRDefault="0011752D" w:rsidP="0011752D">
      <w:pPr>
        <w:spacing w:before="240" w:after="240"/>
        <w:jc w:val="both"/>
        <w:rPr>
          <w:rFonts w:ascii="Arial" w:hAnsi="Arial"/>
          <w:b/>
          <w:sz w:val="22"/>
          <w:lang w:val="es-ES"/>
        </w:rPr>
      </w:pPr>
    </w:p>
    <w:p w14:paraId="2341A7E8" w14:textId="77777777" w:rsidR="0011752D" w:rsidRPr="0011752D" w:rsidRDefault="0011752D" w:rsidP="0011752D">
      <w:pPr>
        <w:spacing w:before="240" w:after="240"/>
        <w:jc w:val="both"/>
        <w:rPr>
          <w:rFonts w:ascii="Arial" w:hAnsi="Arial"/>
          <w:b/>
          <w:sz w:val="22"/>
          <w:lang w:val="es-CO"/>
        </w:rPr>
      </w:pPr>
      <w:r w:rsidRPr="0011752D">
        <w:rPr>
          <w:rFonts w:ascii="Arial" w:hAnsi="Arial"/>
          <w:b/>
          <w:sz w:val="22"/>
          <w:lang w:val="es-CO"/>
        </w:rPr>
        <w:br w:type="page"/>
      </w:r>
    </w:p>
    <w:p w14:paraId="2341A7E9" w14:textId="77777777" w:rsidR="0011752D" w:rsidRPr="0011752D" w:rsidRDefault="0011752D" w:rsidP="0011752D">
      <w:pPr>
        <w:spacing w:before="240" w:after="240"/>
        <w:ind w:left="720"/>
        <w:jc w:val="center"/>
        <w:rPr>
          <w:rFonts w:ascii="Arial" w:hAnsi="Arial"/>
          <w:b/>
          <w:sz w:val="22"/>
          <w:lang w:val="es-CO"/>
        </w:rPr>
      </w:pPr>
      <w:r w:rsidRPr="0011752D">
        <w:rPr>
          <w:rFonts w:ascii="Arial" w:hAnsi="Arial"/>
          <w:b/>
          <w:sz w:val="22"/>
          <w:lang w:val="es-CO"/>
        </w:rPr>
        <w:lastRenderedPageBreak/>
        <w:t xml:space="preserve">Ilustración </w:t>
      </w:r>
      <w:r w:rsidRPr="0011752D">
        <w:rPr>
          <w:rFonts w:ascii="Arial" w:hAnsi="Arial"/>
          <w:b/>
          <w:bCs/>
          <w:sz w:val="22"/>
          <w:lang w:val="es-CO"/>
        </w:rPr>
        <w:fldChar w:fldCharType="begin"/>
      </w:r>
      <w:r w:rsidRPr="0011752D">
        <w:rPr>
          <w:rFonts w:ascii="Arial" w:hAnsi="Arial"/>
          <w:b/>
          <w:bCs/>
          <w:sz w:val="22"/>
          <w:lang w:val="es-CO"/>
        </w:rPr>
        <w:instrText xml:space="preserve"> SEQ Ilustración \* ARABIC </w:instrText>
      </w:r>
      <w:r w:rsidRPr="0011752D">
        <w:rPr>
          <w:rFonts w:ascii="Arial" w:hAnsi="Arial"/>
          <w:b/>
          <w:bCs/>
          <w:sz w:val="22"/>
          <w:lang w:val="es-CO"/>
        </w:rPr>
        <w:fldChar w:fldCharType="separate"/>
      </w:r>
      <w:r w:rsidRPr="0011752D">
        <w:rPr>
          <w:rFonts w:ascii="Arial" w:hAnsi="Arial"/>
          <w:b/>
          <w:bCs/>
          <w:noProof/>
          <w:sz w:val="22"/>
          <w:lang w:val="es-CO"/>
        </w:rPr>
        <w:t>6</w:t>
      </w:r>
      <w:r w:rsidRPr="0011752D">
        <w:rPr>
          <w:rFonts w:ascii="Arial" w:hAnsi="Arial"/>
          <w:b/>
          <w:bCs/>
          <w:sz w:val="22"/>
          <w:lang w:val="es-CO"/>
        </w:rPr>
        <w:fldChar w:fldCharType="end"/>
      </w:r>
      <w:bookmarkEnd w:id="53"/>
      <w:r w:rsidRPr="0011752D">
        <w:rPr>
          <w:rFonts w:ascii="Arial" w:hAnsi="Arial"/>
          <w:b/>
          <w:sz w:val="22"/>
          <w:lang w:val="es-CO"/>
        </w:rPr>
        <w:t xml:space="preserve"> – </w:t>
      </w:r>
      <w:bookmarkEnd w:id="54"/>
      <w:r w:rsidRPr="0011752D">
        <w:rPr>
          <w:rFonts w:ascii="Arial" w:hAnsi="Arial"/>
          <w:b/>
          <w:sz w:val="22"/>
          <w:lang w:val="es-CO"/>
        </w:rPr>
        <w:t>Representación del desplazamiento de la curva de oferta de precios</w:t>
      </w:r>
      <w:bookmarkEnd w:id="51"/>
      <w:bookmarkEnd w:id="52"/>
      <w:r w:rsidRPr="0011752D">
        <w:rPr>
          <w:rFonts w:ascii="Arial" w:hAnsi="Arial"/>
          <w:b/>
          <w:sz w:val="22"/>
          <w:lang w:val="es-CO"/>
        </w:rPr>
        <w:t xml:space="preserve"> con FNCER y variación en el excedente del consumidor y del productor</w:t>
      </w:r>
      <w:bookmarkEnd w:id="55"/>
    </w:p>
    <w:p w14:paraId="2341A7EA" w14:textId="77777777" w:rsidR="0011752D" w:rsidRPr="0011752D" w:rsidRDefault="0011752D" w:rsidP="0011752D">
      <w:pPr>
        <w:spacing w:after="160" w:line="259" w:lineRule="auto"/>
        <w:jc w:val="center"/>
        <w:rPr>
          <w:rFonts w:ascii="Arial" w:hAnsi="Arial"/>
          <w:sz w:val="22"/>
          <w:lang w:val="es-ES"/>
        </w:rPr>
      </w:pPr>
      <w:r w:rsidRPr="0011752D">
        <w:rPr>
          <w:rFonts w:ascii="Arial" w:hAnsi="Arial"/>
          <w:noProof/>
          <w:sz w:val="22"/>
          <w:lang w:val="es-US" w:eastAsia="zh-CN"/>
        </w:rPr>
        <w:drawing>
          <wp:inline distT="0" distB="0" distL="0" distR="0" wp14:anchorId="2341BDB4" wp14:editId="2341BDB5">
            <wp:extent cx="4441863" cy="4960620"/>
            <wp:effectExtent l="0" t="0" r="0" b="0"/>
            <wp:docPr id="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4440032" cy="4958575"/>
                    </a:xfrm>
                    <a:prstGeom prst="rect">
                      <a:avLst/>
                    </a:prstGeom>
                  </pic:spPr>
                </pic:pic>
              </a:graphicData>
            </a:graphic>
          </wp:inline>
        </w:drawing>
      </w:r>
    </w:p>
    <w:p w14:paraId="2341A7EB" w14:textId="77777777" w:rsidR="0011752D" w:rsidRPr="0011752D" w:rsidRDefault="0011752D" w:rsidP="0011752D">
      <w:pPr>
        <w:spacing w:after="160" w:line="259" w:lineRule="auto"/>
        <w:jc w:val="center"/>
        <w:rPr>
          <w:rFonts w:ascii="Arial" w:hAnsi="Arial"/>
          <w:sz w:val="20"/>
          <w:lang w:val="es-ES"/>
        </w:rPr>
      </w:pPr>
      <w:r w:rsidRPr="0011752D">
        <w:rPr>
          <w:rFonts w:ascii="Arial" w:hAnsi="Arial"/>
          <w:sz w:val="20"/>
          <w:lang w:val="es-ES"/>
        </w:rPr>
        <w:t>Fuente: Ilustración elaborada por el Consultor</w:t>
      </w:r>
    </w:p>
    <w:p w14:paraId="2341A7EC" w14:textId="77777777" w:rsidR="0011752D" w:rsidRPr="0011752D" w:rsidRDefault="0011752D" w:rsidP="0011752D">
      <w:pPr>
        <w:spacing w:before="120"/>
        <w:jc w:val="both"/>
        <w:rPr>
          <w:rFonts w:ascii="Arial" w:hAnsi="Arial"/>
          <w:sz w:val="22"/>
          <w:lang w:val="es-ES"/>
        </w:rPr>
      </w:pPr>
      <w:r w:rsidRPr="0011752D">
        <w:rPr>
          <w:rFonts w:ascii="Arial" w:hAnsi="Arial"/>
          <w:sz w:val="22"/>
          <w:lang w:val="es-ES"/>
        </w:rPr>
        <w:t>Un supuesto importante es que el precio del Cargo por Confiabilidad (CXC), el cual se encuentra considerado en el costo marginal de los escenarios de la UPME, permite la entrada de las FNCER. De ser necesaria un mayor precio del CXC, la diferencia entre los costos marginales de los dos escenarios sería menor, dependiendo de cuánto podría ser ese incremento. En el análisis de sensibilidad, se simulan variaciones en los precios del escenario con FNCER que pueden asimilarse también a incrementos en el precio de CXC.</w:t>
      </w:r>
    </w:p>
    <w:p w14:paraId="2341A7ED" w14:textId="77777777" w:rsidR="0011752D" w:rsidRPr="0011752D" w:rsidRDefault="0011752D" w:rsidP="0011752D">
      <w:pPr>
        <w:spacing w:before="120"/>
        <w:jc w:val="both"/>
        <w:rPr>
          <w:rFonts w:ascii="Arial" w:hAnsi="Arial"/>
          <w:sz w:val="22"/>
          <w:lang w:val="es-ES"/>
        </w:rPr>
      </w:pPr>
      <w:r w:rsidRPr="0011752D">
        <w:rPr>
          <w:rFonts w:ascii="Arial" w:hAnsi="Arial"/>
          <w:sz w:val="22"/>
          <w:lang w:val="es-ES"/>
        </w:rPr>
        <w:t>Finalmente, se valora el beneficio obtenido por las menores emisiones frente al escenario de referencia definido por la UPME en el Plan de Expansión Generación Transmisión 2015 - 2029, como la cantidad de toneladas de CO</w:t>
      </w:r>
      <w:r w:rsidRPr="0011752D">
        <w:rPr>
          <w:rFonts w:ascii="Arial" w:hAnsi="Arial"/>
          <w:sz w:val="22"/>
          <w:vertAlign w:val="subscript"/>
          <w:lang w:val="es-ES"/>
        </w:rPr>
        <w:t xml:space="preserve">2 </w:t>
      </w:r>
      <w:r w:rsidRPr="0011752D">
        <w:rPr>
          <w:rFonts w:ascii="Arial" w:hAnsi="Arial"/>
          <w:sz w:val="22"/>
          <w:lang w:val="es-ES"/>
        </w:rPr>
        <w:t xml:space="preserve">evitadas multiplicada por el </w:t>
      </w:r>
      <w:r w:rsidRPr="0011752D">
        <w:rPr>
          <w:rFonts w:ascii="Arial" w:hAnsi="Arial"/>
          <w:sz w:val="22"/>
          <w:u w:val="single"/>
          <w:lang w:val="es-ES"/>
        </w:rPr>
        <w:t>precio promedio de los Certificados de Reducción de Carbono (CRE) transados durante 2016</w:t>
      </w:r>
      <w:r w:rsidRPr="0011752D">
        <w:rPr>
          <w:rFonts w:ascii="Arial" w:hAnsi="Arial"/>
          <w:sz w:val="22"/>
          <w:lang w:val="es-ES"/>
        </w:rPr>
        <w:t xml:space="preserve">. </w:t>
      </w:r>
    </w:p>
    <w:p w14:paraId="2341A7EE"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ES"/>
        </w:rPr>
      </w:pPr>
      <w:bookmarkStart w:id="56" w:name="_Toc474797026"/>
      <w:r w:rsidRPr="0011752D">
        <w:rPr>
          <w:rFonts w:ascii="Arial" w:hAnsi="Arial"/>
          <w:b/>
          <w:color w:val="1F3864"/>
          <w:szCs w:val="26"/>
          <w:lang w:val="es-ES"/>
        </w:rPr>
        <w:lastRenderedPageBreak/>
        <w:t>Cálculo de beneficios netos de la diversificación eficiente de la matriz energética del SIN</w:t>
      </w:r>
      <w:bookmarkEnd w:id="56"/>
    </w:p>
    <w:p w14:paraId="2341A7EF" w14:textId="77777777" w:rsidR="0011752D" w:rsidRPr="0011752D" w:rsidRDefault="0011752D" w:rsidP="0011752D">
      <w:pPr>
        <w:spacing w:before="120"/>
        <w:jc w:val="both"/>
        <w:rPr>
          <w:rFonts w:ascii="Arial" w:hAnsi="Arial"/>
          <w:sz w:val="22"/>
          <w:lang w:val="es-ES" w:eastAsia="es-CO"/>
        </w:rPr>
      </w:pPr>
      <w:r w:rsidRPr="0011752D">
        <w:rPr>
          <w:rFonts w:ascii="Arial" w:hAnsi="Arial"/>
          <w:sz w:val="22"/>
          <w:lang w:val="es-ES" w:eastAsia="es-CO"/>
        </w:rPr>
        <w:t xml:space="preserve">El </w:t>
      </w:r>
      <w:r w:rsidRPr="0011752D">
        <w:rPr>
          <w:rFonts w:ascii="Arial" w:hAnsi="Arial"/>
          <w:sz w:val="22"/>
          <w:lang w:val="es-ES"/>
        </w:rPr>
        <w:t>principal</w:t>
      </w:r>
      <w:r w:rsidRPr="0011752D">
        <w:rPr>
          <w:rFonts w:ascii="Arial" w:hAnsi="Arial"/>
          <w:sz w:val="22"/>
          <w:lang w:val="es-ES" w:eastAsia="es-CO"/>
        </w:rPr>
        <w:t xml:space="preserve"> beneficio originado en la diversificación de la matriz energética del SIN con FNCER, es </w:t>
      </w:r>
      <w:r w:rsidRPr="0011752D">
        <w:rPr>
          <w:rFonts w:ascii="Arial" w:hAnsi="Arial"/>
          <w:b/>
          <w:i/>
          <w:sz w:val="22"/>
          <w:u w:val="single"/>
          <w:lang w:val="es-ES" w:eastAsia="es-CO"/>
        </w:rPr>
        <w:t>contribuir al abastecimiento confiable eficiente y sostenible de energía</w:t>
      </w:r>
      <w:r w:rsidRPr="0011752D">
        <w:rPr>
          <w:rFonts w:ascii="Arial" w:hAnsi="Arial"/>
          <w:sz w:val="22"/>
          <w:lang w:val="es-ES" w:eastAsia="es-CO"/>
        </w:rPr>
        <w:t>, entendido este concepto como el abastecimiento a menores precios de la energía generada y menores emisiones de CO</w:t>
      </w:r>
      <w:r w:rsidRPr="0011752D">
        <w:rPr>
          <w:rFonts w:ascii="Arial" w:hAnsi="Arial"/>
          <w:sz w:val="22"/>
          <w:vertAlign w:val="subscript"/>
          <w:lang w:val="es-ES" w:eastAsia="es-CO"/>
        </w:rPr>
        <w:t>2</w:t>
      </w:r>
      <w:r w:rsidRPr="0011752D">
        <w:rPr>
          <w:rFonts w:ascii="Arial" w:hAnsi="Arial"/>
          <w:sz w:val="22"/>
          <w:lang w:val="es-ES" w:eastAsia="es-CO"/>
        </w:rPr>
        <w:t>. Lo primero se puede observar y evaluar al comparar los costos marginales de escenarios con y sin estas fuentes.</w:t>
      </w:r>
      <w:r w:rsidRPr="0011752D">
        <w:rPr>
          <w:rFonts w:ascii="Arial" w:hAnsi="Arial"/>
          <w:sz w:val="22"/>
          <w:vertAlign w:val="superscript"/>
          <w:lang w:val="es-ES" w:eastAsia="es-CO"/>
        </w:rPr>
        <w:footnoteReference w:id="18"/>
      </w:r>
      <w:r w:rsidRPr="0011752D">
        <w:rPr>
          <w:rFonts w:ascii="Arial" w:hAnsi="Arial"/>
          <w:sz w:val="22"/>
          <w:lang w:val="es-ES" w:eastAsia="es-CO"/>
        </w:rPr>
        <w:t xml:space="preserve"> Se trata pues, de un incremento en el excedente del consumidor.</w:t>
      </w:r>
    </w:p>
    <w:p w14:paraId="2341A7F0" w14:textId="77777777" w:rsidR="0011752D" w:rsidRPr="0011752D" w:rsidRDefault="0011752D" w:rsidP="0011752D">
      <w:pPr>
        <w:spacing w:before="120"/>
        <w:jc w:val="both"/>
        <w:rPr>
          <w:rFonts w:ascii="Arial" w:hAnsi="Arial"/>
          <w:sz w:val="22"/>
          <w:lang w:val="es-ES" w:eastAsia="es-CO"/>
        </w:rPr>
      </w:pPr>
      <w:r w:rsidRPr="0011752D">
        <w:rPr>
          <w:rFonts w:ascii="Arial" w:hAnsi="Arial"/>
          <w:sz w:val="22"/>
          <w:lang w:val="es-ES" w:eastAsia="es-CO"/>
        </w:rPr>
        <w:t xml:space="preserve">La </w:t>
      </w:r>
      <w:r w:rsidRPr="0011752D">
        <w:rPr>
          <w:rFonts w:ascii="Arial" w:hAnsi="Arial"/>
          <w:sz w:val="22"/>
          <w:lang w:val="es-ES" w:eastAsia="es-CO"/>
        </w:rPr>
        <w:fldChar w:fldCharType="begin"/>
      </w:r>
      <w:r w:rsidRPr="0011752D">
        <w:rPr>
          <w:rFonts w:ascii="Arial" w:hAnsi="Arial"/>
          <w:sz w:val="22"/>
          <w:lang w:val="es-ES" w:eastAsia="es-CO"/>
        </w:rPr>
        <w:instrText xml:space="preserve"> REF _Ref472585914 \h </w:instrText>
      </w:r>
      <w:r w:rsidRPr="0011752D">
        <w:rPr>
          <w:rFonts w:ascii="Arial" w:hAnsi="Arial"/>
          <w:sz w:val="22"/>
          <w:lang w:val="es-ES" w:eastAsia="es-CO"/>
        </w:rPr>
      </w:r>
      <w:r w:rsidRPr="0011752D">
        <w:rPr>
          <w:rFonts w:ascii="Arial" w:hAnsi="Arial"/>
          <w:sz w:val="22"/>
          <w:lang w:val="es-ES" w:eastAsia="es-CO"/>
        </w:rPr>
        <w:fldChar w:fldCharType="separate"/>
      </w:r>
      <w:r w:rsidRPr="0011752D">
        <w:rPr>
          <w:rFonts w:ascii="Arial" w:hAnsi="Arial"/>
          <w:b/>
          <w:sz w:val="22"/>
          <w:lang w:val="es-CO"/>
        </w:rPr>
        <w:t xml:space="preserve">Ilustración </w:t>
      </w:r>
      <w:r w:rsidRPr="0011752D">
        <w:rPr>
          <w:rFonts w:ascii="Arial" w:hAnsi="Arial"/>
          <w:b/>
          <w:bCs/>
          <w:noProof/>
          <w:sz w:val="22"/>
          <w:lang w:val="es-CO"/>
        </w:rPr>
        <w:t>7</w:t>
      </w:r>
      <w:r w:rsidRPr="0011752D">
        <w:rPr>
          <w:rFonts w:ascii="Arial" w:hAnsi="Arial"/>
          <w:sz w:val="22"/>
          <w:lang w:val="es-ES" w:eastAsia="es-CO"/>
        </w:rPr>
        <w:fldChar w:fldCharType="end"/>
      </w:r>
      <w:r w:rsidRPr="0011752D">
        <w:rPr>
          <w:rFonts w:ascii="Arial" w:hAnsi="Arial"/>
          <w:sz w:val="22"/>
          <w:lang w:val="es-ES" w:eastAsia="es-CO"/>
        </w:rPr>
        <w:t xml:space="preserve"> muestra la </w:t>
      </w:r>
      <w:r w:rsidRPr="0011752D">
        <w:rPr>
          <w:rFonts w:ascii="Arial" w:hAnsi="Arial"/>
          <w:sz w:val="22"/>
          <w:lang w:val="es-ES"/>
        </w:rPr>
        <w:t>potencial</w:t>
      </w:r>
      <w:r w:rsidRPr="0011752D">
        <w:rPr>
          <w:rFonts w:ascii="Arial" w:hAnsi="Arial"/>
          <w:sz w:val="22"/>
          <w:lang w:val="es-ES" w:eastAsia="es-CO"/>
        </w:rPr>
        <w:t xml:space="preserve"> composición de la matriz de generación eléctrica a 2029 bajo dos escenarios de expansión, uno sin FNCER y otro con FNCER. Se utilizan como referentes los escenarios elaborados por la UPME en su Plan de Expansión de Referencia Generación Transmisión 2015 – 2029 en donde el escenario de referencia asume una expansión hidrotérmica del sistema</w:t>
      </w:r>
      <w:r w:rsidRPr="0011752D">
        <w:rPr>
          <w:rFonts w:ascii="Arial" w:hAnsi="Arial"/>
          <w:sz w:val="22"/>
          <w:vertAlign w:val="superscript"/>
          <w:lang w:val="es-ES" w:eastAsia="es-CO"/>
        </w:rPr>
        <w:footnoteReference w:id="19"/>
      </w:r>
      <w:r w:rsidRPr="0011752D">
        <w:rPr>
          <w:rFonts w:ascii="Arial" w:hAnsi="Arial"/>
          <w:sz w:val="22"/>
          <w:lang w:val="es-ES" w:eastAsia="es-CO"/>
        </w:rPr>
        <w:t>, mientras que el escenario con FNCER considera la penetración de generación solar, eólica y geotérmica</w:t>
      </w:r>
      <w:r w:rsidRPr="0011752D">
        <w:rPr>
          <w:rFonts w:ascii="Arial" w:hAnsi="Arial"/>
          <w:sz w:val="22"/>
          <w:vertAlign w:val="superscript"/>
          <w:lang w:val="es-ES" w:eastAsia="es-CO"/>
        </w:rPr>
        <w:footnoteReference w:id="20"/>
      </w:r>
      <w:r w:rsidRPr="0011752D">
        <w:rPr>
          <w:rFonts w:ascii="Arial" w:hAnsi="Arial"/>
          <w:sz w:val="22"/>
          <w:lang w:val="es-ES" w:eastAsia="es-CO"/>
        </w:rPr>
        <w:t>. Ambos escenarios consideran la expansión base de proyectos en etapa de ejecución como  Hidroituango</w:t>
      </w:r>
      <w:r w:rsidRPr="0011752D">
        <w:rPr>
          <w:rFonts w:ascii="Arial" w:hAnsi="Arial"/>
          <w:sz w:val="22"/>
          <w:vertAlign w:val="superscript"/>
          <w:lang w:val="es-ES" w:eastAsia="es-CO"/>
        </w:rPr>
        <w:footnoteReference w:id="21"/>
      </w:r>
      <w:r w:rsidRPr="0011752D">
        <w:rPr>
          <w:rFonts w:ascii="Arial" w:hAnsi="Arial"/>
          <w:sz w:val="22"/>
          <w:lang w:val="es-ES" w:eastAsia="es-CO"/>
        </w:rPr>
        <w:t>.</w:t>
      </w:r>
    </w:p>
    <w:p w14:paraId="2341A7F1" w14:textId="77777777" w:rsidR="0011752D" w:rsidRPr="0011752D" w:rsidRDefault="0011752D" w:rsidP="0011752D">
      <w:pPr>
        <w:spacing w:before="120" w:after="120"/>
        <w:ind w:left="720"/>
        <w:jc w:val="center"/>
        <w:rPr>
          <w:rFonts w:ascii="Arial" w:hAnsi="Arial"/>
          <w:b/>
          <w:sz w:val="22"/>
          <w:lang w:val="es-CO"/>
        </w:rPr>
      </w:pPr>
      <w:bookmarkStart w:id="57" w:name="_Ref472585914"/>
      <w:bookmarkStart w:id="58" w:name="_Toc474797051"/>
      <w:r w:rsidRPr="0011752D">
        <w:rPr>
          <w:rFonts w:ascii="Arial" w:hAnsi="Arial"/>
          <w:b/>
          <w:sz w:val="22"/>
          <w:lang w:val="es-CO"/>
        </w:rPr>
        <w:t xml:space="preserve">Ilustración </w:t>
      </w:r>
      <w:r w:rsidRPr="0011752D">
        <w:rPr>
          <w:rFonts w:ascii="Arial" w:hAnsi="Arial"/>
          <w:b/>
          <w:bCs/>
          <w:sz w:val="22"/>
          <w:lang w:val="es-CO"/>
        </w:rPr>
        <w:fldChar w:fldCharType="begin"/>
      </w:r>
      <w:r w:rsidRPr="0011752D">
        <w:rPr>
          <w:rFonts w:ascii="Arial" w:hAnsi="Arial"/>
          <w:b/>
          <w:bCs/>
          <w:sz w:val="22"/>
          <w:lang w:val="es-CO"/>
        </w:rPr>
        <w:instrText xml:space="preserve"> SEQ Ilustración \* ARABIC </w:instrText>
      </w:r>
      <w:r w:rsidRPr="0011752D">
        <w:rPr>
          <w:rFonts w:ascii="Arial" w:hAnsi="Arial"/>
          <w:b/>
          <w:bCs/>
          <w:sz w:val="22"/>
          <w:lang w:val="es-CO"/>
        </w:rPr>
        <w:fldChar w:fldCharType="separate"/>
      </w:r>
      <w:r w:rsidRPr="0011752D">
        <w:rPr>
          <w:rFonts w:ascii="Arial" w:hAnsi="Arial"/>
          <w:b/>
          <w:bCs/>
          <w:noProof/>
          <w:sz w:val="22"/>
          <w:lang w:val="es-CO"/>
        </w:rPr>
        <w:t>7</w:t>
      </w:r>
      <w:r w:rsidRPr="0011752D">
        <w:rPr>
          <w:rFonts w:ascii="Arial" w:hAnsi="Arial"/>
          <w:b/>
          <w:bCs/>
          <w:sz w:val="22"/>
          <w:lang w:val="es-CO"/>
        </w:rPr>
        <w:fldChar w:fldCharType="end"/>
      </w:r>
      <w:bookmarkEnd w:id="57"/>
      <w:r w:rsidRPr="0011752D">
        <w:rPr>
          <w:rFonts w:ascii="Arial" w:hAnsi="Arial"/>
          <w:b/>
          <w:sz w:val="22"/>
          <w:lang w:val="es-CO"/>
        </w:rPr>
        <w:t xml:space="preserve"> – Potencial composición de la matriz de generación con y sin FNCER</w:t>
      </w:r>
      <w:bookmarkEnd w:id="58"/>
    </w:p>
    <w:tbl>
      <w:tblPr>
        <w:tblStyle w:val="TableGrid"/>
        <w:tblW w:w="0" w:type="auto"/>
        <w:tblLook w:val="04A0" w:firstRow="1" w:lastRow="0" w:firstColumn="1" w:lastColumn="0" w:noHBand="0" w:noVBand="1"/>
      </w:tblPr>
      <w:tblGrid>
        <w:gridCol w:w="4386"/>
        <w:gridCol w:w="4254"/>
      </w:tblGrid>
      <w:tr w:rsidR="0011752D" w:rsidRPr="005E03D2" w14:paraId="2341A7F6" w14:textId="77777777" w:rsidTr="00390762">
        <w:tc>
          <w:tcPr>
            <w:tcW w:w="4414" w:type="dxa"/>
            <w:tcBorders>
              <w:top w:val="nil"/>
              <w:left w:val="nil"/>
              <w:bottom w:val="nil"/>
              <w:right w:val="nil"/>
            </w:tcBorders>
          </w:tcPr>
          <w:p w14:paraId="2341A7F2" w14:textId="77777777" w:rsidR="0011752D" w:rsidRPr="0011752D" w:rsidRDefault="0011752D" w:rsidP="0011752D">
            <w:pPr>
              <w:jc w:val="center"/>
              <w:rPr>
                <w:rFonts w:ascii="Arial" w:hAnsi="Arial"/>
                <w:b/>
                <w:sz w:val="20"/>
                <w:lang w:val="es-ES"/>
              </w:rPr>
            </w:pPr>
            <w:r w:rsidRPr="0011752D">
              <w:rPr>
                <w:rFonts w:ascii="Arial" w:hAnsi="Arial"/>
                <w:b/>
                <w:sz w:val="20"/>
                <w:lang w:val="es-ES"/>
              </w:rPr>
              <w:t>Escenario de Referencia</w:t>
            </w:r>
          </w:p>
          <w:p w14:paraId="2341A7F3" w14:textId="77777777" w:rsidR="0011752D" w:rsidRPr="0011752D" w:rsidRDefault="0011752D" w:rsidP="0011752D">
            <w:pPr>
              <w:jc w:val="center"/>
              <w:rPr>
                <w:rFonts w:ascii="Arial" w:hAnsi="Arial"/>
                <w:sz w:val="20"/>
                <w:lang w:val="es-ES"/>
              </w:rPr>
            </w:pPr>
            <w:r w:rsidRPr="0011752D">
              <w:rPr>
                <w:rFonts w:ascii="Arial" w:hAnsi="Arial"/>
                <w:sz w:val="20"/>
                <w:lang w:val="es-ES"/>
              </w:rPr>
              <w:t>Capacidad instalada 22.179 MW</w:t>
            </w:r>
          </w:p>
        </w:tc>
        <w:tc>
          <w:tcPr>
            <w:tcW w:w="4414" w:type="dxa"/>
            <w:tcBorders>
              <w:top w:val="nil"/>
              <w:left w:val="nil"/>
              <w:bottom w:val="nil"/>
              <w:right w:val="nil"/>
            </w:tcBorders>
          </w:tcPr>
          <w:p w14:paraId="2341A7F4" w14:textId="77777777" w:rsidR="0011752D" w:rsidRPr="0011752D" w:rsidRDefault="0011752D" w:rsidP="0011752D">
            <w:pPr>
              <w:jc w:val="center"/>
              <w:rPr>
                <w:rFonts w:ascii="Arial" w:hAnsi="Arial"/>
                <w:b/>
                <w:sz w:val="20"/>
                <w:lang w:val="es-ES"/>
              </w:rPr>
            </w:pPr>
            <w:r w:rsidRPr="0011752D">
              <w:rPr>
                <w:rFonts w:ascii="Arial" w:hAnsi="Arial"/>
                <w:b/>
                <w:sz w:val="20"/>
                <w:lang w:val="es-ES"/>
              </w:rPr>
              <w:t>Escenario con FNCER</w:t>
            </w:r>
          </w:p>
          <w:p w14:paraId="2341A7F5" w14:textId="77777777" w:rsidR="0011752D" w:rsidRPr="0011752D" w:rsidRDefault="0011752D" w:rsidP="0011752D">
            <w:pPr>
              <w:jc w:val="center"/>
              <w:rPr>
                <w:rFonts w:ascii="Arial" w:hAnsi="Arial"/>
                <w:b/>
                <w:sz w:val="20"/>
                <w:lang w:val="es-ES"/>
              </w:rPr>
            </w:pPr>
            <w:r w:rsidRPr="0011752D">
              <w:rPr>
                <w:rFonts w:ascii="Arial" w:hAnsi="Arial"/>
                <w:sz w:val="20"/>
                <w:lang w:val="es-ES"/>
              </w:rPr>
              <w:t>Capacidad instalada 23.087 MW</w:t>
            </w:r>
          </w:p>
        </w:tc>
      </w:tr>
      <w:tr w:rsidR="0011752D" w:rsidRPr="0011752D" w14:paraId="2341A7F9" w14:textId="77777777" w:rsidTr="00390762">
        <w:tc>
          <w:tcPr>
            <w:tcW w:w="4414" w:type="dxa"/>
            <w:tcBorders>
              <w:top w:val="nil"/>
              <w:left w:val="single" w:sz="4" w:space="0" w:color="FFFFFF" w:themeColor="background1"/>
              <w:bottom w:val="single" w:sz="4" w:space="0" w:color="FFFFFF" w:themeColor="background1"/>
              <w:right w:val="single" w:sz="4" w:space="0" w:color="FFFFFF" w:themeColor="background1"/>
            </w:tcBorders>
          </w:tcPr>
          <w:p w14:paraId="2341A7F7" w14:textId="77777777" w:rsidR="0011752D" w:rsidRPr="0011752D" w:rsidRDefault="0011752D" w:rsidP="0011752D">
            <w:pPr>
              <w:spacing w:before="240" w:after="240"/>
              <w:jc w:val="center"/>
              <w:rPr>
                <w:rFonts w:ascii="Arial" w:hAnsi="Arial"/>
                <w:sz w:val="20"/>
                <w:lang w:val="es-ES"/>
              </w:rPr>
            </w:pPr>
            <w:r w:rsidRPr="0011752D">
              <w:rPr>
                <w:rFonts w:ascii="Arial" w:hAnsi="Arial"/>
                <w:noProof/>
                <w:sz w:val="22"/>
                <w:lang w:val="es-US" w:eastAsia="zh-CN"/>
              </w:rPr>
              <w:drawing>
                <wp:inline distT="0" distB="0" distL="0" distR="0" wp14:anchorId="2341BDB6" wp14:editId="2341BDB7">
                  <wp:extent cx="2059632" cy="1661160"/>
                  <wp:effectExtent l="0" t="0" r="0" b="0"/>
                  <wp:docPr id="2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2063045" cy="1663913"/>
                          </a:xfrm>
                          <a:prstGeom prst="rect">
                            <a:avLst/>
                          </a:prstGeom>
                        </pic:spPr>
                      </pic:pic>
                    </a:graphicData>
                  </a:graphic>
                </wp:inline>
              </w:drawing>
            </w:r>
          </w:p>
        </w:tc>
        <w:tc>
          <w:tcPr>
            <w:tcW w:w="4414" w:type="dxa"/>
            <w:tcBorders>
              <w:top w:val="nil"/>
              <w:left w:val="single" w:sz="4" w:space="0" w:color="FFFFFF" w:themeColor="background1"/>
              <w:bottom w:val="single" w:sz="4" w:space="0" w:color="FFFFFF" w:themeColor="background1"/>
              <w:right w:val="single" w:sz="4" w:space="0" w:color="FFFFFF" w:themeColor="background1"/>
            </w:tcBorders>
          </w:tcPr>
          <w:p w14:paraId="2341A7F8" w14:textId="77777777" w:rsidR="0011752D" w:rsidRPr="0011752D" w:rsidRDefault="0011752D" w:rsidP="0011752D">
            <w:pPr>
              <w:spacing w:before="240" w:after="240"/>
              <w:jc w:val="center"/>
              <w:rPr>
                <w:rFonts w:ascii="Arial" w:hAnsi="Arial"/>
                <w:sz w:val="20"/>
                <w:lang w:val="es-ES"/>
              </w:rPr>
            </w:pPr>
            <w:r w:rsidRPr="0011752D">
              <w:rPr>
                <w:rFonts w:ascii="Arial" w:hAnsi="Arial"/>
                <w:noProof/>
                <w:sz w:val="22"/>
                <w:lang w:val="es-US" w:eastAsia="zh-CN"/>
              </w:rPr>
              <w:drawing>
                <wp:inline distT="0" distB="0" distL="0" distR="0" wp14:anchorId="2341BDB8" wp14:editId="2341BDB9">
                  <wp:extent cx="2035935" cy="1661160"/>
                  <wp:effectExtent l="0" t="0" r="2540" b="0"/>
                  <wp:docPr id="2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2050119" cy="1672733"/>
                          </a:xfrm>
                          <a:prstGeom prst="rect">
                            <a:avLst/>
                          </a:prstGeom>
                        </pic:spPr>
                      </pic:pic>
                    </a:graphicData>
                  </a:graphic>
                </wp:inline>
              </w:drawing>
            </w:r>
          </w:p>
        </w:tc>
      </w:tr>
      <w:tr w:rsidR="0011752D" w:rsidRPr="0011752D" w14:paraId="2341A7FB" w14:textId="77777777" w:rsidTr="00390762">
        <w:tc>
          <w:tcPr>
            <w:tcW w:w="882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341A7FA" w14:textId="77777777" w:rsidR="0011752D" w:rsidRPr="0011752D" w:rsidRDefault="0011752D" w:rsidP="0011752D">
            <w:pPr>
              <w:spacing w:before="240" w:after="240"/>
              <w:jc w:val="center"/>
              <w:rPr>
                <w:rFonts w:ascii="Arial" w:hAnsi="Arial"/>
                <w:sz w:val="20"/>
                <w:lang w:val="es-ES"/>
              </w:rPr>
            </w:pPr>
            <w:r w:rsidRPr="0011752D">
              <w:rPr>
                <w:rFonts w:ascii="Arial" w:hAnsi="Arial"/>
                <w:noProof/>
                <w:sz w:val="22"/>
                <w:lang w:val="es-US" w:eastAsia="zh-CN"/>
              </w:rPr>
              <w:drawing>
                <wp:inline distT="0" distB="0" distL="0" distR="0" wp14:anchorId="2341BDBA" wp14:editId="2341BDBB">
                  <wp:extent cx="5120640" cy="232335"/>
                  <wp:effectExtent l="0" t="0" r="0" b="0"/>
                  <wp:docPr id="3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149781" cy="233657"/>
                          </a:xfrm>
                          <a:prstGeom prst="rect">
                            <a:avLst/>
                          </a:prstGeom>
                        </pic:spPr>
                      </pic:pic>
                    </a:graphicData>
                  </a:graphic>
                </wp:inline>
              </w:drawing>
            </w:r>
          </w:p>
        </w:tc>
      </w:tr>
    </w:tbl>
    <w:p w14:paraId="2341A7FC" w14:textId="77777777" w:rsidR="0011752D" w:rsidRPr="0011752D" w:rsidRDefault="0011752D" w:rsidP="0011752D">
      <w:pPr>
        <w:jc w:val="center"/>
        <w:rPr>
          <w:rFonts w:ascii="Arial" w:hAnsi="Arial"/>
          <w:sz w:val="18"/>
          <w:szCs w:val="18"/>
          <w:lang w:val="es-ES"/>
        </w:rPr>
      </w:pPr>
      <w:r w:rsidRPr="0011752D">
        <w:rPr>
          <w:rFonts w:ascii="Arial" w:hAnsi="Arial"/>
          <w:sz w:val="18"/>
          <w:szCs w:val="18"/>
          <w:lang w:val="es-ES"/>
        </w:rPr>
        <w:lastRenderedPageBreak/>
        <w:t>Fuente: Elaborado con base en información del Plan de Expansión de Referencia Generación Transmisión 2015 – 2029 de la UPME</w:t>
      </w:r>
    </w:p>
    <w:p w14:paraId="2341A7FD" w14:textId="77777777" w:rsidR="0011752D" w:rsidRPr="0011752D" w:rsidRDefault="0011752D" w:rsidP="0011752D">
      <w:pPr>
        <w:spacing w:before="240" w:after="240"/>
        <w:jc w:val="both"/>
        <w:rPr>
          <w:rFonts w:ascii="Arial" w:hAnsi="Arial"/>
          <w:sz w:val="22"/>
          <w:lang w:val="es-ES" w:eastAsia="es-CO"/>
        </w:rPr>
      </w:pPr>
      <w:r w:rsidRPr="0011752D">
        <w:rPr>
          <w:rFonts w:ascii="Arial" w:hAnsi="Arial"/>
          <w:sz w:val="22"/>
          <w:lang w:val="es-ES" w:eastAsia="es-CO"/>
        </w:rPr>
        <w:t xml:space="preserve">Los escenarios consideran un aumento de la capacidad instalada de generación concentrada entre los años 2017 y 2022. La </w:t>
      </w:r>
      <w:r w:rsidRPr="0011752D">
        <w:rPr>
          <w:rFonts w:ascii="Arial" w:hAnsi="Arial"/>
          <w:sz w:val="22"/>
          <w:lang w:val="es-ES" w:eastAsia="es-CO"/>
        </w:rPr>
        <w:fldChar w:fldCharType="begin"/>
      </w:r>
      <w:r w:rsidRPr="0011752D">
        <w:rPr>
          <w:rFonts w:ascii="Arial" w:hAnsi="Arial"/>
          <w:sz w:val="22"/>
          <w:lang w:val="es-ES" w:eastAsia="es-CO"/>
        </w:rPr>
        <w:instrText xml:space="preserve"> REF _Ref472064393 \h </w:instrText>
      </w:r>
      <w:r w:rsidRPr="0011752D">
        <w:rPr>
          <w:rFonts w:ascii="Arial" w:hAnsi="Arial"/>
          <w:sz w:val="22"/>
          <w:lang w:val="es-ES" w:eastAsia="es-CO"/>
        </w:rPr>
      </w:r>
      <w:r w:rsidRPr="0011752D">
        <w:rPr>
          <w:rFonts w:ascii="Arial" w:hAnsi="Arial"/>
          <w:sz w:val="22"/>
          <w:lang w:val="es-ES" w:eastAsia="es-CO"/>
        </w:rPr>
        <w:fldChar w:fldCharType="separate"/>
      </w:r>
      <w:r w:rsidRPr="0011752D">
        <w:rPr>
          <w:rFonts w:ascii="Arial" w:hAnsi="Arial"/>
          <w:b/>
          <w:sz w:val="22"/>
          <w:lang w:val="es-CO"/>
        </w:rPr>
        <w:t xml:space="preserve">Ilustración </w:t>
      </w:r>
      <w:r w:rsidRPr="0011752D">
        <w:rPr>
          <w:rFonts w:ascii="Arial" w:hAnsi="Arial"/>
          <w:b/>
          <w:bCs/>
          <w:noProof/>
          <w:sz w:val="22"/>
          <w:lang w:val="es-CO"/>
        </w:rPr>
        <w:t>8</w:t>
      </w:r>
      <w:r w:rsidRPr="0011752D">
        <w:rPr>
          <w:rFonts w:ascii="Arial" w:hAnsi="Arial"/>
          <w:sz w:val="22"/>
          <w:lang w:val="es-ES" w:eastAsia="es-CO"/>
        </w:rPr>
        <w:fldChar w:fldCharType="end"/>
      </w:r>
      <w:r w:rsidRPr="0011752D">
        <w:rPr>
          <w:rFonts w:ascii="Arial" w:hAnsi="Arial"/>
          <w:sz w:val="22"/>
          <w:lang w:val="es-ES" w:eastAsia="es-CO"/>
        </w:rPr>
        <w:t xml:space="preserve"> muestra el comportamiento esperado en los costos marginales de generación. Se aprecia en ambos casos una caída en el precio a partir del 2019 debido a la entrada en operación de Hidroituango, sin embargo, a partir de ese mismo año se aprecia un menor costo de la generación en el escenario de FNCER debido a la nueva capacidad instalada de cogeneración, energía solar y eólica. Los dos escenarios mantienen un diferencial promedio de costos marginales de 13,8 $USD/MWh en el resto del horizonte de proyección.</w:t>
      </w:r>
    </w:p>
    <w:p w14:paraId="2341A7FE" w14:textId="77777777" w:rsidR="0011752D" w:rsidRPr="0011752D" w:rsidRDefault="0011752D" w:rsidP="0011752D">
      <w:pPr>
        <w:spacing w:before="240" w:after="240"/>
        <w:ind w:left="720"/>
        <w:jc w:val="center"/>
        <w:rPr>
          <w:rFonts w:ascii="Arial" w:hAnsi="Arial"/>
          <w:b/>
          <w:sz w:val="22"/>
          <w:lang w:val="es-CO"/>
        </w:rPr>
      </w:pPr>
      <w:bookmarkStart w:id="59" w:name="_Ref472064393"/>
      <w:bookmarkStart w:id="60" w:name="_Toc474797052"/>
      <w:r w:rsidRPr="0011752D">
        <w:rPr>
          <w:rFonts w:ascii="Arial" w:hAnsi="Arial"/>
          <w:b/>
          <w:sz w:val="22"/>
          <w:lang w:val="es-CO"/>
        </w:rPr>
        <w:t xml:space="preserve">Ilustración </w:t>
      </w:r>
      <w:r w:rsidRPr="0011752D">
        <w:rPr>
          <w:rFonts w:ascii="Arial" w:hAnsi="Arial"/>
          <w:b/>
          <w:bCs/>
          <w:sz w:val="22"/>
          <w:lang w:val="es-CO"/>
        </w:rPr>
        <w:fldChar w:fldCharType="begin"/>
      </w:r>
      <w:r w:rsidRPr="0011752D">
        <w:rPr>
          <w:rFonts w:ascii="Arial" w:hAnsi="Arial"/>
          <w:b/>
          <w:bCs/>
          <w:sz w:val="22"/>
          <w:lang w:val="es-CO"/>
        </w:rPr>
        <w:instrText xml:space="preserve"> SEQ Ilustración \* ARABIC </w:instrText>
      </w:r>
      <w:r w:rsidRPr="0011752D">
        <w:rPr>
          <w:rFonts w:ascii="Arial" w:hAnsi="Arial"/>
          <w:b/>
          <w:bCs/>
          <w:sz w:val="22"/>
          <w:lang w:val="es-CO"/>
        </w:rPr>
        <w:fldChar w:fldCharType="separate"/>
      </w:r>
      <w:r w:rsidRPr="0011752D">
        <w:rPr>
          <w:rFonts w:ascii="Arial" w:hAnsi="Arial"/>
          <w:b/>
          <w:bCs/>
          <w:noProof/>
          <w:sz w:val="22"/>
          <w:lang w:val="es-CO"/>
        </w:rPr>
        <w:t>8</w:t>
      </w:r>
      <w:r w:rsidRPr="0011752D">
        <w:rPr>
          <w:rFonts w:ascii="Arial" w:hAnsi="Arial"/>
          <w:b/>
          <w:bCs/>
          <w:sz w:val="22"/>
          <w:lang w:val="es-CO"/>
        </w:rPr>
        <w:fldChar w:fldCharType="end"/>
      </w:r>
      <w:bookmarkEnd w:id="59"/>
      <w:r w:rsidRPr="0011752D">
        <w:rPr>
          <w:rFonts w:ascii="Arial" w:hAnsi="Arial"/>
          <w:b/>
          <w:sz w:val="22"/>
          <w:lang w:val="es-CO"/>
        </w:rPr>
        <w:t xml:space="preserve"> – Proyección de costos marginales de generación según escenario</w:t>
      </w:r>
      <w:bookmarkEnd w:id="60"/>
    </w:p>
    <w:p w14:paraId="2341A7FF" w14:textId="77777777" w:rsidR="0011752D" w:rsidRPr="0011752D" w:rsidRDefault="0011752D" w:rsidP="0011752D">
      <w:pPr>
        <w:spacing w:before="240" w:after="240"/>
        <w:jc w:val="center"/>
        <w:rPr>
          <w:rFonts w:ascii="Arial" w:hAnsi="Arial"/>
          <w:sz w:val="20"/>
          <w:lang w:val="es-ES"/>
        </w:rPr>
      </w:pPr>
      <w:r w:rsidRPr="0011752D">
        <w:rPr>
          <w:rFonts w:ascii="Arial" w:hAnsi="Arial"/>
          <w:noProof/>
          <w:sz w:val="22"/>
          <w:lang w:val="es-US" w:eastAsia="zh-CN"/>
        </w:rPr>
        <w:drawing>
          <wp:inline distT="0" distB="0" distL="0" distR="0" wp14:anchorId="2341BDBC" wp14:editId="2341BDBD">
            <wp:extent cx="5433060" cy="2348916"/>
            <wp:effectExtent l="0" t="0" r="0" b="0"/>
            <wp:docPr id="31"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5440179" cy="2351994"/>
                    </a:xfrm>
                    <a:prstGeom prst="rect">
                      <a:avLst/>
                    </a:prstGeom>
                  </pic:spPr>
                </pic:pic>
              </a:graphicData>
            </a:graphic>
          </wp:inline>
        </w:drawing>
      </w:r>
    </w:p>
    <w:p w14:paraId="2341A800" w14:textId="77777777" w:rsidR="0011752D" w:rsidRPr="0011752D" w:rsidRDefault="0011752D" w:rsidP="0011752D">
      <w:pPr>
        <w:rPr>
          <w:rFonts w:ascii="Arial" w:hAnsi="Arial"/>
          <w:sz w:val="18"/>
          <w:szCs w:val="18"/>
          <w:lang w:val="es-ES"/>
        </w:rPr>
      </w:pPr>
      <w:r w:rsidRPr="0011752D">
        <w:rPr>
          <w:rFonts w:ascii="Arial" w:hAnsi="Arial"/>
          <w:sz w:val="18"/>
          <w:szCs w:val="18"/>
          <w:lang w:val="es-ES"/>
        </w:rPr>
        <w:t>Fuente: Elaborado con base en información del Plan de Expansión de Referencia Generación Transmisión 2015 – 2029 de la UPME</w:t>
      </w:r>
    </w:p>
    <w:p w14:paraId="2341A801" w14:textId="77777777" w:rsidR="0011752D" w:rsidRPr="0011752D" w:rsidRDefault="0011752D" w:rsidP="0011752D">
      <w:pPr>
        <w:spacing w:before="60"/>
        <w:rPr>
          <w:rFonts w:ascii="Arial" w:hAnsi="Arial"/>
          <w:sz w:val="20"/>
          <w:lang w:val="es-ES"/>
        </w:rPr>
      </w:pPr>
      <w:r w:rsidRPr="0011752D">
        <w:rPr>
          <w:rFonts w:ascii="Arial" w:hAnsi="Arial"/>
          <w:sz w:val="20"/>
          <w:lang w:val="es-ES"/>
        </w:rPr>
        <w:t>Nota: los precios graficados corresponden a USD$ de 2016 (datos originales en $USD de 2014 fueron deflactados con el PPI de EE.UU.)</w:t>
      </w:r>
    </w:p>
    <w:p w14:paraId="2341A802" w14:textId="77777777" w:rsidR="0011752D" w:rsidRPr="0011752D" w:rsidRDefault="0011752D" w:rsidP="0011752D">
      <w:pPr>
        <w:spacing w:before="240" w:after="240"/>
        <w:jc w:val="both"/>
        <w:rPr>
          <w:rFonts w:ascii="Arial" w:hAnsi="Arial"/>
          <w:sz w:val="22"/>
          <w:lang w:val="es-ES" w:eastAsia="es-CO"/>
        </w:rPr>
      </w:pPr>
      <w:r w:rsidRPr="0011752D">
        <w:rPr>
          <w:rFonts w:ascii="Arial" w:hAnsi="Arial"/>
          <w:sz w:val="22"/>
          <w:lang w:val="es-ES" w:eastAsia="es-CO"/>
        </w:rPr>
        <w:t>Los beneficios económicos esperados en cada año, calculados como la diferencia entre los costos marginales sin FNCER y con FNCER multiplicada por la demanda de generación proyectada, se resumen a continuación</w:t>
      </w:r>
      <w:r w:rsidRPr="0011752D">
        <w:rPr>
          <w:rFonts w:ascii="Arial" w:hAnsi="Arial"/>
          <w:sz w:val="22"/>
          <w:vertAlign w:val="superscript"/>
          <w:lang w:val="es-ES" w:eastAsia="es-CO"/>
        </w:rPr>
        <w:footnoteReference w:id="22"/>
      </w:r>
      <w:r w:rsidRPr="0011752D">
        <w:rPr>
          <w:rFonts w:ascii="Arial" w:hAnsi="Arial"/>
          <w:sz w:val="22"/>
          <w:lang w:val="es-ES" w:eastAsia="es-CO"/>
        </w:rPr>
        <w:t xml:space="preserve">.  </w:t>
      </w:r>
    </w:p>
    <w:p w14:paraId="2341A803" w14:textId="77777777" w:rsidR="0011752D" w:rsidRPr="0011752D" w:rsidRDefault="0011752D" w:rsidP="0011752D">
      <w:pPr>
        <w:spacing w:before="240" w:after="240"/>
        <w:ind w:left="720"/>
        <w:jc w:val="center"/>
        <w:rPr>
          <w:rFonts w:ascii="Arial" w:hAnsi="Arial"/>
          <w:b/>
          <w:sz w:val="22"/>
          <w:lang w:val="es-CO"/>
        </w:rPr>
      </w:pPr>
      <w:bookmarkStart w:id="61" w:name="_Toc474797055"/>
    </w:p>
    <w:p w14:paraId="2341A804" w14:textId="77777777" w:rsidR="0011752D" w:rsidRPr="0011752D" w:rsidRDefault="0011752D" w:rsidP="0011752D">
      <w:pPr>
        <w:spacing w:before="240" w:after="240"/>
        <w:ind w:left="720"/>
        <w:jc w:val="center"/>
        <w:rPr>
          <w:rFonts w:ascii="Arial" w:hAnsi="Arial"/>
          <w:b/>
          <w:sz w:val="22"/>
          <w:lang w:val="es-CO"/>
        </w:rPr>
      </w:pPr>
    </w:p>
    <w:p w14:paraId="2341A805" w14:textId="77777777" w:rsidR="0011752D" w:rsidRPr="0011752D" w:rsidRDefault="0011752D" w:rsidP="0011752D">
      <w:pPr>
        <w:spacing w:before="240" w:after="240"/>
        <w:ind w:left="720"/>
        <w:jc w:val="center"/>
        <w:rPr>
          <w:rFonts w:ascii="Arial" w:hAnsi="Arial"/>
          <w:b/>
          <w:sz w:val="22"/>
          <w:lang w:val="es-CO"/>
        </w:rPr>
      </w:pPr>
    </w:p>
    <w:p w14:paraId="2341A806" w14:textId="77777777" w:rsidR="0011752D" w:rsidRPr="0011752D" w:rsidRDefault="0011752D" w:rsidP="0011752D">
      <w:pPr>
        <w:spacing w:before="240" w:after="240"/>
        <w:ind w:left="720"/>
        <w:jc w:val="center"/>
        <w:rPr>
          <w:rFonts w:ascii="Arial" w:hAnsi="Arial"/>
          <w:b/>
          <w:sz w:val="22"/>
          <w:lang w:val="es-CO"/>
        </w:rPr>
      </w:pPr>
    </w:p>
    <w:p w14:paraId="2341A807" w14:textId="77777777" w:rsidR="0011752D" w:rsidRPr="0011752D" w:rsidRDefault="0011752D" w:rsidP="0011752D">
      <w:pPr>
        <w:spacing w:before="240" w:after="240"/>
        <w:ind w:left="720"/>
        <w:jc w:val="center"/>
        <w:rPr>
          <w:rFonts w:ascii="Arial" w:hAnsi="Arial"/>
          <w:b/>
          <w:sz w:val="22"/>
          <w:lang w:val="es-CO"/>
        </w:rPr>
      </w:pPr>
    </w:p>
    <w:p w14:paraId="2341A808" w14:textId="77777777" w:rsidR="0011752D" w:rsidRPr="0011752D" w:rsidRDefault="0011752D" w:rsidP="0011752D">
      <w:pPr>
        <w:spacing w:before="240" w:after="240"/>
        <w:ind w:left="720"/>
        <w:jc w:val="center"/>
        <w:rPr>
          <w:rFonts w:ascii="Arial" w:hAnsi="Arial"/>
          <w:b/>
          <w:sz w:val="22"/>
          <w:lang w:val="es-CO"/>
        </w:rPr>
      </w:pPr>
      <w:r w:rsidRPr="0011752D">
        <w:rPr>
          <w:rFonts w:ascii="Arial" w:hAnsi="Arial"/>
          <w:b/>
          <w:sz w:val="22"/>
          <w:lang w:val="es-CO"/>
        </w:rPr>
        <w:t xml:space="preserve">Tabla </w:t>
      </w:r>
      <w:r w:rsidRPr="0011752D">
        <w:rPr>
          <w:rFonts w:ascii="Arial" w:hAnsi="Arial"/>
          <w:b/>
          <w:sz w:val="22"/>
          <w:lang w:val="es-CO"/>
        </w:rPr>
        <w:fldChar w:fldCharType="begin"/>
      </w:r>
      <w:r w:rsidRPr="0011752D">
        <w:rPr>
          <w:rFonts w:ascii="Arial" w:hAnsi="Arial"/>
          <w:b/>
          <w:sz w:val="22"/>
          <w:lang w:val="es-CO"/>
        </w:rPr>
        <w:instrText xml:space="preserve"> SEQ Tabla \* ARABIC </w:instrText>
      </w:r>
      <w:r w:rsidRPr="0011752D">
        <w:rPr>
          <w:rFonts w:ascii="Arial" w:hAnsi="Arial"/>
          <w:b/>
          <w:sz w:val="22"/>
          <w:lang w:val="es-CO"/>
        </w:rPr>
        <w:fldChar w:fldCharType="separate"/>
      </w:r>
      <w:r w:rsidRPr="0011752D">
        <w:rPr>
          <w:rFonts w:ascii="Arial" w:hAnsi="Arial"/>
          <w:b/>
          <w:noProof/>
          <w:sz w:val="22"/>
          <w:lang w:val="es-CO"/>
        </w:rPr>
        <w:t>1</w:t>
      </w:r>
      <w:r w:rsidRPr="0011752D">
        <w:rPr>
          <w:rFonts w:ascii="Arial" w:hAnsi="Arial"/>
          <w:b/>
          <w:sz w:val="22"/>
          <w:lang w:val="es-CO"/>
        </w:rPr>
        <w:fldChar w:fldCharType="end"/>
      </w:r>
      <w:r w:rsidRPr="0011752D">
        <w:rPr>
          <w:rFonts w:ascii="Arial" w:hAnsi="Arial"/>
          <w:b/>
          <w:sz w:val="22"/>
          <w:lang w:val="es-CO"/>
        </w:rPr>
        <w:t xml:space="preserve"> – Evaluación de beneficios por menores costos marginales de generación</w:t>
      </w:r>
      <w:bookmarkEnd w:id="61"/>
    </w:p>
    <w:tbl>
      <w:tblPr>
        <w:tblW w:w="5000" w:type="pct"/>
        <w:tblLayout w:type="fixed"/>
        <w:tblCellMar>
          <w:left w:w="70" w:type="dxa"/>
          <w:right w:w="70" w:type="dxa"/>
        </w:tblCellMar>
        <w:tblLook w:val="04A0" w:firstRow="1" w:lastRow="0" w:firstColumn="1" w:lastColumn="0" w:noHBand="0" w:noVBand="1"/>
      </w:tblPr>
      <w:tblGrid>
        <w:gridCol w:w="1387"/>
        <w:gridCol w:w="516"/>
        <w:gridCol w:w="178"/>
        <w:gridCol w:w="340"/>
        <w:gridCol w:w="192"/>
        <w:gridCol w:w="327"/>
        <w:gridCol w:w="109"/>
        <w:gridCol w:w="410"/>
        <w:gridCol w:w="71"/>
        <w:gridCol w:w="448"/>
        <w:gridCol w:w="33"/>
        <w:gridCol w:w="480"/>
        <w:gridCol w:w="6"/>
        <w:gridCol w:w="475"/>
        <w:gridCol w:w="43"/>
        <w:gridCol w:w="437"/>
        <w:gridCol w:w="81"/>
        <w:gridCol w:w="451"/>
        <w:gridCol w:w="67"/>
        <w:gridCol w:w="465"/>
        <w:gridCol w:w="54"/>
        <w:gridCol w:w="479"/>
        <w:gridCol w:w="40"/>
        <w:gridCol w:w="492"/>
        <w:gridCol w:w="26"/>
        <w:gridCol w:w="506"/>
        <w:gridCol w:w="12"/>
        <w:gridCol w:w="515"/>
      </w:tblGrid>
      <w:tr w:rsidR="0011752D" w:rsidRPr="0011752D" w14:paraId="2341A818" w14:textId="77777777" w:rsidTr="00390762">
        <w:trPr>
          <w:trHeight w:val="300"/>
        </w:trPr>
        <w:tc>
          <w:tcPr>
            <w:tcW w:w="803" w:type="pct"/>
            <w:tcBorders>
              <w:top w:val="nil"/>
              <w:left w:val="nil"/>
              <w:bottom w:val="single" w:sz="4" w:space="0" w:color="auto"/>
              <w:right w:val="nil"/>
            </w:tcBorders>
            <w:shd w:val="clear" w:color="auto" w:fill="auto"/>
            <w:noWrap/>
            <w:vAlign w:val="bottom"/>
            <w:hideMark/>
          </w:tcPr>
          <w:p w14:paraId="2341A809" w14:textId="77777777" w:rsidR="0011752D" w:rsidRPr="0011752D" w:rsidRDefault="0011752D" w:rsidP="0011752D">
            <w:pPr>
              <w:rPr>
                <w:rFonts w:ascii="Calibri" w:hAnsi="Calibri" w:cs="Calibri"/>
                <w:color w:val="000000"/>
                <w:sz w:val="12"/>
                <w:szCs w:val="22"/>
                <w:lang w:val="es-CO" w:eastAsia="es-CO"/>
              </w:rPr>
            </w:pPr>
            <w:r w:rsidRPr="0011752D">
              <w:rPr>
                <w:rFonts w:ascii="Calibri" w:hAnsi="Calibri" w:cs="Calibri"/>
                <w:color w:val="000000"/>
                <w:sz w:val="12"/>
                <w:szCs w:val="22"/>
                <w:lang w:val="es-CO" w:eastAsia="es-CO"/>
              </w:rPr>
              <w:t> </w:t>
            </w:r>
            <w:r w:rsidRPr="0011752D">
              <w:rPr>
                <w:rFonts w:ascii="Calibri" w:hAnsi="Calibri" w:cs="Calibri"/>
                <w:b/>
                <w:bCs/>
                <w:color w:val="000000"/>
                <w:sz w:val="12"/>
                <w:szCs w:val="22"/>
                <w:lang w:val="es-CO" w:eastAsia="es-CO"/>
              </w:rPr>
              <w:t>Costo marginal de generación USD$/MWh</w:t>
            </w:r>
          </w:p>
        </w:tc>
        <w:tc>
          <w:tcPr>
            <w:tcW w:w="299" w:type="pct"/>
            <w:tcBorders>
              <w:top w:val="single" w:sz="4" w:space="0" w:color="FFFFFF"/>
              <w:left w:val="nil"/>
              <w:bottom w:val="single" w:sz="4" w:space="0" w:color="auto"/>
              <w:right w:val="single" w:sz="4" w:space="0" w:color="FFFFFF"/>
            </w:tcBorders>
            <w:shd w:val="clear" w:color="000000" w:fill="203764"/>
            <w:noWrap/>
            <w:vAlign w:val="bottom"/>
            <w:hideMark/>
          </w:tcPr>
          <w:p w14:paraId="2341A80A"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2016</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0B"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2017</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0C"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2018</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0D"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2019</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0E"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2020</w:t>
            </w:r>
          </w:p>
        </w:tc>
        <w:tc>
          <w:tcPr>
            <w:tcW w:w="300" w:type="pct"/>
            <w:gridSpan w:val="3"/>
            <w:tcBorders>
              <w:top w:val="single" w:sz="4" w:space="0" w:color="FFFFFF"/>
              <w:left w:val="nil"/>
              <w:bottom w:val="single" w:sz="4" w:space="0" w:color="auto"/>
              <w:right w:val="single" w:sz="4" w:space="0" w:color="FFFFFF"/>
            </w:tcBorders>
            <w:shd w:val="clear" w:color="000000" w:fill="203764"/>
            <w:noWrap/>
            <w:vAlign w:val="bottom"/>
            <w:hideMark/>
          </w:tcPr>
          <w:p w14:paraId="2341A80F"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2021</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10"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2022</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11"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2023</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12"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2024</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13"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2025</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14"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2026</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15"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2027</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16"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2028</w:t>
            </w:r>
          </w:p>
        </w:tc>
        <w:tc>
          <w:tcPr>
            <w:tcW w:w="298" w:type="pct"/>
            <w:tcBorders>
              <w:top w:val="single" w:sz="4" w:space="0" w:color="FFFFFF"/>
              <w:left w:val="nil"/>
              <w:bottom w:val="single" w:sz="4" w:space="0" w:color="auto"/>
              <w:right w:val="nil"/>
            </w:tcBorders>
            <w:shd w:val="clear" w:color="000000" w:fill="203764"/>
            <w:noWrap/>
            <w:vAlign w:val="bottom"/>
            <w:hideMark/>
          </w:tcPr>
          <w:p w14:paraId="2341A817"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2029</w:t>
            </w:r>
          </w:p>
        </w:tc>
      </w:tr>
      <w:tr w:rsidR="0011752D" w:rsidRPr="0011752D" w14:paraId="2341A828" w14:textId="77777777" w:rsidTr="00390762">
        <w:trPr>
          <w:trHeight w:val="354"/>
        </w:trPr>
        <w:tc>
          <w:tcPr>
            <w:tcW w:w="803" w:type="pct"/>
            <w:tcBorders>
              <w:top w:val="nil"/>
              <w:left w:val="nil"/>
              <w:bottom w:val="nil"/>
              <w:right w:val="nil"/>
            </w:tcBorders>
            <w:shd w:val="clear" w:color="auto" w:fill="auto"/>
            <w:noWrap/>
            <w:vAlign w:val="center"/>
            <w:hideMark/>
          </w:tcPr>
          <w:p w14:paraId="2341A819" w14:textId="77777777" w:rsidR="0011752D" w:rsidRPr="0011752D" w:rsidRDefault="0011752D" w:rsidP="0011752D">
            <w:pPr>
              <w:rPr>
                <w:rFonts w:ascii="Calibri" w:hAnsi="Calibri" w:cs="Calibri"/>
                <w:color w:val="000000"/>
                <w:sz w:val="12"/>
                <w:szCs w:val="22"/>
                <w:lang w:val="es-CO" w:eastAsia="es-CO"/>
              </w:rPr>
            </w:pPr>
            <w:r w:rsidRPr="0011752D">
              <w:rPr>
                <w:rFonts w:ascii="Calibri" w:hAnsi="Calibri" w:cs="Calibri"/>
                <w:color w:val="000000"/>
                <w:sz w:val="12"/>
                <w:szCs w:val="22"/>
                <w:lang w:val="es-CO" w:eastAsia="es-CO"/>
              </w:rPr>
              <w:t>Escenario de referencia</w:t>
            </w:r>
          </w:p>
        </w:tc>
        <w:tc>
          <w:tcPr>
            <w:tcW w:w="299" w:type="pct"/>
            <w:tcBorders>
              <w:top w:val="nil"/>
              <w:left w:val="nil"/>
              <w:bottom w:val="nil"/>
              <w:right w:val="nil"/>
            </w:tcBorders>
            <w:shd w:val="clear" w:color="auto" w:fill="auto"/>
            <w:noWrap/>
            <w:vAlign w:val="center"/>
            <w:hideMark/>
          </w:tcPr>
          <w:p w14:paraId="2341A81A" w14:textId="77777777" w:rsidR="0011752D" w:rsidRPr="0011752D" w:rsidRDefault="0011752D" w:rsidP="0011752D">
            <w:pPr>
              <w:jc w:val="right"/>
              <w:rPr>
                <w:rFonts w:ascii="Calibri" w:hAnsi="Calibri" w:cs="Calibri"/>
                <w:color w:val="000000"/>
                <w:sz w:val="12"/>
                <w:szCs w:val="22"/>
                <w:lang w:val="es-CO" w:eastAsia="es-CO"/>
              </w:rPr>
            </w:pPr>
          </w:p>
        </w:tc>
        <w:tc>
          <w:tcPr>
            <w:tcW w:w="300" w:type="pct"/>
            <w:gridSpan w:val="2"/>
            <w:tcBorders>
              <w:top w:val="nil"/>
              <w:left w:val="nil"/>
              <w:bottom w:val="nil"/>
              <w:right w:val="nil"/>
            </w:tcBorders>
            <w:shd w:val="clear" w:color="auto" w:fill="auto"/>
            <w:noWrap/>
            <w:vAlign w:val="center"/>
            <w:hideMark/>
          </w:tcPr>
          <w:p w14:paraId="2341A81B"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75,77</w:t>
            </w:r>
          </w:p>
        </w:tc>
        <w:tc>
          <w:tcPr>
            <w:tcW w:w="300" w:type="pct"/>
            <w:gridSpan w:val="2"/>
            <w:tcBorders>
              <w:top w:val="nil"/>
              <w:left w:val="nil"/>
              <w:bottom w:val="nil"/>
              <w:right w:val="nil"/>
            </w:tcBorders>
            <w:shd w:val="clear" w:color="auto" w:fill="auto"/>
            <w:noWrap/>
            <w:vAlign w:val="center"/>
            <w:hideMark/>
          </w:tcPr>
          <w:p w14:paraId="2341A81C"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84,29</w:t>
            </w:r>
          </w:p>
        </w:tc>
        <w:tc>
          <w:tcPr>
            <w:tcW w:w="300" w:type="pct"/>
            <w:gridSpan w:val="2"/>
            <w:tcBorders>
              <w:top w:val="nil"/>
              <w:left w:val="nil"/>
              <w:bottom w:val="nil"/>
              <w:right w:val="nil"/>
            </w:tcBorders>
            <w:shd w:val="clear" w:color="auto" w:fill="auto"/>
            <w:noWrap/>
            <w:vAlign w:val="center"/>
            <w:hideMark/>
          </w:tcPr>
          <w:p w14:paraId="2341A81D"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70,36</w:t>
            </w:r>
          </w:p>
        </w:tc>
        <w:tc>
          <w:tcPr>
            <w:tcW w:w="300" w:type="pct"/>
            <w:gridSpan w:val="2"/>
            <w:tcBorders>
              <w:top w:val="nil"/>
              <w:left w:val="nil"/>
              <w:bottom w:val="nil"/>
              <w:right w:val="nil"/>
            </w:tcBorders>
            <w:shd w:val="clear" w:color="auto" w:fill="auto"/>
            <w:noWrap/>
            <w:vAlign w:val="center"/>
            <w:hideMark/>
          </w:tcPr>
          <w:p w14:paraId="2341A81E"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61,73</w:t>
            </w:r>
          </w:p>
        </w:tc>
        <w:tc>
          <w:tcPr>
            <w:tcW w:w="300" w:type="pct"/>
            <w:gridSpan w:val="3"/>
            <w:tcBorders>
              <w:top w:val="nil"/>
              <w:left w:val="nil"/>
              <w:bottom w:val="nil"/>
              <w:right w:val="nil"/>
            </w:tcBorders>
            <w:shd w:val="clear" w:color="auto" w:fill="auto"/>
            <w:noWrap/>
            <w:vAlign w:val="center"/>
            <w:hideMark/>
          </w:tcPr>
          <w:p w14:paraId="2341A81F"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56,27</w:t>
            </w:r>
          </w:p>
        </w:tc>
        <w:tc>
          <w:tcPr>
            <w:tcW w:w="300" w:type="pct"/>
            <w:gridSpan w:val="2"/>
            <w:tcBorders>
              <w:top w:val="nil"/>
              <w:left w:val="nil"/>
              <w:bottom w:val="nil"/>
              <w:right w:val="nil"/>
            </w:tcBorders>
            <w:shd w:val="clear" w:color="auto" w:fill="auto"/>
            <w:noWrap/>
            <w:vAlign w:val="center"/>
            <w:hideMark/>
          </w:tcPr>
          <w:p w14:paraId="2341A820"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52,11</w:t>
            </w:r>
          </w:p>
        </w:tc>
        <w:tc>
          <w:tcPr>
            <w:tcW w:w="300" w:type="pct"/>
            <w:gridSpan w:val="2"/>
            <w:tcBorders>
              <w:top w:val="nil"/>
              <w:left w:val="nil"/>
              <w:bottom w:val="nil"/>
              <w:right w:val="nil"/>
            </w:tcBorders>
            <w:shd w:val="clear" w:color="auto" w:fill="auto"/>
            <w:noWrap/>
            <w:vAlign w:val="center"/>
            <w:hideMark/>
          </w:tcPr>
          <w:p w14:paraId="2341A821"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54,06</w:t>
            </w:r>
          </w:p>
        </w:tc>
        <w:tc>
          <w:tcPr>
            <w:tcW w:w="300" w:type="pct"/>
            <w:gridSpan w:val="2"/>
            <w:tcBorders>
              <w:top w:val="nil"/>
              <w:left w:val="nil"/>
              <w:bottom w:val="nil"/>
              <w:right w:val="nil"/>
            </w:tcBorders>
            <w:shd w:val="clear" w:color="auto" w:fill="auto"/>
            <w:noWrap/>
            <w:vAlign w:val="center"/>
            <w:hideMark/>
          </w:tcPr>
          <w:p w14:paraId="2341A822"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56,31</w:t>
            </w:r>
          </w:p>
        </w:tc>
        <w:tc>
          <w:tcPr>
            <w:tcW w:w="300" w:type="pct"/>
            <w:gridSpan w:val="2"/>
            <w:tcBorders>
              <w:top w:val="nil"/>
              <w:left w:val="nil"/>
              <w:bottom w:val="nil"/>
              <w:right w:val="nil"/>
            </w:tcBorders>
            <w:shd w:val="clear" w:color="auto" w:fill="auto"/>
            <w:noWrap/>
            <w:vAlign w:val="center"/>
            <w:hideMark/>
          </w:tcPr>
          <w:p w14:paraId="2341A823"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59,25</w:t>
            </w:r>
          </w:p>
        </w:tc>
        <w:tc>
          <w:tcPr>
            <w:tcW w:w="300" w:type="pct"/>
            <w:gridSpan w:val="2"/>
            <w:tcBorders>
              <w:top w:val="nil"/>
              <w:left w:val="nil"/>
              <w:bottom w:val="nil"/>
              <w:right w:val="nil"/>
            </w:tcBorders>
            <w:shd w:val="clear" w:color="auto" w:fill="auto"/>
            <w:noWrap/>
            <w:vAlign w:val="center"/>
            <w:hideMark/>
          </w:tcPr>
          <w:p w14:paraId="2341A824"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62,85</w:t>
            </w:r>
          </w:p>
        </w:tc>
        <w:tc>
          <w:tcPr>
            <w:tcW w:w="300" w:type="pct"/>
            <w:gridSpan w:val="2"/>
            <w:tcBorders>
              <w:top w:val="nil"/>
              <w:left w:val="nil"/>
              <w:bottom w:val="nil"/>
              <w:right w:val="nil"/>
            </w:tcBorders>
            <w:shd w:val="clear" w:color="auto" w:fill="auto"/>
            <w:noWrap/>
            <w:vAlign w:val="center"/>
            <w:hideMark/>
          </w:tcPr>
          <w:p w14:paraId="2341A825"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65,14</w:t>
            </w:r>
          </w:p>
        </w:tc>
        <w:tc>
          <w:tcPr>
            <w:tcW w:w="300" w:type="pct"/>
            <w:gridSpan w:val="2"/>
            <w:tcBorders>
              <w:top w:val="nil"/>
              <w:left w:val="nil"/>
              <w:bottom w:val="nil"/>
              <w:right w:val="nil"/>
            </w:tcBorders>
            <w:shd w:val="clear" w:color="auto" w:fill="auto"/>
            <w:noWrap/>
            <w:vAlign w:val="center"/>
            <w:hideMark/>
          </w:tcPr>
          <w:p w14:paraId="2341A826"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68,63</w:t>
            </w:r>
          </w:p>
        </w:tc>
        <w:tc>
          <w:tcPr>
            <w:tcW w:w="298" w:type="pct"/>
            <w:tcBorders>
              <w:top w:val="nil"/>
              <w:left w:val="nil"/>
              <w:bottom w:val="nil"/>
              <w:right w:val="nil"/>
            </w:tcBorders>
            <w:shd w:val="clear" w:color="auto" w:fill="auto"/>
            <w:noWrap/>
            <w:vAlign w:val="center"/>
            <w:hideMark/>
          </w:tcPr>
          <w:p w14:paraId="2341A827"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75,71</w:t>
            </w:r>
          </w:p>
        </w:tc>
      </w:tr>
      <w:tr w:rsidR="0011752D" w:rsidRPr="0011752D" w14:paraId="2341A838" w14:textId="77777777" w:rsidTr="00390762">
        <w:trPr>
          <w:trHeight w:val="296"/>
        </w:trPr>
        <w:tc>
          <w:tcPr>
            <w:tcW w:w="803" w:type="pct"/>
            <w:tcBorders>
              <w:top w:val="nil"/>
              <w:left w:val="nil"/>
              <w:bottom w:val="single" w:sz="4" w:space="0" w:color="auto"/>
              <w:right w:val="nil"/>
            </w:tcBorders>
            <w:shd w:val="clear" w:color="auto" w:fill="auto"/>
            <w:noWrap/>
            <w:vAlign w:val="center"/>
            <w:hideMark/>
          </w:tcPr>
          <w:p w14:paraId="2341A829" w14:textId="77777777" w:rsidR="0011752D" w:rsidRPr="0011752D" w:rsidRDefault="0011752D" w:rsidP="0011752D">
            <w:pPr>
              <w:rPr>
                <w:rFonts w:ascii="Calibri" w:hAnsi="Calibri" w:cs="Calibri"/>
                <w:color w:val="000000"/>
                <w:sz w:val="12"/>
                <w:szCs w:val="22"/>
                <w:lang w:val="es-CO" w:eastAsia="es-CO"/>
              </w:rPr>
            </w:pPr>
            <w:r w:rsidRPr="0011752D">
              <w:rPr>
                <w:rFonts w:ascii="Calibri" w:hAnsi="Calibri" w:cs="Calibri"/>
                <w:color w:val="000000"/>
                <w:sz w:val="12"/>
                <w:szCs w:val="22"/>
                <w:lang w:val="es-CO" w:eastAsia="es-CO"/>
              </w:rPr>
              <w:t>Escenario con FNCER</w:t>
            </w:r>
          </w:p>
        </w:tc>
        <w:tc>
          <w:tcPr>
            <w:tcW w:w="299" w:type="pct"/>
            <w:tcBorders>
              <w:top w:val="nil"/>
              <w:left w:val="nil"/>
              <w:bottom w:val="single" w:sz="4" w:space="0" w:color="auto"/>
              <w:right w:val="nil"/>
            </w:tcBorders>
            <w:shd w:val="clear" w:color="auto" w:fill="auto"/>
            <w:noWrap/>
            <w:vAlign w:val="center"/>
            <w:hideMark/>
          </w:tcPr>
          <w:p w14:paraId="2341A82A" w14:textId="77777777" w:rsidR="0011752D" w:rsidRPr="0011752D" w:rsidRDefault="0011752D" w:rsidP="0011752D">
            <w:pPr>
              <w:jc w:val="right"/>
              <w:rPr>
                <w:rFonts w:ascii="Calibri" w:hAnsi="Calibri" w:cs="Calibri"/>
                <w:color w:val="000000"/>
                <w:sz w:val="12"/>
                <w:szCs w:val="22"/>
                <w:lang w:val="es-CO" w:eastAsia="es-CO"/>
              </w:rPr>
            </w:pPr>
            <w:r w:rsidRPr="0011752D">
              <w:rPr>
                <w:rFonts w:ascii="Calibri" w:hAnsi="Calibri" w:cs="Calibri"/>
                <w:color w:val="000000"/>
                <w:sz w:val="12"/>
                <w:szCs w:val="22"/>
                <w:lang w:val="es-CO" w:eastAsia="es-CO"/>
              </w:rPr>
              <w:t> </w:t>
            </w:r>
          </w:p>
        </w:tc>
        <w:tc>
          <w:tcPr>
            <w:tcW w:w="300" w:type="pct"/>
            <w:gridSpan w:val="2"/>
            <w:tcBorders>
              <w:top w:val="nil"/>
              <w:left w:val="nil"/>
              <w:bottom w:val="single" w:sz="4" w:space="0" w:color="auto"/>
              <w:right w:val="nil"/>
            </w:tcBorders>
            <w:shd w:val="clear" w:color="auto" w:fill="auto"/>
            <w:noWrap/>
            <w:vAlign w:val="center"/>
            <w:hideMark/>
          </w:tcPr>
          <w:p w14:paraId="2341A82B"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73,52</w:t>
            </w:r>
          </w:p>
        </w:tc>
        <w:tc>
          <w:tcPr>
            <w:tcW w:w="300" w:type="pct"/>
            <w:gridSpan w:val="2"/>
            <w:tcBorders>
              <w:top w:val="nil"/>
              <w:left w:val="nil"/>
              <w:bottom w:val="single" w:sz="4" w:space="0" w:color="auto"/>
              <w:right w:val="nil"/>
            </w:tcBorders>
            <w:shd w:val="clear" w:color="auto" w:fill="auto"/>
            <w:noWrap/>
            <w:vAlign w:val="center"/>
            <w:hideMark/>
          </w:tcPr>
          <w:p w14:paraId="2341A82C"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82,14</w:t>
            </w:r>
          </w:p>
        </w:tc>
        <w:tc>
          <w:tcPr>
            <w:tcW w:w="300" w:type="pct"/>
            <w:gridSpan w:val="2"/>
            <w:tcBorders>
              <w:top w:val="nil"/>
              <w:left w:val="nil"/>
              <w:bottom w:val="single" w:sz="4" w:space="0" w:color="auto"/>
              <w:right w:val="nil"/>
            </w:tcBorders>
            <w:shd w:val="clear" w:color="auto" w:fill="auto"/>
            <w:noWrap/>
            <w:vAlign w:val="center"/>
            <w:hideMark/>
          </w:tcPr>
          <w:p w14:paraId="2341A82D"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60,40</w:t>
            </w:r>
          </w:p>
        </w:tc>
        <w:tc>
          <w:tcPr>
            <w:tcW w:w="300" w:type="pct"/>
            <w:gridSpan w:val="2"/>
            <w:tcBorders>
              <w:top w:val="nil"/>
              <w:left w:val="nil"/>
              <w:bottom w:val="single" w:sz="4" w:space="0" w:color="auto"/>
              <w:right w:val="nil"/>
            </w:tcBorders>
            <w:shd w:val="clear" w:color="auto" w:fill="auto"/>
            <w:noWrap/>
            <w:vAlign w:val="center"/>
            <w:hideMark/>
          </w:tcPr>
          <w:p w14:paraId="2341A82E"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47,71</w:t>
            </w:r>
          </w:p>
        </w:tc>
        <w:tc>
          <w:tcPr>
            <w:tcW w:w="300" w:type="pct"/>
            <w:gridSpan w:val="3"/>
            <w:tcBorders>
              <w:top w:val="nil"/>
              <w:left w:val="nil"/>
              <w:bottom w:val="single" w:sz="4" w:space="0" w:color="auto"/>
              <w:right w:val="nil"/>
            </w:tcBorders>
            <w:shd w:val="clear" w:color="auto" w:fill="auto"/>
            <w:noWrap/>
            <w:vAlign w:val="center"/>
            <w:hideMark/>
          </w:tcPr>
          <w:p w14:paraId="2341A82F"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43,51</w:t>
            </w:r>
          </w:p>
        </w:tc>
        <w:tc>
          <w:tcPr>
            <w:tcW w:w="300" w:type="pct"/>
            <w:gridSpan w:val="2"/>
            <w:tcBorders>
              <w:top w:val="nil"/>
              <w:left w:val="nil"/>
              <w:bottom w:val="single" w:sz="4" w:space="0" w:color="auto"/>
              <w:right w:val="nil"/>
            </w:tcBorders>
            <w:shd w:val="clear" w:color="auto" w:fill="auto"/>
            <w:noWrap/>
            <w:vAlign w:val="center"/>
            <w:hideMark/>
          </w:tcPr>
          <w:p w14:paraId="2341A830"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40,06</w:t>
            </w:r>
          </w:p>
        </w:tc>
        <w:tc>
          <w:tcPr>
            <w:tcW w:w="300" w:type="pct"/>
            <w:gridSpan w:val="2"/>
            <w:tcBorders>
              <w:top w:val="nil"/>
              <w:left w:val="nil"/>
              <w:bottom w:val="single" w:sz="4" w:space="0" w:color="auto"/>
              <w:right w:val="nil"/>
            </w:tcBorders>
            <w:shd w:val="clear" w:color="auto" w:fill="auto"/>
            <w:noWrap/>
            <w:vAlign w:val="center"/>
            <w:hideMark/>
          </w:tcPr>
          <w:p w14:paraId="2341A831"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38,69</w:t>
            </w:r>
          </w:p>
        </w:tc>
        <w:tc>
          <w:tcPr>
            <w:tcW w:w="300" w:type="pct"/>
            <w:gridSpan w:val="2"/>
            <w:tcBorders>
              <w:top w:val="nil"/>
              <w:left w:val="nil"/>
              <w:bottom w:val="single" w:sz="4" w:space="0" w:color="auto"/>
              <w:right w:val="nil"/>
            </w:tcBorders>
            <w:shd w:val="clear" w:color="auto" w:fill="auto"/>
            <w:noWrap/>
            <w:vAlign w:val="center"/>
            <w:hideMark/>
          </w:tcPr>
          <w:p w14:paraId="2341A832"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40,11</w:t>
            </w:r>
          </w:p>
        </w:tc>
        <w:tc>
          <w:tcPr>
            <w:tcW w:w="300" w:type="pct"/>
            <w:gridSpan w:val="2"/>
            <w:tcBorders>
              <w:top w:val="nil"/>
              <w:left w:val="nil"/>
              <w:bottom w:val="single" w:sz="4" w:space="0" w:color="auto"/>
              <w:right w:val="nil"/>
            </w:tcBorders>
            <w:shd w:val="clear" w:color="auto" w:fill="auto"/>
            <w:noWrap/>
            <w:vAlign w:val="center"/>
            <w:hideMark/>
          </w:tcPr>
          <w:p w14:paraId="2341A833"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41,62</w:t>
            </w:r>
          </w:p>
        </w:tc>
        <w:tc>
          <w:tcPr>
            <w:tcW w:w="300" w:type="pct"/>
            <w:gridSpan w:val="2"/>
            <w:tcBorders>
              <w:top w:val="nil"/>
              <w:left w:val="nil"/>
              <w:bottom w:val="single" w:sz="4" w:space="0" w:color="auto"/>
              <w:right w:val="nil"/>
            </w:tcBorders>
            <w:shd w:val="clear" w:color="auto" w:fill="auto"/>
            <w:noWrap/>
            <w:vAlign w:val="center"/>
            <w:hideMark/>
          </w:tcPr>
          <w:p w14:paraId="2341A834"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46,55</w:t>
            </w:r>
          </w:p>
        </w:tc>
        <w:tc>
          <w:tcPr>
            <w:tcW w:w="300" w:type="pct"/>
            <w:gridSpan w:val="2"/>
            <w:tcBorders>
              <w:top w:val="nil"/>
              <w:left w:val="nil"/>
              <w:bottom w:val="single" w:sz="4" w:space="0" w:color="auto"/>
              <w:right w:val="nil"/>
            </w:tcBorders>
            <w:shd w:val="clear" w:color="auto" w:fill="auto"/>
            <w:noWrap/>
            <w:vAlign w:val="center"/>
            <w:hideMark/>
          </w:tcPr>
          <w:p w14:paraId="2341A835"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53,29</w:t>
            </w:r>
          </w:p>
        </w:tc>
        <w:tc>
          <w:tcPr>
            <w:tcW w:w="300" w:type="pct"/>
            <w:gridSpan w:val="2"/>
            <w:tcBorders>
              <w:top w:val="nil"/>
              <w:left w:val="nil"/>
              <w:bottom w:val="single" w:sz="4" w:space="0" w:color="auto"/>
              <w:right w:val="nil"/>
            </w:tcBorders>
            <w:shd w:val="clear" w:color="auto" w:fill="auto"/>
            <w:noWrap/>
            <w:vAlign w:val="center"/>
            <w:hideMark/>
          </w:tcPr>
          <w:p w14:paraId="2341A836"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57,09</w:t>
            </w:r>
          </w:p>
        </w:tc>
        <w:tc>
          <w:tcPr>
            <w:tcW w:w="298" w:type="pct"/>
            <w:tcBorders>
              <w:top w:val="nil"/>
              <w:left w:val="nil"/>
              <w:bottom w:val="single" w:sz="4" w:space="0" w:color="auto"/>
              <w:right w:val="nil"/>
            </w:tcBorders>
            <w:shd w:val="clear" w:color="auto" w:fill="auto"/>
            <w:noWrap/>
            <w:vAlign w:val="center"/>
            <w:hideMark/>
          </w:tcPr>
          <w:p w14:paraId="2341A837" w14:textId="77777777" w:rsidR="0011752D" w:rsidRPr="0011752D" w:rsidRDefault="0011752D" w:rsidP="0011752D">
            <w:pPr>
              <w:jc w:val="right"/>
              <w:rPr>
                <w:rFonts w:ascii="Calibri" w:hAnsi="Calibri" w:cs="Calibri"/>
                <w:color w:val="0000FF"/>
                <w:sz w:val="12"/>
                <w:szCs w:val="12"/>
                <w:lang w:val="es-CO" w:eastAsia="es-CO"/>
              </w:rPr>
            </w:pPr>
            <w:r w:rsidRPr="0011752D">
              <w:rPr>
                <w:rFonts w:ascii="Calibri" w:hAnsi="Calibri" w:cs="Calibri"/>
                <w:color w:val="000000"/>
                <w:sz w:val="12"/>
                <w:szCs w:val="12"/>
                <w:lang w:val="es-CO"/>
              </w:rPr>
              <w:t>61,45</w:t>
            </w:r>
          </w:p>
        </w:tc>
      </w:tr>
      <w:tr w:rsidR="0011752D" w:rsidRPr="0011752D" w14:paraId="2341A848" w14:textId="77777777" w:rsidTr="00390762">
        <w:trPr>
          <w:trHeight w:val="278"/>
        </w:trPr>
        <w:tc>
          <w:tcPr>
            <w:tcW w:w="803" w:type="pct"/>
            <w:tcBorders>
              <w:top w:val="single" w:sz="4" w:space="0" w:color="auto"/>
              <w:left w:val="nil"/>
              <w:bottom w:val="single" w:sz="4" w:space="0" w:color="000000" w:themeColor="text1"/>
              <w:right w:val="nil"/>
            </w:tcBorders>
            <w:shd w:val="clear" w:color="auto" w:fill="auto"/>
            <w:noWrap/>
            <w:vAlign w:val="center"/>
            <w:hideMark/>
          </w:tcPr>
          <w:p w14:paraId="2341A839" w14:textId="77777777" w:rsidR="0011752D" w:rsidRPr="0011752D" w:rsidRDefault="0011752D" w:rsidP="0011752D">
            <w:pPr>
              <w:rPr>
                <w:rFonts w:ascii="Calibri" w:hAnsi="Calibri" w:cs="Calibri"/>
                <w:color w:val="000000"/>
                <w:sz w:val="12"/>
                <w:szCs w:val="22"/>
                <w:lang w:val="es-CO" w:eastAsia="es-CO"/>
              </w:rPr>
            </w:pPr>
            <w:r w:rsidRPr="0011752D">
              <w:rPr>
                <w:rFonts w:ascii="Calibri" w:hAnsi="Calibri" w:cs="Calibri"/>
                <w:color w:val="000000"/>
                <w:sz w:val="12"/>
                <w:szCs w:val="22"/>
                <w:lang w:val="es-CO" w:eastAsia="es-CO"/>
              </w:rPr>
              <w:t>Diferencia</w:t>
            </w:r>
          </w:p>
        </w:tc>
        <w:tc>
          <w:tcPr>
            <w:tcW w:w="299" w:type="pct"/>
            <w:tcBorders>
              <w:top w:val="single" w:sz="4" w:space="0" w:color="auto"/>
              <w:left w:val="nil"/>
              <w:bottom w:val="single" w:sz="4" w:space="0" w:color="000000" w:themeColor="text1"/>
              <w:right w:val="nil"/>
            </w:tcBorders>
            <w:shd w:val="clear" w:color="auto" w:fill="auto"/>
            <w:noWrap/>
            <w:vAlign w:val="center"/>
            <w:hideMark/>
          </w:tcPr>
          <w:p w14:paraId="2341A83A" w14:textId="77777777" w:rsidR="0011752D" w:rsidRPr="0011752D" w:rsidRDefault="0011752D" w:rsidP="0011752D">
            <w:pPr>
              <w:jc w:val="right"/>
              <w:rPr>
                <w:rFonts w:ascii="Calibri" w:hAnsi="Calibri" w:cs="Calibri"/>
                <w:color w:val="000000"/>
                <w:sz w:val="12"/>
                <w:szCs w:val="22"/>
                <w:lang w:val="es-CO" w:eastAsia="es-CO"/>
              </w:rPr>
            </w:pPr>
            <w:r w:rsidRPr="0011752D">
              <w:rPr>
                <w:rFonts w:ascii="Calibri" w:hAnsi="Calibri" w:cs="Calibri"/>
                <w:color w:val="000000"/>
                <w:sz w:val="12"/>
                <w:szCs w:val="22"/>
                <w:lang w:val="es-CO" w:eastAsia="es-CO"/>
              </w:rPr>
              <w:t> </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3B"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2,25</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3C"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2,15</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3D"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9,95</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3E"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14,03</w:t>
            </w:r>
          </w:p>
        </w:tc>
        <w:tc>
          <w:tcPr>
            <w:tcW w:w="300" w:type="pct"/>
            <w:gridSpan w:val="3"/>
            <w:tcBorders>
              <w:top w:val="single" w:sz="4" w:space="0" w:color="auto"/>
              <w:left w:val="nil"/>
              <w:bottom w:val="single" w:sz="4" w:space="0" w:color="000000" w:themeColor="text1"/>
              <w:right w:val="nil"/>
            </w:tcBorders>
            <w:shd w:val="clear" w:color="auto" w:fill="auto"/>
            <w:noWrap/>
            <w:vAlign w:val="center"/>
            <w:hideMark/>
          </w:tcPr>
          <w:p w14:paraId="2341A83F"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12,76</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40"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12,04</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41"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15,38</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42"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16,20</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43"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17,64</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44"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16,30</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45"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11,86</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46"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11,54</w:t>
            </w:r>
          </w:p>
        </w:tc>
        <w:tc>
          <w:tcPr>
            <w:tcW w:w="298" w:type="pct"/>
            <w:tcBorders>
              <w:top w:val="single" w:sz="4" w:space="0" w:color="auto"/>
              <w:left w:val="nil"/>
              <w:bottom w:val="single" w:sz="4" w:space="0" w:color="000000" w:themeColor="text1"/>
              <w:right w:val="nil"/>
            </w:tcBorders>
            <w:shd w:val="clear" w:color="auto" w:fill="auto"/>
            <w:noWrap/>
            <w:vAlign w:val="center"/>
            <w:hideMark/>
          </w:tcPr>
          <w:p w14:paraId="2341A847"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14,26</w:t>
            </w:r>
          </w:p>
        </w:tc>
      </w:tr>
      <w:tr w:rsidR="0011752D" w:rsidRPr="0011752D" w14:paraId="2341A858" w14:textId="77777777" w:rsidTr="00390762">
        <w:trPr>
          <w:trHeight w:val="268"/>
        </w:trPr>
        <w:tc>
          <w:tcPr>
            <w:tcW w:w="803" w:type="pct"/>
            <w:tcBorders>
              <w:top w:val="single" w:sz="4" w:space="0" w:color="000000" w:themeColor="text1"/>
              <w:left w:val="nil"/>
              <w:bottom w:val="single" w:sz="4" w:space="0" w:color="000000" w:themeColor="text1"/>
              <w:right w:val="nil"/>
            </w:tcBorders>
            <w:shd w:val="clear" w:color="auto" w:fill="auto"/>
            <w:noWrap/>
            <w:vAlign w:val="center"/>
            <w:hideMark/>
          </w:tcPr>
          <w:p w14:paraId="2341A849" w14:textId="77777777" w:rsidR="0011752D" w:rsidRPr="0011752D" w:rsidRDefault="0011752D" w:rsidP="0011752D">
            <w:pPr>
              <w:rPr>
                <w:rFonts w:ascii="Calibri" w:hAnsi="Calibri" w:cs="Calibri"/>
                <w:color w:val="000000"/>
                <w:sz w:val="12"/>
                <w:szCs w:val="22"/>
                <w:lang w:val="es-CO" w:eastAsia="es-CO"/>
              </w:rPr>
            </w:pPr>
          </w:p>
        </w:tc>
        <w:tc>
          <w:tcPr>
            <w:tcW w:w="402"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4A" w14:textId="77777777" w:rsidR="0011752D" w:rsidRPr="0011752D" w:rsidRDefault="0011752D" w:rsidP="0011752D">
            <w:pPr>
              <w:jc w:val="right"/>
              <w:rPr>
                <w:sz w:val="12"/>
                <w:lang w:val="es-CO"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4B" w14:textId="77777777" w:rsidR="0011752D" w:rsidRPr="0011752D" w:rsidRDefault="0011752D" w:rsidP="0011752D">
            <w:pPr>
              <w:jc w:val="right"/>
              <w:rPr>
                <w:sz w:val="12"/>
                <w:lang w:val="es-CO" w:eastAsia="es-CO"/>
              </w:rPr>
            </w:pPr>
          </w:p>
        </w:tc>
        <w:tc>
          <w:tcPr>
            <w:tcW w:w="252"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4C" w14:textId="77777777" w:rsidR="0011752D" w:rsidRPr="0011752D" w:rsidRDefault="0011752D" w:rsidP="0011752D">
            <w:pPr>
              <w:jc w:val="right"/>
              <w:rPr>
                <w:sz w:val="12"/>
                <w:lang w:val="es-CO"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4D" w14:textId="77777777" w:rsidR="0011752D" w:rsidRPr="0011752D" w:rsidRDefault="0011752D" w:rsidP="0011752D">
            <w:pPr>
              <w:jc w:val="right"/>
              <w:rPr>
                <w:sz w:val="12"/>
                <w:lang w:val="es-CO"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4E" w14:textId="77777777" w:rsidR="0011752D" w:rsidRPr="0011752D" w:rsidRDefault="0011752D" w:rsidP="0011752D">
            <w:pPr>
              <w:jc w:val="right"/>
              <w:rPr>
                <w:sz w:val="12"/>
                <w:lang w:val="es-CO" w:eastAsia="es-CO"/>
              </w:rPr>
            </w:pPr>
          </w:p>
        </w:tc>
        <w:tc>
          <w:tcPr>
            <w:tcW w:w="278" w:type="pct"/>
            <w:tcBorders>
              <w:top w:val="single" w:sz="4" w:space="0" w:color="000000" w:themeColor="text1"/>
              <w:left w:val="nil"/>
              <w:bottom w:val="single" w:sz="4" w:space="0" w:color="000000" w:themeColor="text1"/>
              <w:right w:val="nil"/>
            </w:tcBorders>
            <w:shd w:val="clear" w:color="auto" w:fill="auto"/>
            <w:noWrap/>
            <w:vAlign w:val="center"/>
            <w:hideMark/>
          </w:tcPr>
          <w:p w14:paraId="2341A84F" w14:textId="77777777" w:rsidR="0011752D" w:rsidRPr="0011752D" w:rsidRDefault="0011752D" w:rsidP="0011752D">
            <w:pPr>
              <w:jc w:val="right"/>
              <w:rPr>
                <w:sz w:val="12"/>
                <w:lang w:val="es-CO"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50" w14:textId="77777777" w:rsidR="0011752D" w:rsidRPr="0011752D" w:rsidRDefault="0011752D" w:rsidP="0011752D">
            <w:pPr>
              <w:jc w:val="right"/>
              <w:rPr>
                <w:sz w:val="12"/>
                <w:lang w:val="es-CO"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51" w14:textId="77777777" w:rsidR="0011752D" w:rsidRPr="0011752D" w:rsidRDefault="0011752D" w:rsidP="0011752D">
            <w:pPr>
              <w:jc w:val="right"/>
              <w:rPr>
                <w:sz w:val="12"/>
                <w:lang w:val="es-CO"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52" w14:textId="77777777" w:rsidR="0011752D" w:rsidRPr="0011752D" w:rsidRDefault="0011752D" w:rsidP="0011752D">
            <w:pPr>
              <w:jc w:val="right"/>
              <w:rPr>
                <w:sz w:val="12"/>
                <w:lang w:val="es-CO"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53" w14:textId="77777777" w:rsidR="0011752D" w:rsidRPr="0011752D" w:rsidRDefault="0011752D" w:rsidP="0011752D">
            <w:pPr>
              <w:jc w:val="right"/>
              <w:rPr>
                <w:sz w:val="12"/>
                <w:lang w:val="es-CO"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54" w14:textId="77777777" w:rsidR="0011752D" w:rsidRPr="0011752D" w:rsidRDefault="0011752D" w:rsidP="0011752D">
            <w:pPr>
              <w:jc w:val="right"/>
              <w:rPr>
                <w:sz w:val="12"/>
                <w:lang w:val="es-CO"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55" w14:textId="77777777" w:rsidR="0011752D" w:rsidRPr="0011752D" w:rsidRDefault="0011752D" w:rsidP="0011752D">
            <w:pPr>
              <w:jc w:val="right"/>
              <w:rPr>
                <w:sz w:val="12"/>
                <w:lang w:val="es-CO"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56" w14:textId="77777777" w:rsidR="0011752D" w:rsidRPr="0011752D" w:rsidRDefault="0011752D" w:rsidP="0011752D">
            <w:pPr>
              <w:jc w:val="right"/>
              <w:rPr>
                <w:sz w:val="12"/>
                <w:lang w:val="es-CO" w:eastAsia="es-CO"/>
              </w:rPr>
            </w:pPr>
          </w:p>
        </w:tc>
        <w:tc>
          <w:tcPr>
            <w:tcW w:w="305"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57" w14:textId="77777777" w:rsidR="0011752D" w:rsidRPr="0011752D" w:rsidRDefault="0011752D" w:rsidP="0011752D">
            <w:pPr>
              <w:jc w:val="right"/>
              <w:rPr>
                <w:sz w:val="12"/>
                <w:lang w:val="es-CO" w:eastAsia="es-CO"/>
              </w:rPr>
            </w:pPr>
          </w:p>
        </w:tc>
      </w:tr>
      <w:tr w:rsidR="0011752D" w:rsidRPr="0011752D" w14:paraId="2341A868" w14:textId="77777777" w:rsidTr="00390762">
        <w:trPr>
          <w:trHeight w:val="414"/>
        </w:trPr>
        <w:tc>
          <w:tcPr>
            <w:tcW w:w="803" w:type="pct"/>
            <w:tcBorders>
              <w:top w:val="single" w:sz="4" w:space="0" w:color="000000" w:themeColor="text1"/>
              <w:left w:val="nil"/>
              <w:bottom w:val="single" w:sz="4" w:space="0" w:color="auto"/>
              <w:right w:val="nil"/>
            </w:tcBorders>
            <w:shd w:val="clear" w:color="auto" w:fill="auto"/>
            <w:noWrap/>
            <w:vAlign w:val="center"/>
            <w:hideMark/>
          </w:tcPr>
          <w:p w14:paraId="2341A859" w14:textId="77777777" w:rsidR="0011752D" w:rsidRPr="0011752D" w:rsidRDefault="0011752D" w:rsidP="0011752D">
            <w:pPr>
              <w:rPr>
                <w:rFonts w:ascii="Calibri" w:hAnsi="Calibri" w:cs="Calibri"/>
                <w:color w:val="000000"/>
                <w:sz w:val="12"/>
                <w:szCs w:val="22"/>
                <w:lang w:val="es-CO" w:eastAsia="es-CO"/>
              </w:rPr>
            </w:pPr>
            <w:r w:rsidRPr="0011752D">
              <w:rPr>
                <w:rFonts w:ascii="Calibri" w:hAnsi="Calibri" w:cs="Calibri"/>
                <w:color w:val="000000"/>
                <w:sz w:val="12"/>
                <w:szCs w:val="22"/>
                <w:lang w:val="es-CO" w:eastAsia="es-CO"/>
              </w:rPr>
              <w:t>Proyección de Demanda Generación (GWh)</w:t>
            </w:r>
          </w:p>
        </w:tc>
        <w:tc>
          <w:tcPr>
            <w:tcW w:w="299" w:type="pct"/>
            <w:tcBorders>
              <w:top w:val="single" w:sz="4" w:space="0" w:color="000000" w:themeColor="text1"/>
              <w:left w:val="nil"/>
              <w:bottom w:val="single" w:sz="4" w:space="0" w:color="auto"/>
              <w:right w:val="nil"/>
            </w:tcBorders>
            <w:shd w:val="clear" w:color="auto" w:fill="auto"/>
            <w:noWrap/>
            <w:vAlign w:val="center"/>
            <w:hideMark/>
          </w:tcPr>
          <w:p w14:paraId="2341A85A"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71.324</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2341A85B"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73.834</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2341A85C"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75.545</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2341A85D"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77.160</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2341A85E"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78.856</w:t>
            </w:r>
          </w:p>
        </w:tc>
        <w:tc>
          <w:tcPr>
            <w:tcW w:w="300" w:type="pct"/>
            <w:gridSpan w:val="3"/>
            <w:tcBorders>
              <w:top w:val="single" w:sz="4" w:space="0" w:color="000000" w:themeColor="text1"/>
              <w:left w:val="nil"/>
              <w:bottom w:val="single" w:sz="4" w:space="0" w:color="auto"/>
              <w:right w:val="nil"/>
            </w:tcBorders>
            <w:shd w:val="clear" w:color="auto" w:fill="auto"/>
            <w:noWrap/>
            <w:vAlign w:val="center"/>
            <w:hideMark/>
          </w:tcPr>
          <w:p w14:paraId="2341A85F"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80.598</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2341A860"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82.503</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2341A861"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84.653</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2341A862"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86.575</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2341A863"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88.839</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2341A864"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91.379</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2341A865"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94.206</w:t>
            </w:r>
          </w:p>
        </w:tc>
        <w:tc>
          <w:tcPr>
            <w:tcW w:w="300" w:type="pct"/>
            <w:gridSpan w:val="2"/>
            <w:tcBorders>
              <w:top w:val="single" w:sz="4" w:space="0" w:color="000000" w:themeColor="text1"/>
              <w:left w:val="nil"/>
              <w:bottom w:val="single" w:sz="4" w:space="0" w:color="auto"/>
              <w:right w:val="nil"/>
            </w:tcBorders>
            <w:shd w:val="clear" w:color="auto" w:fill="auto"/>
            <w:noWrap/>
            <w:vAlign w:val="center"/>
            <w:hideMark/>
          </w:tcPr>
          <w:p w14:paraId="2341A866"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96.849</w:t>
            </w:r>
          </w:p>
        </w:tc>
        <w:tc>
          <w:tcPr>
            <w:tcW w:w="298" w:type="pct"/>
            <w:tcBorders>
              <w:top w:val="single" w:sz="4" w:space="0" w:color="000000" w:themeColor="text1"/>
              <w:left w:val="nil"/>
              <w:bottom w:val="single" w:sz="4" w:space="0" w:color="auto"/>
              <w:right w:val="nil"/>
            </w:tcBorders>
            <w:shd w:val="clear" w:color="auto" w:fill="auto"/>
            <w:noWrap/>
            <w:vAlign w:val="center"/>
            <w:hideMark/>
          </w:tcPr>
          <w:p w14:paraId="2341A867" w14:textId="77777777" w:rsidR="0011752D" w:rsidRPr="0011752D" w:rsidRDefault="0011752D" w:rsidP="0011752D">
            <w:pPr>
              <w:jc w:val="center"/>
              <w:rPr>
                <w:rFonts w:ascii="Calibri" w:hAnsi="Calibri" w:cs="Calibri"/>
                <w:color w:val="000000"/>
                <w:sz w:val="12"/>
                <w:szCs w:val="12"/>
                <w:lang w:val="es-CO"/>
              </w:rPr>
            </w:pPr>
            <w:r w:rsidRPr="0011752D">
              <w:rPr>
                <w:rFonts w:ascii="Calibri" w:hAnsi="Calibri"/>
                <w:color w:val="000000"/>
                <w:sz w:val="12"/>
                <w:szCs w:val="12"/>
                <w:lang w:val="es-CO"/>
              </w:rPr>
              <w:t>99.749</w:t>
            </w:r>
          </w:p>
        </w:tc>
      </w:tr>
      <w:tr w:rsidR="0011752D" w:rsidRPr="0011752D" w14:paraId="2341A878" w14:textId="77777777" w:rsidTr="00390762">
        <w:trPr>
          <w:trHeight w:val="406"/>
        </w:trPr>
        <w:tc>
          <w:tcPr>
            <w:tcW w:w="803" w:type="pct"/>
            <w:tcBorders>
              <w:top w:val="nil"/>
              <w:left w:val="nil"/>
              <w:bottom w:val="single" w:sz="4" w:space="0" w:color="auto"/>
              <w:right w:val="nil"/>
            </w:tcBorders>
            <w:shd w:val="clear" w:color="auto" w:fill="auto"/>
            <w:noWrap/>
            <w:vAlign w:val="center"/>
          </w:tcPr>
          <w:p w14:paraId="2341A869" w14:textId="77777777" w:rsidR="0011752D" w:rsidRPr="0011752D" w:rsidRDefault="0011752D" w:rsidP="0011752D">
            <w:pPr>
              <w:rPr>
                <w:rFonts w:ascii="Calibri" w:hAnsi="Calibri" w:cs="Calibri"/>
                <w:color w:val="000000"/>
                <w:sz w:val="12"/>
                <w:szCs w:val="12"/>
                <w:lang w:val="es-CO" w:eastAsia="es-CO"/>
              </w:rPr>
            </w:pPr>
            <w:r w:rsidRPr="0011752D">
              <w:rPr>
                <w:rFonts w:ascii="Calibri" w:hAnsi="Calibri" w:cs="Calibri"/>
                <w:color w:val="000000"/>
                <w:sz w:val="12"/>
                <w:szCs w:val="12"/>
                <w:lang w:val="es-CO"/>
              </w:rPr>
              <w:t>Beneficio económico anual (Millones USD$)</w:t>
            </w:r>
          </w:p>
        </w:tc>
        <w:tc>
          <w:tcPr>
            <w:tcW w:w="299" w:type="pct"/>
            <w:tcBorders>
              <w:top w:val="nil"/>
              <w:left w:val="nil"/>
              <w:bottom w:val="single" w:sz="4" w:space="0" w:color="auto"/>
              <w:right w:val="nil"/>
            </w:tcBorders>
            <w:shd w:val="clear" w:color="auto" w:fill="auto"/>
            <w:noWrap/>
            <w:vAlign w:val="center"/>
          </w:tcPr>
          <w:p w14:paraId="2341A86A"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 </w:t>
            </w:r>
          </w:p>
        </w:tc>
        <w:tc>
          <w:tcPr>
            <w:tcW w:w="300" w:type="pct"/>
            <w:gridSpan w:val="2"/>
            <w:tcBorders>
              <w:top w:val="nil"/>
              <w:left w:val="nil"/>
              <w:bottom w:val="single" w:sz="4" w:space="0" w:color="auto"/>
              <w:right w:val="nil"/>
            </w:tcBorders>
            <w:shd w:val="clear" w:color="auto" w:fill="auto"/>
            <w:noWrap/>
            <w:vAlign w:val="center"/>
          </w:tcPr>
          <w:p w14:paraId="2341A86B"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163,6</w:t>
            </w:r>
          </w:p>
        </w:tc>
        <w:tc>
          <w:tcPr>
            <w:tcW w:w="300" w:type="pct"/>
            <w:gridSpan w:val="2"/>
            <w:tcBorders>
              <w:top w:val="nil"/>
              <w:left w:val="nil"/>
              <w:bottom w:val="single" w:sz="4" w:space="0" w:color="auto"/>
              <w:right w:val="nil"/>
            </w:tcBorders>
            <w:shd w:val="clear" w:color="auto" w:fill="auto"/>
            <w:noWrap/>
            <w:vAlign w:val="center"/>
          </w:tcPr>
          <w:p w14:paraId="2341A86C"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159,8</w:t>
            </w:r>
          </w:p>
        </w:tc>
        <w:tc>
          <w:tcPr>
            <w:tcW w:w="300" w:type="pct"/>
            <w:gridSpan w:val="2"/>
            <w:tcBorders>
              <w:top w:val="nil"/>
              <w:left w:val="nil"/>
              <w:bottom w:val="single" w:sz="4" w:space="0" w:color="auto"/>
              <w:right w:val="nil"/>
            </w:tcBorders>
            <w:shd w:val="clear" w:color="auto" w:fill="auto"/>
            <w:noWrap/>
            <w:vAlign w:val="center"/>
          </w:tcPr>
          <w:p w14:paraId="2341A86D"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756,7</w:t>
            </w:r>
          </w:p>
        </w:tc>
        <w:tc>
          <w:tcPr>
            <w:tcW w:w="300" w:type="pct"/>
            <w:gridSpan w:val="2"/>
            <w:tcBorders>
              <w:top w:val="nil"/>
              <w:left w:val="nil"/>
              <w:bottom w:val="single" w:sz="4" w:space="0" w:color="auto"/>
              <w:right w:val="nil"/>
            </w:tcBorders>
            <w:shd w:val="clear" w:color="auto" w:fill="auto"/>
            <w:noWrap/>
            <w:vAlign w:val="center"/>
          </w:tcPr>
          <w:p w14:paraId="2341A86E"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1.089,6</w:t>
            </w:r>
          </w:p>
        </w:tc>
        <w:tc>
          <w:tcPr>
            <w:tcW w:w="300" w:type="pct"/>
            <w:gridSpan w:val="3"/>
            <w:tcBorders>
              <w:top w:val="nil"/>
              <w:left w:val="nil"/>
              <w:bottom w:val="single" w:sz="4" w:space="0" w:color="auto"/>
              <w:right w:val="nil"/>
            </w:tcBorders>
            <w:shd w:val="clear" w:color="auto" w:fill="auto"/>
            <w:noWrap/>
            <w:vAlign w:val="center"/>
          </w:tcPr>
          <w:p w14:paraId="2341A86F"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1.013,5</w:t>
            </w:r>
          </w:p>
        </w:tc>
        <w:tc>
          <w:tcPr>
            <w:tcW w:w="300" w:type="pct"/>
            <w:gridSpan w:val="2"/>
            <w:tcBorders>
              <w:top w:val="nil"/>
              <w:left w:val="nil"/>
              <w:bottom w:val="single" w:sz="4" w:space="0" w:color="auto"/>
              <w:right w:val="nil"/>
            </w:tcBorders>
            <w:shd w:val="clear" w:color="auto" w:fill="auto"/>
            <w:noWrap/>
            <w:vAlign w:val="center"/>
          </w:tcPr>
          <w:p w14:paraId="2341A870"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978,9</w:t>
            </w:r>
          </w:p>
        </w:tc>
        <w:tc>
          <w:tcPr>
            <w:tcW w:w="300" w:type="pct"/>
            <w:gridSpan w:val="2"/>
            <w:tcBorders>
              <w:top w:val="nil"/>
              <w:left w:val="nil"/>
              <w:bottom w:val="single" w:sz="4" w:space="0" w:color="auto"/>
              <w:right w:val="nil"/>
            </w:tcBorders>
            <w:shd w:val="clear" w:color="auto" w:fill="auto"/>
            <w:noWrap/>
            <w:vAlign w:val="center"/>
          </w:tcPr>
          <w:p w14:paraId="2341A871"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1.282,3</w:t>
            </w:r>
          </w:p>
        </w:tc>
        <w:tc>
          <w:tcPr>
            <w:tcW w:w="300" w:type="pct"/>
            <w:gridSpan w:val="2"/>
            <w:tcBorders>
              <w:top w:val="nil"/>
              <w:left w:val="nil"/>
              <w:bottom w:val="single" w:sz="4" w:space="0" w:color="auto"/>
              <w:right w:val="nil"/>
            </w:tcBorders>
            <w:shd w:val="clear" w:color="auto" w:fill="auto"/>
            <w:noWrap/>
            <w:vAlign w:val="center"/>
          </w:tcPr>
          <w:p w14:paraId="2341A872"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1.381,7</w:t>
            </w:r>
          </w:p>
        </w:tc>
        <w:tc>
          <w:tcPr>
            <w:tcW w:w="300" w:type="pct"/>
            <w:gridSpan w:val="2"/>
            <w:tcBorders>
              <w:top w:val="nil"/>
              <w:left w:val="nil"/>
              <w:bottom w:val="single" w:sz="4" w:space="0" w:color="auto"/>
              <w:right w:val="nil"/>
            </w:tcBorders>
            <w:shd w:val="clear" w:color="auto" w:fill="auto"/>
            <w:noWrap/>
            <w:vAlign w:val="center"/>
          </w:tcPr>
          <w:p w14:paraId="2341A873"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1.543,9</w:t>
            </w:r>
          </w:p>
        </w:tc>
        <w:tc>
          <w:tcPr>
            <w:tcW w:w="300" w:type="pct"/>
            <w:gridSpan w:val="2"/>
            <w:tcBorders>
              <w:top w:val="nil"/>
              <w:left w:val="nil"/>
              <w:bottom w:val="single" w:sz="4" w:space="0" w:color="auto"/>
              <w:right w:val="nil"/>
            </w:tcBorders>
            <w:shd w:val="clear" w:color="auto" w:fill="auto"/>
            <w:noWrap/>
            <w:vAlign w:val="center"/>
          </w:tcPr>
          <w:p w14:paraId="2341A874"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1.467,7</w:t>
            </w:r>
          </w:p>
        </w:tc>
        <w:tc>
          <w:tcPr>
            <w:tcW w:w="300" w:type="pct"/>
            <w:gridSpan w:val="2"/>
            <w:tcBorders>
              <w:top w:val="nil"/>
              <w:left w:val="nil"/>
              <w:bottom w:val="single" w:sz="4" w:space="0" w:color="auto"/>
              <w:right w:val="nil"/>
            </w:tcBorders>
            <w:shd w:val="clear" w:color="auto" w:fill="auto"/>
            <w:noWrap/>
            <w:vAlign w:val="center"/>
          </w:tcPr>
          <w:p w14:paraId="2341A875"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1.100,7</w:t>
            </w:r>
          </w:p>
        </w:tc>
        <w:tc>
          <w:tcPr>
            <w:tcW w:w="300" w:type="pct"/>
            <w:gridSpan w:val="2"/>
            <w:tcBorders>
              <w:top w:val="nil"/>
              <w:left w:val="nil"/>
              <w:bottom w:val="single" w:sz="4" w:space="0" w:color="auto"/>
              <w:right w:val="nil"/>
            </w:tcBorders>
            <w:shd w:val="clear" w:color="auto" w:fill="auto"/>
            <w:noWrap/>
            <w:vAlign w:val="center"/>
          </w:tcPr>
          <w:p w14:paraId="2341A876"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1.101,6</w:t>
            </w:r>
          </w:p>
        </w:tc>
        <w:tc>
          <w:tcPr>
            <w:tcW w:w="298" w:type="pct"/>
            <w:tcBorders>
              <w:top w:val="nil"/>
              <w:left w:val="nil"/>
              <w:bottom w:val="single" w:sz="4" w:space="0" w:color="auto"/>
              <w:right w:val="nil"/>
            </w:tcBorders>
            <w:shd w:val="clear" w:color="auto" w:fill="auto"/>
            <w:noWrap/>
            <w:vAlign w:val="center"/>
          </w:tcPr>
          <w:p w14:paraId="2341A877"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1.401,8</w:t>
            </w:r>
          </w:p>
        </w:tc>
      </w:tr>
      <w:tr w:rsidR="0011752D" w:rsidRPr="0011752D" w14:paraId="2341A888" w14:textId="77777777" w:rsidTr="00390762">
        <w:trPr>
          <w:trHeight w:val="300"/>
        </w:trPr>
        <w:tc>
          <w:tcPr>
            <w:tcW w:w="803" w:type="pct"/>
            <w:tcBorders>
              <w:top w:val="nil"/>
              <w:left w:val="nil"/>
              <w:bottom w:val="nil"/>
              <w:right w:val="nil"/>
            </w:tcBorders>
            <w:shd w:val="clear" w:color="auto" w:fill="auto"/>
            <w:noWrap/>
            <w:vAlign w:val="bottom"/>
          </w:tcPr>
          <w:p w14:paraId="2341A879" w14:textId="77777777" w:rsidR="0011752D" w:rsidRPr="0011752D" w:rsidRDefault="0011752D" w:rsidP="0011752D">
            <w:pPr>
              <w:jc w:val="right"/>
              <w:rPr>
                <w:rFonts w:ascii="Calibri" w:hAnsi="Calibri" w:cs="Calibri"/>
                <w:color w:val="000000"/>
                <w:sz w:val="12"/>
                <w:szCs w:val="22"/>
                <w:lang w:val="es-CO" w:eastAsia="es-CO"/>
              </w:rPr>
            </w:pPr>
          </w:p>
        </w:tc>
        <w:tc>
          <w:tcPr>
            <w:tcW w:w="402" w:type="pct"/>
            <w:gridSpan w:val="2"/>
            <w:tcBorders>
              <w:top w:val="nil"/>
              <w:left w:val="nil"/>
              <w:bottom w:val="nil"/>
              <w:right w:val="nil"/>
            </w:tcBorders>
            <w:shd w:val="clear" w:color="auto" w:fill="auto"/>
            <w:noWrap/>
            <w:vAlign w:val="bottom"/>
          </w:tcPr>
          <w:p w14:paraId="2341A87A"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tcPr>
          <w:p w14:paraId="2341A87B" w14:textId="77777777" w:rsidR="0011752D" w:rsidRPr="0011752D" w:rsidRDefault="0011752D" w:rsidP="0011752D">
            <w:pPr>
              <w:rPr>
                <w:sz w:val="12"/>
                <w:lang w:val="es-CO" w:eastAsia="es-CO"/>
              </w:rPr>
            </w:pPr>
          </w:p>
        </w:tc>
        <w:tc>
          <w:tcPr>
            <w:tcW w:w="252" w:type="pct"/>
            <w:gridSpan w:val="2"/>
            <w:tcBorders>
              <w:top w:val="nil"/>
              <w:left w:val="nil"/>
              <w:bottom w:val="nil"/>
              <w:right w:val="nil"/>
            </w:tcBorders>
            <w:shd w:val="clear" w:color="auto" w:fill="auto"/>
            <w:noWrap/>
            <w:vAlign w:val="bottom"/>
          </w:tcPr>
          <w:p w14:paraId="2341A87C"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tcPr>
          <w:p w14:paraId="2341A87D"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tcPr>
          <w:p w14:paraId="2341A87E" w14:textId="77777777" w:rsidR="0011752D" w:rsidRPr="0011752D" w:rsidRDefault="0011752D" w:rsidP="0011752D">
            <w:pPr>
              <w:rPr>
                <w:sz w:val="12"/>
                <w:lang w:val="es-CO" w:eastAsia="es-CO"/>
              </w:rPr>
            </w:pPr>
          </w:p>
        </w:tc>
        <w:tc>
          <w:tcPr>
            <w:tcW w:w="278" w:type="pct"/>
            <w:tcBorders>
              <w:top w:val="nil"/>
              <w:left w:val="nil"/>
              <w:bottom w:val="nil"/>
              <w:right w:val="nil"/>
            </w:tcBorders>
            <w:shd w:val="clear" w:color="auto" w:fill="auto"/>
            <w:noWrap/>
            <w:vAlign w:val="bottom"/>
          </w:tcPr>
          <w:p w14:paraId="2341A87F"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tcPr>
          <w:p w14:paraId="2341A880"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tcPr>
          <w:p w14:paraId="2341A881"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tcPr>
          <w:p w14:paraId="2341A882"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tcPr>
          <w:p w14:paraId="2341A883"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tcPr>
          <w:p w14:paraId="2341A884"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tcPr>
          <w:p w14:paraId="2341A885"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tcPr>
          <w:p w14:paraId="2341A886" w14:textId="77777777" w:rsidR="0011752D" w:rsidRPr="0011752D" w:rsidRDefault="0011752D" w:rsidP="0011752D">
            <w:pPr>
              <w:rPr>
                <w:sz w:val="12"/>
                <w:lang w:val="es-CO" w:eastAsia="es-CO"/>
              </w:rPr>
            </w:pPr>
          </w:p>
        </w:tc>
        <w:tc>
          <w:tcPr>
            <w:tcW w:w="305" w:type="pct"/>
            <w:gridSpan w:val="2"/>
            <w:tcBorders>
              <w:top w:val="nil"/>
              <w:left w:val="nil"/>
              <w:bottom w:val="nil"/>
              <w:right w:val="nil"/>
            </w:tcBorders>
            <w:shd w:val="clear" w:color="auto" w:fill="auto"/>
            <w:noWrap/>
            <w:vAlign w:val="bottom"/>
          </w:tcPr>
          <w:p w14:paraId="2341A887" w14:textId="77777777" w:rsidR="0011752D" w:rsidRPr="0011752D" w:rsidRDefault="0011752D" w:rsidP="0011752D">
            <w:pPr>
              <w:rPr>
                <w:sz w:val="12"/>
                <w:lang w:val="es-CO" w:eastAsia="es-CO"/>
              </w:rPr>
            </w:pPr>
          </w:p>
        </w:tc>
      </w:tr>
      <w:tr w:rsidR="0011752D" w:rsidRPr="0011752D" w14:paraId="2341A898" w14:textId="77777777" w:rsidTr="00390762">
        <w:trPr>
          <w:trHeight w:val="300"/>
        </w:trPr>
        <w:tc>
          <w:tcPr>
            <w:tcW w:w="803" w:type="pct"/>
            <w:tcBorders>
              <w:top w:val="single" w:sz="4" w:space="0" w:color="auto"/>
              <w:left w:val="single" w:sz="4" w:space="0" w:color="auto"/>
              <w:bottom w:val="single" w:sz="4" w:space="0" w:color="auto"/>
              <w:right w:val="nil"/>
            </w:tcBorders>
            <w:shd w:val="clear" w:color="000000" w:fill="E2EFDA"/>
            <w:noWrap/>
            <w:vAlign w:val="center"/>
            <w:hideMark/>
          </w:tcPr>
          <w:p w14:paraId="2341A889" w14:textId="77777777" w:rsidR="0011752D" w:rsidRPr="0011752D" w:rsidRDefault="0011752D" w:rsidP="0011752D">
            <w:pPr>
              <w:rPr>
                <w:rFonts w:ascii="Calibri" w:hAnsi="Calibri" w:cs="Calibri"/>
                <w:b/>
                <w:color w:val="000000"/>
                <w:sz w:val="16"/>
                <w:szCs w:val="22"/>
                <w:lang w:val="es-CO" w:eastAsia="es-CO"/>
              </w:rPr>
            </w:pPr>
            <w:r w:rsidRPr="0011752D">
              <w:rPr>
                <w:rFonts w:ascii="Calibri" w:hAnsi="Calibri" w:cs="Calibri"/>
                <w:b/>
                <w:color w:val="000000"/>
                <w:sz w:val="16"/>
                <w:szCs w:val="22"/>
                <w:lang w:val="es-CO" w:eastAsia="es-CO"/>
              </w:rPr>
              <w:t>VPN dic 2016 (Millones USD$)</w:t>
            </w:r>
          </w:p>
        </w:tc>
        <w:tc>
          <w:tcPr>
            <w:tcW w:w="402" w:type="pct"/>
            <w:gridSpan w:val="2"/>
            <w:tcBorders>
              <w:top w:val="single" w:sz="4" w:space="0" w:color="auto"/>
              <w:left w:val="nil"/>
              <w:bottom w:val="single" w:sz="4" w:space="0" w:color="auto"/>
              <w:right w:val="single" w:sz="4" w:space="0" w:color="auto"/>
            </w:tcBorders>
            <w:shd w:val="clear" w:color="000000" w:fill="E2EFDA"/>
            <w:noWrap/>
            <w:vAlign w:val="center"/>
            <w:hideMark/>
          </w:tcPr>
          <w:p w14:paraId="2341A88A" w14:textId="77777777" w:rsidR="0011752D" w:rsidRPr="0011752D" w:rsidRDefault="0011752D" w:rsidP="0011752D">
            <w:pPr>
              <w:rPr>
                <w:rFonts w:ascii="Calibri" w:hAnsi="Calibri" w:cs="Calibri"/>
                <w:b/>
                <w:color w:val="000000"/>
                <w:sz w:val="16"/>
                <w:szCs w:val="22"/>
                <w:lang w:val="es-CO" w:eastAsia="es-CO"/>
              </w:rPr>
            </w:pPr>
            <w:r w:rsidRPr="0011752D">
              <w:rPr>
                <w:rFonts w:ascii="Calibri" w:hAnsi="Calibri" w:cs="Calibri"/>
                <w:b/>
                <w:color w:val="000000"/>
                <w:sz w:val="16"/>
                <w:szCs w:val="22"/>
                <w:lang w:val="es-CO" w:eastAsia="es-CO"/>
              </w:rPr>
              <w:t>5.748</w:t>
            </w:r>
          </w:p>
        </w:tc>
        <w:tc>
          <w:tcPr>
            <w:tcW w:w="308" w:type="pct"/>
            <w:gridSpan w:val="2"/>
            <w:tcBorders>
              <w:top w:val="nil"/>
              <w:left w:val="nil"/>
              <w:bottom w:val="nil"/>
              <w:right w:val="nil"/>
            </w:tcBorders>
            <w:shd w:val="clear" w:color="auto" w:fill="auto"/>
            <w:noWrap/>
            <w:vAlign w:val="bottom"/>
            <w:hideMark/>
          </w:tcPr>
          <w:p w14:paraId="2341A88B" w14:textId="77777777" w:rsidR="0011752D" w:rsidRPr="0011752D" w:rsidRDefault="0011752D" w:rsidP="0011752D">
            <w:pPr>
              <w:jc w:val="right"/>
              <w:rPr>
                <w:rFonts w:ascii="Calibri" w:hAnsi="Calibri" w:cs="Calibri"/>
                <w:color w:val="000000"/>
                <w:sz w:val="12"/>
                <w:szCs w:val="22"/>
                <w:lang w:val="es-CO" w:eastAsia="es-CO"/>
              </w:rPr>
            </w:pPr>
          </w:p>
        </w:tc>
        <w:tc>
          <w:tcPr>
            <w:tcW w:w="252" w:type="pct"/>
            <w:gridSpan w:val="2"/>
            <w:tcBorders>
              <w:top w:val="nil"/>
              <w:left w:val="nil"/>
              <w:bottom w:val="nil"/>
              <w:right w:val="nil"/>
            </w:tcBorders>
            <w:shd w:val="clear" w:color="auto" w:fill="auto"/>
            <w:noWrap/>
            <w:vAlign w:val="bottom"/>
            <w:hideMark/>
          </w:tcPr>
          <w:p w14:paraId="2341A88C"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hideMark/>
          </w:tcPr>
          <w:p w14:paraId="2341A88D"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hideMark/>
          </w:tcPr>
          <w:p w14:paraId="2341A88E" w14:textId="77777777" w:rsidR="0011752D" w:rsidRPr="0011752D" w:rsidRDefault="0011752D" w:rsidP="0011752D">
            <w:pPr>
              <w:rPr>
                <w:sz w:val="12"/>
                <w:lang w:val="es-CO" w:eastAsia="es-CO"/>
              </w:rPr>
            </w:pPr>
          </w:p>
        </w:tc>
        <w:tc>
          <w:tcPr>
            <w:tcW w:w="278" w:type="pct"/>
            <w:tcBorders>
              <w:top w:val="nil"/>
              <w:left w:val="nil"/>
              <w:bottom w:val="nil"/>
              <w:right w:val="nil"/>
            </w:tcBorders>
            <w:shd w:val="clear" w:color="auto" w:fill="auto"/>
            <w:noWrap/>
            <w:vAlign w:val="bottom"/>
            <w:hideMark/>
          </w:tcPr>
          <w:p w14:paraId="2341A88F"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hideMark/>
          </w:tcPr>
          <w:p w14:paraId="2341A890"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hideMark/>
          </w:tcPr>
          <w:p w14:paraId="2341A891"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hideMark/>
          </w:tcPr>
          <w:p w14:paraId="2341A892"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hideMark/>
          </w:tcPr>
          <w:p w14:paraId="2341A893"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hideMark/>
          </w:tcPr>
          <w:p w14:paraId="2341A894"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hideMark/>
          </w:tcPr>
          <w:p w14:paraId="2341A895"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hideMark/>
          </w:tcPr>
          <w:p w14:paraId="2341A896" w14:textId="77777777" w:rsidR="0011752D" w:rsidRPr="0011752D" w:rsidRDefault="0011752D" w:rsidP="0011752D">
            <w:pPr>
              <w:rPr>
                <w:sz w:val="12"/>
                <w:lang w:val="es-CO" w:eastAsia="es-CO"/>
              </w:rPr>
            </w:pPr>
          </w:p>
        </w:tc>
        <w:tc>
          <w:tcPr>
            <w:tcW w:w="305" w:type="pct"/>
            <w:gridSpan w:val="2"/>
            <w:tcBorders>
              <w:top w:val="nil"/>
              <w:left w:val="nil"/>
              <w:bottom w:val="nil"/>
              <w:right w:val="nil"/>
            </w:tcBorders>
            <w:shd w:val="clear" w:color="auto" w:fill="auto"/>
            <w:noWrap/>
            <w:vAlign w:val="bottom"/>
            <w:hideMark/>
          </w:tcPr>
          <w:p w14:paraId="2341A897" w14:textId="77777777" w:rsidR="0011752D" w:rsidRPr="0011752D" w:rsidRDefault="0011752D" w:rsidP="0011752D">
            <w:pPr>
              <w:rPr>
                <w:sz w:val="12"/>
                <w:lang w:val="es-CO" w:eastAsia="es-CO"/>
              </w:rPr>
            </w:pPr>
          </w:p>
        </w:tc>
      </w:tr>
    </w:tbl>
    <w:p w14:paraId="2341A899" w14:textId="77777777" w:rsidR="0011752D" w:rsidRPr="0011752D" w:rsidRDefault="0011752D" w:rsidP="0011752D">
      <w:pPr>
        <w:spacing w:before="120"/>
        <w:jc w:val="both"/>
        <w:rPr>
          <w:rFonts w:ascii="Arial" w:hAnsi="Arial"/>
          <w:sz w:val="22"/>
          <w:lang w:val="es-ES" w:eastAsia="es-CO"/>
        </w:rPr>
      </w:pPr>
      <w:r w:rsidRPr="0011752D">
        <w:rPr>
          <w:rFonts w:ascii="Arial" w:hAnsi="Arial"/>
          <w:sz w:val="22"/>
          <w:lang w:val="es-ES" w:eastAsia="es-CO"/>
        </w:rPr>
        <w:t>En la medida que no se cuenta con el valor presente de la inversión de cada escenario sobre el cual poder calcular una rentabilidad, no se incluye en la presente evaluación una estimación de tasa interna de retorno.</w:t>
      </w:r>
      <w:r w:rsidRPr="0011752D">
        <w:rPr>
          <w:rFonts w:ascii="Arial" w:hAnsi="Arial"/>
          <w:sz w:val="22"/>
          <w:vertAlign w:val="superscript"/>
          <w:lang w:val="es-ES" w:eastAsia="es-CO"/>
        </w:rPr>
        <w:footnoteReference w:id="23"/>
      </w:r>
    </w:p>
    <w:p w14:paraId="2341A89A" w14:textId="77777777" w:rsidR="0011752D" w:rsidRPr="0011752D" w:rsidRDefault="0011752D" w:rsidP="0011752D">
      <w:pPr>
        <w:spacing w:before="120"/>
        <w:jc w:val="both"/>
        <w:rPr>
          <w:rFonts w:ascii="Arial" w:hAnsi="Arial" w:cs="Arial"/>
          <w:bCs/>
          <w:color w:val="FF0000"/>
          <w:sz w:val="22"/>
          <w:szCs w:val="22"/>
          <w:lang w:val="es-ES"/>
        </w:rPr>
      </w:pPr>
      <w:r w:rsidRPr="0011752D">
        <w:rPr>
          <w:rFonts w:ascii="Arial" w:hAnsi="Arial"/>
          <w:sz w:val="22"/>
          <w:lang w:val="es-ES" w:eastAsia="es-CO"/>
        </w:rPr>
        <w:t>Adicional a los beneficios originados por un menor costo de la generación, se obtiene el beneficio de una menor emisión de CO</w:t>
      </w:r>
      <w:r w:rsidRPr="0011752D">
        <w:rPr>
          <w:rFonts w:ascii="Arial" w:hAnsi="Arial"/>
          <w:sz w:val="22"/>
          <w:vertAlign w:val="subscript"/>
          <w:lang w:val="es-ES" w:eastAsia="es-CO"/>
        </w:rPr>
        <w:t>2</w:t>
      </w:r>
      <w:r w:rsidRPr="0011752D">
        <w:rPr>
          <w:rFonts w:ascii="Arial" w:hAnsi="Arial"/>
          <w:sz w:val="22"/>
          <w:lang w:val="es-ES" w:eastAsia="es-CO"/>
        </w:rPr>
        <w:t xml:space="preserve"> frente al escenario de referencia. La </w:t>
      </w:r>
      <w:r w:rsidRPr="0011752D">
        <w:rPr>
          <w:rFonts w:ascii="Arial" w:hAnsi="Arial"/>
          <w:sz w:val="22"/>
          <w:lang w:val="es-ES" w:eastAsia="es-CO"/>
        </w:rPr>
        <w:fldChar w:fldCharType="begin"/>
      </w:r>
      <w:r w:rsidRPr="0011752D">
        <w:rPr>
          <w:rFonts w:ascii="Arial" w:hAnsi="Arial"/>
          <w:sz w:val="22"/>
          <w:lang w:val="es-ES" w:eastAsia="es-CO"/>
        </w:rPr>
        <w:instrText xml:space="preserve"> REF _Ref472064375 \h </w:instrText>
      </w:r>
      <w:r w:rsidRPr="0011752D">
        <w:rPr>
          <w:rFonts w:ascii="Arial" w:hAnsi="Arial"/>
          <w:sz w:val="22"/>
          <w:lang w:val="es-ES" w:eastAsia="es-CO"/>
        </w:rPr>
      </w:r>
      <w:r w:rsidRPr="0011752D">
        <w:rPr>
          <w:rFonts w:ascii="Arial" w:hAnsi="Arial"/>
          <w:sz w:val="22"/>
          <w:lang w:val="es-ES" w:eastAsia="es-CO"/>
        </w:rPr>
        <w:fldChar w:fldCharType="separate"/>
      </w:r>
      <w:r w:rsidRPr="0011752D">
        <w:rPr>
          <w:rFonts w:ascii="Arial" w:hAnsi="Arial"/>
          <w:b/>
          <w:sz w:val="22"/>
          <w:lang w:val="es-CO"/>
        </w:rPr>
        <w:t xml:space="preserve">Ilustración </w:t>
      </w:r>
      <w:r w:rsidRPr="0011752D">
        <w:rPr>
          <w:rFonts w:ascii="Arial" w:hAnsi="Arial"/>
          <w:b/>
          <w:bCs/>
          <w:noProof/>
          <w:sz w:val="22"/>
          <w:lang w:val="es-CO"/>
        </w:rPr>
        <w:t>9</w:t>
      </w:r>
      <w:r w:rsidRPr="0011752D">
        <w:rPr>
          <w:rFonts w:ascii="Arial" w:hAnsi="Arial"/>
          <w:sz w:val="22"/>
          <w:lang w:val="es-ES" w:eastAsia="es-CO"/>
        </w:rPr>
        <w:fldChar w:fldCharType="end"/>
      </w:r>
      <w:r w:rsidRPr="0011752D">
        <w:rPr>
          <w:rFonts w:ascii="Arial" w:hAnsi="Arial"/>
          <w:sz w:val="22"/>
          <w:lang w:val="es-ES" w:eastAsia="es-CO"/>
        </w:rPr>
        <w:t xml:space="preserve"> muestra el volumen de emisiones de CO</w:t>
      </w:r>
      <w:r w:rsidRPr="0011752D">
        <w:rPr>
          <w:rFonts w:ascii="Arial" w:hAnsi="Arial"/>
          <w:sz w:val="22"/>
          <w:vertAlign w:val="subscript"/>
          <w:lang w:val="es-ES" w:eastAsia="es-CO"/>
        </w:rPr>
        <w:t>2</w:t>
      </w:r>
      <w:r w:rsidRPr="0011752D">
        <w:rPr>
          <w:rFonts w:ascii="Arial" w:hAnsi="Arial"/>
          <w:sz w:val="22"/>
          <w:lang w:val="es-ES" w:eastAsia="es-CO"/>
        </w:rPr>
        <w:t xml:space="preserve"> esperado en ambos escenarios. </w:t>
      </w:r>
    </w:p>
    <w:p w14:paraId="2341A89B" w14:textId="77777777" w:rsidR="0011752D" w:rsidRPr="0011752D" w:rsidRDefault="0011752D" w:rsidP="0011752D">
      <w:pPr>
        <w:spacing w:before="240" w:after="240"/>
        <w:ind w:left="720"/>
        <w:jc w:val="center"/>
        <w:rPr>
          <w:rFonts w:ascii="Arial" w:hAnsi="Arial"/>
          <w:b/>
          <w:sz w:val="22"/>
          <w:lang w:val="es-CO"/>
        </w:rPr>
      </w:pPr>
      <w:bookmarkStart w:id="62" w:name="_Ref472064375"/>
      <w:bookmarkStart w:id="63" w:name="_Toc474797053"/>
      <w:r w:rsidRPr="0011752D">
        <w:rPr>
          <w:rFonts w:ascii="Arial" w:hAnsi="Arial"/>
          <w:b/>
          <w:sz w:val="22"/>
          <w:lang w:val="es-CO"/>
        </w:rPr>
        <w:t xml:space="preserve">Ilustración </w:t>
      </w:r>
      <w:r w:rsidRPr="0011752D">
        <w:rPr>
          <w:rFonts w:ascii="Arial" w:hAnsi="Arial"/>
          <w:b/>
          <w:bCs/>
          <w:sz w:val="22"/>
          <w:lang w:val="es-CO"/>
        </w:rPr>
        <w:fldChar w:fldCharType="begin"/>
      </w:r>
      <w:r w:rsidRPr="0011752D">
        <w:rPr>
          <w:rFonts w:ascii="Arial" w:hAnsi="Arial"/>
          <w:b/>
          <w:bCs/>
          <w:sz w:val="22"/>
          <w:lang w:val="es-CO"/>
        </w:rPr>
        <w:instrText xml:space="preserve"> SEQ Ilustración \* ARABIC </w:instrText>
      </w:r>
      <w:r w:rsidRPr="0011752D">
        <w:rPr>
          <w:rFonts w:ascii="Arial" w:hAnsi="Arial"/>
          <w:b/>
          <w:bCs/>
          <w:sz w:val="22"/>
          <w:lang w:val="es-CO"/>
        </w:rPr>
        <w:fldChar w:fldCharType="separate"/>
      </w:r>
      <w:r w:rsidRPr="0011752D">
        <w:rPr>
          <w:rFonts w:ascii="Arial" w:hAnsi="Arial"/>
          <w:b/>
          <w:bCs/>
          <w:noProof/>
          <w:sz w:val="22"/>
          <w:lang w:val="es-CO"/>
        </w:rPr>
        <w:t>9</w:t>
      </w:r>
      <w:r w:rsidRPr="0011752D">
        <w:rPr>
          <w:rFonts w:ascii="Arial" w:hAnsi="Arial"/>
          <w:b/>
          <w:bCs/>
          <w:sz w:val="22"/>
          <w:lang w:val="es-CO"/>
        </w:rPr>
        <w:fldChar w:fldCharType="end"/>
      </w:r>
      <w:bookmarkEnd w:id="62"/>
      <w:r w:rsidRPr="0011752D">
        <w:rPr>
          <w:rFonts w:ascii="Arial" w:hAnsi="Arial"/>
          <w:b/>
          <w:sz w:val="22"/>
          <w:lang w:val="es-CO"/>
        </w:rPr>
        <w:t xml:space="preserve"> – Proyección de emisiones de CO</w:t>
      </w:r>
      <w:r w:rsidRPr="0011752D">
        <w:rPr>
          <w:rFonts w:ascii="Arial" w:hAnsi="Arial"/>
          <w:b/>
          <w:sz w:val="22"/>
          <w:vertAlign w:val="subscript"/>
          <w:lang w:val="es-CO"/>
        </w:rPr>
        <w:t>2</w:t>
      </w:r>
      <w:r w:rsidRPr="0011752D">
        <w:rPr>
          <w:rFonts w:ascii="Arial" w:hAnsi="Arial"/>
          <w:b/>
          <w:sz w:val="22"/>
          <w:lang w:val="es-CO"/>
        </w:rPr>
        <w:t xml:space="preserve"> según escenario</w:t>
      </w:r>
      <w:bookmarkEnd w:id="63"/>
    </w:p>
    <w:p w14:paraId="2341A89C" w14:textId="77777777" w:rsidR="0011752D" w:rsidRPr="0011752D" w:rsidRDefault="0011752D" w:rsidP="0011752D">
      <w:pPr>
        <w:spacing w:before="240" w:after="240"/>
        <w:jc w:val="center"/>
        <w:rPr>
          <w:rFonts w:ascii="Arial" w:hAnsi="Arial"/>
          <w:sz w:val="20"/>
          <w:lang w:val="es-ES"/>
        </w:rPr>
      </w:pPr>
      <w:r w:rsidRPr="0011752D">
        <w:rPr>
          <w:rFonts w:ascii="Arial" w:hAnsi="Arial"/>
          <w:noProof/>
          <w:sz w:val="22"/>
          <w:lang w:val="es-US" w:eastAsia="zh-CN"/>
        </w:rPr>
        <w:drawing>
          <wp:inline distT="0" distB="0" distL="0" distR="0" wp14:anchorId="2341BDBE" wp14:editId="2341BDBF">
            <wp:extent cx="5612130" cy="2426335"/>
            <wp:effectExtent l="0" t="0" r="7620" b="0"/>
            <wp:docPr id="835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5612130" cy="2426335"/>
                    </a:xfrm>
                    <a:prstGeom prst="rect">
                      <a:avLst/>
                    </a:prstGeom>
                  </pic:spPr>
                </pic:pic>
              </a:graphicData>
            </a:graphic>
          </wp:inline>
        </w:drawing>
      </w:r>
    </w:p>
    <w:p w14:paraId="2341A89D" w14:textId="77777777" w:rsidR="0011752D" w:rsidRPr="0011752D" w:rsidRDefault="0011752D" w:rsidP="0011752D">
      <w:pPr>
        <w:spacing w:before="240" w:after="240"/>
        <w:jc w:val="center"/>
        <w:rPr>
          <w:rFonts w:ascii="Arial" w:hAnsi="Arial"/>
          <w:sz w:val="20"/>
          <w:lang w:val="es-ES"/>
        </w:rPr>
      </w:pPr>
      <w:r w:rsidRPr="0011752D">
        <w:rPr>
          <w:rFonts w:ascii="Arial" w:hAnsi="Arial"/>
          <w:sz w:val="20"/>
          <w:lang w:val="es-ES"/>
        </w:rPr>
        <w:t>Fuente: Elaborado con base en información del Plan de Expansión de Referencia Generación Transmisión 2015 – 2029 de la UPME</w:t>
      </w:r>
    </w:p>
    <w:p w14:paraId="2341A89E" w14:textId="77777777" w:rsidR="0011752D" w:rsidRPr="0011752D" w:rsidRDefault="0011752D" w:rsidP="0011752D">
      <w:pPr>
        <w:spacing w:before="240" w:after="240"/>
        <w:jc w:val="both"/>
        <w:rPr>
          <w:rFonts w:ascii="Arial" w:hAnsi="Arial"/>
          <w:sz w:val="22"/>
          <w:lang w:val="es-ES" w:eastAsia="es-CO"/>
        </w:rPr>
      </w:pPr>
      <w:r w:rsidRPr="0011752D">
        <w:rPr>
          <w:rFonts w:ascii="Arial" w:hAnsi="Arial"/>
          <w:sz w:val="22"/>
          <w:lang w:val="es-ES" w:eastAsia="es-CO"/>
        </w:rPr>
        <w:lastRenderedPageBreak/>
        <w:t>Al 30 de diciembre de 2016, los certificados de emisiones del sistema ETS de la Unión Europea se valoraban en 6,57 €/TonCO</w:t>
      </w:r>
      <w:r w:rsidRPr="0011752D">
        <w:rPr>
          <w:rFonts w:ascii="Arial" w:hAnsi="Arial"/>
          <w:sz w:val="22"/>
          <w:vertAlign w:val="subscript"/>
          <w:lang w:val="es-ES" w:eastAsia="es-CO"/>
        </w:rPr>
        <w:t>2</w:t>
      </w:r>
      <w:r w:rsidRPr="0011752D">
        <w:rPr>
          <w:rFonts w:ascii="Arial" w:hAnsi="Arial"/>
          <w:sz w:val="22"/>
          <w:lang w:val="es-ES" w:eastAsia="es-CO"/>
        </w:rPr>
        <w:t xml:space="preserve"> (6,93 $USD/TonCO</w:t>
      </w:r>
      <w:r w:rsidRPr="0011752D">
        <w:rPr>
          <w:rFonts w:ascii="Arial" w:hAnsi="Arial"/>
          <w:sz w:val="22"/>
          <w:vertAlign w:val="subscript"/>
          <w:lang w:val="es-ES" w:eastAsia="es-CO"/>
        </w:rPr>
        <w:t>2</w:t>
      </w:r>
      <w:r w:rsidRPr="0011752D">
        <w:rPr>
          <w:rFonts w:ascii="Arial" w:hAnsi="Arial"/>
          <w:sz w:val="22"/>
          <w:lang w:val="es-ES" w:eastAsia="es-CO"/>
        </w:rPr>
        <w:t xml:space="preserve"> a la tasa de cambio de referencia en dicha fecha)</w:t>
      </w:r>
      <w:r w:rsidRPr="0011752D">
        <w:rPr>
          <w:rFonts w:ascii="Arial" w:hAnsi="Arial"/>
          <w:sz w:val="22"/>
          <w:vertAlign w:val="superscript"/>
          <w:lang w:val="es-ES" w:eastAsia="es-CO"/>
        </w:rPr>
        <w:footnoteReference w:id="24"/>
      </w:r>
      <w:r w:rsidRPr="0011752D">
        <w:rPr>
          <w:rFonts w:ascii="Arial" w:hAnsi="Arial"/>
          <w:sz w:val="22"/>
          <w:lang w:val="es-ES" w:eastAsia="es-CO"/>
        </w:rPr>
        <w:t>, y en lo corrido del 2017, los precios han mantenido una tendencia a la baja. Debido a que se prevé una menor utilización del carbón alrededor del mundo, se proyecta que los precios de los certificados de emisiones continúen cayendo y que se mantengan por debajo de los 6,00 €/TonCO</w:t>
      </w:r>
      <w:r w:rsidRPr="0011752D">
        <w:rPr>
          <w:rFonts w:ascii="Arial" w:hAnsi="Arial"/>
          <w:sz w:val="22"/>
          <w:vertAlign w:val="subscript"/>
          <w:lang w:val="es-ES" w:eastAsia="es-CO"/>
        </w:rPr>
        <w:t xml:space="preserve">2 </w:t>
      </w:r>
      <w:r w:rsidRPr="0011752D">
        <w:rPr>
          <w:rFonts w:ascii="Arial" w:hAnsi="Arial"/>
          <w:sz w:val="22"/>
          <w:lang w:val="es-ES" w:eastAsia="es-CO"/>
        </w:rPr>
        <w:t>(5,70 €/TonCO</w:t>
      </w:r>
      <w:r w:rsidRPr="0011752D">
        <w:rPr>
          <w:rFonts w:ascii="Arial" w:hAnsi="Arial"/>
          <w:sz w:val="22"/>
          <w:vertAlign w:val="subscript"/>
          <w:lang w:val="es-ES" w:eastAsia="es-CO"/>
        </w:rPr>
        <w:t>2</w:t>
      </w:r>
      <w:r w:rsidRPr="0011752D">
        <w:rPr>
          <w:rFonts w:ascii="Arial" w:hAnsi="Arial"/>
          <w:sz w:val="22"/>
          <w:lang w:val="es-ES" w:eastAsia="es-CO"/>
        </w:rPr>
        <w:t xml:space="preserve"> o 6,01 $USD/TonCO</w:t>
      </w:r>
      <w:r w:rsidRPr="0011752D">
        <w:rPr>
          <w:rFonts w:ascii="Arial" w:hAnsi="Arial"/>
          <w:sz w:val="22"/>
          <w:vertAlign w:val="subscript"/>
          <w:lang w:val="es-ES" w:eastAsia="es-CO"/>
        </w:rPr>
        <w:t>2</w:t>
      </w:r>
      <w:r w:rsidRPr="0011752D">
        <w:rPr>
          <w:rFonts w:ascii="Arial" w:hAnsi="Arial"/>
          <w:sz w:val="22"/>
          <w:lang w:val="es-ES" w:eastAsia="es-CO"/>
        </w:rPr>
        <w:t xml:space="preserve"> para el año 2018)</w:t>
      </w:r>
      <w:r w:rsidRPr="0011752D">
        <w:rPr>
          <w:rFonts w:ascii="Arial" w:hAnsi="Arial"/>
          <w:sz w:val="22"/>
          <w:vertAlign w:val="superscript"/>
          <w:lang w:val="es-ES" w:eastAsia="es-CO"/>
        </w:rPr>
        <w:footnoteReference w:id="25"/>
      </w:r>
      <w:r w:rsidRPr="0011752D">
        <w:rPr>
          <w:rFonts w:ascii="Arial" w:hAnsi="Arial"/>
          <w:sz w:val="22"/>
          <w:lang w:val="es-ES" w:eastAsia="es-CO"/>
        </w:rPr>
        <w:t xml:space="preserve">. La valoración de los beneficios anuales, calculados como la diferencia de las emisiones entre los dos escenarios, multiplicada por el precio de los certificados según las proyecciones disponibles, se presenta en la </w:t>
      </w:r>
      <w:r w:rsidRPr="0011752D">
        <w:rPr>
          <w:rFonts w:ascii="Arial" w:hAnsi="Arial"/>
          <w:sz w:val="22"/>
          <w:lang w:val="es-ES" w:eastAsia="es-CO"/>
        </w:rPr>
        <w:fldChar w:fldCharType="begin"/>
      </w:r>
      <w:r w:rsidRPr="0011752D">
        <w:rPr>
          <w:rFonts w:ascii="Arial" w:hAnsi="Arial"/>
          <w:sz w:val="22"/>
          <w:lang w:val="es-ES" w:eastAsia="es-CO"/>
        </w:rPr>
        <w:instrText xml:space="preserve"> REF _Ref472949574 \h </w:instrText>
      </w:r>
      <w:r w:rsidRPr="0011752D">
        <w:rPr>
          <w:rFonts w:ascii="Arial" w:hAnsi="Arial"/>
          <w:sz w:val="22"/>
          <w:lang w:val="es-ES" w:eastAsia="es-CO"/>
        </w:rPr>
      </w:r>
      <w:r w:rsidRPr="0011752D">
        <w:rPr>
          <w:rFonts w:ascii="Arial" w:hAnsi="Arial"/>
          <w:sz w:val="22"/>
          <w:lang w:val="es-ES" w:eastAsia="es-CO"/>
        </w:rPr>
        <w:fldChar w:fldCharType="separate"/>
      </w:r>
      <w:r w:rsidRPr="0011752D">
        <w:rPr>
          <w:rFonts w:ascii="Arial" w:hAnsi="Arial"/>
          <w:b/>
          <w:sz w:val="22"/>
          <w:lang w:val="es-CO"/>
        </w:rPr>
        <w:t xml:space="preserve">Tabla </w:t>
      </w:r>
      <w:r w:rsidRPr="0011752D">
        <w:rPr>
          <w:rFonts w:ascii="Arial" w:hAnsi="Arial"/>
          <w:b/>
          <w:noProof/>
          <w:sz w:val="22"/>
          <w:lang w:val="es-CO"/>
        </w:rPr>
        <w:t>2</w:t>
      </w:r>
      <w:r w:rsidRPr="0011752D">
        <w:rPr>
          <w:rFonts w:ascii="Arial" w:hAnsi="Arial"/>
          <w:sz w:val="22"/>
          <w:lang w:val="es-ES" w:eastAsia="es-CO"/>
        </w:rPr>
        <w:fldChar w:fldCharType="end"/>
      </w:r>
      <w:r w:rsidRPr="0011752D">
        <w:rPr>
          <w:rFonts w:ascii="Arial" w:hAnsi="Arial"/>
          <w:sz w:val="22"/>
          <w:lang w:val="es-ES" w:eastAsia="es-CO"/>
        </w:rPr>
        <w:t xml:space="preserve">. </w:t>
      </w:r>
    </w:p>
    <w:p w14:paraId="2341A89F" w14:textId="77777777" w:rsidR="0011752D" w:rsidRPr="0011752D" w:rsidRDefault="0011752D" w:rsidP="0011752D">
      <w:pPr>
        <w:spacing w:before="240" w:after="240"/>
        <w:ind w:left="720"/>
        <w:jc w:val="center"/>
        <w:rPr>
          <w:rFonts w:ascii="Arial" w:hAnsi="Arial"/>
          <w:b/>
          <w:sz w:val="22"/>
          <w:lang w:val="es-CO"/>
        </w:rPr>
      </w:pPr>
      <w:bookmarkStart w:id="64" w:name="_Ref472949574"/>
      <w:bookmarkStart w:id="65" w:name="_Toc474797056"/>
      <w:r w:rsidRPr="0011752D">
        <w:rPr>
          <w:rFonts w:ascii="Arial" w:hAnsi="Arial"/>
          <w:b/>
          <w:sz w:val="22"/>
          <w:lang w:val="es-CO"/>
        </w:rPr>
        <w:t xml:space="preserve">Tabla </w:t>
      </w:r>
      <w:r w:rsidRPr="0011752D">
        <w:rPr>
          <w:rFonts w:ascii="Arial" w:hAnsi="Arial"/>
          <w:b/>
          <w:sz w:val="22"/>
          <w:lang w:val="es-CO"/>
        </w:rPr>
        <w:fldChar w:fldCharType="begin"/>
      </w:r>
      <w:r w:rsidRPr="0011752D">
        <w:rPr>
          <w:rFonts w:ascii="Arial" w:hAnsi="Arial"/>
          <w:b/>
          <w:sz w:val="22"/>
          <w:lang w:val="es-CO"/>
        </w:rPr>
        <w:instrText xml:space="preserve"> SEQ Tabla \* ARABIC </w:instrText>
      </w:r>
      <w:r w:rsidRPr="0011752D">
        <w:rPr>
          <w:rFonts w:ascii="Arial" w:hAnsi="Arial"/>
          <w:b/>
          <w:sz w:val="22"/>
          <w:lang w:val="es-CO"/>
        </w:rPr>
        <w:fldChar w:fldCharType="separate"/>
      </w:r>
      <w:r w:rsidRPr="0011752D">
        <w:rPr>
          <w:rFonts w:ascii="Arial" w:hAnsi="Arial"/>
          <w:b/>
          <w:noProof/>
          <w:sz w:val="22"/>
          <w:lang w:val="es-CO"/>
        </w:rPr>
        <w:t>2</w:t>
      </w:r>
      <w:r w:rsidRPr="0011752D">
        <w:rPr>
          <w:rFonts w:ascii="Arial" w:hAnsi="Arial"/>
          <w:b/>
          <w:sz w:val="22"/>
          <w:lang w:val="es-CO"/>
        </w:rPr>
        <w:fldChar w:fldCharType="end"/>
      </w:r>
      <w:bookmarkEnd w:id="64"/>
      <w:r w:rsidRPr="0011752D">
        <w:rPr>
          <w:rFonts w:ascii="Arial" w:hAnsi="Arial"/>
          <w:b/>
          <w:sz w:val="22"/>
          <w:lang w:val="es-CO"/>
        </w:rPr>
        <w:t xml:space="preserve"> – Evaluación de beneficios por menores emisiones de CO</w:t>
      </w:r>
      <w:r w:rsidRPr="0011752D">
        <w:rPr>
          <w:rFonts w:ascii="Arial" w:hAnsi="Arial"/>
          <w:b/>
          <w:sz w:val="22"/>
          <w:vertAlign w:val="subscript"/>
          <w:lang w:val="es-CO"/>
        </w:rPr>
        <w:t>2</w:t>
      </w:r>
      <w:bookmarkEnd w:id="65"/>
    </w:p>
    <w:tbl>
      <w:tblPr>
        <w:tblW w:w="5000" w:type="pct"/>
        <w:tblLayout w:type="fixed"/>
        <w:tblCellMar>
          <w:left w:w="70" w:type="dxa"/>
          <w:right w:w="70" w:type="dxa"/>
        </w:tblCellMar>
        <w:tblLook w:val="04A0" w:firstRow="1" w:lastRow="0" w:firstColumn="1" w:lastColumn="0" w:noHBand="0" w:noVBand="1"/>
      </w:tblPr>
      <w:tblGrid>
        <w:gridCol w:w="1387"/>
        <w:gridCol w:w="516"/>
        <w:gridCol w:w="178"/>
        <w:gridCol w:w="340"/>
        <w:gridCol w:w="192"/>
        <w:gridCol w:w="327"/>
        <w:gridCol w:w="109"/>
        <w:gridCol w:w="410"/>
        <w:gridCol w:w="71"/>
        <w:gridCol w:w="448"/>
        <w:gridCol w:w="33"/>
        <w:gridCol w:w="480"/>
        <w:gridCol w:w="6"/>
        <w:gridCol w:w="475"/>
        <w:gridCol w:w="43"/>
        <w:gridCol w:w="437"/>
        <w:gridCol w:w="81"/>
        <w:gridCol w:w="451"/>
        <w:gridCol w:w="67"/>
        <w:gridCol w:w="465"/>
        <w:gridCol w:w="54"/>
        <w:gridCol w:w="479"/>
        <w:gridCol w:w="40"/>
        <w:gridCol w:w="492"/>
        <w:gridCol w:w="26"/>
        <w:gridCol w:w="506"/>
        <w:gridCol w:w="12"/>
        <w:gridCol w:w="515"/>
      </w:tblGrid>
      <w:tr w:rsidR="0011752D" w:rsidRPr="0011752D" w14:paraId="2341A8AF" w14:textId="77777777" w:rsidTr="00390762">
        <w:trPr>
          <w:trHeight w:val="300"/>
        </w:trPr>
        <w:tc>
          <w:tcPr>
            <w:tcW w:w="803" w:type="pct"/>
            <w:tcBorders>
              <w:top w:val="nil"/>
              <w:left w:val="nil"/>
              <w:bottom w:val="single" w:sz="4" w:space="0" w:color="auto"/>
              <w:right w:val="nil"/>
            </w:tcBorders>
            <w:shd w:val="clear" w:color="auto" w:fill="auto"/>
            <w:noWrap/>
            <w:vAlign w:val="bottom"/>
            <w:hideMark/>
          </w:tcPr>
          <w:p w14:paraId="2341A8A0" w14:textId="77777777" w:rsidR="0011752D" w:rsidRPr="0011752D" w:rsidRDefault="0011752D" w:rsidP="0011752D">
            <w:pPr>
              <w:rPr>
                <w:rFonts w:ascii="Calibri" w:hAnsi="Calibri" w:cs="Calibri"/>
                <w:color w:val="000000"/>
                <w:sz w:val="12"/>
                <w:szCs w:val="22"/>
                <w:lang w:val="es-CO" w:eastAsia="es-CO"/>
              </w:rPr>
            </w:pPr>
            <w:r w:rsidRPr="0011752D">
              <w:rPr>
                <w:rFonts w:ascii="Calibri" w:hAnsi="Calibri" w:cs="Calibri"/>
                <w:b/>
                <w:bCs/>
                <w:color w:val="000000"/>
                <w:sz w:val="12"/>
                <w:szCs w:val="22"/>
                <w:lang w:val="es-CO" w:eastAsia="es-CO"/>
              </w:rPr>
              <w:t>Emisiones anuales de CO</w:t>
            </w:r>
            <w:r w:rsidRPr="0011752D">
              <w:rPr>
                <w:rFonts w:ascii="Calibri" w:hAnsi="Calibri" w:cs="Calibri"/>
                <w:b/>
                <w:bCs/>
                <w:color w:val="000000"/>
                <w:sz w:val="12"/>
                <w:szCs w:val="22"/>
                <w:vertAlign w:val="subscript"/>
                <w:lang w:val="es-CO" w:eastAsia="es-CO"/>
              </w:rPr>
              <w:t xml:space="preserve">2 </w:t>
            </w:r>
            <w:r w:rsidRPr="0011752D">
              <w:rPr>
                <w:rFonts w:ascii="Calibri" w:hAnsi="Calibri" w:cs="Calibri"/>
                <w:b/>
                <w:bCs/>
                <w:color w:val="000000"/>
                <w:sz w:val="12"/>
                <w:szCs w:val="22"/>
                <w:lang w:val="es-CO" w:eastAsia="es-CO"/>
              </w:rPr>
              <w:t>(Millones de Ton)</w:t>
            </w:r>
          </w:p>
        </w:tc>
        <w:tc>
          <w:tcPr>
            <w:tcW w:w="299" w:type="pct"/>
            <w:tcBorders>
              <w:top w:val="single" w:sz="4" w:space="0" w:color="FFFFFF"/>
              <w:left w:val="nil"/>
              <w:bottom w:val="single" w:sz="4" w:space="0" w:color="auto"/>
              <w:right w:val="single" w:sz="4" w:space="0" w:color="FFFFFF"/>
            </w:tcBorders>
            <w:shd w:val="clear" w:color="000000" w:fill="203764"/>
            <w:noWrap/>
            <w:vAlign w:val="bottom"/>
            <w:hideMark/>
          </w:tcPr>
          <w:p w14:paraId="2341A8A1"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2016</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A2"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2017</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A3"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2018</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A4"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2019</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A5"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2020</w:t>
            </w:r>
          </w:p>
        </w:tc>
        <w:tc>
          <w:tcPr>
            <w:tcW w:w="300" w:type="pct"/>
            <w:gridSpan w:val="3"/>
            <w:tcBorders>
              <w:top w:val="single" w:sz="4" w:space="0" w:color="FFFFFF"/>
              <w:left w:val="nil"/>
              <w:bottom w:val="single" w:sz="4" w:space="0" w:color="auto"/>
              <w:right w:val="single" w:sz="4" w:space="0" w:color="FFFFFF"/>
            </w:tcBorders>
            <w:shd w:val="clear" w:color="000000" w:fill="203764"/>
            <w:noWrap/>
            <w:vAlign w:val="bottom"/>
            <w:hideMark/>
          </w:tcPr>
          <w:p w14:paraId="2341A8A6"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2021</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A7"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2022</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A8"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2023</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A9"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2024</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AA"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2025</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AB"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2026</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AC"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2027</w:t>
            </w:r>
          </w:p>
        </w:tc>
        <w:tc>
          <w:tcPr>
            <w:tcW w:w="30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341A8AD"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2028</w:t>
            </w:r>
          </w:p>
        </w:tc>
        <w:tc>
          <w:tcPr>
            <w:tcW w:w="298" w:type="pct"/>
            <w:tcBorders>
              <w:top w:val="single" w:sz="4" w:space="0" w:color="FFFFFF"/>
              <w:left w:val="nil"/>
              <w:bottom w:val="single" w:sz="4" w:space="0" w:color="auto"/>
              <w:right w:val="nil"/>
            </w:tcBorders>
            <w:shd w:val="clear" w:color="000000" w:fill="203764"/>
            <w:noWrap/>
            <w:vAlign w:val="bottom"/>
            <w:hideMark/>
          </w:tcPr>
          <w:p w14:paraId="2341A8AE" w14:textId="77777777" w:rsidR="0011752D" w:rsidRPr="0011752D" w:rsidRDefault="0011752D" w:rsidP="0011752D">
            <w:pPr>
              <w:jc w:val="center"/>
              <w:rPr>
                <w:rFonts w:ascii="Calibri" w:hAnsi="Calibri" w:cs="Calibri"/>
                <w:color w:val="FFFFFF"/>
                <w:sz w:val="12"/>
                <w:szCs w:val="22"/>
                <w:lang w:val="es-CO" w:eastAsia="es-CO"/>
              </w:rPr>
            </w:pPr>
            <w:r w:rsidRPr="0011752D">
              <w:rPr>
                <w:rFonts w:ascii="Calibri" w:hAnsi="Calibri" w:cs="Calibri"/>
                <w:color w:val="FFFFFF"/>
                <w:sz w:val="12"/>
                <w:szCs w:val="22"/>
                <w:lang w:val="es-CO" w:eastAsia="es-CO"/>
              </w:rPr>
              <w:t>2029</w:t>
            </w:r>
          </w:p>
        </w:tc>
      </w:tr>
      <w:tr w:rsidR="0011752D" w:rsidRPr="0011752D" w14:paraId="2341A8BF" w14:textId="77777777" w:rsidTr="00390762">
        <w:trPr>
          <w:trHeight w:val="354"/>
        </w:trPr>
        <w:tc>
          <w:tcPr>
            <w:tcW w:w="803" w:type="pct"/>
            <w:tcBorders>
              <w:top w:val="nil"/>
              <w:left w:val="nil"/>
              <w:bottom w:val="nil"/>
              <w:right w:val="nil"/>
            </w:tcBorders>
            <w:shd w:val="clear" w:color="auto" w:fill="auto"/>
            <w:noWrap/>
            <w:vAlign w:val="center"/>
            <w:hideMark/>
          </w:tcPr>
          <w:p w14:paraId="2341A8B0" w14:textId="77777777" w:rsidR="0011752D" w:rsidRPr="0011752D" w:rsidRDefault="0011752D" w:rsidP="0011752D">
            <w:pPr>
              <w:rPr>
                <w:rFonts w:ascii="Calibri" w:hAnsi="Calibri" w:cs="Calibri"/>
                <w:color w:val="000000"/>
                <w:sz w:val="12"/>
                <w:szCs w:val="22"/>
                <w:lang w:val="es-CO" w:eastAsia="es-CO"/>
              </w:rPr>
            </w:pPr>
            <w:r w:rsidRPr="0011752D">
              <w:rPr>
                <w:rFonts w:ascii="Calibri" w:hAnsi="Calibri" w:cs="Calibri"/>
                <w:color w:val="000000"/>
                <w:sz w:val="12"/>
                <w:szCs w:val="22"/>
                <w:lang w:val="es-CO" w:eastAsia="es-CO"/>
              </w:rPr>
              <w:t>Escenario de referencia</w:t>
            </w:r>
          </w:p>
        </w:tc>
        <w:tc>
          <w:tcPr>
            <w:tcW w:w="299" w:type="pct"/>
            <w:tcBorders>
              <w:top w:val="nil"/>
              <w:left w:val="nil"/>
              <w:bottom w:val="nil"/>
              <w:right w:val="nil"/>
            </w:tcBorders>
            <w:shd w:val="clear" w:color="auto" w:fill="auto"/>
            <w:noWrap/>
            <w:vAlign w:val="center"/>
            <w:hideMark/>
          </w:tcPr>
          <w:p w14:paraId="2341A8B1" w14:textId="77777777" w:rsidR="0011752D" w:rsidRPr="0011752D" w:rsidRDefault="0011752D" w:rsidP="0011752D">
            <w:pPr>
              <w:jc w:val="right"/>
              <w:rPr>
                <w:rFonts w:ascii="Calibri" w:hAnsi="Calibri" w:cs="Calibri"/>
                <w:color w:val="000000"/>
                <w:sz w:val="12"/>
                <w:szCs w:val="22"/>
                <w:lang w:val="es-CO" w:eastAsia="es-CO"/>
              </w:rPr>
            </w:pPr>
          </w:p>
        </w:tc>
        <w:tc>
          <w:tcPr>
            <w:tcW w:w="300" w:type="pct"/>
            <w:gridSpan w:val="2"/>
            <w:tcBorders>
              <w:top w:val="nil"/>
              <w:left w:val="nil"/>
              <w:bottom w:val="nil"/>
              <w:right w:val="nil"/>
            </w:tcBorders>
            <w:shd w:val="clear" w:color="auto" w:fill="auto"/>
            <w:noWrap/>
            <w:vAlign w:val="center"/>
            <w:hideMark/>
          </w:tcPr>
          <w:p w14:paraId="2341A8B2"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11,57</w:t>
            </w:r>
          </w:p>
        </w:tc>
        <w:tc>
          <w:tcPr>
            <w:tcW w:w="300" w:type="pct"/>
            <w:gridSpan w:val="2"/>
            <w:tcBorders>
              <w:top w:val="nil"/>
              <w:left w:val="nil"/>
              <w:bottom w:val="nil"/>
              <w:right w:val="nil"/>
            </w:tcBorders>
            <w:shd w:val="clear" w:color="auto" w:fill="auto"/>
            <w:noWrap/>
            <w:vAlign w:val="center"/>
            <w:hideMark/>
          </w:tcPr>
          <w:p w14:paraId="2341A8B3"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11,16</w:t>
            </w:r>
          </w:p>
        </w:tc>
        <w:tc>
          <w:tcPr>
            <w:tcW w:w="300" w:type="pct"/>
            <w:gridSpan w:val="2"/>
            <w:tcBorders>
              <w:top w:val="nil"/>
              <w:left w:val="nil"/>
              <w:bottom w:val="nil"/>
              <w:right w:val="nil"/>
            </w:tcBorders>
            <w:shd w:val="clear" w:color="auto" w:fill="auto"/>
            <w:noWrap/>
            <w:vAlign w:val="center"/>
            <w:hideMark/>
          </w:tcPr>
          <w:p w14:paraId="2341A8B4"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8,89</w:t>
            </w:r>
          </w:p>
        </w:tc>
        <w:tc>
          <w:tcPr>
            <w:tcW w:w="300" w:type="pct"/>
            <w:gridSpan w:val="2"/>
            <w:tcBorders>
              <w:top w:val="nil"/>
              <w:left w:val="nil"/>
              <w:bottom w:val="nil"/>
              <w:right w:val="nil"/>
            </w:tcBorders>
            <w:shd w:val="clear" w:color="auto" w:fill="auto"/>
            <w:noWrap/>
            <w:vAlign w:val="center"/>
            <w:hideMark/>
          </w:tcPr>
          <w:p w14:paraId="2341A8B5"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7,35</w:t>
            </w:r>
          </w:p>
        </w:tc>
        <w:tc>
          <w:tcPr>
            <w:tcW w:w="300" w:type="pct"/>
            <w:gridSpan w:val="3"/>
            <w:tcBorders>
              <w:top w:val="nil"/>
              <w:left w:val="nil"/>
              <w:bottom w:val="nil"/>
              <w:right w:val="nil"/>
            </w:tcBorders>
            <w:shd w:val="clear" w:color="auto" w:fill="auto"/>
            <w:noWrap/>
            <w:vAlign w:val="center"/>
            <w:hideMark/>
          </w:tcPr>
          <w:p w14:paraId="2341A8B6"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7,25</w:t>
            </w:r>
          </w:p>
        </w:tc>
        <w:tc>
          <w:tcPr>
            <w:tcW w:w="300" w:type="pct"/>
            <w:gridSpan w:val="2"/>
            <w:tcBorders>
              <w:top w:val="nil"/>
              <w:left w:val="nil"/>
              <w:bottom w:val="nil"/>
              <w:right w:val="nil"/>
            </w:tcBorders>
            <w:shd w:val="clear" w:color="auto" w:fill="auto"/>
            <w:noWrap/>
            <w:vAlign w:val="center"/>
            <w:hideMark/>
          </w:tcPr>
          <w:p w14:paraId="2341A8B7"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5,28</w:t>
            </w:r>
          </w:p>
        </w:tc>
        <w:tc>
          <w:tcPr>
            <w:tcW w:w="300" w:type="pct"/>
            <w:gridSpan w:val="2"/>
            <w:tcBorders>
              <w:top w:val="nil"/>
              <w:left w:val="nil"/>
              <w:bottom w:val="nil"/>
              <w:right w:val="nil"/>
            </w:tcBorders>
            <w:shd w:val="clear" w:color="auto" w:fill="auto"/>
            <w:noWrap/>
            <w:vAlign w:val="center"/>
            <w:hideMark/>
          </w:tcPr>
          <w:p w14:paraId="2341A8B8"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6,92</w:t>
            </w:r>
          </w:p>
        </w:tc>
        <w:tc>
          <w:tcPr>
            <w:tcW w:w="300" w:type="pct"/>
            <w:gridSpan w:val="2"/>
            <w:tcBorders>
              <w:top w:val="nil"/>
              <w:left w:val="nil"/>
              <w:bottom w:val="nil"/>
              <w:right w:val="nil"/>
            </w:tcBorders>
            <w:shd w:val="clear" w:color="auto" w:fill="auto"/>
            <w:noWrap/>
            <w:vAlign w:val="center"/>
            <w:hideMark/>
          </w:tcPr>
          <w:p w14:paraId="2341A8B9"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8,64</w:t>
            </w:r>
          </w:p>
        </w:tc>
        <w:tc>
          <w:tcPr>
            <w:tcW w:w="300" w:type="pct"/>
            <w:gridSpan w:val="2"/>
            <w:tcBorders>
              <w:top w:val="nil"/>
              <w:left w:val="nil"/>
              <w:bottom w:val="nil"/>
              <w:right w:val="nil"/>
            </w:tcBorders>
            <w:shd w:val="clear" w:color="auto" w:fill="auto"/>
            <w:noWrap/>
            <w:vAlign w:val="center"/>
            <w:hideMark/>
          </w:tcPr>
          <w:p w14:paraId="2341A8BA"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10,52</w:t>
            </w:r>
          </w:p>
        </w:tc>
        <w:tc>
          <w:tcPr>
            <w:tcW w:w="300" w:type="pct"/>
            <w:gridSpan w:val="2"/>
            <w:tcBorders>
              <w:top w:val="nil"/>
              <w:left w:val="nil"/>
              <w:bottom w:val="nil"/>
              <w:right w:val="nil"/>
            </w:tcBorders>
            <w:shd w:val="clear" w:color="auto" w:fill="auto"/>
            <w:noWrap/>
            <w:vAlign w:val="center"/>
            <w:hideMark/>
          </w:tcPr>
          <w:p w14:paraId="2341A8BB"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13,07</w:t>
            </w:r>
          </w:p>
        </w:tc>
        <w:tc>
          <w:tcPr>
            <w:tcW w:w="300" w:type="pct"/>
            <w:gridSpan w:val="2"/>
            <w:tcBorders>
              <w:top w:val="nil"/>
              <w:left w:val="nil"/>
              <w:bottom w:val="nil"/>
              <w:right w:val="nil"/>
            </w:tcBorders>
            <w:shd w:val="clear" w:color="auto" w:fill="auto"/>
            <w:noWrap/>
            <w:vAlign w:val="center"/>
            <w:hideMark/>
          </w:tcPr>
          <w:p w14:paraId="2341A8BC"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14,83</w:t>
            </w:r>
          </w:p>
        </w:tc>
        <w:tc>
          <w:tcPr>
            <w:tcW w:w="300" w:type="pct"/>
            <w:gridSpan w:val="2"/>
            <w:tcBorders>
              <w:top w:val="nil"/>
              <w:left w:val="nil"/>
              <w:bottom w:val="nil"/>
              <w:right w:val="nil"/>
            </w:tcBorders>
            <w:shd w:val="clear" w:color="auto" w:fill="auto"/>
            <w:noWrap/>
            <w:vAlign w:val="center"/>
            <w:hideMark/>
          </w:tcPr>
          <w:p w14:paraId="2341A8BD"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17,27</w:t>
            </w:r>
          </w:p>
        </w:tc>
        <w:tc>
          <w:tcPr>
            <w:tcW w:w="298" w:type="pct"/>
            <w:tcBorders>
              <w:top w:val="nil"/>
              <w:left w:val="nil"/>
              <w:bottom w:val="nil"/>
              <w:right w:val="nil"/>
            </w:tcBorders>
            <w:shd w:val="clear" w:color="auto" w:fill="auto"/>
            <w:noWrap/>
            <w:vAlign w:val="center"/>
            <w:hideMark/>
          </w:tcPr>
          <w:p w14:paraId="2341A8BE"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19,63</w:t>
            </w:r>
          </w:p>
        </w:tc>
      </w:tr>
      <w:tr w:rsidR="0011752D" w:rsidRPr="0011752D" w14:paraId="2341A8CF" w14:textId="77777777" w:rsidTr="00390762">
        <w:trPr>
          <w:trHeight w:val="296"/>
        </w:trPr>
        <w:tc>
          <w:tcPr>
            <w:tcW w:w="803" w:type="pct"/>
            <w:tcBorders>
              <w:top w:val="nil"/>
              <w:left w:val="nil"/>
              <w:bottom w:val="single" w:sz="4" w:space="0" w:color="auto"/>
              <w:right w:val="nil"/>
            </w:tcBorders>
            <w:shd w:val="clear" w:color="auto" w:fill="auto"/>
            <w:noWrap/>
            <w:vAlign w:val="center"/>
            <w:hideMark/>
          </w:tcPr>
          <w:p w14:paraId="2341A8C0" w14:textId="77777777" w:rsidR="0011752D" w:rsidRPr="0011752D" w:rsidRDefault="0011752D" w:rsidP="0011752D">
            <w:pPr>
              <w:rPr>
                <w:rFonts w:ascii="Calibri" w:hAnsi="Calibri" w:cs="Calibri"/>
                <w:color w:val="000000"/>
                <w:sz w:val="12"/>
                <w:szCs w:val="22"/>
                <w:lang w:val="es-CO" w:eastAsia="es-CO"/>
              </w:rPr>
            </w:pPr>
            <w:r w:rsidRPr="0011752D">
              <w:rPr>
                <w:rFonts w:ascii="Calibri" w:hAnsi="Calibri" w:cs="Calibri"/>
                <w:color w:val="000000"/>
                <w:sz w:val="12"/>
                <w:szCs w:val="22"/>
                <w:lang w:val="es-CO" w:eastAsia="es-CO"/>
              </w:rPr>
              <w:t>Escenario con FNCER</w:t>
            </w:r>
          </w:p>
        </w:tc>
        <w:tc>
          <w:tcPr>
            <w:tcW w:w="299" w:type="pct"/>
            <w:tcBorders>
              <w:top w:val="nil"/>
              <w:left w:val="nil"/>
              <w:bottom w:val="single" w:sz="4" w:space="0" w:color="auto"/>
              <w:right w:val="nil"/>
            </w:tcBorders>
            <w:shd w:val="clear" w:color="auto" w:fill="auto"/>
            <w:noWrap/>
            <w:vAlign w:val="center"/>
            <w:hideMark/>
          </w:tcPr>
          <w:p w14:paraId="2341A8C1" w14:textId="77777777" w:rsidR="0011752D" w:rsidRPr="0011752D" w:rsidRDefault="0011752D" w:rsidP="0011752D">
            <w:pPr>
              <w:jc w:val="right"/>
              <w:rPr>
                <w:rFonts w:ascii="Calibri" w:hAnsi="Calibri" w:cs="Calibri"/>
                <w:color w:val="000000"/>
                <w:sz w:val="12"/>
                <w:szCs w:val="22"/>
                <w:lang w:val="es-CO" w:eastAsia="es-CO"/>
              </w:rPr>
            </w:pPr>
            <w:r w:rsidRPr="0011752D">
              <w:rPr>
                <w:rFonts w:ascii="Calibri" w:hAnsi="Calibri" w:cs="Calibri"/>
                <w:color w:val="000000"/>
                <w:sz w:val="12"/>
                <w:szCs w:val="22"/>
                <w:lang w:val="es-CO" w:eastAsia="es-CO"/>
              </w:rPr>
              <w:t> </w:t>
            </w:r>
          </w:p>
        </w:tc>
        <w:tc>
          <w:tcPr>
            <w:tcW w:w="300" w:type="pct"/>
            <w:gridSpan w:val="2"/>
            <w:tcBorders>
              <w:top w:val="nil"/>
              <w:left w:val="nil"/>
              <w:bottom w:val="single" w:sz="4" w:space="0" w:color="auto"/>
              <w:right w:val="nil"/>
            </w:tcBorders>
            <w:shd w:val="clear" w:color="auto" w:fill="auto"/>
            <w:noWrap/>
            <w:vAlign w:val="center"/>
            <w:hideMark/>
          </w:tcPr>
          <w:p w14:paraId="2341A8C2"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9,79</w:t>
            </w:r>
          </w:p>
        </w:tc>
        <w:tc>
          <w:tcPr>
            <w:tcW w:w="300" w:type="pct"/>
            <w:gridSpan w:val="2"/>
            <w:tcBorders>
              <w:top w:val="nil"/>
              <w:left w:val="nil"/>
              <w:bottom w:val="single" w:sz="4" w:space="0" w:color="auto"/>
              <w:right w:val="nil"/>
            </w:tcBorders>
            <w:shd w:val="clear" w:color="auto" w:fill="auto"/>
            <w:noWrap/>
            <w:vAlign w:val="center"/>
            <w:hideMark/>
          </w:tcPr>
          <w:p w14:paraId="2341A8C3"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9,43</w:t>
            </w:r>
          </w:p>
        </w:tc>
        <w:tc>
          <w:tcPr>
            <w:tcW w:w="300" w:type="pct"/>
            <w:gridSpan w:val="2"/>
            <w:tcBorders>
              <w:top w:val="nil"/>
              <w:left w:val="nil"/>
              <w:bottom w:val="single" w:sz="4" w:space="0" w:color="auto"/>
              <w:right w:val="nil"/>
            </w:tcBorders>
            <w:shd w:val="clear" w:color="auto" w:fill="auto"/>
            <w:noWrap/>
            <w:vAlign w:val="center"/>
            <w:hideMark/>
          </w:tcPr>
          <w:p w14:paraId="2341A8C4"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5,69</w:t>
            </w:r>
          </w:p>
        </w:tc>
        <w:tc>
          <w:tcPr>
            <w:tcW w:w="300" w:type="pct"/>
            <w:gridSpan w:val="2"/>
            <w:tcBorders>
              <w:top w:val="nil"/>
              <w:left w:val="nil"/>
              <w:bottom w:val="single" w:sz="4" w:space="0" w:color="auto"/>
              <w:right w:val="nil"/>
            </w:tcBorders>
            <w:shd w:val="clear" w:color="auto" w:fill="auto"/>
            <w:noWrap/>
            <w:vAlign w:val="center"/>
            <w:hideMark/>
          </w:tcPr>
          <w:p w14:paraId="2341A8C5"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2,73</w:t>
            </w:r>
          </w:p>
        </w:tc>
        <w:tc>
          <w:tcPr>
            <w:tcW w:w="300" w:type="pct"/>
            <w:gridSpan w:val="3"/>
            <w:tcBorders>
              <w:top w:val="nil"/>
              <w:left w:val="nil"/>
              <w:bottom w:val="single" w:sz="4" w:space="0" w:color="auto"/>
              <w:right w:val="nil"/>
            </w:tcBorders>
            <w:shd w:val="clear" w:color="auto" w:fill="auto"/>
            <w:noWrap/>
            <w:vAlign w:val="center"/>
            <w:hideMark/>
          </w:tcPr>
          <w:p w14:paraId="2341A8C6"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2,03</w:t>
            </w:r>
          </w:p>
        </w:tc>
        <w:tc>
          <w:tcPr>
            <w:tcW w:w="300" w:type="pct"/>
            <w:gridSpan w:val="2"/>
            <w:tcBorders>
              <w:top w:val="nil"/>
              <w:left w:val="nil"/>
              <w:bottom w:val="single" w:sz="4" w:space="0" w:color="auto"/>
              <w:right w:val="nil"/>
            </w:tcBorders>
            <w:shd w:val="clear" w:color="auto" w:fill="auto"/>
            <w:noWrap/>
            <w:vAlign w:val="center"/>
            <w:hideMark/>
          </w:tcPr>
          <w:p w14:paraId="2341A8C7"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0,78</w:t>
            </w:r>
          </w:p>
        </w:tc>
        <w:tc>
          <w:tcPr>
            <w:tcW w:w="300" w:type="pct"/>
            <w:gridSpan w:val="2"/>
            <w:tcBorders>
              <w:top w:val="nil"/>
              <w:left w:val="nil"/>
              <w:bottom w:val="single" w:sz="4" w:space="0" w:color="auto"/>
              <w:right w:val="nil"/>
            </w:tcBorders>
            <w:shd w:val="clear" w:color="auto" w:fill="auto"/>
            <w:noWrap/>
            <w:vAlign w:val="center"/>
            <w:hideMark/>
          </w:tcPr>
          <w:p w14:paraId="2341A8C8"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0,15</w:t>
            </w:r>
          </w:p>
        </w:tc>
        <w:tc>
          <w:tcPr>
            <w:tcW w:w="300" w:type="pct"/>
            <w:gridSpan w:val="2"/>
            <w:tcBorders>
              <w:top w:val="nil"/>
              <w:left w:val="nil"/>
              <w:bottom w:val="single" w:sz="4" w:space="0" w:color="auto"/>
              <w:right w:val="nil"/>
            </w:tcBorders>
            <w:shd w:val="clear" w:color="auto" w:fill="auto"/>
            <w:noWrap/>
            <w:vAlign w:val="center"/>
            <w:hideMark/>
          </w:tcPr>
          <w:p w14:paraId="2341A8C9"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0,31</w:t>
            </w:r>
          </w:p>
        </w:tc>
        <w:tc>
          <w:tcPr>
            <w:tcW w:w="300" w:type="pct"/>
            <w:gridSpan w:val="2"/>
            <w:tcBorders>
              <w:top w:val="nil"/>
              <w:left w:val="nil"/>
              <w:bottom w:val="single" w:sz="4" w:space="0" w:color="auto"/>
              <w:right w:val="nil"/>
            </w:tcBorders>
            <w:shd w:val="clear" w:color="auto" w:fill="auto"/>
            <w:noWrap/>
            <w:vAlign w:val="center"/>
            <w:hideMark/>
          </w:tcPr>
          <w:p w14:paraId="2341A8CA"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0,52</w:t>
            </w:r>
          </w:p>
        </w:tc>
        <w:tc>
          <w:tcPr>
            <w:tcW w:w="300" w:type="pct"/>
            <w:gridSpan w:val="2"/>
            <w:tcBorders>
              <w:top w:val="nil"/>
              <w:left w:val="nil"/>
              <w:bottom w:val="single" w:sz="4" w:space="0" w:color="auto"/>
              <w:right w:val="nil"/>
            </w:tcBorders>
            <w:shd w:val="clear" w:color="auto" w:fill="auto"/>
            <w:noWrap/>
            <w:vAlign w:val="center"/>
            <w:hideMark/>
          </w:tcPr>
          <w:p w14:paraId="2341A8CB"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1,79</w:t>
            </w:r>
          </w:p>
        </w:tc>
        <w:tc>
          <w:tcPr>
            <w:tcW w:w="300" w:type="pct"/>
            <w:gridSpan w:val="2"/>
            <w:tcBorders>
              <w:top w:val="nil"/>
              <w:left w:val="nil"/>
              <w:bottom w:val="single" w:sz="4" w:space="0" w:color="auto"/>
              <w:right w:val="nil"/>
            </w:tcBorders>
            <w:shd w:val="clear" w:color="auto" w:fill="auto"/>
            <w:noWrap/>
            <w:vAlign w:val="center"/>
            <w:hideMark/>
          </w:tcPr>
          <w:p w14:paraId="2341A8CC"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4,13</w:t>
            </w:r>
          </w:p>
        </w:tc>
        <w:tc>
          <w:tcPr>
            <w:tcW w:w="300" w:type="pct"/>
            <w:gridSpan w:val="2"/>
            <w:tcBorders>
              <w:top w:val="nil"/>
              <w:left w:val="nil"/>
              <w:bottom w:val="single" w:sz="4" w:space="0" w:color="auto"/>
              <w:right w:val="nil"/>
            </w:tcBorders>
            <w:shd w:val="clear" w:color="auto" w:fill="auto"/>
            <w:noWrap/>
            <w:vAlign w:val="center"/>
            <w:hideMark/>
          </w:tcPr>
          <w:p w14:paraId="2341A8CD"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6,59</w:t>
            </w:r>
          </w:p>
        </w:tc>
        <w:tc>
          <w:tcPr>
            <w:tcW w:w="298" w:type="pct"/>
            <w:tcBorders>
              <w:top w:val="nil"/>
              <w:left w:val="nil"/>
              <w:bottom w:val="single" w:sz="4" w:space="0" w:color="auto"/>
              <w:right w:val="nil"/>
            </w:tcBorders>
            <w:shd w:val="clear" w:color="auto" w:fill="auto"/>
            <w:noWrap/>
            <w:vAlign w:val="center"/>
            <w:hideMark/>
          </w:tcPr>
          <w:p w14:paraId="2341A8CE"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8,88</w:t>
            </w:r>
          </w:p>
        </w:tc>
      </w:tr>
      <w:tr w:rsidR="0011752D" w:rsidRPr="0011752D" w14:paraId="2341A8DF" w14:textId="77777777" w:rsidTr="00390762">
        <w:trPr>
          <w:trHeight w:val="278"/>
        </w:trPr>
        <w:tc>
          <w:tcPr>
            <w:tcW w:w="803" w:type="pct"/>
            <w:tcBorders>
              <w:top w:val="single" w:sz="4" w:space="0" w:color="auto"/>
              <w:left w:val="nil"/>
              <w:bottom w:val="single" w:sz="4" w:space="0" w:color="000000" w:themeColor="text1"/>
              <w:right w:val="nil"/>
            </w:tcBorders>
            <w:shd w:val="clear" w:color="auto" w:fill="auto"/>
            <w:noWrap/>
            <w:vAlign w:val="center"/>
            <w:hideMark/>
          </w:tcPr>
          <w:p w14:paraId="2341A8D0" w14:textId="77777777" w:rsidR="0011752D" w:rsidRPr="0011752D" w:rsidRDefault="0011752D" w:rsidP="0011752D">
            <w:pPr>
              <w:rPr>
                <w:rFonts w:ascii="Calibri" w:hAnsi="Calibri" w:cs="Calibri"/>
                <w:color w:val="000000"/>
                <w:sz w:val="12"/>
                <w:szCs w:val="22"/>
                <w:lang w:val="es-CO" w:eastAsia="es-CO"/>
              </w:rPr>
            </w:pPr>
            <w:r w:rsidRPr="0011752D">
              <w:rPr>
                <w:rFonts w:ascii="Calibri" w:hAnsi="Calibri" w:cs="Calibri"/>
                <w:color w:val="000000"/>
                <w:sz w:val="12"/>
                <w:szCs w:val="22"/>
                <w:lang w:val="es-CO" w:eastAsia="es-CO"/>
              </w:rPr>
              <w:t>Diferencia</w:t>
            </w:r>
          </w:p>
        </w:tc>
        <w:tc>
          <w:tcPr>
            <w:tcW w:w="299" w:type="pct"/>
            <w:tcBorders>
              <w:top w:val="single" w:sz="4" w:space="0" w:color="auto"/>
              <w:left w:val="nil"/>
              <w:bottom w:val="single" w:sz="4" w:space="0" w:color="000000" w:themeColor="text1"/>
              <w:right w:val="nil"/>
            </w:tcBorders>
            <w:shd w:val="clear" w:color="auto" w:fill="auto"/>
            <w:noWrap/>
            <w:vAlign w:val="center"/>
            <w:hideMark/>
          </w:tcPr>
          <w:p w14:paraId="2341A8D1" w14:textId="77777777" w:rsidR="0011752D" w:rsidRPr="0011752D" w:rsidRDefault="0011752D" w:rsidP="0011752D">
            <w:pPr>
              <w:jc w:val="right"/>
              <w:rPr>
                <w:rFonts w:ascii="Calibri" w:hAnsi="Calibri" w:cs="Calibri"/>
                <w:color w:val="000000"/>
                <w:sz w:val="12"/>
                <w:szCs w:val="22"/>
                <w:lang w:val="es-CO" w:eastAsia="es-CO"/>
              </w:rPr>
            </w:pPr>
            <w:r w:rsidRPr="0011752D">
              <w:rPr>
                <w:rFonts w:ascii="Calibri" w:hAnsi="Calibri" w:cs="Calibri"/>
                <w:color w:val="000000"/>
                <w:sz w:val="12"/>
                <w:szCs w:val="22"/>
                <w:lang w:val="es-CO" w:eastAsia="es-CO"/>
              </w:rPr>
              <w:t> </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D2"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1,78</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D3"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1,73</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D4"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3,20</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D5"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4,62</w:t>
            </w:r>
          </w:p>
        </w:tc>
        <w:tc>
          <w:tcPr>
            <w:tcW w:w="300" w:type="pct"/>
            <w:gridSpan w:val="3"/>
            <w:tcBorders>
              <w:top w:val="single" w:sz="4" w:space="0" w:color="auto"/>
              <w:left w:val="nil"/>
              <w:bottom w:val="single" w:sz="4" w:space="0" w:color="000000" w:themeColor="text1"/>
              <w:right w:val="nil"/>
            </w:tcBorders>
            <w:shd w:val="clear" w:color="auto" w:fill="auto"/>
            <w:noWrap/>
            <w:vAlign w:val="center"/>
            <w:hideMark/>
          </w:tcPr>
          <w:p w14:paraId="2341A8D6"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5,22</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D7"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4,50</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D8"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6,77</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D9"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8,33</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DA"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10,00</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DB"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11,27</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DC"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10,70</w:t>
            </w:r>
          </w:p>
        </w:tc>
        <w:tc>
          <w:tcPr>
            <w:tcW w:w="300" w:type="pct"/>
            <w:gridSpan w:val="2"/>
            <w:tcBorders>
              <w:top w:val="single" w:sz="4" w:space="0" w:color="auto"/>
              <w:left w:val="nil"/>
              <w:bottom w:val="single" w:sz="4" w:space="0" w:color="000000" w:themeColor="text1"/>
              <w:right w:val="nil"/>
            </w:tcBorders>
            <w:shd w:val="clear" w:color="auto" w:fill="auto"/>
            <w:noWrap/>
            <w:vAlign w:val="center"/>
            <w:hideMark/>
          </w:tcPr>
          <w:p w14:paraId="2341A8DD"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10,68</w:t>
            </w:r>
          </w:p>
        </w:tc>
        <w:tc>
          <w:tcPr>
            <w:tcW w:w="298" w:type="pct"/>
            <w:tcBorders>
              <w:top w:val="single" w:sz="4" w:space="0" w:color="auto"/>
              <w:left w:val="nil"/>
              <w:bottom w:val="single" w:sz="4" w:space="0" w:color="000000" w:themeColor="text1"/>
              <w:right w:val="nil"/>
            </w:tcBorders>
            <w:shd w:val="clear" w:color="auto" w:fill="auto"/>
            <w:noWrap/>
            <w:vAlign w:val="center"/>
            <w:hideMark/>
          </w:tcPr>
          <w:p w14:paraId="2341A8DE"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s="Calibri"/>
                <w:color w:val="000000"/>
                <w:sz w:val="12"/>
                <w:szCs w:val="12"/>
                <w:lang w:val="es-CO"/>
              </w:rPr>
              <w:t>10,75</w:t>
            </w:r>
          </w:p>
        </w:tc>
      </w:tr>
      <w:tr w:rsidR="0011752D" w:rsidRPr="0011752D" w14:paraId="2341A8EF" w14:textId="77777777" w:rsidTr="00390762">
        <w:trPr>
          <w:trHeight w:val="268"/>
        </w:trPr>
        <w:tc>
          <w:tcPr>
            <w:tcW w:w="803" w:type="pct"/>
            <w:tcBorders>
              <w:top w:val="single" w:sz="4" w:space="0" w:color="000000" w:themeColor="text1"/>
              <w:left w:val="nil"/>
              <w:bottom w:val="single" w:sz="4" w:space="0" w:color="000000" w:themeColor="text1"/>
              <w:right w:val="nil"/>
            </w:tcBorders>
            <w:shd w:val="clear" w:color="auto" w:fill="auto"/>
            <w:noWrap/>
            <w:vAlign w:val="center"/>
            <w:hideMark/>
          </w:tcPr>
          <w:p w14:paraId="2341A8E0" w14:textId="77777777" w:rsidR="0011752D" w:rsidRPr="0011752D" w:rsidRDefault="0011752D" w:rsidP="0011752D">
            <w:pPr>
              <w:rPr>
                <w:rFonts w:ascii="Calibri" w:hAnsi="Calibri" w:cs="Calibri"/>
                <w:color w:val="000000"/>
                <w:sz w:val="12"/>
                <w:szCs w:val="22"/>
                <w:lang w:val="es-CO" w:eastAsia="es-CO"/>
              </w:rPr>
            </w:pPr>
          </w:p>
        </w:tc>
        <w:tc>
          <w:tcPr>
            <w:tcW w:w="402"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E1" w14:textId="77777777" w:rsidR="0011752D" w:rsidRPr="0011752D" w:rsidRDefault="0011752D" w:rsidP="0011752D">
            <w:pPr>
              <w:jc w:val="right"/>
              <w:rPr>
                <w:sz w:val="12"/>
                <w:lang w:val="es-CO"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E2" w14:textId="77777777" w:rsidR="0011752D" w:rsidRPr="0011752D" w:rsidRDefault="0011752D" w:rsidP="0011752D">
            <w:pPr>
              <w:jc w:val="right"/>
              <w:rPr>
                <w:sz w:val="12"/>
                <w:lang w:val="es-CO" w:eastAsia="es-CO"/>
              </w:rPr>
            </w:pPr>
          </w:p>
        </w:tc>
        <w:tc>
          <w:tcPr>
            <w:tcW w:w="252"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E3" w14:textId="77777777" w:rsidR="0011752D" w:rsidRPr="0011752D" w:rsidRDefault="0011752D" w:rsidP="0011752D">
            <w:pPr>
              <w:jc w:val="right"/>
              <w:rPr>
                <w:sz w:val="12"/>
                <w:lang w:val="es-CO"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E4" w14:textId="77777777" w:rsidR="0011752D" w:rsidRPr="0011752D" w:rsidRDefault="0011752D" w:rsidP="0011752D">
            <w:pPr>
              <w:jc w:val="right"/>
              <w:rPr>
                <w:sz w:val="12"/>
                <w:lang w:val="es-CO"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E5" w14:textId="77777777" w:rsidR="0011752D" w:rsidRPr="0011752D" w:rsidRDefault="0011752D" w:rsidP="0011752D">
            <w:pPr>
              <w:jc w:val="right"/>
              <w:rPr>
                <w:sz w:val="12"/>
                <w:lang w:val="es-CO" w:eastAsia="es-CO"/>
              </w:rPr>
            </w:pPr>
          </w:p>
        </w:tc>
        <w:tc>
          <w:tcPr>
            <w:tcW w:w="278" w:type="pct"/>
            <w:tcBorders>
              <w:top w:val="single" w:sz="4" w:space="0" w:color="000000" w:themeColor="text1"/>
              <w:left w:val="nil"/>
              <w:bottom w:val="single" w:sz="4" w:space="0" w:color="000000" w:themeColor="text1"/>
              <w:right w:val="nil"/>
            </w:tcBorders>
            <w:shd w:val="clear" w:color="auto" w:fill="auto"/>
            <w:noWrap/>
            <w:vAlign w:val="center"/>
            <w:hideMark/>
          </w:tcPr>
          <w:p w14:paraId="2341A8E6" w14:textId="77777777" w:rsidR="0011752D" w:rsidRPr="0011752D" w:rsidRDefault="0011752D" w:rsidP="0011752D">
            <w:pPr>
              <w:jc w:val="right"/>
              <w:rPr>
                <w:sz w:val="12"/>
                <w:lang w:val="es-CO"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E7" w14:textId="77777777" w:rsidR="0011752D" w:rsidRPr="0011752D" w:rsidRDefault="0011752D" w:rsidP="0011752D">
            <w:pPr>
              <w:jc w:val="right"/>
              <w:rPr>
                <w:sz w:val="12"/>
                <w:lang w:val="es-CO" w:eastAsia="es-CO"/>
              </w:rPr>
            </w:pPr>
          </w:p>
        </w:tc>
        <w:tc>
          <w:tcPr>
            <w:tcW w:w="27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E8" w14:textId="77777777" w:rsidR="0011752D" w:rsidRPr="0011752D" w:rsidRDefault="0011752D" w:rsidP="0011752D">
            <w:pPr>
              <w:jc w:val="right"/>
              <w:rPr>
                <w:sz w:val="12"/>
                <w:lang w:val="es-CO"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E9" w14:textId="77777777" w:rsidR="0011752D" w:rsidRPr="0011752D" w:rsidRDefault="0011752D" w:rsidP="0011752D">
            <w:pPr>
              <w:jc w:val="right"/>
              <w:rPr>
                <w:sz w:val="12"/>
                <w:lang w:val="es-CO"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EA" w14:textId="77777777" w:rsidR="0011752D" w:rsidRPr="0011752D" w:rsidRDefault="0011752D" w:rsidP="0011752D">
            <w:pPr>
              <w:jc w:val="right"/>
              <w:rPr>
                <w:sz w:val="12"/>
                <w:lang w:val="es-CO"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EB" w14:textId="77777777" w:rsidR="0011752D" w:rsidRPr="0011752D" w:rsidRDefault="0011752D" w:rsidP="0011752D">
            <w:pPr>
              <w:jc w:val="right"/>
              <w:rPr>
                <w:sz w:val="12"/>
                <w:lang w:val="es-CO"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EC" w14:textId="77777777" w:rsidR="0011752D" w:rsidRPr="0011752D" w:rsidRDefault="0011752D" w:rsidP="0011752D">
            <w:pPr>
              <w:jc w:val="right"/>
              <w:rPr>
                <w:sz w:val="12"/>
                <w:lang w:val="es-CO" w:eastAsia="es-CO"/>
              </w:rPr>
            </w:pPr>
          </w:p>
        </w:tc>
        <w:tc>
          <w:tcPr>
            <w:tcW w:w="308"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ED" w14:textId="77777777" w:rsidR="0011752D" w:rsidRPr="0011752D" w:rsidRDefault="0011752D" w:rsidP="0011752D">
            <w:pPr>
              <w:jc w:val="right"/>
              <w:rPr>
                <w:sz w:val="12"/>
                <w:lang w:val="es-CO" w:eastAsia="es-CO"/>
              </w:rPr>
            </w:pPr>
          </w:p>
        </w:tc>
        <w:tc>
          <w:tcPr>
            <w:tcW w:w="305" w:type="pct"/>
            <w:gridSpan w:val="2"/>
            <w:tcBorders>
              <w:top w:val="single" w:sz="4" w:space="0" w:color="000000" w:themeColor="text1"/>
              <w:left w:val="nil"/>
              <w:bottom w:val="single" w:sz="4" w:space="0" w:color="000000" w:themeColor="text1"/>
              <w:right w:val="nil"/>
            </w:tcBorders>
            <w:shd w:val="clear" w:color="auto" w:fill="auto"/>
            <w:noWrap/>
            <w:vAlign w:val="center"/>
            <w:hideMark/>
          </w:tcPr>
          <w:p w14:paraId="2341A8EE" w14:textId="77777777" w:rsidR="0011752D" w:rsidRPr="0011752D" w:rsidRDefault="0011752D" w:rsidP="0011752D">
            <w:pPr>
              <w:jc w:val="right"/>
              <w:rPr>
                <w:sz w:val="12"/>
                <w:lang w:val="es-CO" w:eastAsia="es-CO"/>
              </w:rPr>
            </w:pPr>
          </w:p>
        </w:tc>
      </w:tr>
      <w:tr w:rsidR="0011752D" w:rsidRPr="0011752D" w14:paraId="2341A8FF" w14:textId="77777777" w:rsidTr="00390762">
        <w:trPr>
          <w:trHeight w:val="406"/>
        </w:trPr>
        <w:tc>
          <w:tcPr>
            <w:tcW w:w="803" w:type="pct"/>
            <w:tcBorders>
              <w:top w:val="nil"/>
              <w:left w:val="nil"/>
              <w:bottom w:val="single" w:sz="4" w:space="0" w:color="auto"/>
              <w:right w:val="nil"/>
            </w:tcBorders>
            <w:shd w:val="clear" w:color="auto" w:fill="auto"/>
            <w:noWrap/>
            <w:vAlign w:val="center"/>
          </w:tcPr>
          <w:p w14:paraId="2341A8F0" w14:textId="77777777" w:rsidR="0011752D" w:rsidRPr="0011752D" w:rsidRDefault="0011752D" w:rsidP="0011752D">
            <w:pPr>
              <w:rPr>
                <w:rFonts w:ascii="Calibri" w:hAnsi="Calibri" w:cs="Calibri"/>
                <w:color w:val="000000"/>
                <w:sz w:val="12"/>
                <w:szCs w:val="12"/>
                <w:lang w:val="es-CO" w:eastAsia="es-CO"/>
              </w:rPr>
            </w:pPr>
            <w:r w:rsidRPr="0011752D">
              <w:rPr>
                <w:rFonts w:ascii="Calibri" w:hAnsi="Calibri" w:cs="Calibri"/>
                <w:color w:val="000000"/>
                <w:sz w:val="12"/>
                <w:szCs w:val="12"/>
                <w:lang w:val="es-CO"/>
              </w:rPr>
              <w:t>Beneficio económico anual (Millones USD$)</w:t>
            </w:r>
          </w:p>
        </w:tc>
        <w:tc>
          <w:tcPr>
            <w:tcW w:w="299" w:type="pct"/>
            <w:tcBorders>
              <w:top w:val="nil"/>
              <w:left w:val="nil"/>
              <w:bottom w:val="single" w:sz="4" w:space="0" w:color="auto"/>
              <w:right w:val="nil"/>
            </w:tcBorders>
            <w:shd w:val="clear" w:color="auto" w:fill="auto"/>
            <w:noWrap/>
            <w:vAlign w:val="center"/>
          </w:tcPr>
          <w:p w14:paraId="2341A8F1" w14:textId="77777777" w:rsidR="0011752D" w:rsidRPr="0011752D" w:rsidRDefault="0011752D" w:rsidP="0011752D">
            <w:pPr>
              <w:jc w:val="right"/>
              <w:rPr>
                <w:rFonts w:ascii="Calibri" w:hAnsi="Calibri" w:cs="Calibri"/>
                <w:color w:val="000000"/>
                <w:sz w:val="12"/>
                <w:szCs w:val="12"/>
                <w:lang w:val="es-CO" w:eastAsia="es-CO"/>
              </w:rPr>
            </w:pPr>
            <w:r w:rsidRPr="0011752D">
              <w:rPr>
                <w:rFonts w:ascii="Calibri" w:hAnsi="Calibri" w:cs="Calibri"/>
                <w:color w:val="000000"/>
                <w:sz w:val="12"/>
                <w:szCs w:val="12"/>
                <w:lang w:val="es-CO"/>
              </w:rPr>
              <w:t> </w:t>
            </w:r>
          </w:p>
        </w:tc>
        <w:tc>
          <w:tcPr>
            <w:tcW w:w="300" w:type="pct"/>
            <w:gridSpan w:val="2"/>
            <w:tcBorders>
              <w:top w:val="nil"/>
              <w:left w:val="nil"/>
              <w:bottom w:val="single" w:sz="4" w:space="0" w:color="auto"/>
              <w:right w:val="nil"/>
            </w:tcBorders>
            <w:shd w:val="clear" w:color="auto" w:fill="auto"/>
            <w:noWrap/>
            <w:vAlign w:val="center"/>
          </w:tcPr>
          <w:p w14:paraId="2341A8F2"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10,69</w:t>
            </w:r>
          </w:p>
        </w:tc>
        <w:tc>
          <w:tcPr>
            <w:tcW w:w="300" w:type="pct"/>
            <w:gridSpan w:val="2"/>
            <w:tcBorders>
              <w:top w:val="nil"/>
              <w:left w:val="nil"/>
              <w:bottom w:val="single" w:sz="4" w:space="0" w:color="auto"/>
              <w:right w:val="nil"/>
            </w:tcBorders>
            <w:shd w:val="clear" w:color="auto" w:fill="auto"/>
            <w:noWrap/>
            <w:vAlign w:val="center"/>
          </w:tcPr>
          <w:p w14:paraId="2341A8F3"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10,43</w:t>
            </w:r>
          </w:p>
        </w:tc>
        <w:tc>
          <w:tcPr>
            <w:tcW w:w="300" w:type="pct"/>
            <w:gridSpan w:val="2"/>
            <w:tcBorders>
              <w:top w:val="nil"/>
              <w:left w:val="nil"/>
              <w:bottom w:val="single" w:sz="4" w:space="0" w:color="auto"/>
              <w:right w:val="nil"/>
            </w:tcBorders>
            <w:shd w:val="clear" w:color="auto" w:fill="auto"/>
            <w:noWrap/>
            <w:vAlign w:val="center"/>
          </w:tcPr>
          <w:p w14:paraId="2341A8F4"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19,26</w:t>
            </w:r>
          </w:p>
        </w:tc>
        <w:tc>
          <w:tcPr>
            <w:tcW w:w="300" w:type="pct"/>
            <w:gridSpan w:val="2"/>
            <w:tcBorders>
              <w:top w:val="nil"/>
              <w:left w:val="nil"/>
              <w:bottom w:val="single" w:sz="4" w:space="0" w:color="auto"/>
              <w:right w:val="nil"/>
            </w:tcBorders>
            <w:shd w:val="clear" w:color="auto" w:fill="auto"/>
            <w:noWrap/>
            <w:vAlign w:val="center"/>
          </w:tcPr>
          <w:p w14:paraId="2341A8F5"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27,78</w:t>
            </w:r>
          </w:p>
        </w:tc>
        <w:tc>
          <w:tcPr>
            <w:tcW w:w="300" w:type="pct"/>
            <w:gridSpan w:val="3"/>
            <w:tcBorders>
              <w:top w:val="nil"/>
              <w:left w:val="nil"/>
              <w:bottom w:val="single" w:sz="4" w:space="0" w:color="auto"/>
              <w:right w:val="nil"/>
            </w:tcBorders>
            <w:shd w:val="clear" w:color="auto" w:fill="auto"/>
            <w:noWrap/>
            <w:vAlign w:val="center"/>
          </w:tcPr>
          <w:p w14:paraId="2341A8F6"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31,36</w:t>
            </w:r>
          </w:p>
        </w:tc>
        <w:tc>
          <w:tcPr>
            <w:tcW w:w="300" w:type="pct"/>
            <w:gridSpan w:val="2"/>
            <w:tcBorders>
              <w:top w:val="nil"/>
              <w:left w:val="nil"/>
              <w:bottom w:val="single" w:sz="4" w:space="0" w:color="auto"/>
              <w:right w:val="nil"/>
            </w:tcBorders>
            <w:shd w:val="clear" w:color="auto" w:fill="auto"/>
            <w:noWrap/>
            <w:vAlign w:val="center"/>
          </w:tcPr>
          <w:p w14:paraId="2341A8F7"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27,02</w:t>
            </w:r>
          </w:p>
        </w:tc>
        <w:tc>
          <w:tcPr>
            <w:tcW w:w="300" w:type="pct"/>
            <w:gridSpan w:val="2"/>
            <w:tcBorders>
              <w:top w:val="nil"/>
              <w:left w:val="nil"/>
              <w:bottom w:val="single" w:sz="4" w:space="0" w:color="auto"/>
              <w:right w:val="nil"/>
            </w:tcBorders>
            <w:shd w:val="clear" w:color="auto" w:fill="auto"/>
            <w:noWrap/>
            <w:vAlign w:val="center"/>
          </w:tcPr>
          <w:p w14:paraId="2341A8F8"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40,71</w:t>
            </w:r>
          </w:p>
        </w:tc>
        <w:tc>
          <w:tcPr>
            <w:tcW w:w="300" w:type="pct"/>
            <w:gridSpan w:val="2"/>
            <w:tcBorders>
              <w:top w:val="nil"/>
              <w:left w:val="nil"/>
              <w:bottom w:val="single" w:sz="4" w:space="0" w:color="auto"/>
              <w:right w:val="nil"/>
            </w:tcBorders>
            <w:shd w:val="clear" w:color="auto" w:fill="auto"/>
            <w:noWrap/>
            <w:vAlign w:val="center"/>
          </w:tcPr>
          <w:p w14:paraId="2341A8F9"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50,04</w:t>
            </w:r>
          </w:p>
        </w:tc>
        <w:tc>
          <w:tcPr>
            <w:tcW w:w="300" w:type="pct"/>
            <w:gridSpan w:val="2"/>
            <w:tcBorders>
              <w:top w:val="nil"/>
              <w:left w:val="nil"/>
              <w:bottom w:val="single" w:sz="4" w:space="0" w:color="auto"/>
              <w:right w:val="nil"/>
            </w:tcBorders>
            <w:shd w:val="clear" w:color="auto" w:fill="auto"/>
            <w:noWrap/>
            <w:vAlign w:val="center"/>
          </w:tcPr>
          <w:p w14:paraId="2341A8FA"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60,11</w:t>
            </w:r>
          </w:p>
        </w:tc>
        <w:tc>
          <w:tcPr>
            <w:tcW w:w="300" w:type="pct"/>
            <w:gridSpan w:val="2"/>
            <w:tcBorders>
              <w:top w:val="nil"/>
              <w:left w:val="nil"/>
              <w:bottom w:val="single" w:sz="4" w:space="0" w:color="auto"/>
              <w:right w:val="nil"/>
            </w:tcBorders>
            <w:shd w:val="clear" w:color="auto" w:fill="auto"/>
            <w:noWrap/>
            <w:vAlign w:val="center"/>
          </w:tcPr>
          <w:p w14:paraId="2341A8FB"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67,76</w:t>
            </w:r>
          </w:p>
        </w:tc>
        <w:tc>
          <w:tcPr>
            <w:tcW w:w="300" w:type="pct"/>
            <w:gridSpan w:val="2"/>
            <w:tcBorders>
              <w:top w:val="nil"/>
              <w:left w:val="nil"/>
              <w:bottom w:val="single" w:sz="4" w:space="0" w:color="auto"/>
              <w:right w:val="nil"/>
            </w:tcBorders>
            <w:shd w:val="clear" w:color="auto" w:fill="auto"/>
            <w:noWrap/>
            <w:vAlign w:val="center"/>
          </w:tcPr>
          <w:p w14:paraId="2341A8FC"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64,32</w:t>
            </w:r>
          </w:p>
        </w:tc>
        <w:tc>
          <w:tcPr>
            <w:tcW w:w="300" w:type="pct"/>
            <w:gridSpan w:val="2"/>
            <w:tcBorders>
              <w:top w:val="nil"/>
              <w:left w:val="nil"/>
              <w:bottom w:val="single" w:sz="4" w:space="0" w:color="auto"/>
              <w:right w:val="nil"/>
            </w:tcBorders>
            <w:shd w:val="clear" w:color="auto" w:fill="auto"/>
            <w:noWrap/>
            <w:vAlign w:val="center"/>
          </w:tcPr>
          <w:p w14:paraId="2341A8FD"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64,18</w:t>
            </w:r>
          </w:p>
        </w:tc>
        <w:tc>
          <w:tcPr>
            <w:tcW w:w="298" w:type="pct"/>
            <w:tcBorders>
              <w:top w:val="nil"/>
              <w:left w:val="nil"/>
              <w:bottom w:val="single" w:sz="4" w:space="0" w:color="auto"/>
              <w:right w:val="nil"/>
            </w:tcBorders>
            <w:shd w:val="clear" w:color="auto" w:fill="auto"/>
            <w:noWrap/>
            <w:vAlign w:val="center"/>
          </w:tcPr>
          <w:p w14:paraId="2341A8FE" w14:textId="77777777" w:rsidR="0011752D" w:rsidRPr="0011752D" w:rsidRDefault="0011752D" w:rsidP="0011752D">
            <w:pPr>
              <w:jc w:val="center"/>
              <w:rPr>
                <w:rFonts w:ascii="Calibri" w:hAnsi="Calibri" w:cs="Calibri"/>
                <w:color w:val="000000"/>
                <w:sz w:val="12"/>
                <w:szCs w:val="12"/>
                <w:lang w:val="es-CO" w:eastAsia="es-CO"/>
              </w:rPr>
            </w:pPr>
            <w:r w:rsidRPr="0011752D">
              <w:rPr>
                <w:rFonts w:ascii="Calibri" w:hAnsi="Calibri"/>
                <w:color w:val="000000"/>
                <w:sz w:val="12"/>
                <w:szCs w:val="12"/>
                <w:lang w:val="es-CO"/>
              </w:rPr>
              <w:t>64,63</w:t>
            </w:r>
          </w:p>
        </w:tc>
      </w:tr>
      <w:tr w:rsidR="0011752D" w:rsidRPr="0011752D" w14:paraId="2341A90F" w14:textId="77777777" w:rsidTr="00390762">
        <w:trPr>
          <w:trHeight w:val="300"/>
        </w:trPr>
        <w:tc>
          <w:tcPr>
            <w:tcW w:w="803" w:type="pct"/>
            <w:tcBorders>
              <w:top w:val="nil"/>
              <w:left w:val="nil"/>
              <w:bottom w:val="nil"/>
              <w:right w:val="nil"/>
            </w:tcBorders>
            <w:shd w:val="clear" w:color="auto" w:fill="auto"/>
            <w:noWrap/>
            <w:vAlign w:val="bottom"/>
          </w:tcPr>
          <w:p w14:paraId="2341A900" w14:textId="77777777" w:rsidR="0011752D" w:rsidRPr="0011752D" w:rsidRDefault="0011752D" w:rsidP="0011752D">
            <w:pPr>
              <w:jc w:val="right"/>
              <w:rPr>
                <w:rFonts w:ascii="Calibri" w:hAnsi="Calibri" w:cs="Calibri"/>
                <w:color w:val="000000"/>
                <w:sz w:val="12"/>
                <w:szCs w:val="22"/>
                <w:lang w:val="es-CO" w:eastAsia="es-CO"/>
              </w:rPr>
            </w:pPr>
          </w:p>
        </w:tc>
        <w:tc>
          <w:tcPr>
            <w:tcW w:w="402" w:type="pct"/>
            <w:gridSpan w:val="2"/>
            <w:tcBorders>
              <w:top w:val="nil"/>
              <w:left w:val="nil"/>
              <w:bottom w:val="nil"/>
              <w:right w:val="nil"/>
            </w:tcBorders>
            <w:shd w:val="clear" w:color="auto" w:fill="auto"/>
            <w:noWrap/>
            <w:vAlign w:val="bottom"/>
          </w:tcPr>
          <w:p w14:paraId="2341A901"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tcPr>
          <w:p w14:paraId="2341A902" w14:textId="77777777" w:rsidR="0011752D" w:rsidRPr="0011752D" w:rsidRDefault="0011752D" w:rsidP="0011752D">
            <w:pPr>
              <w:rPr>
                <w:sz w:val="12"/>
                <w:lang w:val="es-CO" w:eastAsia="es-CO"/>
              </w:rPr>
            </w:pPr>
          </w:p>
        </w:tc>
        <w:tc>
          <w:tcPr>
            <w:tcW w:w="252" w:type="pct"/>
            <w:gridSpan w:val="2"/>
            <w:tcBorders>
              <w:top w:val="nil"/>
              <w:left w:val="nil"/>
              <w:bottom w:val="nil"/>
              <w:right w:val="nil"/>
            </w:tcBorders>
            <w:shd w:val="clear" w:color="auto" w:fill="auto"/>
            <w:noWrap/>
            <w:vAlign w:val="bottom"/>
          </w:tcPr>
          <w:p w14:paraId="2341A903"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tcPr>
          <w:p w14:paraId="2341A904"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tcPr>
          <w:p w14:paraId="2341A905" w14:textId="77777777" w:rsidR="0011752D" w:rsidRPr="0011752D" w:rsidRDefault="0011752D" w:rsidP="0011752D">
            <w:pPr>
              <w:rPr>
                <w:sz w:val="12"/>
                <w:lang w:val="es-CO" w:eastAsia="es-CO"/>
              </w:rPr>
            </w:pPr>
          </w:p>
        </w:tc>
        <w:tc>
          <w:tcPr>
            <w:tcW w:w="278" w:type="pct"/>
            <w:tcBorders>
              <w:top w:val="nil"/>
              <w:left w:val="nil"/>
              <w:bottom w:val="nil"/>
              <w:right w:val="nil"/>
            </w:tcBorders>
            <w:shd w:val="clear" w:color="auto" w:fill="auto"/>
            <w:noWrap/>
            <w:vAlign w:val="bottom"/>
          </w:tcPr>
          <w:p w14:paraId="2341A906"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tcPr>
          <w:p w14:paraId="2341A907"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tcPr>
          <w:p w14:paraId="2341A908"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tcPr>
          <w:p w14:paraId="2341A909"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tcPr>
          <w:p w14:paraId="2341A90A"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tcPr>
          <w:p w14:paraId="2341A90B"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tcPr>
          <w:p w14:paraId="2341A90C"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tcPr>
          <w:p w14:paraId="2341A90D" w14:textId="77777777" w:rsidR="0011752D" w:rsidRPr="0011752D" w:rsidRDefault="0011752D" w:rsidP="0011752D">
            <w:pPr>
              <w:rPr>
                <w:sz w:val="12"/>
                <w:lang w:val="es-CO" w:eastAsia="es-CO"/>
              </w:rPr>
            </w:pPr>
          </w:p>
        </w:tc>
        <w:tc>
          <w:tcPr>
            <w:tcW w:w="305" w:type="pct"/>
            <w:gridSpan w:val="2"/>
            <w:tcBorders>
              <w:top w:val="nil"/>
              <w:left w:val="nil"/>
              <w:bottom w:val="nil"/>
              <w:right w:val="nil"/>
            </w:tcBorders>
            <w:shd w:val="clear" w:color="auto" w:fill="auto"/>
            <w:noWrap/>
            <w:vAlign w:val="bottom"/>
          </w:tcPr>
          <w:p w14:paraId="2341A90E" w14:textId="77777777" w:rsidR="0011752D" w:rsidRPr="0011752D" w:rsidRDefault="0011752D" w:rsidP="0011752D">
            <w:pPr>
              <w:rPr>
                <w:sz w:val="12"/>
                <w:lang w:val="es-CO" w:eastAsia="es-CO"/>
              </w:rPr>
            </w:pPr>
          </w:p>
        </w:tc>
      </w:tr>
      <w:tr w:rsidR="0011752D" w:rsidRPr="0011752D" w14:paraId="2341A91F" w14:textId="77777777" w:rsidTr="00390762">
        <w:trPr>
          <w:trHeight w:val="300"/>
        </w:trPr>
        <w:tc>
          <w:tcPr>
            <w:tcW w:w="803" w:type="pct"/>
            <w:tcBorders>
              <w:top w:val="single" w:sz="4" w:space="0" w:color="auto"/>
              <w:left w:val="single" w:sz="4" w:space="0" w:color="auto"/>
              <w:bottom w:val="single" w:sz="4" w:space="0" w:color="auto"/>
              <w:right w:val="nil"/>
            </w:tcBorders>
            <w:shd w:val="clear" w:color="000000" w:fill="E2EFDA"/>
            <w:noWrap/>
            <w:vAlign w:val="center"/>
            <w:hideMark/>
          </w:tcPr>
          <w:p w14:paraId="2341A910" w14:textId="77777777" w:rsidR="0011752D" w:rsidRPr="0011752D" w:rsidRDefault="0011752D" w:rsidP="0011752D">
            <w:pPr>
              <w:rPr>
                <w:rFonts w:ascii="Calibri" w:hAnsi="Calibri" w:cs="Calibri"/>
                <w:b/>
                <w:color w:val="000000"/>
                <w:sz w:val="16"/>
                <w:szCs w:val="22"/>
                <w:lang w:val="es-CO" w:eastAsia="es-CO"/>
              </w:rPr>
            </w:pPr>
            <w:r w:rsidRPr="0011752D">
              <w:rPr>
                <w:rFonts w:ascii="Calibri" w:hAnsi="Calibri" w:cs="Calibri"/>
                <w:b/>
                <w:color w:val="000000"/>
                <w:sz w:val="16"/>
                <w:szCs w:val="22"/>
                <w:lang w:val="es-CO" w:eastAsia="es-CO"/>
              </w:rPr>
              <w:t>VPN dic 2016 (Millones USD$)</w:t>
            </w:r>
          </w:p>
        </w:tc>
        <w:tc>
          <w:tcPr>
            <w:tcW w:w="402" w:type="pct"/>
            <w:gridSpan w:val="2"/>
            <w:tcBorders>
              <w:top w:val="single" w:sz="4" w:space="0" w:color="auto"/>
              <w:left w:val="nil"/>
              <w:bottom w:val="single" w:sz="4" w:space="0" w:color="auto"/>
              <w:right w:val="single" w:sz="4" w:space="0" w:color="auto"/>
            </w:tcBorders>
            <w:shd w:val="clear" w:color="000000" w:fill="E2EFDA"/>
            <w:noWrap/>
            <w:vAlign w:val="center"/>
            <w:hideMark/>
          </w:tcPr>
          <w:p w14:paraId="2341A911" w14:textId="77777777" w:rsidR="0011752D" w:rsidRPr="0011752D" w:rsidRDefault="0011752D" w:rsidP="0011752D">
            <w:pPr>
              <w:rPr>
                <w:rFonts w:ascii="Calibri" w:hAnsi="Calibri" w:cs="Calibri"/>
                <w:b/>
                <w:color w:val="000000"/>
                <w:sz w:val="16"/>
                <w:szCs w:val="22"/>
                <w:lang w:val="es-CO" w:eastAsia="es-CO"/>
              </w:rPr>
            </w:pPr>
            <w:r w:rsidRPr="0011752D">
              <w:rPr>
                <w:rFonts w:ascii="Calibri" w:hAnsi="Calibri" w:cs="Calibri"/>
                <w:b/>
                <w:color w:val="000000"/>
                <w:sz w:val="16"/>
                <w:szCs w:val="22"/>
                <w:lang w:val="es-CO" w:eastAsia="es-CO"/>
              </w:rPr>
              <w:t>212,60</w:t>
            </w:r>
          </w:p>
        </w:tc>
        <w:tc>
          <w:tcPr>
            <w:tcW w:w="308" w:type="pct"/>
            <w:gridSpan w:val="2"/>
            <w:tcBorders>
              <w:top w:val="nil"/>
              <w:left w:val="nil"/>
              <w:bottom w:val="nil"/>
              <w:right w:val="nil"/>
            </w:tcBorders>
            <w:shd w:val="clear" w:color="auto" w:fill="auto"/>
            <w:noWrap/>
            <w:vAlign w:val="bottom"/>
            <w:hideMark/>
          </w:tcPr>
          <w:p w14:paraId="2341A912" w14:textId="77777777" w:rsidR="0011752D" w:rsidRPr="0011752D" w:rsidRDefault="0011752D" w:rsidP="0011752D">
            <w:pPr>
              <w:jc w:val="right"/>
              <w:rPr>
                <w:rFonts w:ascii="Calibri" w:hAnsi="Calibri" w:cs="Calibri"/>
                <w:color w:val="000000"/>
                <w:sz w:val="12"/>
                <w:szCs w:val="22"/>
                <w:lang w:val="es-CO" w:eastAsia="es-CO"/>
              </w:rPr>
            </w:pPr>
          </w:p>
        </w:tc>
        <w:tc>
          <w:tcPr>
            <w:tcW w:w="252" w:type="pct"/>
            <w:gridSpan w:val="2"/>
            <w:tcBorders>
              <w:top w:val="nil"/>
              <w:left w:val="nil"/>
              <w:bottom w:val="nil"/>
              <w:right w:val="nil"/>
            </w:tcBorders>
            <w:shd w:val="clear" w:color="auto" w:fill="auto"/>
            <w:noWrap/>
            <w:vAlign w:val="bottom"/>
            <w:hideMark/>
          </w:tcPr>
          <w:p w14:paraId="2341A913"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hideMark/>
          </w:tcPr>
          <w:p w14:paraId="2341A914"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hideMark/>
          </w:tcPr>
          <w:p w14:paraId="2341A915" w14:textId="77777777" w:rsidR="0011752D" w:rsidRPr="0011752D" w:rsidRDefault="0011752D" w:rsidP="0011752D">
            <w:pPr>
              <w:rPr>
                <w:sz w:val="12"/>
                <w:lang w:val="es-CO" w:eastAsia="es-CO"/>
              </w:rPr>
            </w:pPr>
          </w:p>
        </w:tc>
        <w:tc>
          <w:tcPr>
            <w:tcW w:w="278" w:type="pct"/>
            <w:tcBorders>
              <w:top w:val="nil"/>
              <w:left w:val="nil"/>
              <w:bottom w:val="nil"/>
              <w:right w:val="nil"/>
            </w:tcBorders>
            <w:shd w:val="clear" w:color="auto" w:fill="auto"/>
            <w:noWrap/>
            <w:vAlign w:val="bottom"/>
            <w:hideMark/>
          </w:tcPr>
          <w:p w14:paraId="2341A916"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hideMark/>
          </w:tcPr>
          <w:p w14:paraId="2341A917" w14:textId="77777777" w:rsidR="0011752D" w:rsidRPr="0011752D" w:rsidRDefault="0011752D" w:rsidP="0011752D">
            <w:pPr>
              <w:rPr>
                <w:sz w:val="12"/>
                <w:lang w:val="es-CO" w:eastAsia="es-CO"/>
              </w:rPr>
            </w:pPr>
          </w:p>
        </w:tc>
        <w:tc>
          <w:tcPr>
            <w:tcW w:w="278" w:type="pct"/>
            <w:gridSpan w:val="2"/>
            <w:tcBorders>
              <w:top w:val="nil"/>
              <w:left w:val="nil"/>
              <w:bottom w:val="nil"/>
              <w:right w:val="nil"/>
            </w:tcBorders>
            <w:shd w:val="clear" w:color="auto" w:fill="auto"/>
            <w:noWrap/>
            <w:vAlign w:val="bottom"/>
            <w:hideMark/>
          </w:tcPr>
          <w:p w14:paraId="2341A918"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hideMark/>
          </w:tcPr>
          <w:p w14:paraId="2341A919"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hideMark/>
          </w:tcPr>
          <w:p w14:paraId="2341A91A"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hideMark/>
          </w:tcPr>
          <w:p w14:paraId="2341A91B"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hideMark/>
          </w:tcPr>
          <w:p w14:paraId="2341A91C" w14:textId="77777777" w:rsidR="0011752D" w:rsidRPr="0011752D" w:rsidRDefault="0011752D" w:rsidP="0011752D">
            <w:pPr>
              <w:rPr>
                <w:sz w:val="12"/>
                <w:lang w:val="es-CO" w:eastAsia="es-CO"/>
              </w:rPr>
            </w:pPr>
          </w:p>
        </w:tc>
        <w:tc>
          <w:tcPr>
            <w:tcW w:w="308" w:type="pct"/>
            <w:gridSpan w:val="2"/>
            <w:tcBorders>
              <w:top w:val="nil"/>
              <w:left w:val="nil"/>
              <w:bottom w:val="nil"/>
              <w:right w:val="nil"/>
            </w:tcBorders>
            <w:shd w:val="clear" w:color="auto" w:fill="auto"/>
            <w:noWrap/>
            <w:vAlign w:val="bottom"/>
            <w:hideMark/>
          </w:tcPr>
          <w:p w14:paraId="2341A91D" w14:textId="77777777" w:rsidR="0011752D" w:rsidRPr="0011752D" w:rsidRDefault="0011752D" w:rsidP="0011752D">
            <w:pPr>
              <w:rPr>
                <w:sz w:val="12"/>
                <w:lang w:val="es-CO" w:eastAsia="es-CO"/>
              </w:rPr>
            </w:pPr>
          </w:p>
        </w:tc>
        <w:tc>
          <w:tcPr>
            <w:tcW w:w="305" w:type="pct"/>
            <w:gridSpan w:val="2"/>
            <w:tcBorders>
              <w:top w:val="nil"/>
              <w:left w:val="nil"/>
              <w:bottom w:val="nil"/>
              <w:right w:val="nil"/>
            </w:tcBorders>
            <w:shd w:val="clear" w:color="auto" w:fill="auto"/>
            <w:noWrap/>
            <w:vAlign w:val="bottom"/>
            <w:hideMark/>
          </w:tcPr>
          <w:p w14:paraId="2341A91E" w14:textId="77777777" w:rsidR="0011752D" w:rsidRPr="0011752D" w:rsidRDefault="0011752D" w:rsidP="0011752D">
            <w:pPr>
              <w:rPr>
                <w:sz w:val="12"/>
                <w:lang w:val="es-CO" w:eastAsia="es-CO"/>
              </w:rPr>
            </w:pPr>
          </w:p>
        </w:tc>
      </w:tr>
    </w:tbl>
    <w:p w14:paraId="2341A920" w14:textId="77777777" w:rsidR="0011752D" w:rsidRPr="0011752D" w:rsidRDefault="0011752D" w:rsidP="0011752D">
      <w:pPr>
        <w:spacing w:before="240" w:after="240"/>
        <w:jc w:val="both"/>
        <w:rPr>
          <w:rFonts w:ascii="Arial" w:hAnsi="Arial"/>
          <w:sz w:val="22"/>
          <w:lang w:val="es-CO" w:eastAsia="es-CO"/>
        </w:rPr>
      </w:pPr>
      <w:r w:rsidRPr="0011752D">
        <w:rPr>
          <w:rFonts w:ascii="Arial" w:hAnsi="Arial"/>
          <w:sz w:val="22"/>
          <w:lang w:val="es-CO" w:eastAsia="es-CO"/>
        </w:rPr>
        <w:t>En total, los beneficios netos por menores precios esperados y reducción de emisiones ascienden a US$5.961.</w:t>
      </w:r>
    </w:p>
    <w:p w14:paraId="2341A921"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ES"/>
        </w:rPr>
      </w:pPr>
      <w:bookmarkStart w:id="66" w:name="_Toc474797027"/>
      <w:r w:rsidRPr="0011752D">
        <w:rPr>
          <w:rFonts w:ascii="Arial" w:hAnsi="Arial"/>
          <w:b/>
          <w:color w:val="1F3864"/>
          <w:szCs w:val="26"/>
          <w:lang w:val="es-ES"/>
        </w:rPr>
        <w:t>Beneficiarios</w:t>
      </w:r>
      <w:bookmarkEnd w:id="66"/>
    </w:p>
    <w:p w14:paraId="2341A922" w14:textId="77777777" w:rsidR="0011752D" w:rsidRPr="0011752D" w:rsidRDefault="0011752D" w:rsidP="0011752D">
      <w:pPr>
        <w:spacing w:before="120"/>
        <w:jc w:val="both"/>
        <w:rPr>
          <w:rFonts w:ascii="Arial" w:hAnsi="Arial"/>
          <w:sz w:val="22"/>
          <w:lang w:val="es-ES"/>
        </w:rPr>
      </w:pPr>
      <w:r w:rsidRPr="0011752D">
        <w:rPr>
          <w:rFonts w:ascii="Arial" w:hAnsi="Arial"/>
          <w:sz w:val="22"/>
          <w:lang w:val="es-ES"/>
        </w:rPr>
        <w:t>En general, todos los consumidores de energía eléctrica del SIN se ven beneficiados con la reducción de precios. Por un lado, los consumidores residenciales tendrán un menor pago de sus facturas lo cual representa in incremento en el ingreso disponible; por el otro, las industrias incurren en menores costos de producción lo cual contribuye a una mayor competitividad de estas.</w:t>
      </w:r>
    </w:p>
    <w:p w14:paraId="2341A923" w14:textId="77777777" w:rsidR="0011752D" w:rsidRPr="0011752D" w:rsidRDefault="0011752D" w:rsidP="0011752D">
      <w:pPr>
        <w:spacing w:before="120"/>
        <w:jc w:val="both"/>
        <w:rPr>
          <w:rFonts w:ascii="Arial" w:hAnsi="Arial"/>
          <w:sz w:val="22"/>
          <w:lang w:val="es-ES"/>
        </w:rPr>
      </w:pPr>
      <w:r w:rsidRPr="0011752D">
        <w:rPr>
          <w:rFonts w:ascii="Arial" w:hAnsi="Arial"/>
          <w:sz w:val="22"/>
          <w:lang w:val="es-ES"/>
        </w:rPr>
        <w:t>Adicionalmente, también el Estado, requiere un menor esfuerzo fiscal en la medida que menores precios de la energía representa un menor valor de los subsidios asignados en el presupuesto nacional.</w:t>
      </w:r>
    </w:p>
    <w:p w14:paraId="2341A924" w14:textId="77777777" w:rsidR="0011752D" w:rsidRPr="0011752D" w:rsidRDefault="0011752D" w:rsidP="0011752D">
      <w:pPr>
        <w:spacing w:before="240" w:after="240"/>
        <w:jc w:val="both"/>
        <w:rPr>
          <w:rFonts w:ascii="Arial" w:hAnsi="Arial"/>
          <w:sz w:val="22"/>
          <w:lang w:val="es-ES"/>
        </w:rPr>
      </w:pPr>
      <w:r w:rsidRPr="0011752D">
        <w:rPr>
          <w:rFonts w:ascii="Arial" w:hAnsi="Arial"/>
          <w:sz w:val="22"/>
          <w:lang w:val="es-ES"/>
        </w:rPr>
        <w:t>La reducción de emisiones de CO</w:t>
      </w:r>
      <w:r w:rsidRPr="0011752D">
        <w:rPr>
          <w:rFonts w:ascii="Arial" w:hAnsi="Arial"/>
          <w:sz w:val="22"/>
          <w:vertAlign w:val="subscript"/>
          <w:lang w:val="es-ES"/>
        </w:rPr>
        <w:t>2</w:t>
      </w:r>
      <w:r w:rsidRPr="0011752D">
        <w:rPr>
          <w:rFonts w:ascii="Arial" w:hAnsi="Arial"/>
          <w:sz w:val="22"/>
          <w:lang w:val="es-ES"/>
        </w:rPr>
        <w:t xml:space="preserve"> beneficia a toda la población en general.</w:t>
      </w:r>
    </w:p>
    <w:p w14:paraId="2341A925"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CO"/>
        </w:rPr>
      </w:pPr>
      <w:bookmarkStart w:id="67" w:name="_Toc474797028"/>
      <w:r w:rsidRPr="0011752D">
        <w:rPr>
          <w:rFonts w:ascii="Arial" w:hAnsi="Arial"/>
          <w:b/>
          <w:color w:val="1F3864"/>
          <w:szCs w:val="26"/>
          <w:lang w:val="es-CO"/>
        </w:rPr>
        <w:lastRenderedPageBreak/>
        <w:t>Análisis de sensibilidad</w:t>
      </w:r>
      <w:bookmarkEnd w:id="67"/>
    </w:p>
    <w:p w14:paraId="2341A926" w14:textId="77777777" w:rsidR="0011752D" w:rsidRPr="0011752D" w:rsidRDefault="0011752D" w:rsidP="0011752D">
      <w:pPr>
        <w:spacing w:before="240" w:after="240"/>
        <w:jc w:val="both"/>
        <w:rPr>
          <w:rFonts w:ascii="Arial" w:hAnsi="Arial"/>
          <w:b/>
          <w:sz w:val="22"/>
          <w:lang w:val="es-ES"/>
        </w:rPr>
      </w:pPr>
      <w:r w:rsidRPr="0011752D">
        <w:rPr>
          <w:rFonts w:ascii="Arial" w:hAnsi="Arial"/>
          <w:b/>
          <w:sz w:val="22"/>
          <w:lang w:val="es-ES"/>
        </w:rPr>
        <w:t>Diversificación eficiente de la matriz energética del SIN</w:t>
      </w:r>
    </w:p>
    <w:p w14:paraId="2341A927" w14:textId="77777777" w:rsidR="0011752D" w:rsidRPr="0011752D" w:rsidRDefault="0011752D" w:rsidP="0011752D">
      <w:pPr>
        <w:spacing w:before="120"/>
        <w:jc w:val="both"/>
        <w:rPr>
          <w:rFonts w:ascii="Arial" w:hAnsi="Arial"/>
          <w:sz w:val="22"/>
          <w:lang w:val="es-ES"/>
        </w:rPr>
      </w:pPr>
      <w:r w:rsidRPr="0011752D">
        <w:rPr>
          <w:rFonts w:ascii="Arial" w:hAnsi="Arial"/>
          <w:sz w:val="22"/>
          <w:lang w:val="es-ES"/>
        </w:rPr>
        <w:t>El análisis realizado sensibiliza los siguientes parámetros y posibles efectos originados por la introducción de FNCER al sistema eléctrico nacional:</w:t>
      </w:r>
    </w:p>
    <w:p w14:paraId="2341A928" w14:textId="77777777" w:rsidR="0011752D" w:rsidRPr="0011752D" w:rsidRDefault="0011752D" w:rsidP="0011752D">
      <w:pPr>
        <w:numPr>
          <w:ilvl w:val="0"/>
          <w:numId w:val="30"/>
        </w:numPr>
        <w:spacing w:before="120" w:after="240"/>
        <w:ind w:left="782" w:hanging="357"/>
        <w:contextualSpacing/>
        <w:jc w:val="both"/>
        <w:rPr>
          <w:rFonts w:ascii="Arial" w:hAnsi="Arial"/>
          <w:sz w:val="22"/>
          <w:lang w:val="es-ES"/>
        </w:rPr>
      </w:pPr>
      <w:r w:rsidRPr="0011752D">
        <w:rPr>
          <w:rFonts w:ascii="Arial" w:hAnsi="Arial"/>
          <w:sz w:val="22"/>
          <w:lang w:val="es-ES"/>
        </w:rPr>
        <w:t>Mayor o menor valor esperado del costo marginal de generación</w:t>
      </w:r>
    </w:p>
    <w:p w14:paraId="2341A929" w14:textId="77777777" w:rsidR="0011752D" w:rsidRPr="0011752D" w:rsidRDefault="0011752D" w:rsidP="0011752D">
      <w:pPr>
        <w:numPr>
          <w:ilvl w:val="0"/>
          <w:numId w:val="30"/>
        </w:numPr>
        <w:spacing w:before="120" w:after="240"/>
        <w:ind w:left="782" w:hanging="357"/>
        <w:contextualSpacing/>
        <w:jc w:val="both"/>
        <w:rPr>
          <w:rFonts w:ascii="Arial" w:hAnsi="Arial"/>
          <w:sz w:val="22"/>
          <w:lang w:val="es-ES"/>
        </w:rPr>
      </w:pPr>
      <w:r w:rsidRPr="0011752D">
        <w:rPr>
          <w:rFonts w:ascii="Arial" w:hAnsi="Arial"/>
          <w:sz w:val="22"/>
          <w:lang w:val="es-ES"/>
        </w:rPr>
        <w:t>Mayor o menor demanda de eléctrica en el SIN</w:t>
      </w:r>
    </w:p>
    <w:p w14:paraId="2341A92A" w14:textId="77777777" w:rsidR="0011752D" w:rsidRPr="0011752D" w:rsidRDefault="0011752D" w:rsidP="0011752D">
      <w:pPr>
        <w:numPr>
          <w:ilvl w:val="0"/>
          <w:numId w:val="30"/>
        </w:numPr>
        <w:spacing w:before="120" w:after="240"/>
        <w:ind w:left="782" w:hanging="357"/>
        <w:contextualSpacing/>
        <w:jc w:val="both"/>
        <w:rPr>
          <w:rFonts w:ascii="Arial" w:hAnsi="Arial"/>
          <w:sz w:val="22"/>
          <w:lang w:val="es-ES"/>
        </w:rPr>
      </w:pPr>
      <w:r w:rsidRPr="0011752D">
        <w:rPr>
          <w:rFonts w:ascii="Arial" w:hAnsi="Arial"/>
          <w:sz w:val="22"/>
          <w:lang w:val="es-ES"/>
        </w:rPr>
        <w:t>Mayores o menores emisiones de CO</w:t>
      </w:r>
      <w:r w:rsidRPr="0011752D">
        <w:rPr>
          <w:rFonts w:ascii="Arial" w:hAnsi="Arial"/>
          <w:sz w:val="22"/>
          <w:vertAlign w:val="subscript"/>
          <w:lang w:val="es-ES"/>
        </w:rPr>
        <w:t>2</w:t>
      </w:r>
    </w:p>
    <w:p w14:paraId="2341A92B" w14:textId="77777777" w:rsidR="0011752D" w:rsidRPr="0011752D" w:rsidRDefault="0011752D" w:rsidP="0011752D">
      <w:pPr>
        <w:numPr>
          <w:ilvl w:val="0"/>
          <w:numId w:val="30"/>
        </w:numPr>
        <w:spacing w:before="120" w:after="240"/>
        <w:ind w:left="792"/>
        <w:contextualSpacing/>
        <w:jc w:val="both"/>
        <w:rPr>
          <w:rFonts w:ascii="Arial" w:hAnsi="Arial"/>
          <w:sz w:val="22"/>
          <w:lang w:val="es-ES"/>
        </w:rPr>
      </w:pPr>
      <w:r w:rsidRPr="0011752D">
        <w:rPr>
          <w:rFonts w:ascii="Arial" w:hAnsi="Arial"/>
          <w:sz w:val="22"/>
          <w:lang w:val="es-ES"/>
        </w:rPr>
        <w:t>Valoración del CO</w:t>
      </w:r>
      <w:r w:rsidRPr="0011752D">
        <w:rPr>
          <w:rFonts w:ascii="Arial" w:hAnsi="Arial"/>
          <w:sz w:val="22"/>
          <w:vertAlign w:val="subscript"/>
          <w:lang w:val="es-ES"/>
        </w:rPr>
        <w:t>2</w:t>
      </w:r>
      <w:r w:rsidRPr="0011752D">
        <w:rPr>
          <w:rFonts w:ascii="Arial" w:hAnsi="Arial"/>
          <w:sz w:val="22"/>
          <w:lang w:val="es-ES"/>
        </w:rPr>
        <w:t xml:space="preserve"> a distintos precios</w:t>
      </w:r>
    </w:p>
    <w:p w14:paraId="2341A92C" w14:textId="77777777" w:rsidR="0011752D" w:rsidRPr="0011752D" w:rsidRDefault="0011752D" w:rsidP="0011752D">
      <w:pPr>
        <w:spacing w:before="120"/>
        <w:jc w:val="both"/>
        <w:rPr>
          <w:rFonts w:ascii="Arial" w:hAnsi="Arial"/>
          <w:sz w:val="22"/>
          <w:lang w:val="es-ES"/>
        </w:rPr>
      </w:pPr>
      <w:r w:rsidRPr="0011752D">
        <w:rPr>
          <w:rFonts w:ascii="Arial" w:hAnsi="Arial"/>
          <w:sz w:val="22"/>
          <w:lang w:val="es-ES"/>
        </w:rPr>
        <w:t>Se precisa que no se considera procedente una simulación a condiciones hidrológicas debido a que metodológicamente lo correcto es trabajar con costos marginales promedio esperados, los cuales toman en cuenta un gran número de series hidrológicas equi-probables, que van desde la más seca hasta la más húmeda, capturando así las diferentes situaciones a las que se puede ver enfrentado el sistema de generación.</w:t>
      </w:r>
    </w:p>
    <w:p w14:paraId="2341A92D" w14:textId="77777777" w:rsidR="0011752D" w:rsidRPr="0011752D" w:rsidRDefault="0011752D" w:rsidP="0011752D">
      <w:pPr>
        <w:spacing w:before="240" w:after="240"/>
        <w:jc w:val="both"/>
        <w:rPr>
          <w:rFonts w:ascii="Arial" w:hAnsi="Arial"/>
          <w:sz w:val="22"/>
          <w:lang w:val="es-ES"/>
        </w:rPr>
      </w:pPr>
      <w:r w:rsidRPr="0011752D">
        <w:rPr>
          <w:rFonts w:ascii="Arial" w:hAnsi="Arial"/>
          <w:sz w:val="22"/>
          <w:lang w:val="es-ES"/>
        </w:rPr>
        <w:t xml:space="preserve">La </w:t>
      </w:r>
      <w:r w:rsidRPr="0011752D">
        <w:rPr>
          <w:rFonts w:ascii="Arial" w:hAnsi="Arial"/>
          <w:sz w:val="22"/>
          <w:lang w:val="es-ES"/>
        </w:rPr>
        <w:fldChar w:fldCharType="begin"/>
      </w:r>
      <w:r w:rsidRPr="0011752D">
        <w:rPr>
          <w:rFonts w:ascii="Arial" w:hAnsi="Arial"/>
          <w:sz w:val="22"/>
          <w:lang w:val="es-ES"/>
        </w:rPr>
        <w:instrText xml:space="preserve"> REF _Ref472069163 \h </w:instrText>
      </w:r>
      <w:r w:rsidRPr="0011752D">
        <w:rPr>
          <w:rFonts w:ascii="Arial" w:hAnsi="Arial"/>
          <w:sz w:val="22"/>
          <w:lang w:val="es-ES"/>
        </w:rPr>
      </w:r>
      <w:r w:rsidRPr="0011752D">
        <w:rPr>
          <w:rFonts w:ascii="Arial" w:hAnsi="Arial"/>
          <w:sz w:val="22"/>
          <w:lang w:val="es-ES"/>
        </w:rPr>
        <w:fldChar w:fldCharType="separate"/>
      </w:r>
      <w:r w:rsidRPr="0011752D">
        <w:rPr>
          <w:rFonts w:ascii="Arial" w:hAnsi="Arial"/>
          <w:b/>
          <w:sz w:val="22"/>
          <w:lang w:val="es-CO"/>
        </w:rPr>
        <w:t xml:space="preserve">Tabla </w:t>
      </w:r>
      <w:r w:rsidRPr="0011752D">
        <w:rPr>
          <w:rFonts w:ascii="Arial" w:hAnsi="Arial"/>
          <w:b/>
          <w:noProof/>
          <w:sz w:val="22"/>
          <w:lang w:val="es-CO"/>
        </w:rPr>
        <w:t>3</w:t>
      </w:r>
      <w:r w:rsidRPr="0011752D">
        <w:rPr>
          <w:rFonts w:ascii="Arial" w:hAnsi="Arial"/>
          <w:sz w:val="22"/>
          <w:lang w:val="es-ES"/>
        </w:rPr>
        <w:fldChar w:fldCharType="end"/>
      </w:r>
      <w:r w:rsidRPr="0011752D">
        <w:rPr>
          <w:rFonts w:ascii="Arial" w:hAnsi="Arial"/>
          <w:sz w:val="22"/>
          <w:lang w:val="es-ES"/>
        </w:rPr>
        <w:t xml:space="preserve"> resume los resultados de las primeras dos sensibilidades. Los porcentajes de sensibilización fueron aplicados de manera uniforme a todos los periodos anuales en el horizonte de proyección. El valor esperado del beneficio bajo diferentes escenarios de penetración de la UPME es capturado en la tabla de sensibilidades, dado que la mayoría de escenarios consideran costos marginales de generación promedio en el periodo 2017 a 2029 de entre +11% y -12% con respecto al escenario de FNCER. </w:t>
      </w:r>
      <w:r w:rsidRPr="0011752D">
        <w:rPr>
          <w:rFonts w:ascii="Arial" w:hAnsi="Arial" w:cs="Arial"/>
          <w:bCs/>
          <w:color w:val="FF0000"/>
          <w:sz w:val="22"/>
          <w:szCs w:val="22"/>
          <w:lang w:val="es-ES"/>
        </w:rPr>
        <w:t xml:space="preserve"> </w:t>
      </w:r>
      <w:r w:rsidRPr="0011752D">
        <w:rPr>
          <w:rFonts w:ascii="Arial" w:hAnsi="Arial"/>
          <w:sz w:val="22"/>
          <w:lang w:val="es-ES"/>
        </w:rPr>
        <w:t>En cuanto a la demanda, los rangos de entre +5% y -5% contemplan un intervalo razonable para la evaluación por cuanto los escenarios de demanda alta y baja que maneja la UPME en sus proyecciones se sitúan en este rango.</w:t>
      </w:r>
    </w:p>
    <w:bookmarkStart w:id="68" w:name="_Ref472069163"/>
    <w:bookmarkStart w:id="69" w:name="_Toc474797057"/>
    <w:p w14:paraId="2341A92E" w14:textId="77777777" w:rsidR="0011752D" w:rsidRPr="0011752D" w:rsidRDefault="0011752D" w:rsidP="0011752D">
      <w:pPr>
        <w:spacing w:before="240" w:after="240"/>
        <w:jc w:val="center"/>
        <w:rPr>
          <w:rFonts w:ascii="Arial" w:hAnsi="Arial" w:cs="Arial"/>
          <w:bCs/>
          <w:color w:val="FF0000"/>
          <w:sz w:val="22"/>
          <w:szCs w:val="22"/>
          <w:lang w:val="es-ES"/>
        </w:rPr>
      </w:pPr>
      <w:r w:rsidRPr="0011752D">
        <w:rPr>
          <w:rFonts w:ascii="Calibri" w:hAnsi="Calibri" w:cs="Calibri"/>
          <w:noProof/>
          <w:color w:val="000000"/>
          <w:sz w:val="18"/>
          <w:szCs w:val="22"/>
          <w:lang w:val="es-US" w:eastAsia="zh-CN"/>
        </w:rPr>
        <mc:AlternateContent>
          <mc:Choice Requires="wps">
            <w:drawing>
              <wp:anchor distT="0" distB="0" distL="114300" distR="114300" simplePos="0" relativeHeight="251659264" behindDoc="0" locked="0" layoutInCell="1" allowOverlap="1" wp14:anchorId="2341BDC0" wp14:editId="2341BDC1">
                <wp:simplePos x="0" y="0"/>
                <wp:positionH relativeFrom="column">
                  <wp:posOffset>-330214</wp:posOffset>
                </wp:positionH>
                <wp:positionV relativeFrom="paragraph">
                  <wp:posOffset>1495108</wp:posOffset>
                </wp:positionV>
                <wp:extent cx="1167765" cy="485140"/>
                <wp:effectExtent l="0" t="0" r="0" b="0"/>
                <wp:wrapNone/>
                <wp:docPr id="15" name="Rectángulo 15">
                  <a:extLst xmlns:a="http://schemas.openxmlformats.org/drawingml/2006/main">
                    <a:ext uri="{FF2B5EF4-FFF2-40B4-BE49-F238E27FC236}">
                      <a16:creationId xmlns:a16="http://schemas.microsoft.com/office/drawing/2014/main" id="{E7FB1A89-AC51-47A8-B307-06A16B239613}"/>
                    </a:ext>
                  </a:extLst>
                </wp:docPr>
                <wp:cNvGraphicFramePr/>
                <a:graphic xmlns:a="http://schemas.openxmlformats.org/drawingml/2006/main">
                  <a:graphicData uri="http://schemas.microsoft.com/office/word/2010/wordprocessingShape">
                    <wps:wsp>
                      <wps:cNvSpPr/>
                      <wps:spPr>
                        <a:xfrm rot="16200000">
                          <a:off x="0" y="0"/>
                          <a:ext cx="1167765" cy="485140"/>
                        </a:xfrm>
                        <a:prstGeom prst="rect">
                          <a:avLst/>
                        </a:prstGeom>
                        <a:noFill/>
                        <a:ln w="12700" cap="flat" cmpd="sng" algn="ctr">
                          <a:noFill/>
                          <a:prstDash val="solid"/>
                          <a:miter lim="800000"/>
                        </a:ln>
                        <a:effectLst/>
                      </wps:spPr>
                      <wps:txbx>
                        <w:txbxContent>
                          <w:p w14:paraId="2341BE1A" w14:textId="77777777" w:rsidR="00390762" w:rsidRPr="0011752D" w:rsidRDefault="00390762" w:rsidP="0011752D">
                            <w:pPr>
                              <w:pStyle w:val="NormalWeb"/>
                              <w:jc w:val="center"/>
                              <w:rPr>
                                <w:sz w:val="18"/>
                                <w:lang w:val="es-ES_tradnl"/>
                              </w:rPr>
                            </w:pPr>
                            <w:r w:rsidRPr="0011752D">
                              <w:rPr>
                                <w:rFonts w:asciiTheme="minorHAnsi" w:hAnsi="Calibri" w:cstheme="minorBidi"/>
                                <w:color w:val="000000" w:themeColor="text1"/>
                                <w:sz w:val="16"/>
                                <w:szCs w:val="22"/>
                                <w:lang w:val="es-ES_tradnl"/>
                              </w:rPr>
                              <w:t>Porcentaje de mayor / menor demanda de energía</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49C824A0" id="Rectángulo 15" o:spid="_x0000_s1026" style="position:absolute;left:0;text-align:left;margin-left:-26pt;margin-top:117.75pt;width:91.95pt;height:38.2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" filled="f" stroked="f" strokeweight="1pt">
                <v:textbox>
                  <w:txbxContent>
                    <w:p w:rsidR="00390762" w:rsidRPr="0011752D" w:rsidRDefault="00390762" w:rsidP="0011752D">
                      <w:pPr>
                        <w:pStyle w:val="NormalWeb"/>
                        <w:jc w:val="center"/>
                        <w:rPr>
                          <w:sz w:val="18"/>
                          <w:lang w:val="es-ES_tradnl"/>
                        </w:rPr>
                      </w:pPr>
                      <w:r w:rsidRPr="0011752D">
                        <w:rPr>
                          <w:rFonts w:asciiTheme="minorHAnsi" w:hAnsi="Calibri" w:cstheme="minorBidi"/>
                          <w:color w:val="000000" w:themeColor="text1"/>
                          <w:sz w:val="16"/>
                          <w:szCs w:val="22"/>
                          <w:lang w:val="es-ES_tradnl"/>
                        </w:rPr>
                        <w:t>Porcentaje de mayor / menor demanda de energía</w:t>
                      </w:r>
                    </w:p>
                  </w:txbxContent>
                </v:textbox>
              </v:rect>
            </w:pict>
          </mc:Fallback>
        </mc:AlternateContent>
      </w:r>
      <w:r w:rsidRPr="0011752D">
        <w:rPr>
          <w:rFonts w:ascii="Arial" w:hAnsi="Arial"/>
          <w:b/>
          <w:sz w:val="22"/>
          <w:lang w:val="es-CO"/>
        </w:rPr>
        <w:t xml:space="preserve">Tabla </w:t>
      </w:r>
      <w:r w:rsidRPr="0011752D">
        <w:rPr>
          <w:rFonts w:ascii="Arial" w:hAnsi="Arial"/>
          <w:b/>
          <w:sz w:val="22"/>
          <w:lang w:val="es-CO"/>
        </w:rPr>
        <w:fldChar w:fldCharType="begin"/>
      </w:r>
      <w:r w:rsidRPr="0011752D">
        <w:rPr>
          <w:rFonts w:ascii="Arial" w:hAnsi="Arial"/>
          <w:b/>
          <w:sz w:val="22"/>
          <w:lang w:val="es-CO"/>
        </w:rPr>
        <w:instrText xml:space="preserve"> SEQ Tabla \* ARABIC </w:instrText>
      </w:r>
      <w:r w:rsidRPr="0011752D">
        <w:rPr>
          <w:rFonts w:ascii="Arial" w:hAnsi="Arial"/>
          <w:b/>
          <w:sz w:val="22"/>
          <w:lang w:val="es-CO"/>
        </w:rPr>
        <w:fldChar w:fldCharType="separate"/>
      </w:r>
      <w:r w:rsidRPr="0011752D">
        <w:rPr>
          <w:rFonts w:ascii="Arial" w:hAnsi="Arial"/>
          <w:b/>
          <w:noProof/>
          <w:sz w:val="22"/>
          <w:lang w:val="es-CO"/>
        </w:rPr>
        <w:t>3</w:t>
      </w:r>
      <w:r w:rsidRPr="0011752D">
        <w:rPr>
          <w:rFonts w:ascii="Arial" w:hAnsi="Arial"/>
          <w:b/>
          <w:sz w:val="22"/>
          <w:lang w:val="es-CO"/>
        </w:rPr>
        <w:fldChar w:fldCharType="end"/>
      </w:r>
      <w:bookmarkEnd w:id="68"/>
      <w:r w:rsidRPr="0011752D">
        <w:rPr>
          <w:rFonts w:ascii="Arial" w:hAnsi="Arial"/>
          <w:b/>
          <w:sz w:val="22"/>
          <w:lang w:val="es-CO"/>
        </w:rPr>
        <w:t xml:space="preserve"> – VPN del beneficio por introducción de FNCER ante variaciones en el precio de generación y en la demanda energética (Millones USD$)</w:t>
      </w:r>
      <w:bookmarkEnd w:id="69"/>
    </w:p>
    <w:tbl>
      <w:tblPr>
        <w:tblW w:w="5000" w:type="pct"/>
        <w:tblCellMar>
          <w:left w:w="70" w:type="dxa"/>
          <w:right w:w="70" w:type="dxa"/>
        </w:tblCellMar>
        <w:tblLook w:val="04A0" w:firstRow="1" w:lastRow="0" w:firstColumn="1" w:lastColumn="0" w:noHBand="0" w:noVBand="1"/>
      </w:tblPr>
      <w:tblGrid>
        <w:gridCol w:w="611"/>
        <w:gridCol w:w="642"/>
        <w:gridCol w:w="1099"/>
        <w:gridCol w:w="1087"/>
        <w:gridCol w:w="1087"/>
        <w:gridCol w:w="1086"/>
        <w:gridCol w:w="1086"/>
        <w:gridCol w:w="1086"/>
        <w:gridCol w:w="851"/>
      </w:tblGrid>
      <w:tr w:rsidR="0011752D" w:rsidRPr="005E03D2" w14:paraId="2341A932" w14:textId="77777777" w:rsidTr="00390762">
        <w:trPr>
          <w:trHeight w:val="233"/>
        </w:trPr>
        <w:tc>
          <w:tcPr>
            <w:tcW w:w="457" w:type="pct"/>
            <w:tcBorders>
              <w:top w:val="nil"/>
              <w:left w:val="nil"/>
              <w:bottom w:val="nil"/>
              <w:right w:val="nil"/>
            </w:tcBorders>
            <w:shd w:val="clear" w:color="auto" w:fill="auto"/>
            <w:noWrap/>
            <w:vAlign w:val="bottom"/>
            <w:hideMark/>
          </w:tcPr>
          <w:p w14:paraId="2341A92F" w14:textId="77777777" w:rsidR="0011752D" w:rsidRPr="0011752D" w:rsidRDefault="0011752D" w:rsidP="0011752D">
            <w:pPr>
              <w:rPr>
                <w:sz w:val="18"/>
                <w:szCs w:val="24"/>
                <w:lang w:val="es-CO" w:eastAsia="es-CO"/>
              </w:rPr>
            </w:pPr>
          </w:p>
        </w:tc>
        <w:tc>
          <w:tcPr>
            <w:tcW w:w="363" w:type="pct"/>
            <w:tcBorders>
              <w:top w:val="nil"/>
              <w:left w:val="nil"/>
              <w:bottom w:val="nil"/>
              <w:right w:val="nil"/>
            </w:tcBorders>
            <w:shd w:val="clear" w:color="auto" w:fill="auto"/>
            <w:noWrap/>
            <w:vAlign w:val="bottom"/>
            <w:hideMark/>
          </w:tcPr>
          <w:p w14:paraId="2341A930" w14:textId="77777777" w:rsidR="0011752D" w:rsidRPr="0011752D" w:rsidRDefault="0011752D" w:rsidP="0011752D">
            <w:pPr>
              <w:rPr>
                <w:sz w:val="18"/>
                <w:lang w:val="es-CO" w:eastAsia="es-CO"/>
              </w:rPr>
            </w:pPr>
          </w:p>
        </w:tc>
        <w:tc>
          <w:tcPr>
            <w:tcW w:w="4179"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41A931"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Porcentaje de Mayor / Menor valor esperado de costo marginal del sistema en escenario de FNCER</w:t>
            </w:r>
          </w:p>
        </w:tc>
      </w:tr>
      <w:tr w:rsidR="0011752D" w:rsidRPr="0011752D" w14:paraId="2341A93C" w14:textId="77777777" w:rsidTr="00390762">
        <w:trPr>
          <w:trHeight w:val="233"/>
        </w:trPr>
        <w:tc>
          <w:tcPr>
            <w:tcW w:w="457" w:type="pct"/>
            <w:tcBorders>
              <w:top w:val="nil"/>
              <w:left w:val="nil"/>
              <w:bottom w:val="single" w:sz="4" w:space="0" w:color="000000" w:themeColor="text1"/>
              <w:right w:val="nil"/>
            </w:tcBorders>
            <w:shd w:val="clear" w:color="auto" w:fill="auto"/>
            <w:noWrap/>
            <w:vAlign w:val="bottom"/>
            <w:hideMark/>
          </w:tcPr>
          <w:p w14:paraId="2341A933" w14:textId="77777777" w:rsidR="0011752D" w:rsidRPr="0011752D" w:rsidRDefault="0011752D" w:rsidP="0011752D">
            <w:pPr>
              <w:ind w:firstLineChars="400" w:firstLine="720"/>
              <w:rPr>
                <w:rFonts w:ascii="Calibri" w:hAnsi="Calibri" w:cs="Calibri"/>
                <w:color w:val="000000"/>
                <w:sz w:val="18"/>
                <w:szCs w:val="22"/>
                <w:lang w:val="es-CO" w:eastAsia="es-CO"/>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1A934" w14:textId="77777777" w:rsidR="0011752D" w:rsidRPr="0011752D" w:rsidRDefault="0011752D" w:rsidP="0011752D">
            <w:pPr>
              <w:jc w:val="right"/>
              <w:rPr>
                <w:rFonts w:ascii="Calibri" w:hAnsi="Calibri" w:cs="Calibri"/>
                <w:color w:val="FFFFFF"/>
                <w:sz w:val="18"/>
                <w:szCs w:val="22"/>
                <w:lang w:val="es-CO" w:eastAsia="es-CO"/>
              </w:rPr>
            </w:pPr>
            <w:r w:rsidRPr="0011752D">
              <w:rPr>
                <w:rFonts w:ascii="Calibri" w:hAnsi="Calibri" w:cs="Calibri"/>
                <w:color w:val="FFFFFF"/>
                <w:sz w:val="18"/>
                <w:szCs w:val="22"/>
                <w:lang w:val="es-CO" w:eastAsia="es-CO"/>
              </w:rPr>
              <w:t>$4.612</w:t>
            </w:r>
          </w:p>
        </w:tc>
        <w:tc>
          <w:tcPr>
            <w:tcW w:w="622" w:type="pct"/>
            <w:tcBorders>
              <w:top w:val="nil"/>
              <w:left w:val="nil"/>
              <w:bottom w:val="single" w:sz="4" w:space="0" w:color="auto"/>
              <w:right w:val="nil"/>
            </w:tcBorders>
            <w:shd w:val="clear" w:color="auto" w:fill="auto"/>
            <w:noWrap/>
            <w:vAlign w:val="bottom"/>
            <w:hideMark/>
          </w:tcPr>
          <w:p w14:paraId="2341A935" w14:textId="77777777" w:rsidR="0011752D" w:rsidRPr="0011752D" w:rsidRDefault="0011752D" w:rsidP="0011752D">
            <w:pPr>
              <w:jc w:val="right"/>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-15%</w:t>
            </w:r>
          </w:p>
        </w:tc>
        <w:tc>
          <w:tcPr>
            <w:tcW w:w="615" w:type="pct"/>
            <w:tcBorders>
              <w:top w:val="nil"/>
              <w:left w:val="nil"/>
              <w:bottom w:val="single" w:sz="4" w:space="0" w:color="auto"/>
              <w:right w:val="nil"/>
            </w:tcBorders>
            <w:shd w:val="clear" w:color="auto" w:fill="auto"/>
            <w:noWrap/>
            <w:vAlign w:val="bottom"/>
            <w:hideMark/>
          </w:tcPr>
          <w:p w14:paraId="2341A936" w14:textId="77777777" w:rsidR="0011752D" w:rsidRPr="0011752D" w:rsidRDefault="0011752D" w:rsidP="0011752D">
            <w:pPr>
              <w:jc w:val="right"/>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-10%</w:t>
            </w:r>
          </w:p>
        </w:tc>
        <w:tc>
          <w:tcPr>
            <w:tcW w:w="615" w:type="pct"/>
            <w:tcBorders>
              <w:top w:val="nil"/>
              <w:left w:val="nil"/>
              <w:bottom w:val="single" w:sz="4" w:space="0" w:color="auto"/>
              <w:right w:val="nil"/>
            </w:tcBorders>
            <w:shd w:val="clear" w:color="auto" w:fill="auto"/>
            <w:noWrap/>
            <w:vAlign w:val="bottom"/>
            <w:hideMark/>
          </w:tcPr>
          <w:p w14:paraId="2341A937" w14:textId="77777777" w:rsidR="0011752D" w:rsidRPr="0011752D" w:rsidRDefault="0011752D" w:rsidP="0011752D">
            <w:pPr>
              <w:jc w:val="right"/>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-5%</w:t>
            </w:r>
          </w:p>
        </w:tc>
        <w:tc>
          <w:tcPr>
            <w:tcW w:w="615" w:type="pct"/>
            <w:tcBorders>
              <w:top w:val="nil"/>
              <w:left w:val="nil"/>
              <w:bottom w:val="single" w:sz="4" w:space="0" w:color="auto"/>
              <w:right w:val="nil"/>
            </w:tcBorders>
            <w:shd w:val="clear" w:color="000000" w:fill="E7E6E6"/>
            <w:noWrap/>
            <w:vAlign w:val="bottom"/>
            <w:hideMark/>
          </w:tcPr>
          <w:p w14:paraId="2341A938" w14:textId="77777777" w:rsidR="0011752D" w:rsidRPr="0011752D" w:rsidRDefault="0011752D" w:rsidP="0011752D">
            <w:pPr>
              <w:jc w:val="right"/>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0%</w:t>
            </w:r>
          </w:p>
        </w:tc>
        <w:tc>
          <w:tcPr>
            <w:tcW w:w="615" w:type="pct"/>
            <w:tcBorders>
              <w:top w:val="nil"/>
              <w:left w:val="nil"/>
              <w:bottom w:val="single" w:sz="4" w:space="0" w:color="auto"/>
              <w:right w:val="nil"/>
            </w:tcBorders>
            <w:shd w:val="clear" w:color="auto" w:fill="auto"/>
            <w:noWrap/>
            <w:vAlign w:val="bottom"/>
            <w:hideMark/>
          </w:tcPr>
          <w:p w14:paraId="2341A939" w14:textId="77777777" w:rsidR="0011752D" w:rsidRPr="0011752D" w:rsidRDefault="0011752D" w:rsidP="0011752D">
            <w:pPr>
              <w:jc w:val="right"/>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5%</w:t>
            </w:r>
          </w:p>
        </w:tc>
        <w:tc>
          <w:tcPr>
            <w:tcW w:w="615" w:type="pct"/>
            <w:tcBorders>
              <w:top w:val="nil"/>
              <w:left w:val="nil"/>
              <w:bottom w:val="single" w:sz="4" w:space="0" w:color="auto"/>
              <w:right w:val="nil"/>
            </w:tcBorders>
            <w:shd w:val="clear" w:color="auto" w:fill="auto"/>
            <w:noWrap/>
            <w:vAlign w:val="bottom"/>
            <w:hideMark/>
          </w:tcPr>
          <w:p w14:paraId="2341A93A" w14:textId="77777777" w:rsidR="0011752D" w:rsidRPr="0011752D" w:rsidRDefault="0011752D" w:rsidP="0011752D">
            <w:pPr>
              <w:jc w:val="right"/>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10%</w:t>
            </w:r>
          </w:p>
        </w:tc>
        <w:tc>
          <w:tcPr>
            <w:tcW w:w="482" w:type="pct"/>
            <w:tcBorders>
              <w:top w:val="nil"/>
              <w:left w:val="nil"/>
              <w:bottom w:val="single" w:sz="4" w:space="0" w:color="auto"/>
              <w:right w:val="single" w:sz="4" w:space="0" w:color="auto"/>
            </w:tcBorders>
            <w:shd w:val="clear" w:color="auto" w:fill="auto"/>
            <w:noWrap/>
            <w:vAlign w:val="bottom"/>
            <w:hideMark/>
          </w:tcPr>
          <w:p w14:paraId="2341A93B" w14:textId="77777777" w:rsidR="0011752D" w:rsidRPr="0011752D" w:rsidRDefault="0011752D" w:rsidP="0011752D">
            <w:pPr>
              <w:jc w:val="right"/>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15%</w:t>
            </w:r>
          </w:p>
        </w:tc>
      </w:tr>
      <w:tr w:rsidR="0011752D" w:rsidRPr="0011752D" w14:paraId="2341A947" w14:textId="77777777" w:rsidTr="00390762">
        <w:trPr>
          <w:trHeight w:val="233"/>
        </w:trPr>
        <w:tc>
          <w:tcPr>
            <w:tcW w:w="457" w:type="pct"/>
            <w:tcBorders>
              <w:top w:val="single" w:sz="4" w:space="0" w:color="000000" w:themeColor="text1"/>
              <w:left w:val="single" w:sz="4" w:space="0" w:color="000000" w:themeColor="text1"/>
              <w:bottom w:val="nil"/>
              <w:right w:val="single" w:sz="4" w:space="0" w:color="000000" w:themeColor="text1"/>
            </w:tcBorders>
            <w:shd w:val="clear" w:color="auto" w:fill="auto"/>
            <w:noWrap/>
            <w:vAlign w:val="bottom"/>
            <w:hideMark/>
          </w:tcPr>
          <w:p w14:paraId="2341A93D" w14:textId="77777777" w:rsidR="0011752D" w:rsidRPr="0011752D" w:rsidRDefault="0011752D" w:rsidP="0011752D">
            <w:pPr>
              <w:rPr>
                <w:rFonts w:ascii="Calibri" w:hAnsi="Calibri" w:cs="Calibri"/>
                <w:color w:val="000000"/>
                <w:sz w:val="18"/>
                <w:szCs w:val="22"/>
                <w:lang w:val="es-CO" w:eastAsia="es-CO"/>
              </w:rPr>
            </w:pPr>
          </w:p>
          <w:p w14:paraId="2341A93E" w14:textId="77777777" w:rsidR="0011752D" w:rsidRPr="0011752D" w:rsidRDefault="0011752D" w:rsidP="0011752D">
            <w:pPr>
              <w:rPr>
                <w:rFonts w:ascii="Calibri" w:hAnsi="Calibri" w:cs="Calibri"/>
                <w:color w:val="000000"/>
                <w:sz w:val="18"/>
                <w:szCs w:val="22"/>
                <w:lang w:val="es-CO" w:eastAsia="es-CO"/>
              </w:rPr>
            </w:pPr>
          </w:p>
        </w:tc>
        <w:tc>
          <w:tcPr>
            <w:tcW w:w="363" w:type="pct"/>
            <w:tcBorders>
              <w:top w:val="nil"/>
              <w:left w:val="single" w:sz="4" w:space="0" w:color="000000" w:themeColor="text1"/>
              <w:bottom w:val="nil"/>
              <w:right w:val="single" w:sz="4" w:space="0" w:color="auto"/>
            </w:tcBorders>
            <w:shd w:val="clear" w:color="auto" w:fill="auto"/>
            <w:noWrap/>
            <w:vAlign w:val="bottom"/>
            <w:hideMark/>
          </w:tcPr>
          <w:p w14:paraId="2341A93F" w14:textId="77777777" w:rsidR="0011752D" w:rsidRPr="0011752D" w:rsidRDefault="0011752D" w:rsidP="0011752D">
            <w:pPr>
              <w:jc w:val="cente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-5%</w:t>
            </w:r>
          </w:p>
        </w:tc>
        <w:tc>
          <w:tcPr>
            <w:tcW w:w="622" w:type="pct"/>
            <w:tcBorders>
              <w:top w:val="nil"/>
              <w:left w:val="nil"/>
              <w:bottom w:val="nil"/>
              <w:right w:val="nil"/>
            </w:tcBorders>
            <w:shd w:val="clear" w:color="auto" w:fill="auto"/>
            <w:noWrap/>
            <w:vAlign w:val="bottom"/>
            <w:hideMark/>
          </w:tcPr>
          <w:p w14:paraId="2341A940"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9.596</w:t>
            </w:r>
          </w:p>
        </w:tc>
        <w:tc>
          <w:tcPr>
            <w:tcW w:w="615" w:type="pct"/>
            <w:tcBorders>
              <w:top w:val="nil"/>
              <w:left w:val="nil"/>
              <w:bottom w:val="nil"/>
              <w:right w:val="nil"/>
            </w:tcBorders>
            <w:shd w:val="clear" w:color="auto" w:fill="auto"/>
            <w:noWrap/>
            <w:vAlign w:val="bottom"/>
            <w:hideMark/>
          </w:tcPr>
          <w:p w14:paraId="2341A941"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8.218</w:t>
            </w:r>
          </w:p>
        </w:tc>
        <w:tc>
          <w:tcPr>
            <w:tcW w:w="615" w:type="pct"/>
            <w:tcBorders>
              <w:top w:val="nil"/>
              <w:left w:val="nil"/>
              <w:bottom w:val="nil"/>
              <w:right w:val="nil"/>
            </w:tcBorders>
            <w:shd w:val="clear" w:color="auto" w:fill="auto"/>
            <w:noWrap/>
            <w:vAlign w:val="bottom"/>
            <w:hideMark/>
          </w:tcPr>
          <w:p w14:paraId="2341A942"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6.839</w:t>
            </w:r>
          </w:p>
        </w:tc>
        <w:tc>
          <w:tcPr>
            <w:tcW w:w="615" w:type="pct"/>
            <w:tcBorders>
              <w:top w:val="nil"/>
              <w:left w:val="nil"/>
              <w:bottom w:val="nil"/>
              <w:right w:val="nil"/>
            </w:tcBorders>
            <w:shd w:val="clear" w:color="000000" w:fill="E7E6E6"/>
            <w:noWrap/>
            <w:vAlign w:val="bottom"/>
            <w:hideMark/>
          </w:tcPr>
          <w:p w14:paraId="2341A943"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5.461</w:t>
            </w:r>
          </w:p>
        </w:tc>
        <w:tc>
          <w:tcPr>
            <w:tcW w:w="615" w:type="pct"/>
            <w:tcBorders>
              <w:top w:val="nil"/>
              <w:left w:val="nil"/>
              <w:bottom w:val="nil"/>
              <w:right w:val="nil"/>
            </w:tcBorders>
            <w:shd w:val="clear" w:color="auto" w:fill="auto"/>
            <w:noWrap/>
            <w:vAlign w:val="bottom"/>
            <w:hideMark/>
          </w:tcPr>
          <w:p w14:paraId="2341A944"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4.082</w:t>
            </w:r>
          </w:p>
        </w:tc>
        <w:tc>
          <w:tcPr>
            <w:tcW w:w="615" w:type="pct"/>
            <w:tcBorders>
              <w:top w:val="nil"/>
              <w:left w:val="nil"/>
              <w:bottom w:val="nil"/>
              <w:right w:val="nil"/>
            </w:tcBorders>
            <w:shd w:val="clear" w:color="auto" w:fill="auto"/>
            <w:noWrap/>
            <w:vAlign w:val="bottom"/>
            <w:hideMark/>
          </w:tcPr>
          <w:p w14:paraId="2341A945"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2.704</w:t>
            </w:r>
          </w:p>
        </w:tc>
        <w:tc>
          <w:tcPr>
            <w:tcW w:w="482" w:type="pct"/>
            <w:tcBorders>
              <w:top w:val="nil"/>
              <w:left w:val="nil"/>
              <w:bottom w:val="nil"/>
              <w:right w:val="single" w:sz="4" w:space="0" w:color="auto"/>
            </w:tcBorders>
            <w:shd w:val="clear" w:color="auto" w:fill="auto"/>
            <w:noWrap/>
            <w:vAlign w:val="bottom"/>
            <w:hideMark/>
          </w:tcPr>
          <w:p w14:paraId="2341A946"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1.325</w:t>
            </w:r>
          </w:p>
        </w:tc>
      </w:tr>
      <w:tr w:rsidR="0011752D" w:rsidRPr="0011752D" w14:paraId="2341A951" w14:textId="77777777" w:rsidTr="00390762">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2341A948"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949" w14:textId="77777777" w:rsidR="0011752D" w:rsidRPr="0011752D" w:rsidRDefault="0011752D" w:rsidP="0011752D">
            <w:pPr>
              <w:jc w:val="cente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-4%</w:t>
            </w:r>
          </w:p>
        </w:tc>
        <w:tc>
          <w:tcPr>
            <w:tcW w:w="622" w:type="pct"/>
            <w:tcBorders>
              <w:top w:val="nil"/>
              <w:left w:val="nil"/>
              <w:bottom w:val="nil"/>
              <w:right w:val="nil"/>
            </w:tcBorders>
            <w:shd w:val="clear" w:color="auto" w:fill="auto"/>
            <w:noWrap/>
            <w:vAlign w:val="bottom"/>
            <w:hideMark/>
          </w:tcPr>
          <w:p w14:paraId="2341A94A"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9.697</w:t>
            </w:r>
          </w:p>
        </w:tc>
        <w:tc>
          <w:tcPr>
            <w:tcW w:w="615" w:type="pct"/>
            <w:tcBorders>
              <w:top w:val="nil"/>
              <w:left w:val="nil"/>
              <w:bottom w:val="nil"/>
              <w:right w:val="nil"/>
            </w:tcBorders>
            <w:shd w:val="clear" w:color="auto" w:fill="auto"/>
            <w:noWrap/>
            <w:vAlign w:val="bottom"/>
            <w:hideMark/>
          </w:tcPr>
          <w:p w14:paraId="2341A94B"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8.304</w:t>
            </w:r>
          </w:p>
        </w:tc>
        <w:tc>
          <w:tcPr>
            <w:tcW w:w="615" w:type="pct"/>
            <w:tcBorders>
              <w:top w:val="nil"/>
              <w:left w:val="nil"/>
              <w:bottom w:val="nil"/>
              <w:right w:val="nil"/>
            </w:tcBorders>
            <w:shd w:val="clear" w:color="auto" w:fill="auto"/>
            <w:noWrap/>
            <w:vAlign w:val="bottom"/>
            <w:hideMark/>
          </w:tcPr>
          <w:p w14:paraId="2341A94C"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6.911</w:t>
            </w:r>
          </w:p>
        </w:tc>
        <w:tc>
          <w:tcPr>
            <w:tcW w:w="615" w:type="pct"/>
            <w:tcBorders>
              <w:top w:val="nil"/>
              <w:left w:val="nil"/>
              <w:bottom w:val="nil"/>
              <w:right w:val="nil"/>
            </w:tcBorders>
            <w:shd w:val="clear" w:color="000000" w:fill="E7E6E6"/>
            <w:noWrap/>
            <w:vAlign w:val="bottom"/>
            <w:hideMark/>
          </w:tcPr>
          <w:p w14:paraId="2341A94D"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5.518</w:t>
            </w:r>
          </w:p>
        </w:tc>
        <w:tc>
          <w:tcPr>
            <w:tcW w:w="615" w:type="pct"/>
            <w:tcBorders>
              <w:top w:val="nil"/>
              <w:left w:val="nil"/>
              <w:bottom w:val="nil"/>
              <w:right w:val="nil"/>
            </w:tcBorders>
            <w:shd w:val="clear" w:color="auto" w:fill="auto"/>
            <w:noWrap/>
            <w:vAlign w:val="bottom"/>
            <w:hideMark/>
          </w:tcPr>
          <w:p w14:paraId="2341A94E"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4.125</w:t>
            </w:r>
          </w:p>
        </w:tc>
        <w:tc>
          <w:tcPr>
            <w:tcW w:w="615" w:type="pct"/>
            <w:tcBorders>
              <w:top w:val="nil"/>
              <w:left w:val="nil"/>
              <w:bottom w:val="nil"/>
              <w:right w:val="nil"/>
            </w:tcBorders>
            <w:shd w:val="clear" w:color="auto" w:fill="auto"/>
            <w:noWrap/>
            <w:vAlign w:val="bottom"/>
            <w:hideMark/>
          </w:tcPr>
          <w:p w14:paraId="2341A94F"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2.732</w:t>
            </w:r>
          </w:p>
        </w:tc>
        <w:tc>
          <w:tcPr>
            <w:tcW w:w="482" w:type="pct"/>
            <w:tcBorders>
              <w:top w:val="nil"/>
              <w:left w:val="nil"/>
              <w:bottom w:val="nil"/>
              <w:right w:val="single" w:sz="4" w:space="0" w:color="auto"/>
            </w:tcBorders>
            <w:shd w:val="clear" w:color="auto" w:fill="auto"/>
            <w:noWrap/>
            <w:vAlign w:val="bottom"/>
            <w:hideMark/>
          </w:tcPr>
          <w:p w14:paraId="2341A950"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1.339</w:t>
            </w:r>
          </w:p>
        </w:tc>
      </w:tr>
      <w:tr w:rsidR="0011752D" w:rsidRPr="0011752D" w14:paraId="2341A95B" w14:textId="77777777" w:rsidTr="00390762">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2341A952"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953" w14:textId="77777777" w:rsidR="0011752D" w:rsidRPr="0011752D" w:rsidRDefault="0011752D" w:rsidP="0011752D">
            <w:pPr>
              <w:jc w:val="cente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-3%</w:t>
            </w:r>
          </w:p>
        </w:tc>
        <w:tc>
          <w:tcPr>
            <w:tcW w:w="622" w:type="pct"/>
            <w:tcBorders>
              <w:top w:val="nil"/>
              <w:left w:val="nil"/>
              <w:bottom w:val="nil"/>
              <w:right w:val="nil"/>
            </w:tcBorders>
            <w:shd w:val="clear" w:color="auto" w:fill="auto"/>
            <w:noWrap/>
            <w:vAlign w:val="bottom"/>
            <w:hideMark/>
          </w:tcPr>
          <w:p w14:paraId="2341A954"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9.798</w:t>
            </w:r>
          </w:p>
        </w:tc>
        <w:tc>
          <w:tcPr>
            <w:tcW w:w="615" w:type="pct"/>
            <w:tcBorders>
              <w:top w:val="nil"/>
              <w:left w:val="nil"/>
              <w:bottom w:val="nil"/>
              <w:right w:val="nil"/>
            </w:tcBorders>
            <w:shd w:val="clear" w:color="auto" w:fill="auto"/>
            <w:noWrap/>
            <w:vAlign w:val="bottom"/>
            <w:hideMark/>
          </w:tcPr>
          <w:p w14:paraId="2341A955"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8.391</w:t>
            </w:r>
          </w:p>
        </w:tc>
        <w:tc>
          <w:tcPr>
            <w:tcW w:w="615" w:type="pct"/>
            <w:tcBorders>
              <w:top w:val="nil"/>
              <w:left w:val="nil"/>
              <w:bottom w:val="nil"/>
              <w:right w:val="nil"/>
            </w:tcBorders>
            <w:shd w:val="clear" w:color="auto" w:fill="auto"/>
            <w:noWrap/>
            <w:vAlign w:val="bottom"/>
            <w:hideMark/>
          </w:tcPr>
          <w:p w14:paraId="2341A956"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6.983</w:t>
            </w:r>
          </w:p>
        </w:tc>
        <w:tc>
          <w:tcPr>
            <w:tcW w:w="615" w:type="pct"/>
            <w:tcBorders>
              <w:top w:val="nil"/>
              <w:left w:val="nil"/>
              <w:bottom w:val="nil"/>
              <w:right w:val="nil"/>
            </w:tcBorders>
            <w:shd w:val="clear" w:color="000000" w:fill="E7E6E6"/>
            <w:noWrap/>
            <w:vAlign w:val="bottom"/>
            <w:hideMark/>
          </w:tcPr>
          <w:p w14:paraId="2341A957"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5.576</w:t>
            </w:r>
          </w:p>
        </w:tc>
        <w:tc>
          <w:tcPr>
            <w:tcW w:w="615" w:type="pct"/>
            <w:tcBorders>
              <w:top w:val="nil"/>
              <w:left w:val="nil"/>
              <w:bottom w:val="nil"/>
              <w:right w:val="nil"/>
            </w:tcBorders>
            <w:shd w:val="clear" w:color="auto" w:fill="auto"/>
            <w:noWrap/>
            <w:vAlign w:val="bottom"/>
            <w:hideMark/>
          </w:tcPr>
          <w:p w14:paraId="2341A958"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4.168</w:t>
            </w:r>
          </w:p>
        </w:tc>
        <w:tc>
          <w:tcPr>
            <w:tcW w:w="615" w:type="pct"/>
            <w:tcBorders>
              <w:top w:val="nil"/>
              <w:left w:val="nil"/>
              <w:bottom w:val="nil"/>
              <w:right w:val="nil"/>
            </w:tcBorders>
            <w:shd w:val="clear" w:color="auto" w:fill="auto"/>
            <w:noWrap/>
            <w:vAlign w:val="bottom"/>
            <w:hideMark/>
          </w:tcPr>
          <w:p w14:paraId="2341A959"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2.761</w:t>
            </w:r>
          </w:p>
        </w:tc>
        <w:tc>
          <w:tcPr>
            <w:tcW w:w="482" w:type="pct"/>
            <w:tcBorders>
              <w:top w:val="nil"/>
              <w:left w:val="nil"/>
              <w:bottom w:val="nil"/>
              <w:right w:val="single" w:sz="4" w:space="0" w:color="auto"/>
            </w:tcBorders>
            <w:shd w:val="clear" w:color="auto" w:fill="auto"/>
            <w:noWrap/>
            <w:vAlign w:val="bottom"/>
            <w:hideMark/>
          </w:tcPr>
          <w:p w14:paraId="2341A95A"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1.353</w:t>
            </w:r>
          </w:p>
        </w:tc>
      </w:tr>
      <w:tr w:rsidR="0011752D" w:rsidRPr="0011752D" w14:paraId="2341A965" w14:textId="77777777" w:rsidTr="00390762">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2341A95C"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95D" w14:textId="77777777" w:rsidR="0011752D" w:rsidRPr="0011752D" w:rsidRDefault="0011752D" w:rsidP="0011752D">
            <w:pPr>
              <w:jc w:val="cente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-2%</w:t>
            </w:r>
          </w:p>
        </w:tc>
        <w:tc>
          <w:tcPr>
            <w:tcW w:w="622" w:type="pct"/>
            <w:tcBorders>
              <w:top w:val="nil"/>
              <w:left w:val="nil"/>
              <w:bottom w:val="nil"/>
              <w:right w:val="nil"/>
            </w:tcBorders>
            <w:shd w:val="clear" w:color="auto" w:fill="auto"/>
            <w:noWrap/>
            <w:vAlign w:val="bottom"/>
            <w:hideMark/>
          </w:tcPr>
          <w:p w14:paraId="2341A95E"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9.899</w:t>
            </w:r>
          </w:p>
        </w:tc>
        <w:tc>
          <w:tcPr>
            <w:tcW w:w="615" w:type="pct"/>
            <w:tcBorders>
              <w:top w:val="nil"/>
              <w:left w:val="nil"/>
              <w:bottom w:val="nil"/>
              <w:right w:val="nil"/>
            </w:tcBorders>
            <w:shd w:val="clear" w:color="auto" w:fill="auto"/>
            <w:noWrap/>
            <w:vAlign w:val="bottom"/>
            <w:hideMark/>
          </w:tcPr>
          <w:p w14:paraId="2341A95F"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8.477</w:t>
            </w:r>
          </w:p>
        </w:tc>
        <w:tc>
          <w:tcPr>
            <w:tcW w:w="615" w:type="pct"/>
            <w:tcBorders>
              <w:top w:val="nil"/>
              <w:left w:val="nil"/>
              <w:bottom w:val="nil"/>
              <w:right w:val="nil"/>
            </w:tcBorders>
            <w:shd w:val="clear" w:color="auto" w:fill="auto"/>
            <w:noWrap/>
            <w:vAlign w:val="bottom"/>
            <w:hideMark/>
          </w:tcPr>
          <w:p w14:paraId="2341A960"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7.055</w:t>
            </w:r>
          </w:p>
        </w:tc>
        <w:tc>
          <w:tcPr>
            <w:tcW w:w="615" w:type="pct"/>
            <w:tcBorders>
              <w:top w:val="nil"/>
              <w:left w:val="nil"/>
              <w:bottom w:val="nil"/>
              <w:right w:val="nil"/>
            </w:tcBorders>
            <w:shd w:val="clear" w:color="000000" w:fill="E7E6E6"/>
            <w:noWrap/>
            <w:vAlign w:val="bottom"/>
            <w:hideMark/>
          </w:tcPr>
          <w:p w14:paraId="2341A961"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5.633</w:t>
            </w:r>
          </w:p>
        </w:tc>
        <w:tc>
          <w:tcPr>
            <w:tcW w:w="615" w:type="pct"/>
            <w:tcBorders>
              <w:top w:val="nil"/>
              <w:left w:val="nil"/>
              <w:bottom w:val="nil"/>
              <w:right w:val="nil"/>
            </w:tcBorders>
            <w:shd w:val="clear" w:color="auto" w:fill="auto"/>
            <w:noWrap/>
            <w:vAlign w:val="bottom"/>
            <w:hideMark/>
          </w:tcPr>
          <w:p w14:paraId="2341A962"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4.211</w:t>
            </w:r>
          </w:p>
        </w:tc>
        <w:tc>
          <w:tcPr>
            <w:tcW w:w="615" w:type="pct"/>
            <w:tcBorders>
              <w:top w:val="nil"/>
              <w:left w:val="nil"/>
              <w:bottom w:val="nil"/>
              <w:right w:val="nil"/>
            </w:tcBorders>
            <w:shd w:val="clear" w:color="auto" w:fill="auto"/>
            <w:noWrap/>
            <w:vAlign w:val="bottom"/>
            <w:hideMark/>
          </w:tcPr>
          <w:p w14:paraId="2341A963"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2.789</w:t>
            </w:r>
          </w:p>
        </w:tc>
        <w:tc>
          <w:tcPr>
            <w:tcW w:w="482" w:type="pct"/>
            <w:tcBorders>
              <w:top w:val="nil"/>
              <w:left w:val="nil"/>
              <w:bottom w:val="nil"/>
              <w:right w:val="single" w:sz="4" w:space="0" w:color="auto"/>
            </w:tcBorders>
            <w:shd w:val="clear" w:color="auto" w:fill="auto"/>
            <w:noWrap/>
            <w:vAlign w:val="bottom"/>
            <w:hideMark/>
          </w:tcPr>
          <w:p w14:paraId="2341A964"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1.367</w:t>
            </w:r>
          </w:p>
        </w:tc>
      </w:tr>
      <w:tr w:rsidR="0011752D" w:rsidRPr="0011752D" w14:paraId="2341A96F" w14:textId="77777777" w:rsidTr="00390762">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2341A966"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967" w14:textId="77777777" w:rsidR="0011752D" w:rsidRPr="0011752D" w:rsidRDefault="0011752D" w:rsidP="0011752D">
            <w:pPr>
              <w:jc w:val="cente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-1%</w:t>
            </w:r>
          </w:p>
        </w:tc>
        <w:tc>
          <w:tcPr>
            <w:tcW w:w="622" w:type="pct"/>
            <w:tcBorders>
              <w:top w:val="nil"/>
              <w:left w:val="nil"/>
              <w:bottom w:val="nil"/>
              <w:right w:val="nil"/>
            </w:tcBorders>
            <w:shd w:val="clear" w:color="auto" w:fill="auto"/>
            <w:noWrap/>
            <w:vAlign w:val="bottom"/>
            <w:hideMark/>
          </w:tcPr>
          <w:p w14:paraId="2341A968"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10.000</w:t>
            </w:r>
          </w:p>
        </w:tc>
        <w:tc>
          <w:tcPr>
            <w:tcW w:w="615" w:type="pct"/>
            <w:tcBorders>
              <w:top w:val="nil"/>
              <w:left w:val="nil"/>
              <w:bottom w:val="nil"/>
              <w:right w:val="nil"/>
            </w:tcBorders>
            <w:shd w:val="clear" w:color="auto" w:fill="auto"/>
            <w:noWrap/>
            <w:vAlign w:val="bottom"/>
            <w:hideMark/>
          </w:tcPr>
          <w:p w14:paraId="2341A969"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8.564</w:t>
            </w:r>
          </w:p>
        </w:tc>
        <w:tc>
          <w:tcPr>
            <w:tcW w:w="615" w:type="pct"/>
            <w:tcBorders>
              <w:top w:val="nil"/>
              <w:left w:val="nil"/>
              <w:bottom w:val="nil"/>
              <w:right w:val="nil"/>
            </w:tcBorders>
            <w:shd w:val="clear" w:color="auto" w:fill="auto"/>
            <w:noWrap/>
            <w:vAlign w:val="bottom"/>
            <w:hideMark/>
          </w:tcPr>
          <w:p w14:paraId="2341A96A"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7.127</w:t>
            </w:r>
          </w:p>
        </w:tc>
        <w:tc>
          <w:tcPr>
            <w:tcW w:w="615" w:type="pct"/>
            <w:tcBorders>
              <w:top w:val="nil"/>
              <w:left w:val="nil"/>
              <w:bottom w:val="nil"/>
              <w:right w:val="nil"/>
            </w:tcBorders>
            <w:shd w:val="clear" w:color="000000" w:fill="E7E6E6"/>
            <w:noWrap/>
            <w:vAlign w:val="bottom"/>
            <w:hideMark/>
          </w:tcPr>
          <w:p w14:paraId="2341A96B"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5.691</w:t>
            </w:r>
          </w:p>
        </w:tc>
        <w:tc>
          <w:tcPr>
            <w:tcW w:w="615" w:type="pct"/>
            <w:tcBorders>
              <w:top w:val="nil"/>
              <w:left w:val="nil"/>
              <w:bottom w:val="nil"/>
              <w:right w:val="nil"/>
            </w:tcBorders>
            <w:shd w:val="clear" w:color="auto" w:fill="auto"/>
            <w:noWrap/>
            <w:vAlign w:val="bottom"/>
            <w:hideMark/>
          </w:tcPr>
          <w:p w14:paraId="2341A96C"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4.254</w:t>
            </w:r>
          </w:p>
        </w:tc>
        <w:tc>
          <w:tcPr>
            <w:tcW w:w="615" w:type="pct"/>
            <w:tcBorders>
              <w:top w:val="nil"/>
              <w:left w:val="nil"/>
              <w:bottom w:val="nil"/>
              <w:right w:val="nil"/>
            </w:tcBorders>
            <w:shd w:val="clear" w:color="auto" w:fill="auto"/>
            <w:noWrap/>
            <w:vAlign w:val="bottom"/>
            <w:hideMark/>
          </w:tcPr>
          <w:p w14:paraId="2341A96D"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2.818</w:t>
            </w:r>
          </w:p>
        </w:tc>
        <w:tc>
          <w:tcPr>
            <w:tcW w:w="482" w:type="pct"/>
            <w:tcBorders>
              <w:top w:val="nil"/>
              <w:left w:val="nil"/>
              <w:bottom w:val="nil"/>
              <w:right w:val="single" w:sz="4" w:space="0" w:color="auto"/>
            </w:tcBorders>
            <w:shd w:val="clear" w:color="auto" w:fill="auto"/>
            <w:noWrap/>
            <w:vAlign w:val="bottom"/>
            <w:hideMark/>
          </w:tcPr>
          <w:p w14:paraId="2341A96E"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1.381</w:t>
            </w:r>
          </w:p>
        </w:tc>
      </w:tr>
      <w:tr w:rsidR="0011752D" w:rsidRPr="0011752D" w14:paraId="2341A979" w14:textId="77777777" w:rsidTr="00390762">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2341A970"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000000" w:fill="E7E6E6"/>
            <w:noWrap/>
            <w:vAlign w:val="bottom"/>
            <w:hideMark/>
          </w:tcPr>
          <w:p w14:paraId="2341A971" w14:textId="77777777" w:rsidR="0011752D" w:rsidRPr="0011752D" w:rsidRDefault="0011752D" w:rsidP="0011752D">
            <w:pPr>
              <w:jc w:val="cente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0%</w:t>
            </w:r>
          </w:p>
        </w:tc>
        <w:tc>
          <w:tcPr>
            <w:tcW w:w="622" w:type="pct"/>
            <w:tcBorders>
              <w:top w:val="nil"/>
              <w:left w:val="nil"/>
              <w:bottom w:val="nil"/>
              <w:right w:val="nil"/>
            </w:tcBorders>
            <w:shd w:val="clear" w:color="000000" w:fill="E7E6E6"/>
            <w:noWrap/>
            <w:vAlign w:val="bottom"/>
            <w:hideMark/>
          </w:tcPr>
          <w:p w14:paraId="2341A972"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10.101</w:t>
            </w:r>
          </w:p>
        </w:tc>
        <w:tc>
          <w:tcPr>
            <w:tcW w:w="615" w:type="pct"/>
            <w:tcBorders>
              <w:top w:val="nil"/>
              <w:left w:val="nil"/>
              <w:bottom w:val="nil"/>
              <w:right w:val="nil"/>
            </w:tcBorders>
            <w:shd w:val="clear" w:color="000000" w:fill="E7E6E6"/>
            <w:noWrap/>
            <w:vAlign w:val="bottom"/>
            <w:hideMark/>
          </w:tcPr>
          <w:p w14:paraId="2341A973"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8.650</w:t>
            </w:r>
          </w:p>
        </w:tc>
        <w:tc>
          <w:tcPr>
            <w:tcW w:w="615" w:type="pct"/>
            <w:tcBorders>
              <w:top w:val="nil"/>
              <w:left w:val="nil"/>
              <w:bottom w:val="nil"/>
              <w:right w:val="nil"/>
            </w:tcBorders>
            <w:shd w:val="clear" w:color="000000" w:fill="E7E6E6"/>
            <w:noWrap/>
            <w:vAlign w:val="bottom"/>
            <w:hideMark/>
          </w:tcPr>
          <w:p w14:paraId="2341A974"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7.199</w:t>
            </w:r>
          </w:p>
        </w:tc>
        <w:tc>
          <w:tcPr>
            <w:tcW w:w="615" w:type="pct"/>
            <w:tcBorders>
              <w:top w:val="nil"/>
              <w:left w:val="nil"/>
              <w:bottom w:val="nil"/>
              <w:right w:val="nil"/>
            </w:tcBorders>
            <w:shd w:val="clear" w:color="000000" w:fill="E7E6E6"/>
            <w:noWrap/>
            <w:vAlign w:val="bottom"/>
            <w:hideMark/>
          </w:tcPr>
          <w:p w14:paraId="2341A975"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5.748</w:t>
            </w:r>
          </w:p>
        </w:tc>
        <w:tc>
          <w:tcPr>
            <w:tcW w:w="615" w:type="pct"/>
            <w:tcBorders>
              <w:top w:val="nil"/>
              <w:left w:val="nil"/>
              <w:bottom w:val="nil"/>
              <w:right w:val="nil"/>
            </w:tcBorders>
            <w:shd w:val="clear" w:color="000000" w:fill="E7E6E6"/>
            <w:noWrap/>
            <w:vAlign w:val="bottom"/>
            <w:hideMark/>
          </w:tcPr>
          <w:p w14:paraId="2341A976"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4.297</w:t>
            </w:r>
          </w:p>
        </w:tc>
        <w:tc>
          <w:tcPr>
            <w:tcW w:w="615" w:type="pct"/>
            <w:tcBorders>
              <w:top w:val="nil"/>
              <w:left w:val="nil"/>
              <w:bottom w:val="nil"/>
              <w:right w:val="nil"/>
            </w:tcBorders>
            <w:shd w:val="clear" w:color="000000" w:fill="E7E6E6"/>
            <w:noWrap/>
            <w:vAlign w:val="bottom"/>
            <w:hideMark/>
          </w:tcPr>
          <w:p w14:paraId="2341A977"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2.846</w:t>
            </w:r>
          </w:p>
        </w:tc>
        <w:tc>
          <w:tcPr>
            <w:tcW w:w="482" w:type="pct"/>
            <w:tcBorders>
              <w:top w:val="nil"/>
              <w:left w:val="nil"/>
              <w:bottom w:val="nil"/>
              <w:right w:val="single" w:sz="4" w:space="0" w:color="auto"/>
            </w:tcBorders>
            <w:shd w:val="clear" w:color="000000" w:fill="E7E6E6"/>
            <w:noWrap/>
            <w:vAlign w:val="bottom"/>
            <w:hideMark/>
          </w:tcPr>
          <w:p w14:paraId="2341A978"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1.395</w:t>
            </w:r>
          </w:p>
        </w:tc>
      </w:tr>
      <w:tr w:rsidR="0011752D" w:rsidRPr="0011752D" w14:paraId="2341A983" w14:textId="77777777" w:rsidTr="00390762">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2341A97A"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97B" w14:textId="77777777" w:rsidR="0011752D" w:rsidRPr="0011752D" w:rsidRDefault="0011752D" w:rsidP="0011752D">
            <w:pPr>
              <w:jc w:val="cente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1%</w:t>
            </w:r>
          </w:p>
        </w:tc>
        <w:tc>
          <w:tcPr>
            <w:tcW w:w="622" w:type="pct"/>
            <w:tcBorders>
              <w:top w:val="nil"/>
              <w:left w:val="nil"/>
              <w:bottom w:val="nil"/>
              <w:right w:val="nil"/>
            </w:tcBorders>
            <w:shd w:val="clear" w:color="auto" w:fill="auto"/>
            <w:noWrap/>
            <w:vAlign w:val="bottom"/>
            <w:hideMark/>
          </w:tcPr>
          <w:p w14:paraId="2341A97C"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10.202</w:t>
            </w:r>
          </w:p>
        </w:tc>
        <w:tc>
          <w:tcPr>
            <w:tcW w:w="615" w:type="pct"/>
            <w:tcBorders>
              <w:top w:val="nil"/>
              <w:left w:val="nil"/>
              <w:bottom w:val="nil"/>
              <w:right w:val="nil"/>
            </w:tcBorders>
            <w:shd w:val="clear" w:color="auto" w:fill="auto"/>
            <w:noWrap/>
            <w:vAlign w:val="bottom"/>
            <w:hideMark/>
          </w:tcPr>
          <w:p w14:paraId="2341A97D"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8.737</w:t>
            </w:r>
          </w:p>
        </w:tc>
        <w:tc>
          <w:tcPr>
            <w:tcW w:w="615" w:type="pct"/>
            <w:tcBorders>
              <w:top w:val="nil"/>
              <w:left w:val="nil"/>
              <w:bottom w:val="nil"/>
              <w:right w:val="nil"/>
            </w:tcBorders>
            <w:shd w:val="clear" w:color="auto" w:fill="auto"/>
            <w:noWrap/>
            <w:vAlign w:val="bottom"/>
            <w:hideMark/>
          </w:tcPr>
          <w:p w14:paraId="2341A97E"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7.271</w:t>
            </w:r>
          </w:p>
        </w:tc>
        <w:tc>
          <w:tcPr>
            <w:tcW w:w="615" w:type="pct"/>
            <w:tcBorders>
              <w:top w:val="nil"/>
              <w:left w:val="nil"/>
              <w:bottom w:val="nil"/>
              <w:right w:val="nil"/>
            </w:tcBorders>
            <w:shd w:val="clear" w:color="000000" w:fill="E7E6E6"/>
            <w:noWrap/>
            <w:vAlign w:val="bottom"/>
            <w:hideMark/>
          </w:tcPr>
          <w:p w14:paraId="2341A97F"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5.806</w:t>
            </w:r>
          </w:p>
        </w:tc>
        <w:tc>
          <w:tcPr>
            <w:tcW w:w="615" w:type="pct"/>
            <w:tcBorders>
              <w:top w:val="nil"/>
              <w:left w:val="nil"/>
              <w:bottom w:val="nil"/>
              <w:right w:val="nil"/>
            </w:tcBorders>
            <w:shd w:val="clear" w:color="auto" w:fill="auto"/>
            <w:noWrap/>
            <w:vAlign w:val="bottom"/>
            <w:hideMark/>
          </w:tcPr>
          <w:p w14:paraId="2341A980"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4.340</w:t>
            </w:r>
          </w:p>
        </w:tc>
        <w:tc>
          <w:tcPr>
            <w:tcW w:w="615" w:type="pct"/>
            <w:tcBorders>
              <w:top w:val="nil"/>
              <w:left w:val="nil"/>
              <w:bottom w:val="nil"/>
              <w:right w:val="nil"/>
            </w:tcBorders>
            <w:shd w:val="clear" w:color="auto" w:fill="auto"/>
            <w:noWrap/>
            <w:vAlign w:val="bottom"/>
            <w:hideMark/>
          </w:tcPr>
          <w:p w14:paraId="2341A981"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2.875</w:t>
            </w:r>
          </w:p>
        </w:tc>
        <w:tc>
          <w:tcPr>
            <w:tcW w:w="482" w:type="pct"/>
            <w:tcBorders>
              <w:top w:val="nil"/>
              <w:left w:val="nil"/>
              <w:bottom w:val="nil"/>
              <w:right w:val="single" w:sz="4" w:space="0" w:color="auto"/>
            </w:tcBorders>
            <w:shd w:val="clear" w:color="auto" w:fill="auto"/>
            <w:noWrap/>
            <w:vAlign w:val="bottom"/>
            <w:hideMark/>
          </w:tcPr>
          <w:p w14:paraId="2341A982"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1.409</w:t>
            </w:r>
          </w:p>
        </w:tc>
      </w:tr>
      <w:tr w:rsidR="0011752D" w:rsidRPr="0011752D" w14:paraId="2341A98D" w14:textId="77777777" w:rsidTr="00390762">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2341A984"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985" w14:textId="77777777" w:rsidR="0011752D" w:rsidRPr="0011752D" w:rsidRDefault="0011752D" w:rsidP="0011752D">
            <w:pPr>
              <w:jc w:val="cente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2%</w:t>
            </w:r>
          </w:p>
        </w:tc>
        <w:tc>
          <w:tcPr>
            <w:tcW w:w="622" w:type="pct"/>
            <w:tcBorders>
              <w:top w:val="nil"/>
              <w:left w:val="nil"/>
              <w:bottom w:val="nil"/>
              <w:right w:val="nil"/>
            </w:tcBorders>
            <w:shd w:val="clear" w:color="auto" w:fill="auto"/>
            <w:noWrap/>
            <w:vAlign w:val="bottom"/>
            <w:hideMark/>
          </w:tcPr>
          <w:p w14:paraId="2341A986"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10.303</w:t>
            </w:r>
          </w:p>
        </w:tc>
        <w:tc>
          <w:tcPr>
            <w:tcW w:w="615" w:type="pct"/>
            <w:tcBorders>
              <w:top w:val="nil"/>
              <w:left w:val="nil"/>
              <w:bottom w:val="nil"/>
              <w:right w:val="nil"/>
            </w:tcBorders>
            <w:shd w:val="clear" w:color="auto" w:fill="auto"/>
            <w:noWrap/>
            <w:vAlign w:val="bottom"/>
            <w:hideMark/>
          </w:tcPr>
          <w:p w14:paraId="2341A987"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8.823</w:t>
            </w:r>
          </w:p>
        </w:tc>
        <w:tc>
          <w:tcPr>
            <w:tcW w:w="615" w:type="pct"/>
            <w:tcBorders>
              <w:top w:val="nil"/>
              <w:left w:val="nil"/>
              <w:bottom w:val="nil"/>
              <w:right w:val="nil"/>
            </w:tcBorders>
            <w:shd w:val="clear" w:color="auto" w:fill="auto"/>
            <w:noWrap/>
            <w:vAlign w:val="bottom"/>
            <w:hideMark/>
          </w:tcPr>
          <w:p w14:paraId="2341A988"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7.343</w:t>
            </w:r>
          </w:p>
        </w:tc>
        <w:tc>
          <w:tcPr>
            <w:tcW w:w="615" w:type="pct"/>
            <w:tcBorders>
              <w:top w:val="nil"/>
              <w:left w:val="nil"/>
              <w:bottom w:val="nil"/>
              <w:right w:val="nil"/>
            </w:tcBorders>
            <w:shd w:val="clear" w:color="000000" w:fill="E7E6E6"/>
            <w:noWrap/>
            <w:vAlign w:val="bottom"/>
            <w:hideMark/>
          </w:tcPr>
          <w:p w14:paraId="2341A989"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5.863</w:t>
            </w:r>
          </w:p>
        </w:tc>
        <w:tc>
          <w:tcPr>
            <w:tcW w:w="615" w:type="pct"/>
            <w:tcBorders>
              <w:top w:val="nil"/>
              <w:left w:val="nil"/>
              <w:bottom w:val="nil"/>
              <w:right w:val="nil"/>
            </w:tcBorders>
            <w:shd w:val="clear" w:color="auto" w:fill="auto"/>
            <w:noWrap/>
            <w:vAlign w:val="bottom"/>
            <w:hideMark/>
          </w:tcPr>
          <w:p w14:paraId="2341A98A"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4.383</w:t>
            </w:r>
          </w:p>
        </w:tc>
        <w:tc>
          <w:tcPr>
            <w:tcW w:w="615" w:type="pct"/>
            <w:tcBorders>
              <w:top w:val="nil"/>
              <w:left w:val="nil"/>
              <w:bottom w:val="nil"/>
              <w:right w:val="nil"/>
            </w:tcBorders>
            <w:shd w:val="clear" w:color="auto" w:fill="auto"/>
            <w:noWrap/>
            <w:vAlign w:val="bottom"/>
            <w:hideMark/>
          </w:tcPr>
          <w:p w14:paraId="2341A98B"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2.903</w:t>
            </w:r>
          </w:p>
        </w:tc>
        <w:tc>
          <w:tcPr>
            <w:tcW w:w="482" w:type="pct"/>
            <w:tcBorders>
              <w:top w:val="nil"/>
              <w:left w:val="nil"/>
              <w:bottom w:val="nil"/>
              <w:right w:val="single" w:sz="4" w:space="0" w:color="auto"/>
            </w:tcBorders>
            <w:shd w:val="clear" w:color="auto" w:fill="auto"/>
            <w:noWrap/>
            <w:vAlign w:val="bottom"/>
            <w:hideMark/>
          </w:tcPr>
          <w:p w14:paraId="2341A98C"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1.423</w:t>
            </w:r>
          </w:p>
        </w:tc>
      </w:tr>
      <w:tr w:rsidR="0011752D" w:rsidRPr="0011752D" w14:paraId="2341A997" w14:textId="77777777" w:rsidTr="00390762">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2341A98E"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98F" w14:textId="77777777" w:rsidR="0011752D" w:rsidRPr="0011752D" w:rsidRDefault="0011752D" w:rsidP="0011752D">
            <w:pPr>
              <w:jc w:val="cente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3%</w:t>
            </w:r>
          </w:p>
        </w:tc>
        <w:tc>
          <w:tcPr>
            <w:tcW w:w="622" w:type="pct"/>
            <w:tcBorders>
              <w:top w:val="nil"/>
              <w:left w:val="nil"/>
              <w:bottom w:val="nil"/>
              <w:right w:val="nil"/>
            </w:tcBorders>
            <w:shd w:val="clear" w:color="auto" w:fill="auto"/>
            <w:noWrap/>
            <w:vAlign w:val="bottom"/>
            <w:hideMark/>
          </w:tcPr>
          <w:p w14:paraId="2341A990"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10.404</w:t>
            </w:r>
          </w:p>
        </w:tc>
        <w:tc>
          <w:tcPr>
            <w:tcW w:w="615" w:type="pct"/>
            <w:tcBorders>
              <w:top w:val="nil"/>
              <w:left w:val="nil"/>
              <w:bottom w:val="nil"/>
              <w:right w:val="nil"/>
            </w:tcBorders>
            <w:shd w:val="clear" w:color="auto" w:fill="auto"/>
            <w:noWrap/>
            <w:vAlign w:val="bottom"/>
            <w:hideMark/>
          </w:tcPr>
          <w:p w14:paraId="2341A991"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8.910</w:t>
            </w:r>
          </w:p>
        </w:tc>
        <w:tc>
          <w:tcPr>
            <w:tcW w:w="615" w:type="pct"/>
            <w:tcBorders>
              <w:top w:val="nil"/>
              <w:left w:val="nil"/>
              <w:bottom w:val="nil"/>
              <w:right w:val="nil"/>
            </w:tcBorders>
            <w:shd w:val="clear" w:color="auto" w:fill="auto"/>
            <w:noWrap/>
            <w:vAlign w:val="bottom"/>
            <w:hideMark/>
          </w:tcPr>
          <w:p w14:paraId="2341A992"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7.415</w:t>
            </w:r>
          </w:p>
        </w:tc>
        <w:tc>
          <w:tcPr>
            <w:tcW w:w="615" w:type="pct"/>
            <w:tcBorders>
              <w:top w:val="nil"/>
              <w:left w:val="nil"/>
              <w:bottom w:val="nil"/>
              <w:right w:val="nil"/>
            </w:tcBorders>
            <w:shd w:val="clear" w:color="000000" w:fill="E7E6E6"/>
            <w:noWrap/>
            <w:vAlign w:val="bottom"/>
            <w:hideMark/>
          </w:tcPr>
          <w:p w14:paraId="2341A993"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5.921</w:t>
            </w:r>
          </w:p>
        </w:tc>
        <w:tc>
          <w:tcPr>
            <w:tcW w:w="615" w:type="pct"/>
            <w:tcBorders>
              <w:top w:val="nil"/>
              <w:left w:val="nil"/>
              <w:bottom w:val="nil"/>
              <w:right w:val="nil"/>
            </w:tcBorders>
            <w:shd w:val="clear" w:color="auto" w:fill="auto"/>
            <w:noWrap/>
            <w:vAlign w:val="bottom"/>
            <w:hideMark/>
          </w:tcPr>
          <w:p w14:paraId="2341A994"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4.426</w:t>
            </w:r>
          </w:p>
        </w:tc>
        <w:tc>
          <w:tcPr>
            <w:tcW w:w="615" w:type="pct"/>
            <w:tcBorders>
              <w:top w:val="nil"/>
              <w:left w:val="nil"/>
              <w:bottom w:val="nil"/>
              <w:right w:val="nil"/>
            </w:tcBorders>
            <w:shd w:val="clear" w:color="auto" w:fill="auto"/>
            <w:noWrap/>
            <w:vAlign w:val="bottom"/>
            <w:hideMark/>
          </w:tcPr>
          <w:p w14:paraId="2341A995"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2.932</w:t>
            </w:r>
          </w:p>
        </w:tc>
        <w:tc>
          <w:tcPr>
            <w:tcW w:w="482" w:type="pct"/>
            <w:tcBorders>
              <w:top w:val="nil"/>
              <w:left w:val="nil"/>
              <w:bottom w:val="nil"/>
              <w:right w:val="single" w:sz="4" w:space="0" w:color="auto"/>
            </w:tcBorders>
            <w:shd w:val="clear" w:color="auto" w:fill="auto"/>
            <w:noWrap/>
            <w:vAlign w:val="bottom"/>
            <w:hideMark/>
          </w:tcPr>
          <w:p w14:paraId="2341A996"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1.437</w:t>
            </w:r>
          </w:p>
        </w:tc>
      </w:tr>
      <w:tr w:rsidR="0011752D" w:rsidRPr="0011752D" w14:paraId="2341A9A1" w14:textId="77777777" w:rsidTr="00390762">
        <w:trPr>
          <w:trHeight w:val="233"/>
        </w:trPr>
        <w:tc>
          <w:tcPr>
            <w:tcW w:w="457" w:type="pct"/>
            <w:tcBorders>
              <w:top w:val="nil"/>
              <w:left w:val="single" w:sz="4" w:space="0" w:color="auto"/>
              <w:bottom w:val="nil"/>
              <w:right w:val="single" w:sz="4" w:space="0" w:color="auto"/>
            </w:tcBorders>
            <w:shd w:val="clear" w:color="auto" w:fill="auto"/>
            <w:noWrap/>
            <w:vAlign w:val="bottom"/>
            <w:hideMark/>
          </w:tcPr>
          <w:p w14:paraId="2341A998"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999" w14:textId="77777777" w:rsidR="0011752D" w:rsidRPr="0011752D" w:rsidRDefault="0011752D" w:rsidP="0011752D">
            <w:pPr>
              <w:jc w:val="cente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4%</w:t>
            </w:r>
          </w:p>
        </w:tc>
        <w:tc>
          <w:tcPr>
            <w:tcW w:w="622" w:type="pct"/>
            <w:tcBorders>
              <w:top w:val="nil"/>
              <w:left w:val="nil"/>
              <w:bottom w:val="nil"/>
              <w:right w:val="nil"/>
            </w:tcBorders>
            <w:shd w:val="clear" w:color="auto" w:fill="auto"/>
            <w:noWrap/>
            <w:vAlign w:val="bottom"/>
            <w:hideMark/>
          </w:tcPr>
          <w:p w14:paraId="2341A99A"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10.505</w:t>
            </w:r>
          </w:p>
        </w:tc>
        <w:tc>
          <w:tcPr>
            <w:tcW w:w="615" w:type="pct"/>
            <w:tcBorders>
              <w:top w:val="nil"/>
              <w:left w:val="nil"/>
              <w:bottom w:val="nil"/>
              <w:right w:val="nil"/>
            </w:tcBorders>
            <w:shd w:val="clear" w:color="auto" w:fill="auto"/>
            <w:noWrap/>
            <w:vAlign w:val="bottom"/>
            <w:hideMark/>
          </w:tcPr>
          <w:p w14:paraId="2341A99B"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8.996</w:t>
            </w:r>
          </w:p>
        </w:tc>
        <w:tc>
          <w:tcPr>
            <w:tcW w:w="615" w:type="pct"/>
            <w:tcBorders>
              <w:top w:val="nil"/>
              <w:left w:val="nil"/>
              <w:bottom w:val="nil"/>
              <w:right w:val="nil"/>
            </w:tcBorders>
            <w:shd w:val="clear" w:color="auto" w:fill="auto"/>
            <w:noWrap/>
            <w:vAlign w:val="bottom"/>
            <w:hideMark/>
          </w:tcPr>
          <w:p w14:paraId="2341A99C"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7.487</w:t>
            </w:r>
          </w:p>
        </w:tc>
        <w:tc>
          <w:tcPr>
            <w:tcW w:w="615" w:type="pct"/>
            <w:tcBorders>
              <w:top w:val="nil"/>
              <w:left w:val="nil"/>
              <w:bottom w:val="nil"/>
              <w:right w:val="nil"/>
            </w:tcBorders>
            <w:shd w:val="clear" w:color="000000" w:fill="E7E6E6"/>
            <w:noWrap/>
            <w:vAlign w:val="bottom"/>
            <w:hideMark/>
          </w:tcPr>
          <w:p w14:paraId="2341A99D"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5.978</w:t>
            </w:r>
          </w:p>
        </w:tc>
        <w:tc>
          <w:tcPr>
            <w:tcW w:w="615" w:type="pct"/>
            <w:tcBorders>
              <w:top w:val="nil"/>
              <w:left w:val="nil"/>
              <w:bottom w:val="nil"/>
              <w:right w:val="nil"/>
            </w:tcBorders>
            <w:shd w:val="clear" w:color="auto" w:fill="auto"/>
            <w:noWrap/>
            <w:vAlign w:val="bottom"/>
            <w:hideMark/>
          </w:tcPr>
          <w:p w14:paraId="2341A99E"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4.469</w:t>
            </w:r>
          </w:p>
        </w:tc>
        <w:tc>
          <w:tcPr>
            <w:tcW w:w="615" w:type="pct"/>
            <w:tcBorders>
              <w:top w:val="nil"/>
              <w:left w:val="nil"/>
              <w:bottom w:val="nil"/>
              <w:right w:val="nil"/>
            </w:tcBorders>
            <w:shd w:val="clear" w:color="auto" w:fill="auto"/>
            <w:noWrap/>
            <w:vAlign w:val="bottom"/>
            <w:hideMark/>
          </w:tcPr>
          <w:p w14:paraId="2341A99F"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2.960</w:t>
            </w:r>
          </w:p>
        </w:tc>
        <w:tc>
          <w:tcPr>
            <w:tcW w:w="482" w:type="pct"/>
            <w:tcBorders>
              <w:top w:val="nil"/>
              <w:left w:val="nil"/>
              <w:bottom w:val="nil"/>
              <w:right w:val="single" w:sz="4" w:space="0" w:color="auto"/>
            </w:tcBorders>
            <w:shd w:val="clear" w:color="auto" w:fill="auto"/>
            <w:noWrap/>
            <w:vAlign w:val="bottom"/>
            <w:hideMark/>
          </w:tcPr>
          <w:p w14:paraId="2341A9A0"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1.451</w:t>
            </w:r>
          </w:p>
        </w:tc>
      </w:tr>
      <w:tr w:rsidR="0011752D" w:rsidRPr="0011752D" w14:paraId="2341A9AB" w14:textId="77777777" w:rsidTr="00390762">
        <w:trPr>
          <w:trHeight w:val="233"/>
        </w:trPr>
        <w:tc>
          <w:tcPr>
            <w:tcW w:w="457" w:type="pct"/>
            <w:tcBorders>
              <w:top w:val="nil"/>
              <w:left w:val="single" w:sz="4" w:space="0" w:color="auto"/>
              <w:bottom w:val="single" w:sz="4" w:space="0" w:color="auto"/>
              <w:right w:val="single" w:sz="4" w:space="0" w:color="auto"/>
            </w:tcBorders>
            <w:shd w:val="clear" w:color="auto" w:fill="auto"/>
            <w:noWrap/>
            <w:vAlign w:val="bottom"/>
            <w:hideMark/>
          </w:tcPr>
          <w:p w14:paraId="2341A9A2"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single" w:sz="4" w:space="0" w:color="auto"/>
              <w:right w:val="single" w:sz="4" w:space="0" w:color="auto"/>
            </w:tcBorders>
            <w:shd w:val="clear" w:color="auto" w:fill="auto"/>
            <w:noWrap/>
            <w:vAlign w:val="bottom"/>
            <w:hideMark/>
          </w:tcPr>
          <w:p w14:paraId="2341A9A3" w14:textId="77777777" w:rsidR="0011752D" w:rsidRPr="0011752D" w:rsidRDefault="0011752D" w:rsidP="0011752D">
            <w:pPr>
              <w:jc w:val="cente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5%</w:t>
            </w:r>
          </w:p>
        </w:tc>
        <w:tc>
          <w:tcPr>
            <w:tcW w:w="622" w:type="pct"/>
            <w:tcBorders>
              <w:top w:val="nil"/>
              <w:left w:val="nil"/>
              <w:bottom w:val="single" w:sz="4" w:space="0" w:color="auto"/>
              <w:right w:val="nil"/>
            </w:tcBorders>
            <w:shd w:val="clear" w:color="auto" w:fill="auto"/>
            <w:noWrap/>
            <w:vAlign w:val="bottom"/>
            <w:hideMark/>
          </w:tcPr>
          <w:p w14:paraId="2341A9A4"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10.606</w:t>
            </w:r>
          </w:p>
        </w:tc>
        <w:tc>
          <w:tcPr>
            <w:tcW w:w="615" w:type="pct"/>
            <w:tcBorders>
              <w:top w:val="nil"/>
              <w:left w:val="nil"/>
              <w:bottom w:val="single" w:sz="4" w:space="0" w:color="auto"/>
              <w:right w:val="nil"/>
            </w:tcBorders>
            <w:shd w:val="clear" w:color="auto" w:fill="auto"/>
            <w:noWrap/>
            <w:vAlign w:val="bottom"/>
            <w:hideMark/>
          </w:tcPr>
          <w:p w14:paraId="2341A9A5"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9.083</w:t>
            </w:r>
          </w:p>
        </w:tc>
        <w:tc>
          <w:tcPr>
            <w:tcW w:w="615" w:type="pct"/>
            <w:tcBorders>
              <w:top w:val="nil"/>
              <w:left w:val="nil"/>
              <w:bottom w:val="single" w:sz="4" w:space="0" w:color="auto"/>
              <w:right w:val="nil"/>
            </w:tcBorders>
            <w:shd w:val="clear" w:color="auto" w:fill="auto"/>
            <w:noWrap/>
            <w:vAlign w:val="bottom"/>
            <w:hideMark/>
          </w:tcPr>
          <w:p w14:paraId="2341A9A6"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7.559</w:t>
            </w:r>
          </w:p>
        </w:tc>
        <w:tc>
          <w:tcPr>
            <w:tcW w:w="615" w:type="pct"/>
            <w:tcBorders>
              <w:top w:val="nil"/>
              <w:left w:val="nil"/>
              <w:bottom w:val="single" w:sz="4" w:space="0" w:color="auto"/>
              <w:right w:val="nil"/>
            </w:tcBorders>
            <w:shd w:val="clear" w:color="000000" w:fill="E7E6E6"/>
            <w:noWrap/>
            <w:vAlign w:val="bottom"/>
            <w:hideMark/>
          </w:tcPr>
          <w:p w14:paraId="2341A9A7"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6.036</w:t>
            </w:r>
          </w:p>
        </w:tc>
        <w:tc>
          <w:tcPr>
            <w:tcW w:w="615" w:type="pct"/>
            <w:tcBorders>
              <w:top w:val="nil"/>
              <w:left w:val="nil"/>
              <w:bottom w:val="single" w:sz="4" w:space="0" w:color="auto"/>
              <w:right w:val="nil"/>
            </w:tcBorders>
            <w:shd w:val="clear" w:color="auto" w:fill="auto"/>
            <w:noWrap/>
            <w:vAlign w:val="bottom"/>
            <w:hideMark/>
          </w:tcPr>
          <w:p w14:paraId="2341A9A8"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4.512</w:t>
            </w:r>
          </w:p>
        </w:tc>
        <w:tc>
          <w:tcPr>
            <w:tcW w:w="615" w:type="pct"/>
            <w:tcBorders>
              <w:top w:val="nil"/>
              <w:left w:val="nil"/>
              <w:bottom w:val="single" w:sz="4" w:space="0" w:color="auto"/>
              <w:right w:val="nil"/>
            </w:tcBorders>
            <w:shd w:val="clear" w:color="auto" w:fill="auto"/>
            <w:noWrap/>
            <w:vAlign w:val="bottom"/>
            <w:hideMark/>
          </w:tcPr>
          <w:p w14:paraId="2341A9A9"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2.988</w:t>
            </w:r>
          </w:p>
        </w:tc>
        <w:tc>
          <w:tcPr>
            <w:tcW w:w="482" w:type="pct"/>
            <w:tcBorders>
              <w:top w:val="nil"/>
              <w:left w:val="nil"/>
              <w:bottom w:val="single" w:sz="4" w:space="0" w:color="auto"/>
              <w:right w:val="single" w:sz="4" w:space="0" w:color="auto"/>
            </w:tcBorders>
            <w:shd w:val="clear" w:color="auto" w:fill="auto"/>
            <w:noWrap/>
            <w:vAlign w:val="bottom"/>
            <w:hideMark/>
          </w:tcPr>
          <w:p w14:paraId="2341A9AA"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olor w:val="000000"/>
                <w:sz w:val="18"/>
                <w:szCs w:val="18"/>
                <w:lang w:val="es-CO"/>
              </w:rPr>
              <w:t>1.465</w:t>
            </w:r>
          </w:p>
        </w:tc>
      </w:tr>
    </w:tbl>
    <w:p w14:paraId="2341A9AC" w14:textId="77777777" w:rsidR="0011752D" w:rsidRPr="0011752D" w:rsidRDefault="0011752D" w:rsidP="0011752D">
      <w:pPr>
        <w:spacing w:before="240" w:after="240"/>
        <w:jc w:val="both"/>
        <w:rPr>
          <w:rFonts w:ascii="Arial" w:hAnsi="Arial"/>
          <w:sz w:val="22"/>
          <w:lang w:val="es-ES" w:eastAsia="es-CO"/>
        </w:rPr>
      </w:pPr>
      <w:r w:rsidRPr="0011752D">
        <w:rPr>
          <w:rFonts w:ascii="Arial" w:hAnsi="Arial"/>
          <w:sz w:val="22"/>
          <w:lang w:val="es-ES"/>
        </w:rPr>
        <w:t xml:space="preserve">La </w:t>
      </w:r>
      <w:r w:rsidRPr="0011752D">
        <w:rPr>
          <w:rFonts w:ascii="Arial" w:hAnsi="Arial"/>
          <w:sz w:val="22"/>
          <w:lang w:val="es-ES"/>
        </w:rPr>
        <w:fldChar w:fldCharType="begin"/>
      </w:r>
      <w:r w:rsidRPr="0011752D">
        <w:rPr>
          <w:rFonts w:ascii="Arial" w:hAnsi="Arial"/>
          <w:sz w:val="22"/>
          <w:lang w:val="es-ES"/>
        </w:rPr>
        <w:instrText xml:space="preserve"> REF _Ref472069163 \h </w:instrText>
      </w:r>
      <w:r w:rsidRPr="0011752D">
        <w:rPr>
          <w:rFonts w:ascii="Arial" w:hAnsi="Arial"/>
          <w:sz w:val="22"/>
          <w:lang w:val="es-ES"/>
        </w:rPr>
      </w:r>
      <w:r w:rsidRPr="0011752D">
        <w:rPr>
          <w:rFonts w:ascii="Arial" w:hAnsi="Arial"/>
          <w:sz w:val="22"/>
          <w:lang w:val="es-ES"/>
        </w:rPr>
        <w:fldChar w:fldCharType="separate"/>
      </w:r>
      <w:r w:rsidRPr="0011752D">
        <w:rPr>
          <w:rFonts w:ascii="Arial" w:hAnsi="Arial"/>
          <w:b/>
          <w:sz w:val="22"/>
          <w:lang w:val="es-CO"/>
        </w:rPr>
        <w:t xml:space="preserve">Tabla </w:t>
      </w:r>
      <w:r w:rsidRPr="0011752D">
        <w:rPr>
          <w:rFonts w:ascii="Arial" w:hAnsi="Arial"/>
          <w:b/>
          <w:noProof/>
          <w:sz w:val="22"/>
          <w:lang w:val="es-CO"/>
        </w:rPr>
        <w:t>3</w:t>
      </w:r>
      <w:r w:rsidRPr="0011752D">
        <w:rPr>
          <w:rFonts w:ascii="Arial" w:hAnsi="Arial"/>
          <w:sz w:val="22"/>
          <w:lang w:val="es-ES"/>
        </w:rPr>
        <w:fldChar w:fldCharType="end"/>
      </w:r>
      <w:r w:rsidRPr="0011752D">
        <w:rPr>
          <w:rFonts w:ascii="Arial" w:hAnsi="Arial"/>
          <w:sz w:val="22"/>
          <w:lang w:val="es-ES"/>
        </w:rPr>
        <w:t xml:space="preserve"> resume los resultados de las sensibilidades asociadas con las emisiones y valoración del CO</w:t>
      </w:r>
      <w:r w:rsidRPr="0011752D">
        <w:rPr>
          <w:rFonts w:ascii="Arial" w:hAnsi="Arial"/>
          <w:sz w:val="22"/>
          <w:vertAlign w:val="subscript"/>
          <w:lang w:val="es-ES"/>
        </w:rPr>
        <w:t>2</w:t>
      </w:r>
      <w:r w:rsidRPr="0011752D">
        <w:rPr>
          <w:rFonts w:ascii="Arial" w:hAnsi="Arial"/>
          <w:sz w:val="22"/>
          <w:lang w:val="es-ES"/>
        </w:rPr>
        <w:t>. Los porcentajes de sensibilización fueron aplicados de manera uniforme a todos los periodos anuales en el horizonte de proyección. El rango de precios de la tonelada del CO</w:t>
      </w:r>
      <w:r w:rsidRPr="0011752D">
        <w:rPr>
          <w:rFonts w:ascii="Arial" w:hAnsi="Arial"/>
          <w:sz w:val="22"/>
          <w:vertAlign w:val="subscript"/>
          <w:lang w:val="es-ES"/>
        </w:rPr>
        <w:t>2</w:t>
      </w:r>
      <w:r w:rsidRPr="0011752D">
        <w:rPr>
          <w:rFonts w:ascii="Arial" w:hAnsi="Arial"/>
          <w:sz w:val="22"/>
          <w:lang w:val="es-ES"/>
        </w:rPr>
        <w:t xml:space="preserve"> considera valores observados en el pasado (hasta </w:t>
      </w:r>
      <w:r w:rsidRPr="0011752D">
        <w:rPr>
          <w:rFonts w:ascii="Arial" w:hAnsi="Arial"/>
          <w:sz w:val="22"/>
          <w:lang w:val="es-ES" w:eastAsia="es-CO"/>
        </w:rPr>
        <w:t>8,75 €/TonCO</w:t>
      </w:r>
      <w:r w:rsidRPr="0011752D">
        <w:rPr>
          <w:rFonts w:ascii="Arial" w:hAnsi="Arial"/>
          <w:sz w:val="22"/>
          <w:vertAlign w:val="subscript"/>
          <w:lang w:val="es-ES" w:eastAsia="es-CO"/>
        </w:rPr>
        <w:t>2</w:t>
      </w:r>
      <w:r w:rsidRPr="0011752D">
        <w:rPr>
          <w:rFonts w:ascii="Arial" w:hAnsi="Arial"/>
          <w:sz w:val="22"/>
          <w:lang w:val="es-ES" w:eastAsia="es-CO"/>
        </w:rPr>
        <w:t xml:space="preserve"> o aproximadamente 9,22 $USD/TonCO</w:t>
      </w:r>
      <w:r w:rsidRPr="0011752D">
        <w:rPr>
          <w:rFonts w:ascii="Arial" w:hAnsi="Arial"/>
          <w:sz w:val="22"/>
          <w:vertAlign w:val="subscript"/>
          <w:lang w:val="es-ES" w:eastAsia="es-CO"/>
        </w:rPr>
        <w:t xml:space="preserve">2 </w:t>
      </w:r>
      <w:r w:rsidRPr="0011752D">
        <w:rPr>
          <w:rFonts w:ascii="Arial" w:hAnsi="Arial"/>
          <w:sz w:val="22"/>
          <w:lang w:val="es-ES" w:eastAsia="es-CO"/>
        </w:rPr>
        <w:t xml:space="preserve">observados a finales de 2015 en el mercado </w:t>
      </w:r>
      <w:r w:rsidRPr="0011752D">
        <w:rPr>
          <w:rFonts w:ascii="Arial" w:hAnsi="Arial"/>
          <w:sz w:val="22"/>
          <w:lang w:val="es-ES" w:eastAsia="es-CO"/>
        </w:rPr>
        <w:lastRenderedPageBreak/>
        <w:t>europeo y de aproximadamente 13 $USD/TonCO</w:t>
      </w:r>
      <w:r w:rsidRPr="0011752D">
        <w:rPr>
          <w:rFonts w:ascii="Arial" w:hAnsi="Arial"/>
          <w:sz w:val="22"/>
          <w:vertAlign w:val="subscript"/>
          <w:lang w:val="es-ES" w:eastAsia="es-CO"/>
        </w:rPr>
        <w:t xml:space="preserve">2 </w:t>
      </w:r>
      <w:r w:rsidRPr="0011752D">
        <w:rPr>
          <w:rFonts w:ascii="Arial" w:hAnsi="Arial"/>
          <w:sz w:val="22"/>
          <w:lang w:val="es-ES" w:eastAsia="es-CO"/>
        </w:rPr>
        <w:t>en el mercado de California</w:t>
      </w:r>
      <w:r w:rsidRPr="0011752D">
        <w:rPr>
          <w:rFonts w:ascii="Arial" w:hAnsi="Arial"/>
          <w:sz w:val="22"/>
          <w:vertAlign w:val="superscript"/>
          <w:lang w:val="es-ES" w:eastAsia="es-CO"/>
        </w:rPr>
        <w:footnoteReference w:id="26"/>
      </w:r>
      <w:r w:rsidRPr="0011752D">
        <w:rPr>
          <w:rFonts w:ascii="Arial" w:hAnsi="Arial"/>
          <w:sz w:val="22"/>
          <w:lang w:val="es-ES" w:eastAsia="es-CO"/>
        </w:rPr>
        <w:t xml:space="preserve"> durante 2016).</w:t>
      </w:r>
    </w:p>
    <w:p w14:paraId="2341A9AD" w14:textId="77777777" w:rsidR="0011752D" w:rsidRPr="0011752D" w:rsidRDefault="0011752D" w:rsidP="0011752D">
      <w:pPr>
        <w:spacing w:before="240" w:after="240"/>
        <w:jc w:val="both"/>
        <w:rPr>
          <w:rFonts w:ascii="Arial" w:hAnsi="Arial"/>
          <w:sz w:val="22"/>
          <w:lang w:val="es-ES" w:eastAsia="es-CO"/>
        </w:rPr>
      </w:pPr>
    </w:p>
    <w:p w14:paraId="2341A9AE" w14:textId="77777777" w:rsidR="0011752D" w:rsidRPr="0011752D" w:rsidRDefault="0011752D" w:rsidP="0011752D">
      <w:pPr>
        <w:spacing w:before="240" w:after="240"/>
        <w:jc w:val="both"/>
        <w:rPr>
          <w:rFonts w:ascii="Arial" w:hAnsi="Arial"/>
          <w:sz w:val="22"/>
          <w:lang w:val="es-ES" w:eastAsia="es-CO"/>
        </w:rPr>
      </w:pPr>
    </w:p>
    <w:p w14:paraId="2341A9AF" w14:textId="77777777" w:rsidR="0011752D" w:rsidRPr="0011752D" w:rsidRDefault="0011752D" w:rsidP="0011752D">
      <w:pPr>
        <w:spacing w:before="240" w:after="240"/>
        <w:jc w:val="both"/>
        <w:rPr>
          <w:rFonts w:ascii="Arial" w:hAnsi="Arial"/>
          <w:sz w:val="22"/>
          <w:lang w:val="es-ES"/>
        </w:rPr>
      </w:pPr>
    </w:p>
    <w:p w14:paraId="2341A9B0" w14:textId="77777777" w:rsidR="0011752D" w:rsidRPr="0011752D" w:rsidRDefault="0011752D" w:rsidP="0011752D">
      <w:pPr>
        <w:spacing w:before="240" w:after="240"/>
        <w:jc w:val="center"/>
        <w:rPr>
          <w:rFonts w:ascii="Arial" w:hAnsi="Arial" w:cs="Arial"/>
          <w:bCs/>
          <w:color w:val="FF0000"/>
          <w:sz w:val="22"/>
          <w:szCs w:val="22"/>
          <w:lang w:val="es-ES"/>
        </w:rPr>
      </w:pPr>
      <w:bookmarkStart w:id="70" w:name="_Toc474797058"/>
      <w:r w:rsidRPr="0011752D">
        <w:rPr>
          <w:rFonts w:ascii="Arial" w:hAnsi="Arial"/>
          <w:b/>
          <w:sz w:val="22"/>
          <w:lang w:val="es-CO"/>
        </w:rPr>
        <w:t xml:space="preserve">Tabla </w:t>
      </w:r>
      <w:r w:rsidRPr="0011752D">
        <w:rPr>
          <w:rFonts w:ascii="Arial" w:hAnsi="Arial"/>
          <w:b/>
          <w:sz w:val="22"/>
          <w:lang w:val="es-CO"/>
        </w:rPr>
        <w:fldChar w:fldCharType="begin"/>
      </w:r>
      <w:r w:rsidRPr="0011752D">
        <w:rPr>
          <w:rFonts w:ascii="Arial" w:hAnsi="Arial"/>
          <w:b/>
          <w:sz w:val="22"/>
          <w:lang w:val="es-CO"/>
        </w:rPr>
        <w:instrText xml:space="preserve"> SEQ Tabla \* ARABIC </w:instrText>
      </w:r>
      <w:r w:rsidRPr="0011752D">
        <w:rPr>
          <w:rFonts w:ascii="Arial" w:hAnsi="Arial"/>
          <w:b/>
          <w:sz w:val="22"/>
          <w:lang w:val="es-CO"/>
        </w:rPr>
        <w:fldChar w:fldCharType="separate"/>
      </w:r>
      <w:r w:rsidRPr="0011752D">
        <w:rPr>
          <w:rFonts w:ascii="Arial" w:hAnsi="Arial"/>
          <w:b/>
          <w:noProof/>
          <w:sz w:val="22"/>
          <w:lang w:val="es-CO"/>
        </w:rPr>
        <w:t>4</w:t>
      </w:r>
      <w:r w:rsidRPr="0011752D">
        <w:rPr>
          <w:rFonts w:ascii="Arial" w:hAnsi="Arial"/>
          <w:b/>
          <w:sz w:val="22"/>
          <w:lang w:val="es-CO"/>
        </w:rPr>
        <w:fldChar w:fldCharType="end"/>
      </w:r>
      <w:r w:rsidRPr="0011752D">
        <w:rPr>
          <w:rFonts w:ascii="Arial" w:hAnsi="Arial"/>
          <w:b/>
          <w:sz w:val="22"/>
          <w:lang w:val="es-CO"/>
        </w:rPr>
        <w:t xml:space="preserve"> – VPN del beneficio por introducción de FNCER ante variaciones en las emisiones y valoración del CO</w:t>
      </w:r>
      <w:r w:rsidRPr="0011752D">
        <w:rPr>
          <w:rFonts w:ascii="Arial" w:hAnsi="Arial"/>
          <w:b/>
          <w:sz w:val="22"/>
          <w:vertAlign w:val="subscript"/>
          <w:lang w:val="es-CO"/>
        </w:rPr>
        <w:t>2</w:t>
      </w:r>
      <w:r w:rsidRPr="0011752D">
        <w:rPr>
          <w:rFonts w:ascii="Arial" w:hAnsi="Arial"/>
          <w:b/>
          <w:sz w:val="22"/>
          <w:lang w:val="es-CO"/>
        </w:rPr>
        <w:t xml:space="preserve"> (Millones $USD)</w:t>
      </w:r>
      <w:bookmarkEnd w:id="70"/>
    </w:p>
    <w:tbl>
      <w:tblPr>
        <w:tblW w:w="5000" w:type="pct"/>
        <w:tblCellMar>
          <w:left w:w="70" w:type="dxa"/>
          <w:right w:w="70" w:type="dxa"/>
        </w:tblCellMar>
        <w:tblLook w:val="04A0" w:firstRow="1" w:lastRow="0" w:firstColumn="1" w:lastColumn="0" w:noHBand="0" w:noVBand="1"/>
      </w:tblPr>
      <w:tblGrid>
        <w:gridCol w:w="797"/>
        <w:gridCol w:w="627"/>
        <w:gridCol w:w="1074"/>
        <w:gridCol w:w="1062"/>
        <w:gridCol w:w="1062"/>
        <w:gridCol w:w="1062"/>
        <w:gridCol w:w="1062"/>
        <w:gridCol w:w="1062"/>
        <w:gridCol w:w="827"/>
      </w:tblGrid>
      <w:tr w:rsidR="0011752D" w:rsidRPr="005E03D2" w14:paraId="2341A9B4" w14:textId="77777777" w:rsidTr="00390762">
        <w:trPr>
          <w:trHeight w:val="233"/>
        </w:trPr>
        <w:tc>
          <w:tcPr>
            <w:tcW w:w="461" w:type="pct"/>
            <w:tcBorders>
              <w:top w:val="nil"/>
              <w:left w:val="nil"/>
              <w:bottom w:val="nil"/>
              <w:right w:val="nil"/>
            </w:tcBorders>
            <w:shd w:val="clear" w:color="auto" w:fill="auto"/>
            <w:noWrap/>
            <w:vAlign w:val="bottom"/>
            <w:hideMark/>
          </w:tcPr>
          <w:p w14:paraId="2341A9B1" w14:textId="77777777" w:rsidR="0011752D" w:rsidRPr="0011752D" w:rsidRDefault="0011752D" w:rsidP="0011752D">
            <w:pPr>
              <w:rPr>
                <w:sz w:val="18"/>
                <w:szCs w:val="24"/>
                <w:lang w:val="es-CO" w:eastAsia="es-CO"/>
              </w:rPr>
            </w:pPr>
          </w:p>
        </w:tc>
        <w:tc>
          <w:tcPr>
            <w:tcW w:w="363" w:type="pct"/>
            <w:tcBorders>
              <w:top w:val="nil"/>
              <w:left w:val="nil"/>
              <w:bottom w:val="nil"/>
              <w:right w:val="nil"/>
            </w:tcBorders>
            <w:shd w:val="clear" w:color="auto" w:fill="auto"/>
            <w:noWrap/>
            <w:vAlign w:val="bottom"/>
            <w:hideMark/>
          </w:tcPr>
          <w:p w14:paraId="2341A9B2" w14:textId="77777777" w:rsidR="0011752D" w:rsidRPr="0011752D" w:rsidRDefault="0011752D" w:rsidP="0011752D">
            <w:pPr>
              <w:rPr>
                <w:sz w:val="18"/>
                <w:lang w:val="es-CO" w:eastAsia="es-CO"/>
              </w:rPr>
            </w:pPr>
          </w:p>
        </w:tc>
        <w:tc>
          <w:tcPr>
            <w:tcW w:w="4176"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41A9B3"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Porcentaje de mayores / menores emisiones respecto del escenario de FNCER</w:t>
            </w:r>
          </w:p>
        </w:tc>
      </w:tr>
      <w:tr w:rsidR="0011752D" w:rsidRPr="0011752D" w14:paraId="2341A9BE" w14:textId="77777777" w:rsidTr="00390762">
        <w:trPr>
          <w:trHeight w:val="233"/>
        </w:trPr>
        <w:tc>
          <w:tcPr>
            <w:tcW w:w="461" w:type="pct"/>
            <w:tcBorders>
              <w:top w:val="nil"/>
              <w:left w:val="nil"/>
              <w:bottom w:val="single" w:sz="4" w:space="0" w:color="000000" w:themeColor="text1"/>
              <w:right w:val="nil"/>
            </w:tcBorders>
            <w:shd w:val="clear" w:color="auto" w:fill="auto"/>
            <w:noWrap/>
            <w:vAlign w:val="bottom"/>
            <w:hideMark/>
          </w:tcPr>
          <w:p w14:paraId="2341A9B5" w14:textId="77777777" w:rsidR="0011752D" w:rsidRPr="0011752D" w:rsidRDefault="0011752D" w:rsidP="0011752D">
            <w:pPr>
              <w:ind w:firstLineChars="400" w:firstLine="720"/>
              <w:rPr>
                <w:rFonts w:ascii="Calibri" w:hAnsi="Calibri" w:cs="Calibri"/>
                <w:color w:val="000000"/>
                <w:sz w:val="18"/>
                <w:szCs w:val="22"/>
                <w:lang w:val="es-CO" w:eastAsia="es-CO"/>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1A9B6"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rPr>
              <w:t>$276</w:t>
            </w:r>
          </w:p>
        </w:tc>
        <w:tc>
          <w:tcPr>
            <w:tcW w:w="622" w:type="pct"/>
            <w:tcBorders>
              <w:top w:val="nil"/>
              <w:left w:val="nil"/>
              <w:bottom w:val="single" w:sz="4" w:space="0" w:color="auto"/>
              <w:right w:val="nil"/>
            </w:tcBorders>
            <w:shd w:val="clear" w:color="auto" w:fill="auto"/>
            <w:noWrap/>
            <w:vAlign w:val="bottom"/>
            <w:hideMark/>
          </w:tcPr>
          <w:p w14:paraId="2341A9B7"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-5%</w:t>
            </w:r>
          </w:p>
        </w:tc>
        <w:tc>
          <w:tcPr>
            <w:tcW w:w="615" w:type="pct"/>
            <w:tcBorders>
              <w:top w:val="nil"/>
              <w:left w:val="nil"/>
              <w:bottom w:val="single" w:sz="4" w:space="0" w:color="auto"/>
              <w:right w:val="nil"/>
            </w:tcBorders>
            <w:shd w:val="clear" w:color="auto" w:fill="EEECE1" w:themeFill="background2"/>
            <w:noWrap/>
            <w:vAlign w:val="bottom"/>
            <w:hideMark/>
          </w:tcPr>
          <w:p w14:paraId="2341A9B8"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0%</w:t>
            </w:r>
          </w:p>
        </w:tc>
        <w:tc>
          <w:tcPr>
            <w:tcW w:w="615" w:type="pct"/>
            <w:tcBorders>
              <w:top w:val="nil"/>
              <w:left w:val="nil"/>
              <w:bottom w:val="single" w:sz="4" w:space="0" w:color="auto"/>
              <w:right w:val="nil"/>
            </w:tcBorders>
            <w:shd w:val="clear" w:color="auto" w:fill="auto"/>
            <w:noWrap/>
            <w:vAlign w:val="bottom"/>
            <w:hideMark/>
          </w:tcPr>
          <w:p w14:paraId="2341A9B9"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10%</w:t>
            </w:r>
          </w:p>
        </w:tc>
        <w:tc>
          <w:tcPr>
            <w:tcW w:w="615" w:type="pct"/>
            <w:tcBorders>
              <w:top w:val="nil"/>
              <w:left w:val="nil"/>
              <w:bottom w:val="single" w:sz="4" w:space="0" w:color="auto"/>
              <w:right w:val="nil"/>
            </w:tcBorders>
            <w:shd w:val="clear" w:color="auto" w:fill="auto"/>
            <w:noWrap/>
            <w:vAlign w:val="bottom"/>
            <w:hideMark/>
          </w:tcPr>
          <w:p w14:paraId="2341A9BA"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20%</w:t>
            </w:r>
          </w:p>
        </w:tc>
        <w:tc>
          <w:tcPr>
            <w:tcW w:w="615" w:type="pct"/>
            <w:tcBorders>
              <w:top w:val="nil"/>
              <w:left w:val="nil"/>
              <w:bottom w:val="single" w:sz="4" w:space="0" w:color="auto"/>
              <w:right w:val="nil"/>
            </w:tcBorders>
            <w:shd w:val="clear" w:color="auto" w:fill="auto"/>
            <w:noWrap/>
            <w:vAlign w:val="bottom"/>
            <w:hideMark/>
          </w:tcPr>
          <w:p w14:paraId="2341A9BB"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30%</w:t>
            </w:r>
          </w:p>
        </w:tc>
        <w:tc>
          <w:tcPr>
            <w:tcW w:w="615" w:type="pct"/>
            <w:tcBorders>
              <w:top w:val="nil"/>
              <w:left w:val="nil"/>
              <w:bottom w:val="single" w:sz="4" w:space="0" w:color="auto"/>
              <w:right w:val="nil"/>
            </w:tcBorders>
            <w:shd w:val="clear" w:color="auto" w:fill="auto"/>
            <w:noWrap/>
            <w:vAlign w:val="bottom"/>
            <w:hideMark/>
          </w:tcPr>
          <w:p w14:paraId="2341A9BC"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40%</w:t>
            </w:r>
          </w:p>
        </w:tc>
        <w:tc>
          <w:tcPr>
            <w:tcW w:w="480" w:type="pct"/>
            <w:tcBorders>
              <w:top w:val="nil"/>
              <w:left w:val="nil"/>
              <w:bottom w:val="single" w:sz="4" w:space="0" w:color="auto"/>
              <w:right w:val="single" w:sz="4" w:space="0" w:color="auto"/>
            </w:tcBorders>
            <w:shd w:val="clear" w:color="auto" w:fill="auto"/>
            <w:noWrap/>
            <w:vAlign w:val="bottom"/>
            <w:hideMark/>
          </w:tcPr>
          <w:p w14:paraId="2341A9BD"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50%</w:t>
            </w:r>
          </w:p>
        </w:tc>
      </w:tr>
      <w:tr w:rsidR="0011752D" w:rsidRPr="0011752D" w14:paraId="2341A9C9" w14:textId="77777777" w:rsidTr="00390762">
        <w:trPr>
          <w:trHeight w:val="233"/>
        </w:trPr>
        <w:tc>
          <w:tcPr>
            <w:tcW w:w="461" w:type="pct"/>
            <w:tcBorders>
              <w:top w:val="single" w:sz="4" w:space="0" w:color="000000" w:themeColor="text1"/>
              <w:left w:val="single" w:sz="4" w:space="0" w:color="000000" w:themeColor="text1"/>
              <w:bottom w:val="nil"/>
              <w:right w:val="single" w:sz="4" w:space="0" w:color="000000" w:themeColor="text1"/>
            </w:tcBorders>
            <w:shd w:val="clear" w:color="auto" w:fill="auto"/>
            <w:noWrap/>
            <w:vAlign w:val="bottom"/>
            <w:hideMark/>
          </w:tcPr>
          <w:p w14:paraId="2341A9BF" w14:textId="77777777" w:rsidR="0011752D" w:rsidRPr="0011752D" w:rsidRDefault="0011752D" w:rsidP="0011752D">
            <w:pPr>
              <w:rPr>
                <w:rFonts w:ascii="Calibri" w:hAnsi="Calibri" w:cs="Calibri"/>
                <w:color w:val="000000"/>
                <w:sz w:val="18"/>
                <w:szCs w:val="22"/>
                <w:lang w:val="es-CO" w:eastAsia="es-CO"/>
              </w:rPr>
            </w:pPr>
          </w:p>
          <w:p w14:paraId="2341A9C0" w14:textId="77777777" w:rsidR="0011752D" w:rsidRPr="0011752D" w:rsidRDefault="0011752D" w:rsidP="0011752D">
            <w:pPr>
              <w:rPr>
                <w:rFonts w:ascii="Calibri" w:hAnsi="Calibri" w:cs="Calibri"/>
                <w:color w:val="000000"/>
                <w:sz w:val="18"/>
                <w:szCs w:val="22"/>
                <w:lang w:val="es-CO" w:eastAsia="es-CO"/>
              </w:rPr>
            </w:pPr>
          </w:p>
        </w:tc>
        <w:tc>
          <w:tcPr>
            <w:tcW w:w="363" w:type="pct"/>
            <w:tcBorders>
              <w:top w:val="nil"/>
              <w:left w:val="single" w:sz="4" w:space="0" w:color="000000" w:themeColor="text1"/>
              <w:bottom w:val="nil"/>
              <w:right w:val="single" w:sz="4" w:space="0" w:color="auto"/>
            </w:tcBorders>
            <w:shd w:val="clear" w:color="auto" w:fill="auto"/>
            <w:noWrap/>
            <w:vAlign w:val="bottom"/>
            <w:hideMark/>
          </w:tcPr>
          <w:p w14:paraId="2341A9C1"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2</w:t>
            </w:r>
          </w:p>
        </w:tc>
        <w:tc>
          <w:tcPr>
            <w:tcW w:w="622" w:type="pct"/>
            <w:tcBorders>
              <w:top w:val="nil"/>
              <w:left w:val="nil"/>
              <w:bottom w:val="nil"/>
              <w:right w:val="nil"/>
            </w:tcBorders>
            <w:shd w:val="clear" w:color="auto" w:fill="auto"/>
            <w:noWrap/>
            <w:vAlign w:val="bottom"/>
            <w:hideMark/>
          </w:tcPr>
          <w:p w14:paraId="2341A9C2"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74</w:t>
            </w:r>
          </w:p>
        </w:tc>
        <w:tc>
          <w:tcPr>
            <w:tcW w:w="615" w:type="pct"/>
            <w:tcBorders>
              <w:top w:val="nil"/>
              <w:left w:val="nil"/>
              <w:bottom w:val="nil"/>
              <w:right w:val="nil"/>
            </w:tcBorders>
            <w:shd w:val="clear" w:color="auto" w:fill="EEECE1" w:themeFill="background2"/>
            <w:noWrap/>
            <w:vAlign w:val="bottom"/>
            <w:hideMark/>
          </w:tcPr>
          <w:p w14:paraId="2341A9C3"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71</w:t>
            </w:r>
          </w:p>
        </w:tc>
        <w:tc>
          <w:tcPr>
            <w:tcW w:w="615" w:type="pct"/>
            <w:tcBorders>
              <w:top w:val="nil"/>
              <w:left w:val="nil"/>
              <w:bottom w:val="nil"/>
              <w:right w:val="nil"/>
            </w:tcBorders>
            <w:shd w:val="clear" w:color="auto" w:fill="auto"/>
            <w:noWrap/>
            <w:vAlign w:val="bottom"/>
            <w:hideMark/>
          </w:tcPr>
          <w:p w14:paraId="2341A9C4"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65</w:t>
            </w:r>
          </w:p>
        </w:tc>
        <w:tc>
          <w:tcPr>
            <w:tcW w:w="615" w:type="pct"/>
            <w:tcBorders>
              <w:top w:val="nil"/>
              <w:left w:val="nil"/>
              <w:bottom w:val="nil"/>
              <w:right w:val="nil"/>
            </w:tcBorders>
            <w:shd w:val="clear" w:color="auto" w:fill="auto"/>
            <w:noWrap/>
            <w:vAlign w:val="bottom"/>
            <w:hideMark/>
          </w:tcPr>
          <w:p w14:paraId="2341A9C5"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59</w:t>
            </w:r>
          </w:p>
        </w:tc>
        <w:tc>
          <w:tcPr>
            <w:tcW w:w="615" w:type="pct"/>
            <w:tcBorders>
              <w:top w:val="nil"/>
              <w:left w:val="nil"/>
              <w:bottom w:val="nil"/>
              <w:right w:val="nil"/>
            </w:tcBorders>
            <w:shd w:val="clear" w:color="auto" w:fill="auto"/>
            <w:noWrap/>
            <w:vAlign w:val="bottom"/>
            <w:hideMark/>
          </w:tcPr>
          <w:p w14:paraId="2341A9C6"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53</w:t>
            </w:r>
          </w:p>
        </w:tc>
        <w:tc>
          <w:tcPr>
            <w:tcW w:w="615" w:type="pct"/>
            <w:tcBorders>
              <w:top w:val="nil"/>
              <w:left w:val="nil"/>
              <w:bottom w:val="nil"/>
              <w:right w:val="nil"/>
            </w:tcBorders>
            <w:shd w:val="clear" w:color="auto" w:fill="auto"/>
            <w:noWrap/>
            <w:vAlign w:val="bottom"/>
            <w:hideMark/>
          </w:tcPr>
          <w:p w14:paraId="2341A9C7"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47</w:t>
            </w:r>
          </w:p>
        </w:tc>
        <w:tc>
          <w:tcPr>
            <w:tcW w:w="480" w:type="pct"/>
            <w:tcBorders>
              <w:top w:val="nil"/>
              <w:left w:val="nil"/>
              <w:bottom w:val="nil"/>
              <w:right w:val="single" w:sz="4" w:space="0" w:color="auto"/>
            </w:tcBorders>
            <w:shd w:val="clear" w:color="auto" w:fill="auto"/>
            <w:noWrap/>
            <w:vAlign w:val="bottom"/>
            <w:hideMark/>
          </w:tcPr>
          <w:p w14:paraId="2341A9C8"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41</w:t>
            </w:r>
          </w:p>
        </w:tc>
      </w:tr>
      <w:tr w:rsidR="0011752D" w:rsidRPr="0011752D" w14:paraId="2341A9D3" w14:textId="77777777" w:rsidTr="00390762">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2341A9CA"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noProof/>
                <w:color w:val="000000"/>
                <w:sz w:val="18"/>
                <w:szCs w:val="22"/>
                <w:lang w:val="es-US" w:eastAsia="zh-CN"/>
              </w:rPr>
              <mc:AlternateContent>
                <mc:Choice Requires="wps">
                  <w:drawing>
                    <wp:anchor distT="0" distB="0" distL="114300" distR="114300" simplePos="0" relativeHeight="251660288" behindDoc="0" locked="0" layoutInCell="1" allowOverlap="1" wp14:anchorId="2341BDC2" wp14:editId="2341BDC3">
                      <wp:simplePos x="0" y="0"/>
                      <wp:positionH relativeFrom="column">
                        <wp:posOffset>-367665</wp:posOffset>
                      </wp:positionH>
                      <wp:positionV relativeFrom="paragraph">
                        <wp:posOffset>447675</wp:posOffset>
                      </wp:positionV>
                      <wp:extent cx="1167765" cy="460375"/>
                      <wp:effectExtent l="0" t="0" r="0" b="0"/>
                      <wp:wrapNone/>
                      <wp:docPr id="17" name="Rectángulo 17">
                        <a:extLst xmlns:a="http://schemas.openxmlformats.org/drawingml/2006/main"/>
                      </wp:docPr>
                      <wp:cNvGraphicFramePr/>
                      <a:graphic xmlns:a="http://schemas.openxmlformats.org/drawingml/2006/main">
                        <a:graphicData uri="http://schemas.microsoft.com/office/word/2010/wordprocessingShape">
                          <wps:wsp>
                            <wps:cNvSpPr/>
                            <wps:spPr>
                              <a:xfrm rot="16200000">
                                <a:off x="0" y="0"/>
                                <a:ext cx="1167765" cy="460375"/>
                              </a:xfrm>
                              <a:prstGeom prst="rect">
                                <a:avLst/>
                              </a:prstGeom>
                              <a:noFill/>
                              <a:ln w="12700" cap="flat" cmpd="sng" algn="ctr">
                                <a:noFill/>
                                <a:prstDash val="solid"/>
                                <a:miter lim="800000"/>
                              </a:ln>
                              <a:effectLst/>
                            </wps:spPr>
                            <wps:txbx>
                              <w:txbxContent>
                                <w:p w14:paraId="2341BE1B" w14:textId="77777777" w:rsidR="00390762" w:rsidRPr="0011752D" w:rsidRDefault="00390762" w:rsidP="0011752D">
                                  <w:pPr>
                                    <w:pStyle w:val="NormalWeb"/>
                                    <w:jc w:val="center"/>
                                    <w:rPr>
                                      <w:sz w:val="18"/>
                                      <w:lang w:val="es-ES_tradnl"/>
                                    </w:rPr>
                                  </w:pPr>
                                  <w:r w:rsidRPr="0011752D">
                                    <w:rPr>
                                      <w:rFonts w:asciiTheme="minorHAnsi" w:hAnsi="Calibri" w:cstheme="minorBidi"/>
                                      <w:color w:val="000000" w:themeColor="text1"/>
                                      <w:sz w:val="16"/>
                                      <w:szCs w:val="22"/>
                                      <w:lang w:val="es-ES_tradnl"/>
                                    </w:rPr>
                                    <w:t>Valoración tonelada de CO2 ($USD/Ton)</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79273CB9" id="Rectángulo 17" o:spid="_x0000_s1027" style="position:absolute;margin-left:-28.95pt;margin-top:35.25pt;width:91.95pt;height:36.2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" filled="f" stroked="f" strokeweight="1pt">
                      <v:textbox>
                        <w:txbxContent>
                          <w:p w:rsidR="00390762" w:rsidRPr="0011752D" w:rsidRDefault="00390762" w:rsidP="0011752D">
                            <w:pPr>
                              <w:pStyle w:val="NormalWeb"/>
                              <w:jc w:val="center"/>
                              <w:rPr>
                                <w:sz w:val="18"/>
                                <w:lang w:val="es-ES_tradnl"/>
                              </w:rPr>
                            </w:pPr>
                            <w:r w:rsidRPr="0011752D">
                              <w:rPr>
                                <w:rFonts w:asciiTheme="minorHAnsi" w:hAnsi="Calibri" w:cstheme="minorBidi"/>
                                <w:color w:val="000000" w:themeColor="text1"/>
                                <w:sz w:val="16"/>
                                <w:szCs w:val="22"/>
                                <w:lang w:val="es-ES_tradnl"/>
                              </w:rPr>
                              <w:t>Valoración tonelada de CO2 ($USD/Ton)</w:t>
                            </w:r>
                          </w:p>
                        </w:txbxContent>
                      </v:textbox>
                    </v:rect>
                  </w:pict>
                </mc:Fallback>
              </mc:AlternateContent>
            </w: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9CB"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3</w:t>
            </w:r>
          </w:p>
        </w:tc>
        <w:tc>
          <w:tcPr>
            <w:tcW w:w="622" w:type="pct"/>
            <w:tcBorders>
              <w:top w:val="nil"/>
              <w:left w:val="nil"/>
              <w:bottom w:val="nil"/>
              <w:right w:val="nil"/>
            </w:tcBorders>
            <w:shd w:val="clear" w:color="auto" w:fill="auto"/>
            <w:noWrap/>
            <w:vAlign w:val="bottom"/>
            <w:hideMark/>
          </w:tcPr>
          <w:p w14:paraId="2341A9CC"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111</w:t>
            </w:r>
          </w:p>
        </w:tc>
        <w:tc>
          <w:tcPr>
            <w:tcW w:w="615" w:type="pct"/>
            <w:tcBorders>
              <w:top w:val="nil"/>
              <w:left w:val="nil"/>
              <w:bottom w:val="nil"/>
              <w:right w:val="nil"/>
            </w:tcBorders>
            <w:shd w:val="clear" w:color="auto" w:fill="EEECE1" w:themeFill="background2"/>
            <w:noWrap/>
            <w:vAlign w:val="bottom"/>
            <w:hideMark/>
          </w:tcPr>
          <w:p w14:paraId="2341A9CD"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106</w:t>
            </w:r>
          </w:p>
        </w:tc>
        <w:tc>
          <w:tcPr>
            <w:tcW w:w="615" w:type="pct"/>
            <w:tcBorders>
              <w:top w:val="nil"/>
              <w:left w:val="nil"/>
              <w:bottom w:val="nil"/>
              <w:right w:val="nil"/>
            </w:tcBorders>
            <w:shd w:val="clear" w:color="auto" w:fill="auto"/>
            <w:noWrap/>
            <w:vAlign w:val="bottom"/>
            <w:hideMark/>
          </w:tcPr>
          <w:p w14:paraId="2341A9CE"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97</w:t>
            </w:r>
          </w:p>
        </w:tc>
        <w:tc>
          <w:tcPr>
            <w:tcW w:w="615" w:type="pct"/>
            <w:tcBorders>
              <w:top w:val="nil"/>
              <w:left w:val="nil"/>
              <w:bottom w:val="nil"/>
              <w:right w:val="nil"/>
            </w:tcBorders>
            <w:shd w:val="clear" w:color="auto" w:fill="auto"/>
            <w:noWrap/>
            <w:vAlign w:val="bottom"/>
            <w:hideMark/>
          </w:tcPr>
          <w:p w14:paraId="2341A9CF"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88</w:t>
            </w:r>
          </w:p>
        </w:tc>
        <w:tc>
          <w:tcPr>
            <w:tcW w:w="615" w:type="pct"/>
            <w:tcBorders>
              <w:top w:val="nil"/>
              <w:left w:val="nil"/>
              <w:bottom w:val="nil"/>
              <w:right w:val="nil"/>
            </w:tcBorders>
            <w:shd w:val="clear" w:color="auto" w:fill="auto"/>
            <w:noWrap/>
            <w:vAlign w:val="bottom"/>
            <w:hideMark/>
          </w:tcPr>
          <w:p w14:paraId="2341A9D0"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80</w:t>
            </w:r>
          </w:p>
        </w:tc>
        <w:tc>
          <w:tcPr>
            <w:tcW w:w="615" w:type="pct"/>
            <w:tcBorders>
              <w:top w:val="nil"/>
              <w:left w:val="nil"/>
              <w:bottom w:val="nil"/>
              <w:right w:val="nil"/>
            </w:tcBorders>
            <w:shd w:val="clear" w:color="auto" w:fill="auto"/>
            <w:noWrap/>
            <w:vAlign w:val="bottom"/>
            <w:hideMark/>
          </w:tcPr>
          <w:p w14:paraId="2341A9D1"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71</w:t>
            </w:r>
          </w:p>
        </w:tc>
        <w:tc>
          <w:tcPr>
            <w:tcW w:w="480" w:type="pct"/>
            <w:tcBorders>
              <w:top w:val="nil"/>
              <w:left w:val="nil"/>
              <w:bottom w:val="nil"/>
              <w:right w:val="single" w:sz="4" w:space="0" w:color="auto"/>
            </w:tcBorders>
            <w:shd w:val="clear" w:color="auto" w:fill="auto"/>
            <w:noWrap/>
            <w:vAlign w:val="bottom"/>
            <w:hideMark/>
          </w:tcPr>
          <w:p w14:paraId="2341A9D2"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62</w:t>
            </w:r>
          </w:p>
        </w:tc>
      </w:tr>
      <w:tr w:rsidR="0011752D" w:rsidRPr="0011752D" w14:paraId="2341A9DD" w14:textId="77777777" w:rsidTr="00390762">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2341A9D4"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9D5"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4</w:t>
            </w:r>
          </w:p>
        </w:tc>
        <w:tc>
          <w:tcPr>
            <w:tcW w:w="622" w:type="pct"/>
            <w:tcBorders>
              <w:top w:val="nil"/>
              <w:left w:val="nil"/>
              <w:bottom w:val="nil"/>
              <w:right w:val="nil"/>
            </w:tcBorders>
            <w:shd w:val="clear" w:color="auto" w:fill="auto"/>
            <w:noWrap/>
            <w:vAlign w:val="bottom"/>
            <w:hideMark/>
          </w:tcPr>
          <w:p w14:paraId="2341A9D6"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147</w:t>
            </w:r>
          </w:p>
        </w:tc>
        <w:tc>
          <w:tcPr>
            <w:tcW w:w="615" w:type="pct"/>
            <w:tcBorders>
              <w:top w:val="nil"/>
              <w:left w:val="nil"/>
              <w:bottom w:val="nil"/>
              <w:right w:val="nil"/>
            </w:tcBorders>
            <w:shd w:val="clear" w:color="auto" w:fill="EEECE1" w:themeFill="background2"/>
            <w:noWrap/>
            <w:vAlign w:val="bottom"/>
            <w:hideMark/>
          </w:tcPr>
          <w:p w14:paraId="2341A9D7"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141</w:t>
            </w:r>
          </w:p>
        </w:tc>
        <w:tc>
          <w:tcPr>
            <w:tcW w:w="615" w:type="pct"/>
            <w:tcBorders>
              <w:top w:val="nil"/>
              <w:left w:val="nil"/>
              <w:bottom w:val="nil"/>
              <w:right w:val="nil"/>
            </w:tcBorders>
            <w:shd w:val="clear" w:color="auto" w:fill="auto"/>
            <w:noWrap/>
            <w:vAlign w:val="bottom"/>
            <w:hideMark/>
          </w:tcPr>
          <w:p w14:paraId="2341A9D8"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130</w:t>
            </w:r>
          </w:p>
        </w:tc>
        <w:tc>
          <w:tcPr>
            <w:tcW w:w="615" w:type="pct"/>
            <w:tcBorders>
              <w:top w:val="nil"/>
              <w:left w:val="nil"/>
              <w:bottom w:val="nil"/>
              <w:right w:val="nil"/>
            </w:tcBorders>
            <w:shd w:val="clear" w:color="auto" w:fill="auto"/>
            <w:noWrap/>
            <w:vAlign w:val="bottom"/>
            <w:hideMark/>
          </w:tcPr>
          <w:p w14:paraId="2341A9D9"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118</w:t>
            </w:r>
          </w:p>
        </w:tc>
        <w:tc>
          <w:tcPr>
            <w:tcW w:w="615" w:type="pct"/>
            <w:tcBorders>
              <w:top w:val="nil"/>
              <w:left w:val="nil"/>
              <w:bottom w:val="nil"/>
              <w:right w:val="nil"/>
            </w:tcBorders>
            <w:shd w:val="clear" w:color="auto" w:fill="auto"/>
            <w:noWrap/>
            <w:vAlign w:val="bottom"/>
            <w:hideMark/>
          </w:tcPr>
          <w:p w14:paraId="2341A9DA"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106</w:t>
            </w:r>
          </w:p>
        </w:tc>
        <w:tc>
          <w:tcPr>
            <w:tcW w:w="615" w:type="pct"/>
            <w:tcBorders>
              <w:top w:val="nil"/>
              <w:left w:val="nil"/>
              <w:bottom w:val="nil"/>
              <w:right w:val="nil"/>
            </w:tcBorders>
            <w:shd w:val="clear" w:color="auto" w:fill="auto"/>
            <w:noWrap/>
            <w:vAlign w:val="bottom"/>
            <w:hideMark/>
          </w:tcPr>
          <w:p w14:paraId="2341A9DB"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94</w:t>
            </w:r>
          </w:p>
        </w:tc>
        <w:tc>
          <w:tcPr>
            <w:tcW w:w="480" w:type="pct"/>
            <w:tcBorders>
              <w:top w:val="nil"/>
              <w:left w:val="nil"/>
              <w:bottom w:val="nil"/>
              <w:right w:val="single" w:sz="4" w:space="0" w:color="auto"/>
            </w:tcBorders>
            <w:shd w:val="clear" w:color="auto" w:fill="auto"/>
            <w:noWrap/>
            <w:vAlign w:val="bottom"/>
            <w:hideMark/>
          </w:tcPr>
          <w:p w14:paraId="2341A9DC"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83</w:t>
            </w:r>
          </w:p>
        </w:tc>
      </w:tr>
      <w:tr w:rsidR="0011752D" w:rsidRPr="0011752D" w14:paraId="2341A9E7" w14:textId="77777777" w:rsidTr="00390762">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2341A9DE"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9DF"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5</w:t>
            </w:r>
          </w:p>
        </w:tc>
        <w:tc>
          <w:tcPr>
            <w:tcW w:w="622" w:type="pct"/>
            <w:tcBorders>
              <w:top w:val="nil"/>
              <w:left w:val="nil"/>
              <w:bottom w:val="nil"/>
              <w:right w:val="nil"/>
            </w:tcBorders>
            <w:shd w:val="clear" w:color="auto" w:fill="auto"/>
            <w:noWrap/>
            <w:vAlign w:val="bottom"/>
            <w:hideMark/>
          </w:tcPr>
          <w:p w14:paraId="2341A9E0"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184</w:t>
            </w:r>
          </w:p>
        </w:tc>
        <w:tc>
          <w:tcPr>
            <w:tcW w:w="615" w:type="pct"/>
            <w:tcBorders>
              <w:top w:val="nil"/>
              <w:left w:val="nil"/>
              <w:bottom w:val="nil"/>
              <w:right w:val="nil"/>
            </w:tcBorders>
            <w:shd w:val="clear" w:color="auto" w:fill="EEECE1" w:themeFill="background2"/>
            <w:noWrap/>
            <w:vAlign w:val="bottom"/>
            <w:hideMark/>
          </w:tcPr>
          <w:p w14:paraId="2341A9E1"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177</w:t>
            </w:r>
          </w:p>
        </w:tc>
        <w:tc>
          <w:tcPr>
            <w:tcW w:w="615" w:type="pct"/>
            <w:tcBorders>
              <w:top w:val="nil"/>
              <w:left w:val="nil"/>
              <w:bottom w:val="nil"/>
              <w:right w:val="nil"/>
            </w:tcBorders>
            <w:shd w:val="clear" w:color="auto" w:fill="auto"/>
            <w:noWrap/>
            <w:vAlign w:val="bottom"/>
            <w:hideMark/>
          </w:tcPr>
          <w:p w14:paraId="2341A9E2"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162</w:t>
            </w:r>
          </w:p>
        </w:tc>
        <w:tc>
          <w:tcPr>
            <w:tcW w:w="615" w:type="pct"/>
            <w:tcBorders>
              <w:top w:val="nil"/>
              <w:left w:val="nil"/>
              <w:bottom w:val="nil"/>
              <w:right w:val="nil"/>
            </w:tcBorders>
            <w:shd w:val="clear" w:color="auto" w:fill="auto"/>
            <w:noWrap/>
            <w:vAlign w:val="bottom"/>
            <w:hideMark/>
          </w:tcPr>
          <w:p w14:paraId="2341A9E3"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147</w:t>
            </w:r>
          </w:p>
        </w:tc>
        <w:tc>
          <w:tcPr>
            <w:tcW w:w="615" w:type="pct"/>
            <w:tcBorders>
              <w:top w:val="nil"/>
              <w:left w:val="nil"/>
              <w:bottom w:val="nil"/>
              <w:right w:val="nil"/>
            </w:tcBorders>
            <w:shd w:val="clear" w:color="auto" w:fill="auto"/>
            <w:noWrap/>
            <w:vAlign w:val="bottom"/>
            <w:hideMark/>
          </w:tcPr>
          <w:p w14:paraId="2341A9E4"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133</w:t>
            </w:r>
          </w:p>
        </w:tc>
        <w:tc>
          <w:tcPr>
            <w:tcW w:w="615" w:type="pct"/>
            <w:tcBorders>
              <w:top w:val="nil"/>
              <w:left w:val="nil"/>
              <w:bottom w:val="nil"/>
              <w:right w:val="nil"/>
            </w:tcBorders>
            <w:shd w:val="clear" w:color="auto" w:fill="auto"/>
            <w:noWrap/>
            <w:vAlign w:val="bottom"/>
            <w:hideMark/>
          </w:tcPr>
          <w:p w14:paraId="2341A9E5"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118</w:t>
            </w:r>
          </w:p>
        </w:tc>
        <w:tc>
          <w:tcPr>
            <w:tcW w:w="480" w:type="pct"/>
            <w:tcBorders>
              <w:top w:val="nil"/>
              <w:left w:val="nil"/>
              <w:bottom w:val="nil"/>
              <w:right w:val="single" w:sz="4" w:space="0" w:color="auto"/>
            </w:tcBorders>
            <w:shd w:val="clear" w:color="auto" w:fill="auto"/>
            <w:noWrap/>
            <w:vAlign w:val="bottom"/>
            <w:hideMark/>
          </w:tcPr>
          <w:p w14:paraId="2341A9E6"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103</w:t>
            </w:r>
          </w:p>
        </w:tc>
      </w:tr>
      <w:tr w:rsidR="0011752D" w:rsidRPr="0011752D" w14:paraId="2341A9F1" w14:textId="77777777" w:rsidTr="00390762">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2341A9E8"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EEECE1" w:themeFill="background2"/>
            <w:noWrap/>
            <w:vAlign w:val="bottom"/>
            <w:hideMark/>
          </w:tcPr>
          <w:p w14:paraId="2341A9E9"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6</w:t>
            </w:r>
          </w:p>
        </w:tc>
        <w:tc>
          <w:tcPr>
            <w:tcW w:w="622" w:type="pct"/>
            <w:tcBorders>
              <w:top w:val="nil"/>
              <w:left w:val="nil"/>
              <w:bottom w:val="nil"/>
              <w:right w:val="nil"/>
            </w:tcBorders>
            <w:shd w:val="clear" w:color="auto" w:fill="EEECE1" w:themeFill="background2"/>
            <w:noWrap/>
            <w:vAlign w:val="bottom"/>
            <w:hideMark/>
          </w:tcPr>
          <w:p w14:paraId="2341A9EA"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221</w:t>
            </w:r>
          </w:p>
        </w:tc>
        <w:tc>
          <w:tcPr>
            <w:tcW w:w="615" w:type="pct"/>
            <w:tcBorders>
              <w:top w:val="nil"/>
              <w:left w:val="nil"/>
              <w:bottom w:val="nil"/>
              <w:right w:val="nil"/>
            </w:tcBorders>
            <w:shd w:val="clear" w:color="auto" w:fill="EEECE1" w:themeFill="background2"/>
            <w:noWrap/>
            <w:vAlign w:val="bottom"/>
            <w:hideMark/>
          </w:tcPr>
          <w:p w14:paraId="2341A9EB"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212</w:t>
            </w:r>
          </w:p>
        </w:tc>
        <w:tc>
          <w:tcPr>
            <w:tcW w:w="615" w:type="pct"/>
            <w:tcBorders>
              <w:top w:val="nil"/>
              <w:left w:val="nil"/>
              <w:bottom w:val="nil"/>
              <w:right w:val="nil"/>
            </w:tcBorders>
            <w:shd w:val="clear" w:color="auto" w:fill="EEECE1" w:themeFill="background2"/>
            <w:noWrap/>
            <w:vAlign w:val="bottom"/>
            <w:hideMark/>
          </w:tcPr>
          <w:p w14:paraId="2341A9EC"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195</w:t>
            </w:r>
          </w:p>
        </w:tc>
        <w:tc>
          <w:tcPr>
            <w:tcW w:w="615" w:type="pct"/>
            <w:tcBorders>
              <w:top w:val="nil"/>
              <w:left w:val="nil"/>
              <w:bottom w:val="nil"/>
              <w:right w:val="nil"/>
            </w:tcBorders>
            <w:shd w:val="clear" w:color="auto" w:fill="EEECE1" w:themeFill="background2"/>
            <w:noWrap/>
            <w:vAlign w:val="bottom"/>
            <w:hideMark/>
          </w:tcPr>
          <w:p w14:paraId="2341A9ED"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177</w:t>
            </w:r>
          </w:p>
        </w:tc>
        <w:tc>
          <w:tcPr>
            <w:tcW w:w="615" w:type="pct"/>
            <w:tcBorders>
              <w:top w:val="nil"/>
              <w:left w:val="nil"/>
              <w:bottom w:val="nil"/>
              <w:right w:val="nil"/>
            </w:tcBorders>
            <w:shd w:val="clear" w:color="auto" w:fill="EEECE1" w:themeFill="background2"/>
            <w:noWrap/>
            <w:vAlign w:val="bottom"/>
            <w:hideMark/>
          </w:tcPr>
          <w:p w14:paraId="2341A9EE"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159</w:t>
            </w:r>
          </w:p>
        </w:tc>
        <w:tc>
          <w:tcPr>
            <w:tcW w:w="615" w:type="pct"/>
            <w:tcBorders>
              <w:top w:val="nil"/>
              <w:left w:val="nil"/>
              <w:bottom w:val="nil"/>
              <w:right w:val="nil"/>
            </w:tcBorders>
            <w:shd w:val="clear" w:color="auto" w:fill="EEECE1" w:themeFill="background2"/>
            <w:noWrap/>
            <w:vAlign w:val="bottom"/>
            <w:hideMark/>
          </w:tcPr>
          <w:p w14:paraId="2341A9EF"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142</w:t>
            </w:r>
          </w:p>
        </w:tc>
        <w:tc>
          <w:tcPr>
            <w:tcW w:w="480" w:type="pct"/>
            <w:tcBorders>
              <w:top w:val="nil"/>
              <w:left w:val="nil"/>
              <w:bottom w:val="nil"/>
              <w:right w:val="single" w:sz="4" w:space="0" w:color="auto"/>
            </w:tcBorders>
            <w:shd w:val="clear" w:color="auto" w:fill="EEECE1" w:themeFill="background2"/>
            <w:noWrap/>
            <w:vAlign w:val="bottom"/>
            <w:hideMark/>
          </w:tcPr>
          <w:p w14:paraId="2341A9F0"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124</w:t>
            </w:r>
          </w:p>
        </w:tc>
      </w:tr>
      <w:tr w:rsidR="0011752D" w:rsidRPr="0011752D" w14:paraId="2341A9FB" w14:textId="77777777" w:rsidTr="00390762">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2341A9F2"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9F3"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7</w:t>
            </w:r>
          </w:p>
        </w:tc>
        <w:tc>
          <w:tcPr>
            <w:tcW w:w="622" w:type="pct"/>
            <w:tcBorders>
              <w:top w:val="nil"/>
              <w:left w:val="nil"/>
              <w:bottom w:val="nil"/>
              <w:right w:val="nil"/>
            </w:tcBorders>
            <w:shd w:val="clear" w:color="auto" w:fill="auto"/>
            <w:noWrap/>
            <w:vAlign w:val="bottom"/>
            <w:hideMark/>
          </w:tcPr>
          <w:p w14:paraId="2341A9F4"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258</w:t>
            </w:r>
          </w:p>
        </w:tc>
        <w:tc>
          <w:tcPr>
            <w:tcW w:w="615" w:type="pct"/>
            <w:tcBorders>
              <w:top w:val="nil"/>
              <w:left w:val="nil"/>
              <w:bottom w:val="nil"/>
              <w:right w:val="nil"/>
            </w:tcBorders>
            <w:shd w:val="clear" w:color="auto" w:fill="EEECE1" w:themeFill="background2"/>
            <w:noWrap/>
            <w:vAlign w:val="bottom"/>
            <w:hideMark/>
          </w:tcPr>
          <w:p w14:paraId="2341A9F5"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248</w:t>
            </w:r>
          </w:p>
        </w:tc>
        <w:tc>
          <w:tcPr>
            <w:tcW w:w="615" w:type="pct"/>
            <w:tcBorders>
              <w:top w:val="nil"/>
              <w:left w:val="nil"/>
              <w:bottom w:val="nil"/>
              <w:right w:val="nil"/>
            </w:tcBorders>
            <w:shd w:val="clear" w:color="auto" w:fill="auto"/>
            <w:noWrap/>
            <w:vAlign w:val="bottom"/>
            <w:hideMark/>
          </w:tcPr>
          <w:p w14:paraId="2341A9F6"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227</w:t>
            </w:r>
          </w:p>
        </w:tc>
        <w:tc>
          <w:tcPr>
            <w:tcW w:w="615" w:type="pct"/>
            <w:tcBorders>
              <w:top w:val="nil"/>
              <w:left w:val="nil"/>
              <w:bottom w:val="nil"/>
              <w:right w:val="nil"/>
            </w:tcBorders>
            <w:shd w:val="clear" w:color="auto" w:fill="auto"/>
            <w:noWrap/>
            <w:vAlign w:val="bottom"/>
            <w:hideMark/>
          </w:tcPr>
          <w:p w14:paraId="2341A9F7"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206</w:t>
            </w:r>
          </w:p>
        </w:tc>
        <w:tc>
          <w:tcPr>
            <w:tcW w:w="615" w:type="pct"/>
            <w:tcBorders>
              <w:top w:val="nil"/>
              <w:left w:val="nil"/>
              <w:bottom w:val="nil"/>
              <w:right w:val="nil"/>
            </w:tcBorders>
            <w:shd w:val="clear" w:color="auto" w:fill="auto"/>
            <w:noWrap/>
            <w:vAlign w:val="bottom"/>
            <w:hideMark/>
          </w:tcPr>
          <w:p w14:paraId="2341A9F8"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186</w:t>
            </w:r>
          </w:p>
        </w:tc>
        <w:tc>
          <w:tcPr>
            <w:tcW w:w="615" w:type="pct"/>
            <w:tcBorders>
              <w:top w:val="nil"/>
              <w:left w:val="nil"/>
              <w:bottom w:val="nil"/>
              <w:right w:val="nil"/>
            </w:tcBorders>
            <w:shd w:val="clear" w:color="auto" w:fill="auto"/>
            <w:noWrap/>
            <w:vAlign w:val="bottom"/>
            <w:hideMark/>
          </w:tcPr>
          <w:p w14:paraId="2341A9F9"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165</w:t>
            </w:r>
          </w:p>
        </w:tc>
        <w:tc>
          <w:tcPr>
            <w:tcW w:w="480" w:type="pct"/>
            <w:tcBorders>
              <w:top w:val="nil"/>
              <w:left w:val="nil"/>
              <w:bottom w:val="nil"/>
              <w:right w:val="single" w:sz="4" w:space="0" w:color="auto"/>
            </w:tcBorders>
            <w:shd w:val="clear" w:color="auto" w:fill="auto"/>
            <w:noWrap/>
            <w:vAlign w:val="bottom"/>
            <w:hideMark/>
          </w:tcPr>
          <w:p w14:paraId="2341A9FA"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145</w:t>
            </w:r>
          </w:p>
        </w:tc>
      </w:tr>
      <w:tr w:rsidR="0011752D" w:rsidRPr="0011752D" w14:paraId="2341AA05" w14:textId="77777777" w:rsidTr="00390762">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2341A9FC"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9FD"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8</w:t>
            </w:r>
          </w:p>
        </w:tc>
        <w:tc>
          <w:tcPr>
            <w:tcW w:w="622" w:type="pct"/>
            <w:tcBorders>
              <w:top w:val="nil"/>
              <w:left w:val="nil"/>
              <w:bottom w:val="nil"/>
              <w:right w:val="nil"/>
            </w:tcBorders>
            <w:shd w:val="clear" w:color="auto" w:fill="auto"/>
            <w:noWrap/>
            <w:vAlign w:val="bottom"/>
            <w:hideMark/>
          </w:tcPr>
          <w:p w14:paraId="2341A9FE"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295</w:t>
            </w:r>
          </w:p>
        </w:tc>
        <w:tc>
          <w:tcPr>
            <w:tcW w:w="615" w:type="pct"/>
            <w:tcBorders>
              <w:top w:val="nil"/>
              <w:left w:val="nil"/>
              <w:bottom w:val="nil"/>
              <w:right w:val="nil"/>
            </w:tcBorders>
            <w:shd w:val="clear" w:color="auto" w:fill="EEECE1" w:themeFill="background2"/>
            <w:noWrap/>
            <w:vAlign w:val="bottom"/>
            <w:hideMark/>
          </w:tcPr>
          <w:p w14:paraId="2341A9FF"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283</w:t>
            </w:r>
          </w:p>
        </w:tc>
        <w:tc>
          <w:tcPr>
            <w:tcW w:w="615" w:type="pct"/>
            <w:tcBorders>
              <w:top w:val="nil"/>
              <w:left w:val="nil"/>
              <w:bottom w:val="nil"/>
              <w:right w:val="nil"/>
            </w:tcBorders>
            <w:shd w:val="clear" w:color="auto" w:fill="auto"/>
            <w:noWrap/>
            <w:vAlign w:val="bottom"/>
            <w:hideMark/>
          </w:tcPr>
          <w:p w14:paraId="2341AA00"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259</w:t>
            </w:r>
          </w:p>
        </w:tc>
        <w:tc>
          <w:tcPr>
            <w:tcW w:w="615" w:type="pct"/>
            <w:tcBorders>
              <w:top w:val="nil"/>
              <w:left w:val="nil"/>
              <w:bottom w:val="nil"/>
              <w:right w:val="nil"/>
            </w:tcBorders>
            <w:shd w:val="clear" w:color="auto" w:fill="auto"/>
            <w:noWrap/>
            <w:vAlign w:val="bottom"/>
            <w:hideMark/>
          </w:tcPr>
          <w:p w14:paraId="2341AA01"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236</w:t>
            </w:r>
          </w:p>
        </w:tc>
        <w:tc>
          <w:tcPr>
            <w:tcW w:w="615" w:type="pct"/>
            <w:tcBorders>
              <w:top w:val="nil"/>
              <w:left w:val="nil"/>
              <w:bottom w:val="nil"/>
              <w:right w:val="nil"/>
            </w:tcBorders>
            <w:shd w:val="clear" w:color="auto" w:fill="auto"/>
            <w:noWrap/>
            <w:vAlign w:val="bottom"/>
            <w:hideMark/>
          </w:tcPr>
          <w:p w14:paraId="2341AA02"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212</w:t>
            </w:r>
          </w:p>
        </w:tc>
        <w:tc>
          <w:tcPr>
            <w:tcW w:w="615" w:type="pct"/>
            <w:tcBorders>
              <w:top w:val="nil"/>
              <w:left w:val="nil"/>
              <w:bottom w:val="nil"/>
              <w:right w:val="nil"/>
            </w:tcBorders>
            <w:shd w:val="clear" w:color="auto" w:fill="auto"/>
            <w:noWrap/>
            <w:vAlign w:val="bottom"/>
            <w:hideMark/>
          </w:tcPr>
          <w:p w14:paraId="2341AA03"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189</w:t>
            </w:r>
          </w:p>
        </w:tc>
        <w:tc>
          <w:tcPr>
            <w:tcW w:w="480" w:type="pct"/>
            <w:tcBorders>
              <w:top w:val="nil"/>
              <w:left w:val="nil"/>
              <w:bottom w:val="nil"/>
              <w:right w:val="single" w:sz="4" w:space="0" w:color="auto"/>
            </w:tcBorders>
            <w:shd w:val="clear" w:color="auto" w:fill="auto"/>
            <w:noWrap/>
            <w:vAlign w:val="bottom"/>
            <w:hideMark/>
          </w:tcPr>
          <w:p w14:paraId="2341AA04"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165</w:t>
            </w:r>
          </w:p>
        </w:tc>
      </w:tr>
      <w:tr w:rsidR="0011752D" w:rsidRPr="0011752D" w14:paraId="2341AA0F" w14:textId="77777777" w:rsidTr="00390762">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2341AA06"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A07"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9</w:t>
            </w:r>
          </w:p>
        </w:tc>
        <w:tc>
          <w:tcPr>
            <w:tcW w:w="622" w:type="pct"/>
            <w:tcBorders>
              <w:top w:val="nil"/>
              <w:left w:val="nil"/>
              <w:bottom w:val="nil"/>
              <w:right w:val="nil"/>
            </w:tcBorders>
            <w:shd w:val="clear" w:color="auto" w:fill="auto"/>
            <w:noWrap/>
            <w:vAlign w:val="bottom"/>
            <w:hideMark/>
          </w:tcPr>
          <w:p w14:paraId="2341AA08"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332</w:t>
            </w:r>
          </w:p>
        </w:tc>
        <w:tc>
          <w:tcPr>
            <w:tcW w:w="615" w:type="pct"/>
            <w:tcBorders>
              <w:top w:val="nil"/>
              <w:left w:val="nil"/>
              <w:bottom w:val="nil"/>
              <w:right w:val="nil"/>
            </w:tcBorders>
            <w:shd w:val="clear" w:color="auto" w:fill="EEECE1" w:themeFill="background2"/>
            <w:noWrap/>
            <w:vAlign w:val="bottom"/>
            <w:hideMark/>
          </w:tcPr>
          <w:p w14:paraId="2341AA09"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318</w:t>
            </w:r>
          </w:p>
        </w:tc>
        <w:tc>
          <w:tcPr>
            <w:tcW w:w="615" w:type="pct"/>
            <w:tcBorders>
              <w:top w:val="nil"/>
              <w:left w:val="nil"/>
              <w:bottom w:val="nil"/>
              <w:right w:val="nil"/>
            </w:tcBorders>
            <w:shd w:val="clear" w:color="auto" w:fill="auto"/>
            <w:noWrap/>
            <w:vAlign w:val="bottom"/>
            <w:hideMark/>
          </w:tcPr>
          <w:p w14:paraId="2341AA0A"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292</w:t>
            </w:r>
          </w:p>
        </w:tc>
        <w:tc>
          <w:tcPr>
            <w:tcW w:w="615" w:type="pct"/>
            <w:tcBorders>
              <w:top w:val="nil"/>
              <w:left w:val="nil"/>
              <w:bottom w:val="nil"/>
              <w:right w:val="nil"/>
            </w:tcBorders>
            <w:shd w:val="clear" w:color="auto" w:fill="auto"/>
            <w:noWrap/>
            <w:vAlign w:val="bottom"/>
            <w:hideMark/>
          </w:tcPr>
          <w:p w14:paraId="2341AA0B"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265</w:t>
            </w:r>
          </w:p>
        </w:tc>
        <w:tc>
          <w:tcPr>
            <w:tcW w:w="615" w:type="pct"/>
            <w:tcBorders>
              <w:top w:val="nil"/>
              <w:left w:val="nil"/>
              <w:bottom w:val="nil"/>
              <w:right w:val="nil"/>
            </w:tcBorders>
            <w:shd w:val="clear" w:color="auto" w:fill="auto"/>
            <w:noWrap/>
            <w:vAlign w:val="bottom"/>
            <w:hideMark/>
          </w:tcPr>
          <w:p w14:paraId="2341AA0C"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239</w:t>
            </w:r>
          </w:p>
        </w:tc>
        <w:tc>
          <w:tcPr>
            <w:tcW w:w="615" w:type="pct"/>
            <w:tcBorders>
              <w:top w:val="nil"/>
              <w:left w:val="nil"/>
              <w:bottom w:val="nil"/>
              <w:right w:val="nil"/>
            </w:tcBorders>
            <w:shd w:val="clear" w:color="auto" w:fill="auto"/>
            <w:noWrap/>
            <w:vAlign w:val="bottom"/>
            <w:hideMark/>
          </w:tcPr>
          <w:p w14:paraId="2341AA0D"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212</w:t>
            </w:r>
          </w:p>
        </w:tc>
        <w:tc>
          <w:tcPr>
            <w:tcW w:w="480" w:type="pct"/>
            <w:tcBorders>
              <w:top w:val="nil"/>
              <w:left w:val="nil"/>
              <w:bottom w:val="nil"/>
              <w:right w:val="single" w:sz="4" w:space="0" w:color="auto"/>
            </w:tcBorders>
            <w:shd w:val="clear" w:color="auto" w:fill="auto"/>
            <w:noWrap/>
            <w:vAlign w:val="bottom"/>
            <w:hideMark/>
          </w:tcPr>
          <w:p w14:paraId="2341AA0E"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186</w:t>
            </w:r>
          </w:p>
        </w:tc>
      </w:tr>
      <w:tr w:rsidR="0011752D" w:rsidRPr="0011752D" w14:paraId="2341AA19" w14:textId="77777777" w:rsidTr="00390762">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2341AA10"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A11"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10</w:t>
            </w:r>
          </w:p>
        </w:tc>
        <w:tc>
          <w:tcPr>
            <w:tcW w:w="622" w:type="pct"/>
            <w:tcBorders>
              <w:top w:val="nil"/>
              <w:left w:val="nil"/>
              <w:bottom w:val="nil"/>
              <w:right w:val="nil"/>
            </w:tcBorders>
            <w:shd w:val="clear" w:color="auto" w:fill="auto"/>
            <w:noWrap/>
            <w:vAlign w:val="bottom"/>
            <w:hideMark/>
          </w:tcPr>
          <w:p w14:paraId="2341AA12"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368</w:t>
            </w:r>
          </w:p>
        </w:tc>
        <w:tc>
          <w:tcPr>
            <w:tcW w:w="615" w:type="pct"/>
            <w:tcBorders>
              <w:top w:val="nil"/>
              <w:left w:val="nil"/>
              <w:bottom w:val="nil"/>
              <w:right w:val="nil"/>
            </w:tcBorders>
            <w:shd w:val="clear" w:color="auto" w:fill="EEECE1" w:themeFill="background2"/>
            <w:noWrap/>
            <w:vAlign w:val="bottom"/>
            <w:hideMark/>
          </w:tcPr>
          <w:p w14:paraId="2341AA13"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354</w:t>
            </w:r>
          </w:p>
        </w:tc>
        <w:tc>
          <w:tcPr>
            <w:tcW w:w="615" w:type="pct"/>
            <w:tcBorders>
              <w:top w:val="nil"/>
              <w:left w:val="nil"/>
              <w:bottom w:val="nil"/>
              <w:right w:val="nil"/>
            </w:tcBorders>
            <w:shd w:val="clear" w:color="auto" w:fill="auto"/>
            <w:noWrap/>
            <w:vAlign w:val="bottom"/>
            <w:hideMark/>
          </w:tcPr>
          <w:p w14:paraId="2341AA14"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324</w:t>
            </w:r>
          </w:p>
        </w:tc>
        <w:tc>
          <w:tcPr>
            <w:tcW w:w="615" w:type="pct"/>
            <w:tcBorders>
              <w:top w:val="nil"/>
              <w:left w:val="nil"/>
              <w:bottom w:val="nil"/>
              <w:right w:val="nil"/>
            </w:tcBorders>
            <w:shd w:val="clear" w:color="auto" w:fill="auto"/>
            <w:noWrap/>
            <w:vAlign w:val="bottom"/>
            <w:hideMark/>
          </w:tcPr>
          <w:p w14:paraId="2341AA15"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295</w:t>
            </w:r>
          </w:p>
        </w:tc>
        <w:tc>
          <w:tcPr>
            <w:tcW w:w="615" w:type="pct"/>
            <w:tcBorders>
              <w:top w:val="nil"/>
              <w:left w:val="nil"/>
              <w:bottom w:val="nil"/>
              <w:right w:val="nil"/>
            </w:tcBorders>
            <w:shd w:val="clear" w:color="auto" w:fill="auto"/>
            <w:noWrap/>
            <w:vAlign w:val="bottom"/>
            <w:hideMark/>
          </w:tcPr>
          <w:p w14:paraId="2341AA16"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265</w:t>
            </w:r>
          </w:p>
        </w:tc>
        <w:tc>
          <w:tcPr>
            <w:tcW w:w="615" w:type="pct"/>
            <w:tcBorders>
              <w:top w:val="nil"/>
              <w:left w:val="nil"/>
              <w:bottom w:val="nil"/>
              <w:right w:val="nil"/>
            </w:tcBorders>
            <w:shd w:val="clear" w:color="auto" w:fill="auto"/>
            <w:noWrap/>
            <w:vAlign w:val="bottom"/>
            <w:hideMark/>
          </w:tcPr>
          <w:p w14:paraId="2341AA17"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236</w:t>
            </w:r>
          </w:p>
        </w:tc>
        <w:tc>
          <w:tcPr>
            <w:tcW w:w="480" w:type="pct"/>
            <w:tcBorders>
              <w:top w:val="nil"/>
              <w:left w:val="nil"/>
              <w:bottom w:val="nil"/>
              <w:right w:val="single" w:sz="4" w:space="0" w:color="auto"/>
            </w:tcBorders>
            <w:shd w:val="clear" w:color="auto" w:fill="auto"/>
            <w:noWrap/>
            <w:vAlign w:val="bottom"/>
            <w:hideMark/>
          </w:tcPr>
          <w:p w14:paraId="2341AA18"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206</w:t>
            </w:r>
          </w:p>
        </w:tc>
      </w:tr>
      <w:tr w:rsidR="0011752D" w:rsidRPr="0011752D" w14:paraId="2341AA23" w14:textId="77777777" w:rsidTr="00390762">
        <w:trPr>
          <w:trHeight w:val="233"/>
        </w:trPr>
        <w:tc>
          <w:tcPr>
            <w:tcW w:w="461" w:type="pct"/>
            <w:tcBorders>
              <w:top w:val="nil"/>
              <w:left w:val="single" w:sz="4" w:space="0" w:color="auto"/>
              <w:bottom w:val="nil"/>
              <w:right w:val="single" w:sz="4" w:space="0" w:color="auto"/>
            </w:tcBorders>
            <w:shd w:val="clear" w:color="auto" w:fill="auto"/>
            <w:noWrap/>
            <w:vAlign w:val="bottom"/>
          </w:tcPr>
          <w:p w14:paraId="2341AA1A" w14:textId="77777777" w:rsidR="0011752D" w:rsidRPr="0011752D" w:rsidRDefault="0011752D" w:rsidP="0011752D">
            <w:pPr>
              <w:rPr>
                <w:rFonts w:ascii="Calibri" w:hAnsi="Calibri" w:cs="Calibri"/>
                <w:color w:val="000000"/>
                <w:sz w:val="18"/>
                <w:szCs w:val="22"/>
                <w:lang w:val="es-CO" w:eastAsia="es-CO"/>
              </w:rPr>
            </w:pPr>
          </w:p>
        </w:tc>
        <w:tc>
          <w:tcPr>
            <w:tcW w:w="363" w:type="pct"/>
            <w:tcBorders>
              <w:top w:val="nil"/>
              <w:left w:val="nil"/>
              <w:bottom w:val="nil"/>
              <w:right w:val="single" w:sz="4" w:space="0" w:color="auto"/>
            </w:tcBorders>
            <w:shd w:val="clear" w:color="auto" w:fill="auto"/>
            <w:noWrap/>
            <w:vAlign w:val="bottom"/>
          </w:tcPr>
          <w:p w14:paraId="2341AA1B"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11</w:t>
            </w:r>
          </w:p>
        </w:tc>
        <w:tc>
          <w:tcPr>
            <w:tcW w:w="622" w:type="pct"/>
            <w:tcBorders>
              <w:top w:val="nil"/>
              <w:left w:val="nil"/>
              <w:bottom w:val="nil"/>
              <w:right w:val="nil"/>
            </w:tcBorders>
            <w:shd w:val="clear" w:color="auto" w:fill="auto"/>
            <w:noWrap/>
            <w:vAlign w:val="bottom"/>
          </w:tcPr>
          <w:p w14:paraId="2341AA1C"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405</w:t>
            </w:r>
          </w:p>
        </w:tc>
        <w:tc>
          <w:tcPr>
            <w:tcW w:w="615" w:type="pct"/>
            <w:tcBorders>
              <w:top w:val="nil"/>
              <w:left w:val="nil"/>
              <w:bottom w:val="nil"/>
              <w:right w:val="nil"/>
            </w:tcBorders>
            <w:shd w:val="clear" w:color="auto" w:fill="EEECE1" w:themeFill="background2"/>
            <w:noWrap/>
            <w:vAlign w:val="bottom"/>
          </w:tcPr>
          <w:p w14:paraId="2341AA1D"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389</w:t>
            </w:r>
          </w:p>
        </w:tc>
        <w:tc>
          <w:tcPr>
            <w:tcW w:w="615" w:type="pct"/>
            <w:tcBorders>
              <w:top w:val="nil"/>
              <w:left w:val="nil"/>
              <w:bottom w:val="nil"/>
              <w:right w:val="nil"/>
            </w:tcBorders>
            <w:shd w:val="clear" w:color="auto" w:fill="auto"/>
            <w:noWrap/>
            <w:vAlign w:val="bottom"/>
          </w:tcPr>
          <w:p w14:paraId="2341AA1E"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357</w:t>
            </w:r>
          </w:p>
        </w:tc>
        <w:tc>
          <w:tcPr>
            <w:tcW w:w="615" w:type="pct"/>
            <w:tcBorders>
              <w:top w:val="nil"/>
              <w:left w:val="nil"/>
              <w:bottom w:val="nil"/>
              <w:right w:val="nil"/>
            </w:tcBorders>
            <w:shd w:val="clear" w:color="auto" w:fill="auto"/>
            <w:noWrap/>
            <w:vAlign w:val="bottom"/>
          </w:tcPr>
          <w:p w14:paraId="2341AA1F"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324</w:t>
            </w:r>
          </w:p>
        </w:tc>
        <w:tc>
          <w:tcPr>
            <w:tcW w:w="615" w:type="pct"/>
            <w:tcBorders>
              <w:top w:val="nil"/>
              <w:left w:val="nil"/>
              <w:bottom w:val="nil"/>
              <w:right w:val="nil"/>
            </w:tcBorders>
            <w:shd w:val="clear" w:color="auto" w:fill="auto"/>
            <w:noWrap/>
            <w:vAlign w:val="bottom"/>
          </w:tcPr>
          <w:p w14:paraId="2341AA20"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292</w:t>
            </w:r>
          </w:p>
        </w:tc>
        <w:tc>
          <w:tcPr>
            <w:tcW w:w="615" w:type="pct"/>
            <w:tcBorders>
              <w:top w:val="nil"/>
              <w:left w:val="nil"/>
              <w:bottom w:val="nil"/>
              <w:right w:val="nil"/>
            </w:tcBorders>
            <w:shd w:val="clear" w:color="auto" w:fill="auto"/>
            <w:noWrap/>
            <w:vAlign w:val="bottom"/>
          </w:tcPr>
          <w:p w14:paraId="2341AA21"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259</w:t>
            </w:r>
          </w:p>
        </w:tc>
        <w:tc>
          <w:tcPr>
            <w:tcW w:w="480" w:type="pct"/>
            <w:tcBorders>
              <w:top w:val="nil"/>
              <w:left w:val="nil"/>
              <w:bottom w:val="nil"/>
              <w:right w:val="single" w:sz="4" w:space="0" w:color="auto"/>
            </w:tcBorders>
            <w:shd w:val="clear" w:color="auto" w:fill="auto"/>
            <w:noWrap/>
            <w:vAlign w:val="bottom"/>
          </w:tcPr>
          <w:p w14:paraId="2341AA22"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227</w:t>
            </w:r>
          </w:p>
        </w:tc>
      </w:tr>
      <w:tr w:rsidR="0011752D" w:rsidRPr="0011752D" w14:paraId="2341AA2D" w14:textId="77777777" w:rsidTr="00390762">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2341AA24"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nil"/>
              <w:right w:val="single" w:sz="4" w:space="0" w:color="auto"/>
            </w:tcBorders>
            <w:shd w:val="clear" w:color="auto" w:fill="auto"/>
            <w:noWrap/>
            <w:vAlign w:val="bottom"/>
            <w:hideMark/>
          </w:tcPr>
          <w:p w14:paraId="2341AA25"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12</w:t>
            </w:r>
          </w:p>
        </w:tc>
        <w:tc>
          <w:tcPr>
            <w:tcW w:w="622" w:type="pct"/>
            <w:tcBorders>
              <w:top w:val="nil"/>
              <w:left w:val="nil"/>
              <w:bottom w:val="nil"/>
              <w:right w:val="nil"/>
            </w:tcBorders>
            <w:shd w:val="clear" w:color="auto" w:fill="auto"/>
            <w:noWrap/>
            <w:vAlign w:val="bottom"/>
            <w:hideMark/>
          </w:tcPr>
          <w:p w14:paraId="2341AA26"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442</w:t>
            </w:r>
          </w:p>
        </w:tc>
        <w:tc>
          <w:tcPr>
            <w:tcW w:w="615" w:type="pct"/>
            <w:tcBorders>
              <w:top w:val="nil"/>
              <w:left w:val="nil"/>
              <w:bottom w:val="nil"/>
              <w:right w:val="nil"/>
            </w:tcBorders>
            <w:shd w:val="clear" w:color="auto" w:fill="EEECE1" w:themeFill="background2"/>
            <w:noWrap/>
            <w:vAlign w:val="bottom"/>
            <w:hideMark/>
          </w:tcPr>
          <w:p w14:paraId="2341AA27"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424</w:t>
            </w:r>
          </w:p>
        </w:tc>
        <w:tc>
          <w:tcPr>
            <w:tcW w:w="615" w:type="pct"/>
            <w:tcBorders>
              <w:top w:val="nil"/>
              <w:left w:val="nil"/>
              <w:bottom w:val="nil"/>
              <w:right w:val="nil"/>
            </w:tcBorders>
            <w:shd w:val="clear" w:color="auto" w:fill="auto"/>
            <w:noWrap/>
            <w:vAlign w:val="bottom"/>
            <w:hideMark/>
          </w:tcPr>
          <w:p w14:paraId="2341AA28"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389</w:t>
            </w:r>
          </w:p>
        </w:tc>
        <w:tc>
          <w:tcPr>
            <w:tcW w:w="615" w:type="pct"/>
            <w:tcBorders>
              <w:top w:val="nil"/>
              <w:left w:val="nil"/>
              <w:bottom w:val="nil"/>
              <w:right w:val="nil"/>
            </w:tcBorders>
            <w:shd w:val="clear" w:color="auto" w:fill="auto"/>
            <w:noWrap/>
            <w:vAlign w:val="bottom"/>
            <w:hideMark/>
          </w:tcPr>
          <w:p w14:paraId="2341AA29"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354</w:t>
            </w:r>
          </w:p>
        </w:tc>
        <w:tc>
          <w:tcPr>
            <w:tcW w:w="615" w:type="pct"/>
            <w:tcBorders>
              <w:top w:val="nil"/>
              <w:left w:val="nil"/>
              <w:bottom w:val="nil"/>
              <w:right w:val="nil"/>
            </w:tcBorders>
            <w:shd w:val="clear" w:color="auto" w:fill="auto"/>
            <w:noWrap/>
            <w:vAlign w:val="bottom"/>
            <w:hideMark/>
          </w:tcPr>
          <w:p w14:paraId="2341AA2A"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318</w:t>
            </w:r>
          </w:p>
        </w:tc>
        <w:tc>
          <w:tcPr>
            <w:tcW w:w="615" w:type="pct"/>
            <w:tcBorders>
              <w:top w:val="nil"/>
              <w:left w:val="nil"/>
              <w:bottom w:val="nil"/>
              <w:right w:val="nil"/>
            </w:tcBorders>
            <w:shd w:val="clear" w:color="auto" w:fill="auto"/>
            <w:noWrap/>
            <w:vAlign w:val="bottom"/>
            <w:hideMark/>
          </w:tcPr>
          <w:p w14:paraId="2341AA2B"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283</w:t>
            </w:r>
          </w:p>
        </w:tc>
        <w:tc>
          <w:tcPr>
            <w:tcW w:w="480" w:type="pct"/>
            <w:tcBorders>
              <w:top w:val="nil"/>
              <w:left w:val="nil"/>
              <w:bottom w:val="nil"/>
              <w:right w:val="single" w:sz="4" w:space="0" w:color="auto"/>
            </w:tcBorders>
            <w:shd w:val="clear" w:color="auto" w:fill="auto"/>
            <w:noWrap/>
            <w:vAlign w:val="bottom"/>
            <w:hideMark/>
          </w:tcPr>
          <w:p w14:paraId="2341AA2C"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248</w:t>
            </w:r>
          </w:p>
        </w:tc>
      </w:tr>
      <w:tr w:rsidR="0011752D" w:rsidRPr="0011752D" w14:paraId="2341AA37" w14:textId="77777777" w:rsidTr="00390762">
        <w:trPr>
          <w:trHeight w:val="233"/>
        </w:trPr>
        <w:tc>
          <w:tcPr>
            <w:tcW w:w="461" w:type="pct"/>
            <w:tcBorders>
              <w:top w:val="nil"/>
              <w:left w:val="single" w:sz="4" w:space="0" w:color="auto"/>
              <w:bottom w:val="single" w:sz="4" w:space="0" w:color="auto"/>
              <w:right w:val="single" w:sz="4" w:space="0" w:color="auto"/>
            </w:tcBorders>
            <w:shd w:val="clear" w:color="auto" w:fill="auto"/>
            <w:noWrap/>
            <w:vAlign w:val="bottom"/>
            <w:hideMark/>
          </w:tcPr>
          <w:p w14:paraId="2341AA2E" w14:textId="77777777" w:rsidR="0011752D" w:rsidRPr="0011752D" w:rsidRDefault="0011752D" w:rsidP="0011752D">
            <w:pPr>
              <w:rPr>
                <w:rFonts w:ascii="Calibri" w:hAnsi="Calibri" w:cs="Calibri"/>
                <w:color w:val="000000"/>
                <w:sz w:val="18"/>
                <w:szCs w:val="22"/>
                <w:lang w:val="es-CO" w:eastAsia="es-CO"/>
              </w:rPr>
            </w:pPr>
            <w:r w:rsidRPr="0011752D">
              <w:rPr>
                <w:rFonts w:ascii="Calibri" w:hAnsi="Calibri" w:cs="Calibri"/>
                <w:color w:val="000000"/>
                <w:sz w:val="18"/>
                <w:szCs w:val="22"/>
                <w:lang w:val="es-CO" w:eastAsia="es-CO"/>
              </w:rPr>
              <w:t> </w:t>
            </w:r>
          </w:p>
        </w:tc>
        <w:tc>
          <w:tcPr>
            <w:tcW w:w="363" w:type="pct"/>
            <w:tcBorders>
              <w:top w:val="nil"/>
              <w:left w:val="nil"/>
              <w:bottom w:val="single" w:sz="4" w:space="0" w:color="auto"/>
              <w:right w:val="single" w:sz="4" w:space="0" w:color="auto"/>
            </w:tcBorders>
            <w:shd w:val="clear" w:color="auto" w:fill="auto"/>
            <w:noWrap/>
            <w:vAlign w:val="bottom"/>
            <w:hideMark/>
          </w:tcPr>
          <w:p w14:paraId="2341AA2F"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rPr>
              <w:t>13</w:t>
            </w:r>
          </w:p>
        </w:tc>
        <w:tc>
          <w:tcPr>
            <w:tcW w:w="622" w:type="pct"/>
            <w:tcBorders>
              <w:top w:val="nil"/>
              <w:left w:val="nil"/>
              <w:bottom w:val="single" w:sz="4" w:space="0" w:color="auto"/>
              <w:right w:val="nil"/>
            </w:tcBorders>
            <w:shd w:val="clear" w:color="auto" w:fill="auto"/>
            <w:noWrap/>
            <w:vAlign w:val="bottom"/>
            <w:hideMark/>
          </w:tcPr>
          <w:p w14:paraId="2341AA30"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479</w:t>
            </w:r>
          </w:p>
        </w:tc>
        <w:tc>
          <w:tcPr>
            <w:tcW w:w="615" w:type="pct"/>
            <w:tcBorders>
              <w:top w:val="nil"/>
              <w:left w:val="nil"/>
              <w:bottom w:val="single" w:sz="4" w:space="0" w:color="auto"/>
              <w:right w:val="nil"/>
            </w:tcBorders>
            <w:shd w:val="clear" w:color="auto" w:fill="EEECE1" w:themeFill="background2"/>
            <w:noWrap/>
            <w:vAlign w:val="bottom"/>
            <w:hideMark/>
          </w:tcPr>
          <w:p w14:paraId="2341AA31"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460</w:t>
            </w:r>
          </w:p>
        </w:tc>
        <w:tc>
          <w:tcPr>
            <w:tcW w:w="615" w:type="pct"/>
            <w:tcBorders>
              <w:top w:val="nil"/>
              <w:left w:val="nil"/>
              <w:bottom w:val="single" w:sz="4" w:space="0" w:color="auto"/>
              <w:right w:val="nil"/>
            </w:tcBorders>
            <w:shd w:val="clear" w:color="auto" w:fill="auto"/>
            <w:noWrap/>
            <w:vAlign w:val="bottom"/>
            <w:hideMark/>
          </w:tcPr>
          <w:p w14:paraId="2341AA32"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422</w:t>
            </w:r>
          </w:p>
        </w:tc>
        <w:tc>
          <w:tcPr>
            <w:tcW w:w="615" w:type="pct"/>
            <w:tcBorders>
              <w:top w:val="nil"/>
              <w:left w:val="nil"/>
              <w:bottom w:val="single" w:sz="4" w:space="0" w:color="auto"/>
              <w:right w:val="nil"/>
            </w:tcBorders>
            <w:shd w:val="clear" w:color="auto" w:fill="auto"/>
            <w:noWrap/>
            <w:vAlign w:val="bottom"/>
            <w:hideMark/>
          </w:tcPr>
          <w:p w14:paraId="2341AA33"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383</w:t>
            </w:r>
          </w:p>
        </w:tc>
        <w:tc>
          <w:tcPr>
            <w:tcW w:w="615" w:type="pct"/>
            <w:tcBorders>
              <w:top w:val="nil"/>
              <w:left w:val="nil"/>
              <w:bottom w:val="single" w:sz="4" w:space="0" w:color="auto"/>
              <w:right w:val="nil"/>
            </w:tcBorders>
            <w:shd w:val="clear" w:color="auto" w:fill="auto"/>
            <w:noWrap/>
            <w:vAlign w:val="bottom"/>
            <w:hideMark/>
          </w:tcPr>
          <w:p w14:paraId="2341AA34"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345</w:t>
            </w:r>
          </w:p>
        </w:tc>
        <w:tc>
          <w:tcPr>
            <w:tcW w:w="615" w:type="pct"/>
            <w:tcBorders>
              <w:top w:val="nil"/>
              <w:left w:val="nil"/>
              <w:bottom w:val="single" w:sz="4" w:space="0" w:color="auto"/>
              <w:right w:val="nil"/>
            </w:tcBorders>
            <w:shd w:val="clear" w:color="auto" w:fill="auto"/>
            <w:noWrap/>
            <w:vAlign w:val="bottom"/>
            <w:hideMark/>
          </w:tcPr>
          <w:p w14:paraId="2341AA35"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307</w:t>
            </w:r>
          </w:p>
        </w:tc>
        <w:tc>
          <w:tcPr>
            <w:tcW w:w="480" w:type="pct"/>
            <w:tcBorders>
              <w:top w:val="nil"/>
              <w:left w:val="nil"/>
              <w:bottom w:val="single" w:sz="4" w:space="0" w:color="auto"/>
              <w:right w:val="single" w:sz="4" w:space="0" w:color="auto"/>
            </w:tcBorders>
            <w:shd w:val="clear" w:color="auto" w:fill="auto"/>
            <w:noWrap/>
            <w:vAlign w:val="bottom"/>
            <w:hideMark/>
          </w:tcPr>
          <w:p w14:paraId="2341AA36"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olor w:val="000000"/>
                <w:sz w:val="18"/>
                <w:szCs w:val="18"/>
                <w:lang w:val="es-CO"/>
              </w:rPr>
              <w:t>268</w:t>
            </w:r>
          </w:p>
        </w:tc>
      </w:tr>
    </w:tbl>
    <w:p w14:paraId="2341AA38" w14:textId="77777777" w:rsidR="0011752D" w:rsidRPr="0011752D" w:rsidRDefault="0011752D" w:rsidP="0011752D">
      <w:pPr>
        <w:keepNext/>
        <w:keepLines/>
        <w:spacing w:before="240" w:after="240"/>
        <w:ind w:left="432" w:hanging="432"/>
        <w:jc w:val="both"/>
        <w:outlineLvl w:val="0"/>
        <w:rPr>
          <w:rFonts w:ascii="Arial" w:hAnsi="Arial"/>
          <w:b/>
          <w:color w:val="002060"/>
          <w:sz w:val="28"/>
          <w:szCs w:val="32"/>
          <w:lang w:val="es-CO"/>
        </w:rPr>
      </w:pPr>
      <w:bookmarkStart w:id="71" w:name="_Toc474797029"/>
      <w:r w:rsidRPr="0011752D">
        <w:rPr>
          <w:rFonts w:ascii="Arial" w:hAnsi="Arial"/>
          <w:b/>
          <w:color w:val="002060"/>
          <w:sz w:val="28"/>
          <w:szCs w:val="32"/>
          <w:lang w:val="es-CO"/>
        </w:rPr>
        <w:t>Evaluación económica del Subcomponente 2.2 Fortalecimiento del Mercado Eléctrico en lo relacionado con la oferta de Gas natural para la generación eléctrica y gestión eficiente de la demanda de energía eléctrica</w:t>
      </w:r>
      <w:bookmarkEnd w:id="71"/>
    </w:p>
    <w:p w14:paraId="2341AA39"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El objetivo del Subcomponente 2.2 busca apoyar la adopción de reformas y políticas para el fortalecimiento del MEM, incluyendo medidas que permitan: (i) garantizar la oferta de gas natural (GN) para generación eléctrica; y (ii) promover la gestión eficiente de la demanda de energía eléctrica (GEDE).</w:t>
      </w:r>
    </w:p>
    <w:p w14:paraId="2341AA3A"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La evaluación económica se centra en la GEDE puesto que lo relacionado con la oferta de GN para la generación eléctrica no cuenta con los elementos necesarios para poder realizarla por las razones que se exponen en la sección siguiente. En las secciones que siguen a la antes señalada, se elabora sobre la evaluación económica relacionada con las medidas para la GEDE.</w:t>
      </w:r>
    </w:p>
    <w:p w14:paraId="2341AA3B"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CO"/>
        </w:rPr>
      </w:pPr>
      <w:bookmarkStart w:id="72" w:name="_Toc470562125"/>
      <w:bookmarkStart w:id="73" w:name="_Toc474797030"/>
      <w:r w:rsidRPr="0011752D">
        <w:rPr>
          <w:rFonts w:ascii="Arial" w:hAnsi="Arial"/>
          <w:b/>
          <w:color w:val="1F3864"/>
          <w:szCs w:val="26"/>
          <w:lang w:val="es-CO"/>
        </w:rPr>
        <w:t>Evaluación económica de las medidas tendientes a aumentar y garantizar la oferta de Gas Natural (GN)</w:t>
      </w:r>
      <w:bookmarkEnd w:id="72"/>
      <w:bookmarkEnd w:id="73"/>
    </w:p>
    <w:p w14:paraId="2341AA3C"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Los siguientes compromisos contribuyen al logro de los objetivos.</w:t>
      </w:r>
    </w:p>
    <w:p w14:paraId="2341AA3D" w14:textId="77777777" w:rsidR="0011752D" w:rsidRPr="0011752D" w:rsidRDefault="0011752D" w:rsidP="0011752D">
      <w:pPr>
        <w:numPr>
          <w:ilvl w:val="0"/>
          <w:numId w:val="42"/>
        </w:numPr>
        <w:spacing w:before="240" w:after="240"/>
        <w:jc w:val="both"/>
        <w:rPr>
          <w:rFonts w:ascii="Arial" w:hAnsi="Arial"/>
          <w:sz w:val="22"/>
          <w:lang w:val="es-CO"/>
        </w:rPr>
      </w:pPr>
      <w:r w:rsidRPr="0011752D">
        <w:rPr>
          <w:rFonts w:ascii="Arial" w:hAnsi="Arial"/>
          <w:sz w:val="22"/>
          <w:lang w:val="es-CO"/>
        </w:rPr>
        <w:lastRenderedPageBreak/>
        <w:t>Diseño de los criterios de ejecución bajo los cuales se implementarán ajustes al esquema de comercialización mayorista de GN.</w:t>
      </w:r>
    </w:p>
    <w:p w14:paraId="2341AA3E" w14:textId="77777777" w:rsidR="0011752D" w:rsidRPr="0011752D" w:rsidRDefault="0011752D" w:rsidP="0011752D">
      <w:pPr>
        <w:numPr>
          <w:ilvl w:val="0"/>
          <w:numId w:val="42"/>
        </w:numPr>
        <w:spacing w:before="240" w:after="240"/>
        <w:jc w:val="both"/>
        <w:rPr>
          <w:rFonts w:ascii="Arial" w:hAnsi="Arial"/>
          <w:sz w:val="22"/>
          <w:lang w:val="es-CO"/>
        </w:rPr>
      </w:pPr>
      <w:r w:rsidRPr="0011752D">
        <w:rPr>
          <w:rFonts w:ascii="Arial" w:hAnsi="Arial"/>
          <w:sz w:val="22"/>
          <w:lang w:val="es-CO"/>
        </w:rPr>
        <w:t>Adoptado el Plan Transitorio de Abastecimiento de GN (se realizó mediante Resolución MME 40006 del 04/01/2017 la cual define las obras).</w:t>
      </w:r>
    </w:p>
    <w:p w14:paraId="2341AA3F" w14:textId="77777777" w:rsidR="0011752D" w:rsidRPr="0011752D" w:rsidRDefault="0011752D" w:rsidP="0011752D">
      <w:pPr>
        <w:numPr>
          <w:ilvl w:val="0"/>
          <w:numId w:val="42"/>
        </w:numPr>
        <w:spacing w:before="240" w:after="240"/>
        <w:jc w:val="both"/>
        <w:rPr>
          <w:rFonts w:ascii="Arial" w:hAnsi="Arial"/>
          <w:sz w:val="22"/>
          <w:lang w:val="es-CO"/>
        </w:rPr>
      </w:pPr>
      <w:r w:rsidRPr="0011752D">
        <w:rPr>
          <w:rFonts w:ascii="Arial" w:hAnsi="Arial"/>
          <w:sz w:val="22"/>
          <w:lang w:val="es-CO"/>
        </w:rPr>
        <w:t>Que haya entrado en operación el Gestor del Mercado de GN y su operación se encuentre estabilizada con indicadores de mercado.</w:t>
      </w:r>
    </w:p>
    <w:p w14:paraId="2341AA40"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El beneficio central de las reformas de política consiste en optimizar el excedente del consumidor en la medida que el incremento de la oferta de gas natural para todos los sectores consumidores genera mayores posibilidades a las plantas térmicas del interior del país que actualmente se respaldan con combustibles líquidos costosos como el Diésel y el Jet Fuel, para acceder a suministro de gas y así ofertar precios más competitivos en el despacho, lo cual puede conducir a precios marginales menores que con líquidos.</w:t>
      </w:r>
    </w:p>
    <w:p w14:paraId="2341AA41" w14:textId="77777777" w:rsidR="0011752D" w:rsidRPr="0011752D" w:rsidRDefault="0011752D" w:rsidP="0011752D">
      <w:pPr>
        <w:numPr>
          <w:ilvl w:val="0"/>
          <w:numId w:val="43"/>
        </w:numPr>
        <w:spacing w:before="240" w:after="240"/>
        <w:jc w:val="both"/>
        <w:rPr>
          <w:rFonts w:ascii="Arial" w:hAnsi="Arial"/>
          <w:b/>
          <w:sz w:val="22"/>
          <w:lang w:val="es-CO"/>
        </w:rPr>
      </w:pPr>
      <w:r w:rsidRPr="0011752D">
        <w:rPr>
          <w:rFonts w:ascii="Arial" w:hAnsi="Arial"/>
          <w:b/>
          <w:sz w:val="22"/>
          <w:lang w:val="es-CO"/>
        </w:rPr>
        <w:t>Beneficios de potenciales ajustes al esquema de comercialización mayorista de gas natural y la consolidación del funcionamiento del Gestor del Mercado</w:t>
      </w:r>
    </w:p>
    <w:p w14:paraId="2341AA42"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Los ajustes que propone la CREG al esquema de comercialización pueden facilitar el acceso de los generadores térmicos del interior al gas natural y así potencializar las oportunidades para ofertar precios más competitivos que con combustibles líquidos en la Bolsa.</w:t>
      </w:r>
      <w:r w:rsidRPr="0011752D">
        <w:rPr>
          <w:rFonts w:ascii="Arial" w:hAnsi="Arial"/>
          <w:sz w:val="22"/>
          <w:vertAlign w:val="superscript"/>
          <w:lang w:val="es-CO"/>
        </w:rPr>
        <w:footnoteReference w:id="27"/>
      </w:r>
    </w:p>
    <w:p w14:paraId="2341AA43"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El funcionamiento del mercado mayorista de gas natural se refiere a la forma como se dan las transacciones de suministro y transporte de gas en los mercados primario, secundario y de corto plazo, de acuerdo con las reglas de la CREG sobre diseño de contratos (firmes, de firmeza condicionada, opciones de compra de gas, términos de los mismos, etc.), negociación de los mismos (negociaciones directas o subastas – mecanismos de úselo o véndalo, etc.).</w:t>
      </w:r>
      <w:r w:rsidRPr="0011752D">
        <w:rPr>
          <w:rFonts w:ascii="Arial" w:hAnsi="Arial"/>
          <w:sz w:val="22"/>
          <w:vertAlign w:val="superscript"/>
          <w:lang w:val="es-CO"/>
        </w:rPr>
        <w:footnoteReference w:id="28"/>
      </w:r>
    </w:p>
    <w:p w14:paraId="2341AA44"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La CREG ha venido estudiando alternativas de ajuste a los contratos de suministro, las cuales podrían ser atractivas para la generación térmica, ya que podrían facilitarles a las plantas respaldadas con combustibles líquidos la suscripción de contratos que permitan su despacho a precios más competitivos, posiblemente en mercados de menor plazo (por ejemplo, hasta un año).</w:t>
      </w:r>
    </w:p>
    <w:p w14:paraId="2341AA45" w14:textId="77777777" w:rsidR="0011752D" w:rsidRPr="0011752D" w:rsidRDefault="0011752D" w:rsidP="0011752D">
      <w:pPr>
        <w:numPr>
          <w:ilvl w:val="0"/>
          <w:numId w:val="43"/>
        </w:numPr>
        <w:spacing w:before="240" w:after="240"/>
        <w:jc w:val="both"/>
        <w:rPr>
          <w:rFonts w:ascii="Arial" w:hAnsi="Arial"/>
          <w:b/>
          <w:sz w:val="22"/>
          <w:lang w:val="es-CO"/>
        </w:rPr>
      </w:pPr>
      <w:r w:rsidRPr="0011752D">
        <w:rPr>
          <w:rFonts w:ascii="Arial" w:hAnsi="Arial"/>
          <w:b/>
          <w:sz w:val="22"/>
          <w:lang w:val="es-CO"/>
        </w:rPr>
        <w:t>Beneficios de construcción de la infraestructura de confiabilidad y seguridad del abastecimiento del Plan Transitorio de Gas Natural</w:t>
      </w:r>
    </w:p>
    <w:p w14:paraId="2341AA46"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El Plan Transitorio de Gas Natural (y a futuro los planes de abastecimiento de gas natural) permitirán la definición de aquella infraestructura orientada a confiabilidad y seguridad del </w:t>
      </w:r>
      <w:r w:rsidRPr="0011752D">
        <w:rPr>
          <w:rFonts w:ascii="Arial" w:hAnsi="Arial"/>
          <w:sz w:val="22"/>
          <w:lang w:val="es-CO"/>
        </w:rPr>
        <w:lastRenderedPageBreak/>
        <w:t>suministro.</w:t>
      </w:r>
      <w:r w:rsidRPr="0011752D">
        <w:rPr>
          <w:rFonts w:ascii="Arial" w:hAnsi="Arial"/>
          <w:sz w:val="22"/>
          <w:vertAlign w:val="superscript"/>
          <w:lang w:val="es-CO"/>
        </w:rPr>
        <w:footnoteReference w:id="29"/>
      </w:r>
      <w:r w:rsidRPr="0011752D">
        <w:rPr>
          <w:rFonts w:ascii="Arial" w:hAnsi="Arial"/>
          <w:sz w:val="22"/>
          <w:lang w:val="es-CO"/>
        </w:rPr>
        <w:t>/</w:t>
      </w:r>
      <w:r w:rsidRPr="0011752D">
        <w:rPr>
          <w:rFonts w:ascii="Arial" w:hAnsi="Arial"/>
          <w:sz w:val="22"/>
          <w:vertAlign w:val="superscript"/>
          <w:lang w:val="es-CO"/>
        </w:rPr>
        <w:footnoteReference w:id="30"/>
      </w:r>
      <w:r w:rsidRPr="0011752D">
        <w:rPr>
          <w:rFonts w:ascii="Arial" w:hAnsi="Arial"/>
          <w:sz w:val="22"/>
          <w:lang w:val="es-CO"/>
        </w:rPr>
        <w:t xml:space="preserve"> Este Plan, adoptado mediante la Resolución del MME arriba anotada, define como obras a ser ejecutadas las siguientes:</w:t>
      </w:r>
    </w:p>
    <w:p w14:paraId="2341AA47" w14:textId="77777777" w:rsidR="0011752D" w:rsidRPr="0011752D" w:rsidRDefault="0011752D" w:rsidP="0011752D">
      <w:pPr>
        <w:numPr>
          <w:ilvl w:val="0"/>
          <w:numId w:val="45"/>
        </w:numPr>
        <w:spacing w:before="240" w:after="240"/>
        <w:jc w:val="both"/>
        <w:rPr>
          <w:rFonts w:ascii="Arial" w:hAnsi="Arial"/>
          <w:sz w:val="22"/>
          <w:lang w:val="es-CO"/>
        </w:rPr>
      </w:pPr>
      <w:r w:rsidRPr="0011752D">
        <w:rPr>
          <w:rFonts w:ascii="Arial" w:hAnsi="Arial"/>
          <w:sz w:val="22"/>
          <w:lang w:val="es-CO"/>
        </w:rPr>
        <w:t xml:space="preserve">Planta de regasificación en Buenaventura de </w:t>
      </w:r>
      <w:bookmarkStart w:id="74" w:name="_GoBack"/>
      <w:r w:rsidRPr="0011752D">
        <w:rPr>
          <w:rFonts w:ascii="Arial" w:hAnsi="Arial"/>
          <w:sz w:val="22"/>
          <w:lang w:val="es-CO"/>
        </w:rPr>
        <w:t>400</w:t>
      </w:r>
      <w:bookmarkEnd w:id="74"/>
      <w:r w:rsidRPr="0011752D">
        <w:rPr>
          <w:rFonts w:ascii="Arial" w:hAnsi="Arial"/>
          <w:sz w:val="22"/>
          <w:lang w:val="es-CO"/>
        </w:rPr>
        <w:t xml:space="preserve"> MPCD</w:t>
      </w:r>
      <w:r w:rsidRPr="0011752D">
        <w:rPr>
          <w:rFonts w:ascii="Arial" w:hAnsi="Arial"/>
          <w:sz w:val="22"/>
          <w:vertAlign w:val="superscript"/>
          <w:lang w:val="es-CO"/>
        </w:rPr>
        <w:footnoteReference w:id="31"/>
      </w:r>
      <w:r w:rsidRPr="0011752D">
        <w:rPr>
          <w:rFonts w:ascii="Arial" w:hAnsi="Arial"/>
          <w:sz w:val="22"/>
          <w:lang w:val="es-CO"/>
        </w:rPr>
        <w:t>, capacidad de almacenamiento de 170.000 m3 de gas natural licuado (GNL) y fecha de entrada en operación en enero del año 2021.</w:t>
      </w:r>
    </w:p>
    <w:p w14:paraId="2341AA48" w14:textId="77777777" w:rsidR="0011752D" w:rsidRPr="0011752D" w:rsidRDefault="0011752D" w:rsidP="0011752D">
      <w:pPr>
        <w:numPr>
          <w:ilvl w:val="0"/>
          <w:numId w:val="45"/>
        </w:numPr>
        <w:spacing w:before="240" w:after="240"/>
        <w:jc w:val="both"/>
        <w:rPr>
          <w:rFonts w:ascii="Arial" w:hAnsi="Arial"/>
          <w:sz w:val="22"/>
          <w:lang w:val="es-CO"/>
        </w:rPr>
      </w:pPr>
      <w:r w:rsidRPr="0011752D">
        <w:rPr>
          <w:rFonts w:ascii="Arial" w:hAnsi="Arial"/>
          <w:sz w:val="22"/>
          <w:lang w:val="es-CO"/>
        </w:rPr>
        <w:t>Complementariamente:</w:t>
      </w:r>
    </w:p>
    <w:p w14:paraId="2341AA49" w14:textId="77777777" w:rsidR="0011752D" w:rsidRPr="0011752D" w:rsidRDefault="0011752D" w:rsidP="0011752D">
      <w:pPr>
        <w:numPr>
          <w:ilvl w:val="1"/>
          <w:numId w:val="45"/>
        </w:numPr>
        <w:spacing w:before="240" w:after="240"/>
        <w:jc w:val="both"/>
        <w:rPr>
          <w:rFonts w:ascii="Arial" w:hAnsi="Arial"/>
          <w:sz w:val="22"/>
          <w:lang w:val="es-CO"/>
        </w:rPr>
      </w:pPr>
      <w:r w:rsidRPr="0011752D">
        <w:rPr>
          <w:rFonts w:ascii="Arial" w:hAnsi="Arial"/>
          <w:sz w:val="22"/>
          <w:lang w:val="es-CO"/>
        </w:rPr>
        <w:t>Construcción del gasoducto desde ese puerto a Yumbo (cercano a Cali) con capacidad de transporte de 450 MPCD, 102 km y entrada en operación también en enero de 2021.</w:t>
      </w:r>
    </w:p>
    <w:p w14:paraId="2341AA4A" w14:textId="77777777" w:rsidR="0011752D" w:rsidRPr="0011752D" w:rsidRDefault="0011752D" w:rsidP="0011752D">
      <w:pPr>
        <w:numPr>
          <w:ilvl w:val="1"/>
          <w:numId w:val="45"/>
        </w:numPr>
        <w:spacing w:before="240" w:after="240"/>
        <w:jc w:val="both"/>
        <w:rPr>
          <w:rFonts w:ascii="Arial" w:hAnsi="Arial"/>
          <w:sz w:val="22"/>
          <w:lang w:val="es-CO"/>
        </w:rPr>
      </w:pPr>
      <w:r w:rsidRPr="0011752D">
        <w:rPr>
          <w:rFonts w:ascii="Arial" w:hAnsi="Arial"/>
          <w:sz w:val="22"/>
          <w:lang w:val="es-CO"/>
        </w:rPr>
        <w:t>Bi-direccionalidad del gasoducto Yumbo - Mariquita para permitir el acceso del gas natural importado por Buenaventura (GNL) aguas arriba de Yumbo, producirán beneficios para el MEM, en particular para el consumidor de energía eléctrica, en la medida que las plantas térmicas a gas del interior del país (que actualmente se respaldan con líquidos para el Cargo por Confiabilidad), pueden tener acceso al GNL importado y oferten menores precios respecto a las ofertas que se dan con combustibles líquidos. Comprende obras de adecuación mediante estaciones de compresión.</w:t>
      </w:r>
    </w:p>
    <w:p w14:paraId="2341AA4B" w14:textId="77777777" w:rsidR="0011752D" w:rsidRPr="0011752D" w:rsidRDefault="0011752D" w:rsidP="0011752D">
      <w:pPr>
        <w:numPr>
          <w:ilvl w:val="1"/>
          <w:numId w:val="45"/>
        </w:numPr>
        <w:spacing w:before="240" w:after="240"/>
        <w:jc w:val="both"/>
        <w:rPr>
          <w:rFonts w:ascii="Arial" w:hAnsi="Arial"/>
          <w:sz w:val="22"/>
          <w:lang w:val="es-CO"/>
        </w:rPr>
      </w:pPr>
      <w:r w:rsidRPr="0011752D">
        <w:rPr>
          <w:rFonts w:ascii="Arial" w:hAnsi="Arial"/>
          <w:sz w:val="22"/>
          <w:lang w:val="es-CO"/>
        </w:rPr>
        <w:t>Bi-direccionalidad del gasoducto Barrancabermeja – Ballena (Guajira) y del gasoducto Barranquilla – Ballena que permitirán la conducción de gas desde el interior del país a la Costa Atlántica, así como del GNL importado por Cartagena (o nuevos descubrimientos en esa región) hacia el interior. La fecha de entrada en operación es enero del año 2020.</w:t>
      </w:r>
    </w:p>
    <w:p w14:paraId="2341AA4C"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Corresponde a la CREG definir la regulación de la remuneración y acceso a la infraestructura, así como la forma de selección del inversionista de los proyectos de confiabilidad y seguridad que no correspondan en primera instancia al transportador incumbente.</w:t>
      </w:r>
    </w:p>
    <w:p w14:paraId="2341AA4D"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A la fecha del presente informe no se ha publicado, ni adoptado por parte de la CREG una propuesta relacionada con la remuneración, asignación de costos, asignación y acceso a la capacidad entre usuarios de la planta (lo cual es clave en relación con las </w:t>
      </w:r>
      <w:r w:rsidRPr="0011752D">
        <w:rPr>
          <w:rFonts w:ascii="Arial" w:hAnsi="Arial"/>
          <w:sz w:val="22"/>
          <w:lang w:val="es-CO"/>
        </w:rPr>
        <w:lastRenderedPageBreak/>
        <w:t>plantas térmicas del interior), ni procedimientos y criterios de selección del inversionista de la planta de regasificación en Buenaventura.</w:t>
      </w:r>
      <w:r w:rsidRPr="0011752D">
        <w:rPr>
          <w:rFonts w:ascii="Arial" w:hAnsi="Arial"/>
          <w:sz w:val="22"/>
          <w:vertAlign w:val="superscript"/>
          <w:lang w:val="es-CO"/>
        </w:rPr>
        <w:footnoteReference w:id="32"/>
      </w:r>
      <w:r w:rsidRPr="0011752D">
        <w:rPr>
          <w:rFonts w:ascii="Arial" w:hAnsi="Arial"/>
          <w:sz w:val="22"/>
          <w:lang w:val="es-CO"/>
        </w:rPr>
        <w:t xml:space="preserve"> </w:t>
      </w:r>
    </w:p>
    <w:p w14:paraId="2341AA4E"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Los supuestos que subyacen en la materialización de los beneficios producidos por las medidas de intervención propuestas son dos;</w:t>
      </w:r>
    </w:p>
    <w:p w14:paraId="2341AA4F" w14:textId="77777777" w:rsidR="0011752D" w:rsidRPr="0011752D" w:rsidRDefault="0011752D" w:rsidP="0011752D">
      <w:pPr>
        <w:numPr>
          <w:ilvl w:val="0"/>
          <w:numId w:val="44"/>
        </w:numPr>
        <w:spacing w:before="240" w:after="240"/>
        <w:jc w:val="both"/>
        <w:rPr>
          <w:rFonts w:ascii="Arial" w:hAnsi="Arial"/>
          <w:sz w:val="22"/>
          <w:lang w:val="es-CO"/>
        </w:rPr>
      </w:pPr>
      <w:r w:rsidRPr="0011752D">
        <w:rPr>
          <w:rFonts w:ascii="Arial" w:hAnsi="Arial"/>
          <w:sz w:val="22"/>
          <w:lang w:val="es-CO"/>
        </w:rPr>
        <w:t>Que los ajustes al esquema de comercialización, conjuntamente con la mayor oferta de gas natural, le permitirá a las plantas térmicas del interior mayores oportunidades de acceso al suministro y transporte de gas en condiciones económicas que les resulten viables frente a las oportunidades del mercado de energía mayorista.</w:t>
      </w:r>
    </w:p>
    <w:p w14:paraId="2341AA50" w14:textId="77777777" w:rsidR="0011752D" w:rsidRPr="0011752D" w:rsidRDefault="0011752D" w:rsidP="0011752D">
      <w:pPr>
        <w:numPr>
          <w:ilvl w:val="0"/>
          <w:numId w:val="44"/>
        </w:numPr>
        <w:spacing w:before="240" w:after="240"/>
        <w:jc w:val="both"/>
        <w:rPr>
          <w:rFonts w:ascii="Arial" w:hAnsi="Arial"/>
          <w:sz w:val="22"/>
          <w:lang w:val="es-CO"/>
        </w:rPr>
      </w:pPr>
      <w:r w:rsidRPr="0011752D">
        <w:rPr>
          <w:rFonts w:ascii="Arial" w:hAnsi="Arial"/>
          <w:sz w:val="22"/>
          <w:lang w:val="es-CO"/>
        </w:rPr>
        <w:t>Que el acceso al gas que tengan las plantas térmicas del interior redunden en menores precios en el MEM (en bolsa y en contratos).</w:t>
      </w:r>
    </w:p>
    <w:p w14:paraId="2341AA51"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La medición de los beneficios, entonces, se da a través de la estimación del incremento en el excedente del consumidor de energía eléctrica que se lograría con los menores precios en Bolsa y en contratos que puedan asignarse con claridad a tales medidas, en forma semejante a la metodología expuesta en </w:t>
      </w:r>
      <w:r w:rsidRPr="0011752D">
        <w:rPr>
          <w:rFonts w:ascii="Arial" w:hAnsi="Arial"/>
          <w:sz w:val="22"/>
          <w:lang w:val="es-CO"/>
        </w:rPr>
        <w:fldChar w:fldCharType="begin"/>
      </w:r>
      <w:r w:rsidRPr="0011752D">
        <w:rPr>
          <w:rFonts w:ascii="Arial" w:hAnsi="Arial"/>
          <w:sz w:val="22"/>
          <w:lang w:val="es-CO"/>
        </w:rPr>
        <w:instrText xml:space="preserve"> REF _Ref470459248 \r \h </w:instrText>
      </w:r>
      <w:r w:rsidRPr="0011752D">
        <w:rPr>
          <w:rFonts w:ascii="Arial" w:hAnsi="Arial"/>
          <w:sz w:val="22"/>
          <w:lang w:val="es-CO"/>
        </w:rPr>
      </w:r>
      <w:r w:rsidRPr="0011752D">
        <w:rPr>
          <w:rFonts w:ascii="Arial" w:hAnsi="Arial"/>
          <w:sz w:val="22"/>
          <w:lang w:val="es-CO"/>
        </w:rPr>
        <w:fldChar w:fldCharType="separate"/>
      </w:r>
      <w:r w:rsidRPr="0011752D">
        <w:rPr>
          <w:rFonts w:ascii="Arial" w:hAnsi="Arial"/>
          <w:sz w:val="22"/>
          <w:lang w:val="es-CO"/>
        </w:rPr>
        <w:t>2.1</w:t>
      </w:r>
      <w:r w:rsidRPr="0011752D">
        <w:rPr>
          <w:rFonts w:ascii="Arial" w:hAnsi="Arial"/>
          <w:sz w:val="22"/>
          <w:lang w:val="es-CO"/>
        </w:rPr>
        <w:fldChar w:fldCharType="end"/>
      </w:r>
      <w:r w:rsidRPr="0011752D">
        <w:rPr>
          <w:rFonts w:ascii="Arial" w:hAnsi="Arial"/>
          <w:sz w:val="22"/>
          <w:lang w:val="es-CO"/>
        </w:rPr>
        <w:t>.</w:t>
      </w:r>
    </w:p>
    <w:p w14:paraId="2341AA52"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Sin embargo, dado que a la fecha del presente informe existe total incertidumbre sobre las reglas relacionadas con la planta de regasificación en Buenaventura, así como el impacto que la misma tendrá sobre la generación térmica del interior del país, no se cuenta con la información razonablemente necesaria para estimar los beneficios desde un punto de vista social.</w:t>
      </w:r>
      <w:r w:rsidRPr="0011752D">
        <w:rPr>
          <w:rFonts w:ascii="Arial" w:hAnsi="Arial"/>
          <w:sz w:val="22"/>
          <w:vertAlign w:val="superscript"/>
          <w:lang w:val="es-CO"/>
        </w:rPr>
        <w:footnoteReference w:id="33"/>
      </w:r>
    </w:p>
    <w:p w14:paraId="2341AA53"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CO"/>
        </w:rPr>
      </w:pPr>
      <w:bookmarkStart w:id="75" w:name="_Toc474797031"/>
      <w:r w:rsidRPr="0011752D">
        <w:rPr>
          <w:rFonts w:ascii="Arial" w:hAnsi="Arial"/>
          <w:b/>
          <w:color w:val="1F3864"/>
          <w:szCs w:val="26"/>
          <w:lang w:val="es-CO"/>
        </w:rPr>
        <w:t>Evaluación económica de las medidas relacionadas con la GEDE</w:t>
      </w:r>
      <w:bookmarkEnd w:id="75"/>
    </w:p>
    <w:p w14:paraId="2341AA54" w14:textId="77777777" w:rsidR="0011752D" w:rsidRPr="0011752D" w:rsidRDefault="0011752D" w:rsidP="0011752D">
      <w:pPr>
        <w:keepNext/>
        <w:keepLines/>
        <w:numPr>
          <w:ilvl w:val="2"/>
          <w:numId w:val="0"/>
        </w:numPr>
        <w:spacing w:before="360" w:after="360"/>
        <w:ind w:left="720" w:hanging="720"/>
        <w:jc w:val="both"/>
        <w:outlineLvl w:val="2"/>
        <w:rPr>
          <w:rFonts w:ascii="Arial" w:hAnsi="Arial"/>
          <w:b/>
          <w:color w:val="1F4D78"/>
          <w:sz w:val="22"/>
          <w:szCs w:val="24"/>
          <w:lang w:val="es-ES"/>
        </w:rPr>
      </w:pPr>
      <w:bookmarkStart w:id="76" w:name="_Toc474797032"/>
      <w:r w:rsidRPr="0011752D">
        <w:rPr>
          <w:rFonts w:ascii="Arial" w:hAnsi="Arial"/>
          <w:b/>
          <w:color w:val="1F4D78"/>
          <w:sz w:val="22"/>
          <w:szCs w:val="24"/>
          <w:lang w:val="es-ES"/>
        </w:rPr>
        <w:t>Supuestos y metodología</w:t>
      </w:r>
      <w:bookmarkEnd w:id="76"/>
    </w:p>
    <w:p w14:paraId="2341AA55" w14:textId="77777777" w:rsidR="0011752D" w:rsidRPr="0011752D" w:rsidRDefault="0011752D" w:rsidP="0011752D">
      <w:pPr>
        <w:spacing w:before="120"/>
        <w:jc w:val="both"/>
        <w:rPr>
          <w:rFonts w:ascii="Arial" w:hAnsi="Arial"/>
          <w:sz w:val="22"/>
          <w:lang w:val="es-CO"/>
        </w:rPr>
      </w:pPr>
      <w:r w:rsidRPr="0011752D">
        <w:rPr>
          <w:rFonts w:ascii="Arial" w:hAnsi="Arial"/>
          <w:sz w:val="22"/>
          <w:lang w:val="es-CO"/>
        </w:rPr>
        <w:t>El objetivo del Subcomponente 2.2 que se considera pertinente para la evaluación económica es el relacionado con administrar la demanda en el campo de la eficiencia energética a través del programa PROURE. Recientemente el MME aprobó la Resolución 41286 “</w:t>
      </w:r>
      <w:r w:rsidRPr="0011752D">
        <w:rPr>
          <w:rFonts w:ascii="Arial" w:hAnsi="Arial"/>
          <w:i/>
          <w:sz w:val="22"/>
          <w:lang w:val="es-CO"/>
        </w:rPr>
        <w:t>Por la cual se adopta el Plan de Acción Indicativo 2017-2022 para el desarrollo del Programa de Uso Racional y Eficiente de la Energía (Proure), que define objetivos y metas indicativas de eficiencia energética, acciones y medidas sectoriales y estrategias base para el cumplimiento de metas y se adoptan otras disposiciones al respecto.</w:t>
      </w:r>
      <w:r w:rsidRPr="0011752D">
        <w:rPr>
          <w:rFonts w:ascii="Arial" w:hAnsi="Arial"/>
          <w:sz w:val="22"/>
          <w:lang w:val="es-CO"/>
        </w:rPr>
        <w:t>” Como se puede observar, se trata de planes y programas indicativos.</w:t>
      </w:r>
    </w:p>
    <w:p w14:paraId="2341AA56" w14:textId="77777777" w:rsidR="0011752D" w:rsidRPr="0011752D" w:rsidRDefault="0011752D" w:rsidP="0011752D">
      <w:pPr>
        <w:spacing w:before="120"/>
        <w:jc w:val="both"/>
        <w:rPr>
          <w:rFonts w:ascii="Arial" w:hAnsi="Arial"/>
          <w:sz w:val="22"/>
          <w:lang w:val="es-CO"/>
        </w:rPr>
      </w:pPr>
      <w:r w:rsidRPr="0011752D">
        <w:rPr>
          <w:rFonts w:ascii="Arial" w:hAnsi="Arial"/>
          <w:sz w:val="22"/>
          <w:lang w:val="es-CO"/>
        </w:rPr>
        <w:t>En el contexto del MEM el supuesto central es que los precios de la Bolsa son eficientes. Dado lo anterior, los beneficios se determinan como el ahorro neto que se obtiene por menor energía consumida valorada a los precios de Bolsa.</w:t>
      </w:r>
    </w:p>
    <w:p w14:paraId="2341AA57" w14:textId="77777777" w:rsidR="0011752D" w:rsidRPr="0011752D" w:rsidRDefault="0011752D" w:rsidP="0011752D">
      <w:pPr>
        <w:spacing w:before="120"/>
        <w:jc w:val="both"/>
        <w:rPr>
          <w:rFonts w:ascii="Arial" w:hAnsi="Arial"/>
          <w:sz w:val="22"/>
          <w:lang w:val="es-CO"/>
        </w:rPr>
      </w:pPr>
      <w:r w:rsidRPr="0011752D">
        <w:rPr>
          <w:rFonts w:ascii="Arial" w:hAnsi="Arial"/>
          <w:sz w:val="22"/>
          <w:lang w:val="es-CO"/>
        </w:rPr>
        <w:lastRenderedPageBreak/>
        <w:t>De esta manera, la valoración de los beneficios corresponde a la aplicación del análisis costo beneficio (ACB), expresados en forma general de la siguiente manera:</w:t>
      </w:r>
    </w:p>
    <w:p w14:paraId="2341AA58" w14:textId="77777777" w:rsidR="0011752D" w:rsidRPr="0011752D" w:rsidRDefault="0011752D" w:rsidP="0011752D">
      <w:pPr>
        <w:spacing w:before="240" w:after="240"/>
        <w:jc w:val="both"/>
        <w:rPr>
          <w:rFonts w:ascii="Arial" w:hAnsi="Arial"/>
          <w:sz w:val="22"/>
          <w:lang w:val="es-CO"/>
        </w:rPr>
      </w:pPr>
      <m:oMathPara>
        <m:oMath>
          <m:r>
            <w:rPr>
              <w:rFonts w:ascii="Cambria Math" w:hAnsi="Cambria Math"/>
              <w:sz w:val="22"/>
              <w:lang w:val="es-CO"/>
            </w:rPr>
            <m:t>B=Pb*</m:t>
          </m:r>
          <m:d>
            <m:dPr>
              <m:ctrlPr>
                <w:rPr>
                  <w:rFonts w:ascii="Cambria Math" w:hAnsi="Cambria Math"/>
                  <w:i/>
                  <w:sz w:val="22"/>
                  <w:lang w:val="es-CO"/>
                </w:rPr>
              </m:ctrlPr>
            </m:dPr>
            <m:e>
              <m:sSub>
                <m:sSubPr>
                  <m:ctrlPr>
                    <w:rPr>
                      <w:rFonts w:ascii="Cambria Math" w:hAnsi="Cambria Math"/>
                      <w:i/>
                      <w:sz w:val="22"/>
                      <w:lang w:val="es-CO"/>
                    </w:rPr>
                  </m:ctrlPr>
                </m:sSubPr>
                <m:e>
                  <m:r>
                    <w:rPr>
                      <w:rFonts w:ascii="Cambria Math" w:hAnsi="Cambria Math"/>
                      <w:sz w:val="22"/>
                      <w:lang w:val="es-CO"/>
                    </w:rPr>
                    <m:t>E</m:t>
                  </m:r>
                </m:e>
                <m:sub>
                  <m:r>
                    <w:rPr>
                      <w:rFonts w:ascii="Cambria Math" w:hAnsi="Cambria Math"/>
                      <w:sz w:val="22"/>
                      <w:lang w:val="es-CO"/>
                    </w:rPr>
                    <m:t>Sin Ref</m:t>
                  </m:r>
                </m:sub>
              </m:sSub>
              <m:r>
                <w:rPr>
                  <w:rFonts w:ascii="Cambria Math" w:hAnsi="Cambria Math"/>
                  <w:sz w:val="22"/>
                  <w:lang w:val="es-CO"/>
                </w:rPr>
                <m:t>-</m:t>
              </m:r>
              <m:sSub>
                <m:sSubPr>
                  <m:ctrlPr>
                    <w:rPr>
                      <w:rFonts w:ascii="Cambria Math" w:hAnsi="Cambria Math"/>
                      <w:i/>
                      <w:sz w:val="22"/>
                      <w:lang w:val="es-CO"/>
                    </w:rPr>
                  </m:ctrlPr>
                </m:sSubPr>
                <m:e>
                  <m:r>
                    <w:rPr>
                      <w:rFonts w:ascii="Cambria Math" w:hAnsi="Cambria Math"/>
                      <w:sz w:val="22"/>
                      <w:lang w:val="es-CO"/>
                    </w:rPr>
                    <m:t>E</m:t>
                  </m:r>
                </m:e>
                <m:sub>
                  <m:r>
                    <w:rPr>
                      <w:rFonts w:ascii="Cambria Math" w:hAnsi="Cambria Math"/>
                      <w:sz w:val="22"/>
                      <w:lang w:val="es-CO"/>
                    </w:rPr>
                    <m:t>CON Ref</m:t>
                  </m:r>
                </m:sub>
              </m:sSub>
            </m:e>
          </m:d>
          <m:r>
            <w:rPr>
              <w:rFonts w:ascii="Cambria Math" w:hAnsi="Cambria Math"/>
              <w:sz w:val="22"/>
              <w:lang w:val="es-CO"/>
            </w:rPr>
            <m:t>-</m:t>
          </m:r>
          <m:sSub>
            <m:sSubPr>
              <m:ctrlPr>
                <w:rPr>
                  <w:rFonts w:ascii="Cambria Math" w:hAnsi="Cambria Math"/>
                  <w:i/>
                  <w:sz w:val="22"/>
                  <w:lang w:val="es-CO"/>
                </w:rPr>
              </m:ctrlPr>
            </m:sSubPr>
            <m:e>
              <m:r>
                <w:rPr>
                  <w:rFonts w:ascii="Cambria Math" w:hAnsi="Cambria Math"/>
                  <w:sz w:val="22"/>
                  <w:lang w:val="es-CO"/>
                </w:rPr>
                <m:t>(INV</m:t>
              </m:r>
            </m:e>
            <m:sub>
              <m:r>
                <w:rPr>
                  <w:rFonts w:ascii="Cambria Math" w:hAnsi="Cambria Math"/>
                  <w:sz w:val="22"/>
                  <w:lang w:val="es-CO"/>
                </w:rPr>
                <m:t>PROURE</m:t>
              </m:r>
            </m:sub>
          </m:sSub>
          <m:r>
            <w:rPr>
              <w:rFonts w:ascii="Cambria Math" w:hAnsi="Cambria Math"/>
              <w:sz w:val="22"/>
              <w:lang w:val="es-CO"/>
            </w:rPr>
            <m:t xml:space="preserve">+ </m:t>
          </m:r>
          <m:sSub>
            <m:sSubPr>
              <m:ctrlPr>
                <w:rPr>
                  <w:rFonts w:ascii="Cambria Math" w:hAnsi="Cambria Math"/>
                  <w:i/>
                  <w:sz w:val="22"/>
                  <w:lang w:val="es-CO"/>
                </w:rPr>
              </m:ctrlPr>
            </m:sSubPr>
            <m:e>
              <m:r>
                <w:rPr>
                  <w:rFonts w:ascii="Cambria Math" w:hAnsi="Cambria Math"/>
                  <w:sz w:val="22"/>
                  <w:lang w:val="es-CO"/>
                </w:rPr>
                <m:t>AOM</m:t>
              </m:r>
            </m:e>
            <m:sub>
              <m:r>
                <w:rPr>
                  <w:rFonts w:ascii="Cambria Math" w:hAnsi="Cambria Math"/>
                  <w:sz w:val="22"/>
                  <w:lang w:val="es-CO"/>
                </w:rPr>
                <m:t>PROURE)</m:t>
              </m:r>
            </m:sub>
          </m:sSub>
          <m:r>
            <w:rPr>
              <w:rFonts w:ascii="Cambria Math" w:hAnsi="Cambria Math"/>
              <w:sz w:val="22"/>
              <w:lang w:val="es-CO"/>
            </w:rPr>
            <m:t>)</m:t>
          </m:r>
        </m:oMath>
      </m:oMathPara>
    </w:p>
    <w:p w14:paraId="2341AA59" w14:textId="77777777" w:rsidR="0011752D" w:rsidRPr="0011752D" w:rsidRDefault="0011752D" w:rsidP="0011752D">
      <w:pPr>
        <w:spacing w:before="120"/>
        <w:jc w:val="both"/>
        <w:rPr>
          <w:rFonts w:ascii="Arial" w:hAnsi="Arial"/>
          <w:sz w:val="22"/>
          <w:lang w:val="es-CO"/>
        </w:rPr>
      </w:pPr>
      <w:r w:rsidRPr="0011752D">
        <w:rPr>
          <w:rFonts w:ascii="Arial" w:hAnsi="Arial"/>
          <w:sz w:val="22"/>
          <w:lang w:val="es-CO"/>
        </w:rPr>
        <w:t>Donde (los términos de la expresión matemática se refieren a valor presente de los flujos utilizando la tasa de descuento propuesta por el Banco del 12% para un horizonte que se definirá de acuerdo con la información disponible):</w:t>
      </w:r>
    </w:p>
    <w:p w14:paraId="2341AA5A" w14:textId="77777777" w:rsidR="0011752D" w:rsidRPr="0011752D" w:rsidRDefault="0011752D" w:rsidP="0011752D">
      <w:pPr>
        <w:spacing w:before="240" w:after="240"/>
        <w:ind w:left="1418" w:hanging="1418"/>
        <w:jc w:val="both"/>
        <w:rPr>
          <w:rFonts w:ascii="Arial" w:hAnsi="Arial"/>
          <w:sz w:val="22"/>
          <w:lang w:val="es-CO"/>
        </w:rPr>
      </w:pPr>
      <w:r w:rsidRPr="0011752D">
        <w:rPr>
          <w:rFonts w:ascii="Arial" w:hAnsi="Arial"/>
          <w:sz w:val="22"/>
          <w:lang w:val="es-CO"/>
        </w:rPr>
        <w:t>B</w:t>
      </w:r>
      <w:r w:rsidRPr="0011752D">
        <w:rPr>
          <w:rFonts w:ascii="Arial" w:hAnsi="Arial"/>
          <w:sz w:val="22"/>
          <w:lang w:val="es-CO"/>
        </w:rPr>
        <w:tab/>
        <w:t>Son los beneficios</w:t>
      </w:r>
    </w:p>
    <w:p w14:paraId="2341AA5B" w14:textId="77777777" w:rsidR="0011752D" w:rsidRPr="0011752D" w:rsidRDefault="0011752D" w:rsidP="0011752D">
      <w:pPr>
        <w:spacing w:before="240" w:after="240"/>
        <w:ind w:left="1418" w:hanging="1418"/>
        <w:jc w:val="both"/>
        <w:rPr>
          <w:rFonts w:ascii="Arial" w:hAnsi="Arial"/>
          <w:sz w:val="22"/>
          <w:lang w:val="es-CO"/>
        </w:rPr>
      </w:pPr>
      <w:r w:rsidRPr="0011752D">
        <w:rPr>
          <w:rFonts w:ascii="Arial" w:hAnsi="Arial"/>
          <w:sz w:val="22"/>
          <w:lang w:val="es-CO"/>
        </w:rPr>
        <w:t>Pb</w:t>
      </w:r>
      <w:r w:rsidRPr="0011752D">
        <w:rPr>
          <w:rFonts w:ascii="Arial" w:hAnsi="Arial"/>
          <w:sz w:val="22"/>
          <w:lang w:val="es-CO"/>
        </w:rPr>
        <w:tab/>
        <w:t>Es el precio de bolsa para cada período de la energía consumida.</w:t>
      </w:r>
    </w:p>
    <w:p w14:paraId="2341AA5C" w14:textId="77777777" w:rsidR="0011752D" w:rsidRPr="0011752D" w:rsidRDefault="0011752D" w:rsidP="0011752D">
      <w:pPr>
        <w:spacing w:before="240" w:after="240"/>
        <w:ind w:left="1418" w:hanging="1418"/>
        <w:jc w:val="both"/>
        <w:rPr>
          <w:rFonts w:ascii="Arial" w:hAnsi="Arial"/>
          <w:sz w:val="22"/>
          <w:lang w:val="es-CO"/>
        </w:rPr>
      </w:pPr>
      <w:r w:rsidRPr="0011752D">
        <w:rPr>
          <w:rFonts w:ascii="Arial" w:hAnsi="Arial"/>
          <w:sz w:val="22"/>
          <w:lang w:val="es-CO"/>
        </w:rPr>
        <w:t>E</w:t>
      </w:r>
      <w:r w:rsidRPr="0011752D">
        <w:rPr>
          <w:rFonts w:ascii="Arial" w:hAnsi="Arial"/>
          <w:sz w:val="22"/>
          <w:lang w:val="es-CO"/>
        </w:rPr>
        <w:tab/>
        <w:t>Es la energía consumida en cada período sin reforma y con reforma.</w:t>
      </w:r>
    </w:p>
    <w:p w14:paraId="2341AA5D" w14:textId="77777777" w:rsidR="0011752D" w:rsidRPr="0011752D" w:rsidRDefault="0011752D" w:rsidP="0011752D">
      <w:pPr>
        <w:spacing w:before="240" w:after="240"/>
        <w:ind w:left="1418" w:hanging="1418"/>
        <w:jc w:val="both"/>
        <w:rPr>
          <w:rFonts w:ascii="Arial" w:hAnsi="Arial"/>
          <w:sz w:val="22"/>
          <w:lang w:val="es-CO"/>
        </w:rPr>
      </w:pPr>
      <w:r w:rsidRPr="0011752D">
        <w:rPr>
          <w:rFonts w:ascii="Arial" w:hAnsi="Arial"/>
          <w:sz w:val="22"/>
          <w:lang w:val="es-CO"/>
        </w:rPr>
        <w:t>INV y AOM</w:t>
      </w:r>
      <w:r w:rsidRPr="0011752D">
        <w:rPr>
          <w:rFonts w:ascii="Arial" w:hAnsi="Arial"/>
          <w:sz w:val="22"/>
          <w:lang w:val="es-CO"/>
        </w:rPr>
        <w:tab/>
        <w:t>Corresponde a la inversión y administración, operación y mantenimiento requeridos para implementar la medida de eficiencia energética.</w:t>
      </w:r>
    </w:p>
    <w:p w14:paraId="2341AA5E" w14:textId="77777777" w:rsidR="0011752D" w:rsidRPr="0011752D" w:rsidRDefault="0011752D" w:rsidP="0011752D">
      <w:pPr>
        <w:spacing w:before="240" w:after="240"/>
        <w:jc w:val="both"/>
        <w:rPr>
          <w:rFonts w:ascii="Arial" w:hAnsi="Arial"/>
          <w:sz w:val="22"/>
          <w:lang w:val="es-CO"/>
        </w:rPr>
      </w:pPr>
    </w:p>
    <w:p w14:paraId="2341AA5F" w14:textId="77777777" w:rsidR="0011752D" w:rsidRPr="0011752D" w:rsidRDefault="0011752D" w:rsidP="0011752D">
      <w:pPr>
        <w:keepNext/>
        <w:keepLines/>
        <w:numPr>
          <w:ilvl w:val="2"/>
          <w:numId w:val="0"/>
        </w:numPr>
        <w:spacing w:before="360" w:after="360"/>
        <w:ind w:left="720" w:hanging="720"/>
        <w:jc w:val="both"/>
        <w:outlineLvl w:val="2"/>
        <w:rPr>
          <w:rFonts w:ascii="Arial" w:hAnsi="Arial"/>
          <w:b/>
          <w:color w:val="1F4D78"/>
          <w:sz w:val="22"/>
          <w:szCs w:val="24"/>
          <w:lang w:val="es-CO"/>
        </w:rPr>
      </w:pPr>
      <w:bookmarkStart w:id="77" w:name="_Toc474797033"/>
      <w:r w:rsidRPr="0011752D">
        <w:rPr>
          <w:rFonts w:ascii="Arial" w:hAnsi="Arial"/>
          <w:b/>
          <w:color w:val="1F4D78"/>
          <w:sz w:val="22"/>
          <w:szCs w:val="24"/>
          <w:lang w:val="es-CO"/>
        </w:rPr>
        <w:t>Beneficios netos de las medidas de gestión eficiente de la demanda</w:t>
      </w:r>
      <w:bookmarkEnd w:id="77"/>
    </w:p>
    <w:p w14:paraId="2341AA60" w14:textId="77777777" w:rsidR="0011752D" w:rsidRPr="0011752D" w:rsidRDefault="0011752D" w:rsidP="0011752D">
      <w:pPr>
        <w:spacing w:before="120"/>
        <w:jc w:val="both"/>
        <w:rPr>
          <w:rFonts w:ascii="Arial" w:hAnsi="Arial"/>
          <w:sz w:val="22"/>
          <w:lang w:val="es-CO"/>
        </w:rPr>
      </w:pPr>
      <w:r w:rsidRPr="0011752D">
        <w:rPr>
          <w:rFonts w:ascii="Arial" w:hAnsi="Arial"/>
          <w:sz w:val="22"/>
          <w:lang w:val="es-CO"/>
        </w:rPr>
        <w:t xml:space="preserve">Según el Balance Energético de Colombia, se estima que el consumo energético del país alcanzó 1.219.827 TJ en 2015, de los cuales un 16% corresponden a energía eléctrica del SIN (aproximadamente 197.000 TJ o 54.000 GWh). El consumo eléctrico por sectores sigue la distribución que se resume en la </w:t>
      </w:r>
      <w:r w:rsidRPr="0011752D">
        <w:rPr>
          <w:rFonts w:ascii="Arial" w:hAnsi="Arial"/>
          <w:sz w:val="22"/>
          <w:lang w:val="es-CO"/>
        </w:rPr>
        <w:fldChar w:fldCharType="begin"/>
      </w:r>
      <w:r w:rsidRPr="0011752D">
        <w:rPr>
          <w:rFonts w:ascii="Arial" w:hAnsi="Arial"/>
          <w:sz w:val="22"/>
          <w:lang w:val="es-CO"/>
        </w:rPr>
        <w:instrText xml:space="preserve"> REF _Ref472067527 \h </w:instrText>
      </w:r>
      <w:r w:rsidRPr="0011752D">
        <w:rPr>
          <w:rFonts w:ascii="Arial" w:hAnsi="Arial"/>
          <w:sz w:val="22"/>
          <w:lang w:val="es-CO"/>
        </w:rPr>
      </w:r>
      <w:r w:rsidRPr="0011752D">
        <w:rPr>
          <w:rFonts w:ascii="Arial" w:hAnsi="Arial"/>
          <w:sz w:val="22"/>
          <w:lang w:val="es-CO"/>
        </w:rPr>
        <w:fldChar w:fldCharType="separate"/>
      </w:r>
      <w:r w:rsidRPr="0011752D">
        <w:rPr>
          <w:rFonts w:ascii="Arial" w:hAnsi="Arial"/>
          <w:b/>
          <w:sz w:val="22"/>
          <w:lang w:val="es-CO"/>
        </w:rPr>
        <w:t xml:space="preserve">Tabla </w:t>
      </w:r>
      <w:r w:rsidRPr="0011752D">
        <w:rPr>
          <w:rFonts w:ascii="Arial" w:hAnsi="Arial"/>
          <w:b/>
          <w:noProof/>
          <w:sz w:val="22"/>
          <w:lang w:val="es-CO"/>
        </w:rPr>
        <w:t>5</w:t>
      </w:r>
      <w:r w:rsidRPr="0011752D">
        <w:rPr>
          <w:rFonts w:ascii="Arial" w:hAnsi="Arial"/>
          <w:sz w:val="22"/>
          <w:lang w:val="es-CO"/>
        </w:rPr>
        <w:fldChar w:fldCharType="end"/>
      </w:r>
      <w:r w:rsidRPr="0011752D">
        <w:rPr>
          <w:rFonts w:ascii="Arial" w:hAnsi="Arial"/>
          <w:sz w:val="22"/>
          <w:lang w:val="es-CO"/>
        </w:rPr>
        <w:t>.</w:t>
      </w:r>
    </w:p>
    <w:p w14:paraId="2341AA61" w14:textId="77777777" w:rsidR="0011752D" w:rsidRPr="0011752D" w:rsidRDefault="0011752D" w:rsidP="0011752D">
      <w:pPr>
        <w:spacing w:before="120"/>
        <w:jc w:val="both"/>
        <w:rPr>
          <w:rFonts w:ascii="Arial" w:hAnsi="Arial"/>
          <w:sz w:val="22"/>
          <w:lang w:val="es-CO"/>
        </w:rPr>
      </w:pPr>
    </w:p>
    <w:p w14:paraId="2341AA62" w14:textId="77777777" w:rsidR="0011752D" w:rsidRPr="0011752D" w:rsidRDefault="0011752D" w:rsidP="0011752D">
      <w:pPr>
        <w:spacing w:before="120"/>
        <w:jc w:val="both"/>
        <w:rPr>
          <w:rFonts w:ascii="Arial" w:hAnsi="Arial"/>
          <w:sz w:val="22"/>
          <w:lang w:val="es-CO"/>
        </w:rPr>
      </w:pPr>
    </w:p>
    <w:p w14:paraId="2341AA63" w14:textId="77777777" w:rsidR="0011752D" w:rsidRPr="0011752D" w:rsidRDefault="0011752D" w:rsidP="0011752D">
      <w:pPr>
        <w:spacing w:before="120"/>
        <w:jc w:val="both"/>
        <w:rPr>
          <w:rFonts w:ascii="Arial" w:hAnsi="Arial"/>
          <w:sz w:val="22"/>
          <w:lang w:val="es-CO"/>
        </w:rPr>
      </w:pPr>
    </w:p>
    <w:p w14:paraId="2341AA64" w14:textId="77777777" w:rsidR="0011752D" w:rsidRPr="0011752D" w:rsidRDefault="0011752D" w:rsidP="0011752D">
      <w:pPr>
        <w:spacing w:before="120"/>
        <w:jc w:val="both"/>
        <w:rPr>
          <w:rFonts w:ascii="Arial" w:hAnsi="Arial"/>
          <w:sz w:val="22"/>
          <w:lang w:val="es-CO"/>
        </w:rPr>
      </w:pPr>
    </w:p>
    <w:p w14:paraId="2341AA65" w14:textId="77777777" w:rsidR="0011752D" w:rsidRPr="0011752D" w:rsidRDefault="0011752D" w:rsidP="0011752D">
      <w:pPr>
        <w:spacing w:before="120"/>
        <w:jc w:val="both"/>
        <w:rPr>
          <w:rFonts w:ascii="Arial" w:hAnsi="Arial"/>
          <w:sz w:val="22"/>
          <w:lang w:val="es-CO"/>
        </w:rPr>
      </w:pPr>
    </w:p>
    <w:p w14:paraId="2341AA66" w14:textId="77777777" w:rsidR="0011752D" w:rsidRPr="0011752D" w:rsidRDefault="0011752D" w:rsidP="0011752D">
      <w:pPr>
        <w:spacing w:before="240" w:after="240"/>
        <w:ind w:left="720"/>
        <w:jc w:val="center"/>
        <w:rPr>
          <w:rFonts w:ascii="Arial" w:hAnsi="Arial"/>
          <w:b/>
          <w:sz w:val="22"/>
          <w:lang w:val="es-CO"/>
        </w:rPr>
      </w:pPr>
      <w:bookmarkStart w:id="78" w:name="_Ref472067527"/>
      <w:bookmarkStart w:id="79" w:name="_Toc473268555"/>
      <w:bookmarkStart w:id="80" w:name="_Toc474797059"/>
      <w:r w:rsidRPr="0011752D">
        <w:rPr>
          <w:rFonts w:ascii="Arial" w:hAnsi="Arial"/>
          <w:b/>
          <w:sz w:val="22"/>
          <w:lang w:val="es-CO"/>
        </w:rPr>
        <w:t xml:space="preserve">Tabla </w:t>
      </w:r>
      <w:r w:rsidRPr="0011752D">
        <w:rPr>
          <w:rFonts w:ascii="Arial" w:hAnsi="Arial"/>
          <w:b/>
          <w:sz w:val="22"/>
          <w:lang w:val="es-CO"/>
        </w:rPr>
        <w:fldChar w:fldCharType="begin"/>
      </w:r>
      <w:r w:rsidRPr="0011752D">
        <w:rPr>
          <w:rFonts w:ascii="Arial" w:hAnsi="Arial"/>
          <w:b/>
          <w:sz w:val="22"/>
          <w:lang w:val="es-CO"/>
        </w:rPr>
        <w:instrText xml:space="preserve"> SEQ Tabla \* ARABIC </w:instrText>
      </w:r>
      <w:r w:rsidRPr="0011752D">
        <w:rPr>
          <w:rFonts w:ascii="Arial" w:hAnsi="Arial"/>
          <w:b/>
          <w:sz w:val="22"/>
          <w:lang w:val="es-CO"/>
        </w:rPr>
        <w:fldChar w:fldCharType="separate"/>
      </w:r>
      <w:r w:rsidRPr="0011752D">
        <w:rPr>
          <w:rFonts w:ascii="Arial" w:hAnsi="Arial"/>
          <w:b/>
          <w:noProof/>
          <w:sz w:val="22"/>
          <w:lang w:val="es-CO"/>
        </w:rPr>
        <w:t>5</w:t>
      </w:r>
      <w:r w:rsidRPr="0011752D">
        <w:rPr>
          <w:rFonts w:ascii="Arial" w:hAnsi="Arial"/>
          <w:b/>
          <w:sz w:val="22"/>
          <w:lang w:val="es-CO"/>
        </w:rPr>
        <w:fldChar w:fldCharType="end"/>
      </w:r>
      <w:bookmarkEnd w:id="78"/>
      <w:r w:rsidRPr="0011752D">
        <w:rPr>
          <w:rFonts w:ascii="Arial" w:hAnsi="Arial"/>
          <w:b/>
          <w:sz w:val="22"/>
          <w:lang w:val="es-CO"/>
        </w:rPr>
        <w:t xml:space="preserve"> – Distribución del consumo eléctrico por sectores 2015</w:t>
      </w:r>
      <w:bookmarkEnd w:id="79"/>
      <w:bookmarkEnd w:id="80"/>
    </w:p>
    <w:tbl>
      <w:tblPr>
        <w:tblW w:w="5011" w:type="pct"/>
        <w:jc w:val="center"/>
        <w:tblCellMar>
          <w:left w:w="70" w:type="dxa"/>
          <w:right w:w="70" w:type="dxa"/>
        </w:tblCellMar>
        <w:tblLook w:val="04A0" w:firstRow="1" w:lastRow="0" w:firstColumn="1" w:lastColumn="0" w:noHBand="0" w:noVBand="1"/>
      </w:tblPr>
      <w:tblGrid>
        <w:gridCol w:w="3360"/>
        <w:gridCol w:w="2891"/>
        <w:gridCol w:w="2388"/>
      </w:tblGrid>
      <w:tr w:rsidR="0011752D" w:rsidRPr="004932D7" w14:paraId="2341AA6B" w14:textId="77777777" w:rsidTr="00390762">
        <w:trPr>
          <w:trHeight w:val="615"/>
          <w:jc w:val="center"/>
        </w:trPr>
        <w:tc>
          <w:tcPr>
            <w:tcW w:w="1945" w:type="pct"/>
            <w:tcBorders>
              <w:top w:val="single" w:sz="8" w:space="0" w:color="auto"/>
              <w:left w:val="single" w:sz="8" w:space="0" w:color="auto"/>
              <w:bottom w:val="single" w:sz="8" w:space="0" w:color="auto"/>
              <w:right w:val="nil"/>
            </w:tcBorders>
            <w:shd w:val="clear" w:color="auto" w:fill="215868" w:themeFill="accent5" w:themeFillShade="80"/>
            <w:noWrap/>
            <w:vAlign w:val="center"/>
            <w:hideMark/>
          </w:tcPr>
          <w:p w14:paraId="2341AA67" w14:textId="77777777" w:rsidR="0011752D" w:rsidRPr="0011752D" w:rsidRDefault="0011752D" w:rsidP="0011752D">
            <w:pPr>
              <w:jc w:val="center"/>
              <w:rPr>
                <w:rFonts w:ascii="Arial" w:eastAsia="MS Mincho" w:hAnsi="Arial" w:cs="Arial"/>
                <w:b/>
                <w:bCs/>
                <w:color w:val="FFFFFF"/>
                <w:sz w:val="18"/>
                <w:szCs w:val="24"/>
                <w:lang w:val="es-ES" w:eastAsia="es-ES"/>
              </w:rPr>
            </w:pPr>
            <w:r w:rsidRPr="0011752D">
              <w:rPr>
                <w:rFonts w:ascii="Arial" w:eastAsia="MS Mincho" w:hAnsi="Arial" w:cs="Arial"/>
                <w:b/>
                <w:bCs/>
                <w:color w:val="FFFFFF"/>
                <w:sz w:val="18"/>
                <w:szCs w:val="24"/>
                <w:lang w:val="es-ES" w:eastAsia="es-CO"/>
              </w:rPr>
              <w:t>SECTOR</w:t>
            </w:r>
          </w:p>
        </w:tc>
        <w:tc>
          <w:tcPr>
            <w:tcW w:w="1673" w:type="pct"/>
            <w:tcBorders>
              <w:top w:val="single" w:sz="8" w:space="0" w:color="auto"/>
              <w:left w:val="single" w:sz="8" w:space="0" w:color="auto"/>
              <w:bottom w:val="single" w:sz="8" w:space="0" w:color="auto"/>
              <w:right w:val="single" w:sz="8" w:space="0" w:color="auto"/>
            </w:tcBorders>
            <w:shd w:val="clear" w:color="auto" w:fill="215868" w:themeFill="accent5" w:themeFillShade="80"/>
            <w:vAlign w:val="center"/>
            <w:hideMark/>
          </w:tcPr>
          <w:p w14:paraId="2341AA68" w14:textId="77777777" w:rsidR="0011752D" w:rsidRPr="0011752D" w:rsidRDefault="0011752D" w:rsidP="0011752D">
            <w:pPr>
              <w:jc w:val="center"/>
              <w:rPr>
                <w:rFonts w:ascii="Arial" w:eastAsia="MS Mincho" w:hAnsi="Arial" w:cs="Arial"/>
                <w:b/>
                <w:bCs/>
                <w:color w:val="FFFFFF"/>
                <w:sz w:val="18"/>
                <w:szCs w:val="24"/>
                <w:lang w:val="es-ES" w:eastAsia="es-CO"/>
              </w:rPr>
            </w:pPr>
            <w:r w:rsidRPr="0011752D">
              <w:rPr>
                <w:rFonts w:ascii="Arial" w:eastAsia="MS Mincho" w:hAnsi="Arial" w:cs="Arial"/>
                <w:b/>
                <w:bCs/>
                <w:color w:val="FFFFFF"/>
                <w:sz w:val="18"/>
                <w:szCs w:val="24"/>
                <w:lang w:val="es-ES" w:eastAsia="es-CO"/>
              </w:rPr>
              <w:t>Consumo eléctrico final</w:t>
            </w:r>
          </w:p>
          <w:p w14:paraId="2341AA69" w14:textId="77777777" w:rsidR="0011752D" w:rsidRPr="0011752D" w:rsidRDefault="0011752D" w:rsidP="0011752D">
            <w:pPr>
              <w:jc w:val="center"/>
              <w:rPr>
                <w:rFonts w:ascii="Arial" w:eastAsia="MS Mincho" w:hAnsi="Arial" w:cs="Arial"/>
                <w:b/>
                <w:bCs/>
                <w:color w:val="FFFFFF"/>
                <w:sz w:val="18"/>
                <w:szCs w:val="24"/>
                <w:lang w:val="es-ES" w:eastAsia="es-ES"/>
              </w:rPr>
            </w:pPr>
            <w:r w:rsidRPr="0011752D">
              <w:rPr>
                <w:rFonts w:ascii="Arial" w:eastAsia="MS Mincho" w:hAnsi="Arial" w:cs="Arial"/>
                <w:b/>
                <w:bCs/>
                <w:color w:val="FFFFFF"/>
                <w:sz w:val="18"/>
                <w:szCs w:val="24"/>
                <w:lang w:val="es-ES" w:eastAsia="es-CO"/>
              </w:rPr>
              <w:t xml:space="preserve"> (GWh)</w:t>
            </w:r>
          </w:p>
        </w:tc>
        <w:tc>
          <w:tcPr>
            <w:tcW w:w="1382" w:type="pct"/>
            <w:tcBorders>
              <w:top w:val="single" w:sz="8" w:space="0" w:color="auto"/>
              <w:left w:val="nil"/>
              <w:bottom w:val="single" w:sz="8" w:space="0" w:color="auto"/>
              <w:right w:val="single" w:sz="8" w:space="0" w:color="auto"/>
            </w:tcBorders>
            <w:shd w:val="clear" w:color="auto" w:fill="215868" w:themeFill="accent5" w:themeFillShade="80"/>
            <w:vAlign w:val="center"/>
            <w:hideMark/>
          </w:tcPr>
          <w:p w14:paraId="2341AA6A" w14:textId="77777777" w:rsidR="0011752D" w:rsidRPr="0011752D" w:rsidRDefault="0011752D" w:rsidP="0011752D">
            <w:pPr>
              <w:jc w:val="center"/>
              <w:rPr>
                <w:rFonts w:ascii="Arial" w:eastAsia="MS Mincho" w:hAnsi="Arial" w:cs="Arial"/>
                <w:b/>
                <w:bCs/>
                <w:color w:val="FFFFFF"/>
                <w:sz w:val="18"/>
                <w:szCs w:val="24"/>
                <w:lang w:val="es-ES" w:eastAsia="es-CO"/>
              </w:rPr>
            </w:pPr>
            <w:r w:rsidRPr="0011752D">
              <w:rPr>
                <w:rFonts w:ascii="Arial" w:eastAsia="MS Mincho" w:hAnsi="Arial" w:cs="Arial"/>
                <w:b/>
                <w:bCs/>
                <w:color w:val="FFFFFF"/>
                <w:sz w:val="18"/>
                <w:szCs w:val="24"/>
                <w:lang w:val="es-ES" w:eastAsia="es-CO"/>
              </w:rPr>
              <w:t>Participación del consumo eléctrico total</w:t>
            </w:r>
          </w:p>
        </w:tc>
      </w:tr>
      <w:tr w:rsidR="0011752D" w:rsidRPr="0011752D" w14:paraId="2341AA6F" w14:textId="77777777" w:rsidTr="00390762">
        <w:trPr>
          <w:trHeight w:val="300"/>
          <w:jc w:val="center"/>
        </w:trPr>
        <w:tc>
          <w:tcPr>
            <w:tcW w:w="1945" w:type="pct"/>
            <w:tcBorders>
              <w:top w:val="nil"/>
              <w:left w:val="single" w:sz="8" w:space="0" w:color="auto"/>
              <w:bottom w:val="nil"/>
              <w:right w:val="nil"/>
            </w:tcBorders>
            <w:shd w:val="clear" w:color="auto" w:fill="auto"/>
            <w:noWrap/>
            <w:vAlign w:val="bottom"/>
            <w:hideMark/>
          </w:tcPr>
          <w:p w14:paraId="2341AA6C" w14:textId="77777777" w:rsidR="0011752D" w:rsidRPr="0011752D" w:rsidRDefault="0011752D" w:rsidP="0011752D">
            <w:pPr>
              <w:rPr>
                <w:rFonts w:ascii="Arial" w:eastAsia="MS Mincho" w:hAnsi="Arial" w:cs="Arial"/>
                <w:color w:val="000000"/>
                <w:sz w:val="18"/>
                <w:szCs w:val="24"/>
                <w:lang w:val="es-ES" w:eastAsia="es-ES"/>
              </w:rPr>
            </w:pPr>
            <w:r w:rsidRPr="0011752D">
              <w:rPr>
                <w:rFonts w:ascii="Arial" w:eastAsia="MS Mincho" w:hAnsi="Arial" w:cs="Arial"/>
                <w:color w:val="000000"/>
                <w:sz w:val="18"/>
                <w:szCs w:val="24"/>
                <w:lang w:val="es-ES" w:eastAsia="es-CO"/>
              </w:rPr>
              <w:t>Residencial</w:t>
            </w:r>
          </w:p>
        </w:tc>
        <w:tc>
          <w:tcPr>
            <w:tcW w:w="1673" w:type="pct"/>
            <w:tcBorders>
              <w:top w:val="nil"/>
              <w:left w:val="single" w:sz="8" w:space="0" w:color="auto"/>
              <w:bottom w:val="nil"/>
              <w:right w:val="single" w:sz="8" w:space="0" w:color="auto"/>
            </w:tcBorders>
            <w:shd w:val="clear" w:color="auto" w:fill="auto"/>
            <w:noWrap/>
            <w:vAlign w:val="center"/>
          </w:tcPr>
          <w:p w14:paraId="2341AA6D" w14:textId="77777777" w:rsidR="0011752D" w:rsidRPr="0011752D" w:rsidRDefault="0011752D" w:rsidP="0011752D">
            <w:pPr>
              <w:jc w:val="center"/>
              <w:rPr>
                <w:rFonts w:ascii="Arial" w:eastAsia="MS Mincho" w:hAnsi="Arial" w:cs="Arial"/>
                <w:color w:val="000000"/>
                <w:sz w:val="18"/>
                <w:szCs w:val="24"/>
                <w:lang w:val="es-ES" w:eastAsia="es-ES"/>
              </w:rPr>
            </w:pPr>
            <w:r w:rsidRPr="0011752D">
              <w:rPr>
                <w:rFonts w:ascii="Arial" w:hAnsi="Arial" w:cs="Arial"/>
                <w:color w:val="000000"/>
                <w:sz w:val="18"/>
                <w:lang w:val="es-CO"/>
              </w:rPr>
              <w:t>22.162</w:t>
            </w:r>
          </w:p>
        </w:tc>
        <w:tc>
          <w:tcPr>
            <w:tcW w:w="1382" w:type="pct"/>
            <w:tcBorders>
              <w:top w:val="nil"/>
              <w:left w:val="nil"/>
              <w:bottom w:val="nil"/>
              <w:right w:val="single" w:sz="8" w:space="0" w:color="auto"/>
            </w:tcBorders>
            <w:shd w:val="clear" w:color="auto" w:fill="auto"/>
            <w:noWrap/>
            <w:vAlign w:val="center"/>
          </w:tcPr>
          <w:p w14:paraId="2341AA6E" w14:textId="77777777" w:rsidR="0011752D" w:rsidRPr="0011752D" w:rsidRDefault="0011752D" w:rsidP="0011752D">
            <w:pPr>
              <w:jc w:val="center"/>
              <w:rPr>
                <w:rFonts w:ascii="Arial" w:eastAsia="MS Mincho" w:hAnsi="Arial" w:cs="Arial"/>
                <w:color w:val="000000"/>
                <w:sz w:val="18"/>
                <w:szCs w:val="24"/>
                <w:lang w:val="es-ES" w:eastAsia="es-ES"/>
              </w:rPr>
            </w:pPr>
            <w:r w:rsidRPr="0011752D">
              <w:rPr>
                <w:rFonts w:ascii="Arial" w:hAnsi="Arial" w:cs="Arial"/>
                <w:color w:val="000000"/>
                <w:sz w:val="18"/>
                <w:lang w:val="es-ES"/>
              </w:rPr>
              <w:t>40,4%</w:t>
            </w:r>
          </w:p>
        </w:tc>
      </w:tr>
      <w:tr w:rsidR="0011752D" w:rsidRPr="0011752D" w14:paraId="2341AA73" w14:textId="77777777" w:rsidTr="00390762">
        <w:trPr>
          <w:trHeight w:val="300"/>
          <w:jc w:val="center"/>
        </w:trPr>
        <w:tc>
          <w:tcPr>
            <w:tcW w:w="1945" w:type="pct"/>
            <w:tcBorders>
              <w:top w:val="nil"/>
              <w:left w:val="single" w:sz="8" w:space="0" w:color="auto"/>
              <w:bottom w:val="nil"/>
              <w:right w:val="nil"/>
            </w:tcBorders>
            <w:shd w:val="clear" w:color="auto" w:fill="auto"/>
            <w:noWrap/>
            <w:vAlign w:val="bottom"/>
            <w:hideMark/>
          </w:tcPr>
          <w:p w14:paraId="2341AA70" w14:textId="77777777" w:rsidR="0011752D" w:rsidRPr="0011752D" w:rsidRDefault="0011752D" w:rsidP="0011752D">
            <w:pPr>
              <w:rPr>
                <w:rFonts w:ascii="Arial" w:eastAsia="MS Mincho" w:hAnsi="Arial" w:cs="Arial"/>
                <w:color w:val="000000"/>
                <w:sz w:val="18"/>
                <w:szCs w:val="24"/>
                <w:lang w:val="es-ES" w:eastAsia="es-ES"/>
              </w:rPr>
            </w:pPr>
            <w:r w:rsidRPr="0011752D">
              <w:rPr>
                <w:rFonts w:ascii="Arial" w:eastAsia="MS Mincho" w:hAnsi="Arial" w:cs="Arial"/>
                <w:color w:val="000000"/>
                <w:sz w:val="18"/>
                <w:szCs w:val="24"/>
                <w:lang w:val="es-ES" w:eastAsia="es-CO"/>
              </w:rPr>
              <w:t>Terciario (Comercial y oficial)</w:t>
            </w:r>
          </w:p>
        </w:tc>
        <w:tc>
          <w:tcPr>
            <w:tcW w:w="1673" w:type="pct"/>
            <w:tcBorders>
              <w:top w:val="nil"/>
              <w:left w:val="single" w:sz="8" w:space="0" w:color="auto"/>
              <w:bottom w:val="nil"/>
              <w:right w:val="single" w:sz="8" w:space="0" w:color="auto"/>
            </w:tcBorders>
            <w:shd w:val="clear" w:color="auto" w:fill="auto"/>
            <w:noWrap/>
            <w:vAlign w:val="center"/>
          </w:tcPr>
          <w:p w14:paraId="2341AA71" w14:textId="77777777" w:rsidR="0011752D" w:rsidRPr="0011752D" w:rsidRDefault="0011752D" w:rsidP="0011752D">
            <w:pPr>
              <w:jc w:val="center"/>
              <w:rPr>
                <w:rFonts w:ascii="Arial" w:eastAsia="MS Mincho" w:hAnsi="Arial" w:cs="Arial"/>
                <w:color w:val="000000"/>
                <w:sz w:val="18"/>
                <w:szCs w:val="24"/>
                <w:lang w:val="es-ES" w:eastAsia="es-ES"/>
              </w:rPr>
            </w:pPr>
            <w:r w:rsidRPr="0011752D">
              <w:rPr>
                <w:rFonts w:ascii="Arial" w:hAnsi="Arial" w:cs="Arial"/>
                <w:color w:val="000000"/>
                <w:sz w:val="18"/>
                <w:lang w:val="es-CO"/>
              </w:rPr>
              <w:t>12.749</w:t>
            </w:r>
          </w:p>
        </w:tc>
        <w:tc>
          <w:tcPr>
            <w:tcW w:w="1382" w:type="pct"/>
            <w:tcBorders>
              <w:top w:val="nil"/>
              <w:left w:val="nil"/>
              <w:bottom w:val="nil"/>
              <w:right w:val="single" w:sz="8" w:space="0" w:color="auto"/>
            </w:tcBorders>
            <w:shd w:val="clear" w:color="auto" w:fill="auto"/>
            <w:noWrap/>
            <w:vAlign w:val="center"/>
          </w:tcPr>
          <w:p w14:paraId="2341AA72" w14:textId="77777777" w:rsidR="0011752D" w:rsidRPr="0011752D" w:rsidRDefault="0011752D" w:rsidP="0011752D">
            <w:pPr>
              <w:jc w:val="center"/>
              <w:rPr>
                <w:rFonts w:ascii="Arial" w:eastAsia="MS Mincho" w:hAnsi="Arial" w:cs="Arial"/>
                <w:color w:val="000000"/>
                <w:sz w:val="18"/>
                <w:szCs w:val="24"/>
                <w:lang w:val="es-ES" w:eastAsia="es-ES"/>
              </w:rPr>
            </w:pPr>
            <w:r w:rsidRPr="0011752D">
              <w:rPr>
                <w:rFonts w:ascii="Arial" w:hAnsi="Arial" w:cs="Arial"/>
                <w:color w:val="000000"/>
                <w:sz w:val="18"/>
                <w:lang w:val="es-ES"/>
              </w:rPr>
              <w:t>23,2%</w:t>
            </w:r>
          </w:p>
        </w:tc>
      </w:tr>
      <w:tr w:rsidR="0011752D" w:rsidRPr="0011752D" w14:paraId="2341AA77" w14:textId="77777777" w:rsidTr="00390762">
        <w:trPr>
          <w:trHeight w:val="300"/>
          <w:jc w:val="center"/>
        </w:trPr>
        <w:tc>
          <w:tcPr>
            <w:tcW w:w="1945" w:type="pct"/>
            <w:tcBorders>
              <w:top w:val="nil"/>
              <w:left w:val="single" w:sz="8" w:space="0" w:color="auto"/>
              <w:bottom w:val="nil"/>
              <w:right w:val="nil"/>
            </w:tcBorders>
            <w:shd w:val="clear" w:color="auto" w:fill="auto"/>
            <w:noWrap/>
            <w:vAlign w:val="bottom"/>
            <w:hideMark/>
          </w:tcPr>
          <w:p w14:paraId="2341AA74" w14:textId="77777777" w:rsidR="0011752D" w:rsidRPr="0011752D" w:rsidRDefault="0011752D" w:rsidP="0011752D">
            <w:pPr>
              <w:rPr>
                <w:rFonts w:ascii="Arial" w:eastAsia="MS Mincho" w:hAnsi="Arial" w:cs="Arial"/>
                <w:color w:val="000000"/>
                <w:sz w:val="18"/>
                <w:szCs w:val="24"/>
                <w:lang w:val="es-ES" w:eastAsia="es-ES"/>
              </w:rPr>
            </w:pPr>
            <w:r w:rsidRPr="0011752D">
              <w:rPr>
                <w:rFonts w:ascii="Arial" w:eastAsia="MS Mincho" w:hAnsi="Arial" w:cs="Arial"/>
                <w:color w:val="000000"/>
                <w:sz w:val="18"/>
                <w:szCs w:val="24"/>
                <w:lang w:val="es-ES" w:eastAsia="es-CO"/>
              </w:rPr>
              <w:t>Industrial</w:t>
            </w:r>
          </w:p>
        </w:tc>
        <w:tc>
          <w:tcPr>
            <w:tcW w:w="1673" w:type="pct"/>
            <w:tcBorders>
              <w:top w:val="nil"/>
              <w:left w:val="single" w:sz="8" w:space="0" w:color="auto"/>
              <w:bottom w:val="nil"/>
              <w:right w:val="single" w:sz="8" w:space="0" w:color="auto"/>
            </w:tcBorders>
            <w:shd w:val="clear" w:color="auto" w:fill="auto"/>
            <w:noWrap/>
            <w:vAlign w:val="center"/>
          </w:tcPr>
          <w:p w14:paraId="2341AA75" w14:textId="77777777" w:rsidR="0011752D" w:rsidRPr="0011752D" w:rsidRDefault="0011752D" w:rsidP="0011752D">
            <w:pPr>
              <w:jc w:val="center"/>
              <w:rPr>
                <w:rFonts w:ascii="Arial" w:eastAsia="MS Mincho" w:hAnsi="Arial" w:cs="Arial"/>
                <w:color w:val="000000"/>
                <w:sz w:val="18"/>
                <w:szCs w:val="24"/>
                <w:lang w:val="es-ES" w:eastAsia="es-ES"/>
              </w:rPr>
            </w:pPr>
            <w:r w:rsidRPr="0011752D">
              <w:rPr>
                <w:rFonts w:ascii="Arial" w:hAnsi="Arial" w:cs="Arial"/>
                <w:color w:val="000000"/>
                <w:sz w:val="18"/>
                <w:lang w:val="es-CO"/>
              </w:rPr>
              <w:t>12.201</w:t>
            </w:r>
          </w:p>
        </w:tc>
        <w:tc>
          <w:tcPr>
            <w:tcW w:w="1382" w:type="pct"/>
            <w:tcBorders>
              <w:top w:val="nil"/>
              <w:left w:val="nil"/>
              <w:bottom w:val="nil"/>
              <w:right w:val="single" w:sz="8" w:space="0" w:color="auto"/>
            </w:tcBorders>
            <w:shd w:val="clear" w:color="auto" w:fill="auto"/>
            <w:noWrap/>
            <w:vAlign w:val="center"/>
          </w:tcPr>
          <w:p w14:paraId="2341AA76" w14:textId="77777777" w:rsidR="0011752D" w:rsidRPr="0011752D" w:rsidRDefault="0011752D" w:rsidP="0011752D">
            <w:pPr>
              <w:jc w:val="center"/>
              <w:rPr>
                <w:rFonts w:ascii="Arial" w:eastAsia="MS Mincho" w:hAnsi="Arial" w:cs="Arial"/>
                <w:color w:val="000000"/>
                <w:sz w:val="18"/>
                <w:szCs w:val="24"/>
                <w:lang w:val="es-ES" w:eastAsia="es-ES"/>
              </w:rPr>
            </w:pPr>
            <w:r w:rsidRPr="0011752D">
              <w:rPr>
                <w:rFonts w:ascii="Arial" w:hAnsi="Arial" w:cs="Arial"/>
                <w:color w:val="000000"/>
                <w:sz w:val="18"/>
                <w:lang w:val="es-CO"/>
              </w:rPr>
              <w:t>22,2%</w:t>
            </w:r>
          </w:p>
        </w:tc>
      </w:tr>
      <w:tr w:rsidR="0011752D" w:rsidRPr="0011752D" w14:paraId="2341AA7B" w14:textId="77777777" w:rsidTr="00390762">
        <w:trPr>
          <w:trHeight w:val="315"/>
          <w:jc w:val="center"/>
        </w:trPr>
        <w:tc>
          <w:tcPr>
            <w:tcW w:w="1945" w:type="pct"/>
            <w:tcBorders>
              <w:top w:val="nil"/>
              <w:left w:val="single" w:sz="8" w:space="0" w:color="auto"/>
              <w:bottom w:val="single" w:sz="4" w:space="0" w:color="auto"/>
              <w:right w:val="nil"/>
            </w:tcBorders>
            <w:shd w:val="clear" w:color="auto" w:fill="auto"/>
            <w:noWrap/>
            <w:vAlign w:val="bottom"/>
            <w:hideMark/>
          </w:tcPr>
          <w:p w14:paraId="2341AA78" w14:textId="77777777" w:rsidR="0011752D" w:rsidRPr="0011752D" w:rsidRDefault="0011752D" w:rsidP="0011752D">
            <w:pPr>
              <w:rPr>
                <w:rFonts w:ascii="Arial" w:eastAsia="MS Mincho" w:hAnsi="Arial" w:cs="Arial"/>
                <w:color w:val="000000"/>
                <w:sz w:val="18"/>
                <w:szCs w:val="24"/>
                <w:lang w:val="es-ES" w:eastAsia="es-ES"/>
              </w:rPr>
            </w:pPr>
            <w:r w:rsidRPr="0011752D">
              <w:rPr>
                <w:rFonts w:ascii="Arial" w:eastAsia="MS Mincho" w:hAnsi="Arial" w:cs="Arial"/>
                <w:color w:val="000000"/>
                <w:sz w:val="18"/>
                <w:szCs w:val="24"/>
                <w:lang w:val="es-ES" w:eastAsia="es-CO"/>
              </w:rPr>
              <w:t>Otros</w:t>
            </w:r>
          </w:p>
        </w:tc>
        <w:tc>
          <w:tcPr>
            <w:tcW w:w="1673" w:type="pct"/>
            <w:tcBorders>
              <w:top w:val="nil"/>
              <w:left w:val="single" w:sz="8" w:space="0" w:color="auto"/>
              <w:bottom w:val="single" w:sz="8" w:space="0" w:color="auto"/>
              <w:right w:val="single" w:sz="8" w:space="0" w:color="auto"/>
            </w:tcBorders>
            <w:shd w:val="clear" w:color="auto" w:fill="auto"/>
            <w:noWrap/>
            <w:vAlign w:val="center"/>
          </w:tcPr>
          <w:p w14:paraId="2341AA79" w14:textId="77777777" w:rsidR="0011752D" w:rsidRPr="0011752D" w:rsidRDefault="0011752D" w:rsidP="0011752D">
            <w:pPr>
              <w:jc w:val="center"/>
              <w:rPr>
                <w:rFonts w:ascii="Arial" w:eastAsia="MS Mincho" w:hAnsi="Arial" w:cs="Arial"/>
                <w:color w:val="000000"/>
                <w:sz w:val="18"/>
                <w:szCs w:val="24"/>
                <w:lang w:val="es-ES" w:eastAsia="es-ES"/>
              </w:rPr>
            </w:pPr>
            <w:r w:rsidRPr="0011752D">
              <w:rPr>
                <w:rFonts w:ascii="Arial" w:hAnsi="Arial" w:cs="Arial"/>
                <w:color w:val="000000"/>
                <w:sz w:val="18"/>
                <w:lang w:val="es-ES"/>
              </w:rPr>
              <w:t>7.733</w:t>
            </w:r>
          </w:p>
        </w:tc>
        <w:tc>
          <w:tcPr>
            <w:tcW w:w="1382" w:type="pct"/>
            <w:tcBorders>
              <w:top w:val="nil"/>
              <w:left w:val="nil"/>
              <w:bottom w:val="single" w:sz="8" w:space="0" w:color="auto"/>
              <w:right w:val="single" w:sz="8" w:space="0" w:color="auto"/>
            </w:tcBorders>
            <w:shd w:val="clear" w:color="auto" w:fill="auto"/>
            <w:noWrap/>
            <w:vAlign w:val="center"/>
          </w:tcPr>
          <w:p w14:paraId="2341AA7A" w14:textId="77777777" w:rsidR="0011752D" w:rsidRPr="0011752D" w:rsidRDefault="0011752D" w:rsidP="0011752D">
            <w:pPr>
              <w:jc w:val="center"/>
              <w:rPr>
                <w:rFonts w:ascii="Arial" w:eastAsia="MS Mincho" w:hAnsi="Arial" w:cs="Arial"/>
                <w:color w:val="000000"/>
                <w:sz w:val="18"/>
                <w:szCs w:val="24"/>
                <w:lang w:val="es-ES" w:eastAsia="es-ES"/>
              </w:rPr>
            </w:pPr>
            <w:r w:rsidRPr="0011752D">
              <w:rPr>
                <w:rFonts w:ascii="Arial" w:hAnsi="Arial" w:cs="Arial"/>
                <w:color w:val="000000"/>
                <w:sz w:val="18"/>
                <w:lang w:val="es-CO"/>
              </w:rPr>
              <w:t>14,1%</w:t>
            </w:r>
          </w:p>
        </w:tc>
      </w:tr>
      <w:tr w:rsidR="0011752D" w:rsidRPr="0011752D" w14:paraId="2341AA7F" w14:textId="77777777" w:rsidTr="00390762">
        <w:trPr>
          <w:trHeight w:val="315"/>
          <w:jc w:val="center"/>
        </w:trPr>
        <w:tc>
          <w:tcPr>
            <w:tcW w:w="19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1AA7C" w14:textId="77777777" w:rsidR="0011752D" w:rsidRPr="0011752D" w:rsidRDefault="0011752D" w:rsidP="0011752D">
            <w:pPr>
              <w:rPr>
                <w:rFonts w:ascii="Arial" w:eastAsia="MS Mincho" w:hAnsi="Arial" w:cs="Arial"/>
                <w:b/>
                <w:color w:val="000000"/>
                <w:sz w:val="18"/>
                <w:szCs w:val="24"/>
                <w:lang w:val="es-ES" w:eastAsia="es-ES"/>
              </w:rPr>
            </w:pPr>
            <w:r w:rsidRPr="0011752D">
              <w:rPr>
                <w:rFonts w:ascii="Arial" w:eastAsia="MS Mincho" w:hAnsi="Arial" w:cs="Arial"/>
                <w:b/>
                <w:color w:val="000000"/>
                <w:sz w:val="18"/>
                <w:szCs w:val="24"/>
                <w:lang w:val="es-ES" w:eastAsia="es-ES"/>
              </w:rPr>
              <w:t>Total</w:t>
            </w:r>
          </w:p>
        </w:tc>
        <w:tc>
          <w:tcPr>
            <w:tcW w:w="1673" w:type="pct"/>
            <w:tcBorders>
              <w:top w:val="nil"/>
              <w:left w:val="single" w:sz="4" w:space="0" w:color="auto"/>
              <w:bottom w:val="single" w:sz="8" w:space="0" w:color="auto"/>
              <w:right w:val="single" w:sz="8" w:space="0" w:color="auto"/>
            </w:tcBorders>
            <w:shd w:val="clear" w:color="auto" w:fill="auto"/>
            <w:noWrap/>
            <w:vAlign w:val="center"/>
          </w:tcPr>
          <w:p w14:paraId="2341AA7D" w14:textId="77777777" w:rsidR="0011752D" w:rsidRPr="0011752D" w:rsidRDefault="0011752D" w:rsidP="0011752D">
            <w:pPr>
              <w:jc w:val="center"/>
              <w:rPr>
                <w:rFonts w:ascii="Arial" w:eastAsia="MS Mincho" w:hAnsi="Arial" w:cs="Arial"/>
                <w:b/>
                <w:color w:val="000000"/>
                <w:sz w:val="18"/>
                <w:szCs w:val="24"/>
                <w:lang w:val="es-ES" w:eastAsia="es-ES"/>
              </w:rPr>
            </w:pPr>
            <w:r w:rsidRPr="0011752D">
              <w:rPr>
                <w:rFonts w:ascii="Arial" w:hAnsi="Arial" w:cs="Arial"/>
                <w:b/>
                <w:bCs/>
                <w:color w:val="000000"/>
                <w:sz w:val="18"/>
                <w:lang w:val="es-CO"/>
              </w:rPr>
              <w:t>54.845</w:t>
            </w:r>
          </w:p>
        </w:tc>
        <w:tc>
          <w:tcPr>
            <w:tcW w:w="1382" w:type="pct"/>
            <w:tcBorders>
              <w:top w:val="nil"/>
              <w:left w:val="nil"/>
              <w:bottom w:val="single" w:sz="8" w:space="0" w:color="auto"/>
              <w:right w:val="single" w:sz="8" w:space="0" w:color="auto"/>
            </w:tcBorders>
            <w:shd w:val="clear" w:color="auto" w:fill="auto"/>
            <w:noWrap/>
            <w:vAlign w:val="center"/>
          </w:tcPr>
          <w:p w14:paraId="2341AA7E" w14:textId="77777777" w:rsidR="0011752D" w:rsidRPr="0011752D" w:rsidRDefault="0011752D" w:rsidP="0011752D">
            <w:pPr>
              <w:jc w:val="center"/>
              <w:rPr>
                <w:rFonts w:ascii="Arial" w:eastAsia="MS Mincho" w:hAnsi="Arial" w:cs="Arial"/>
                <w:b/>
                <w:color w:val="000000"/>
                <w:sz w:val="18"/>
                <w:szCs w:val="24"/>
                <w:lang w:val="es-ES" w:eastAsia="es-ES"/>
              </w:rPr>
            </w:pPr>
            <w:r w:rsidRPr="0011752D">
              <w:rPr>
                <w:rFonts w:ascii="Arial" w:hAnsi="Arial" w:cs="Arial"/>
                <w:b/>
                <w:bCs/>
                <w:color w:val="000000"/>
                <w:sz w:val="18"/>
                <w:lang w:val="es-ES"/>
              </w:rPr>
              <w:t> </w:t>
            </w:r>
          </w:p>
        </w:tc>
      </w:tr>
    </w:tbl>
    <w:p w14:paraId="2341AA80" w14:textId="77777777" w:rsidR="0011752D" w:rsidRPr="0011752D" w:rsidRDefault="0011752D" w:rsidP="0011752D">
      <w:pPr>
        <w:spacing w:before="240" w:after="240"/>
        <w:jc w:val="center"/>
        <w:rPr>
          <w:rFonts w:ascii="Arial" w:hAnsi="Arial"/>
          <w:sz w:val="20"/>
          <w:lang w:val="es-ES"/>
        </w:rPr>
      </w:pPr>
      <w:r w:rsidRPr="0011752D">
        <w:rPr>
          <w:rFonts w:ascii="Arial" w:hAnsi="Arial"/>
          <w:sz w:val="20"/>
          <w:lang w:val="es-ES"/>
        </w:rPr>
        <w:t>Fuente: Elaborado con base en información del Balance Energético Nacional de Colombia (BECO)</w:t>
      </w:r>
    </w:p>
    <w:p w14:paraId="2341AA81"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El Plan de Acción PROURE 2017 – 2022 define las siguientes metas indicativas de ahorro en el consumo de los diferentes sectores. </w:t>
      </w:r>
    </w:p>
    <w:p w14:paraId="2341AA82" w14:textId="77777777" w:rsidR="0011752D" w:rsidRPr="0011752D" w:rsidRDefault="0011752D" w:rsidP="0011752D">
      <w:pPr>
        <w:spacing w:before="240" w:after="240"/>
        <w:ind w:left="720"/>
        <w:jc w:val="center"/>
        <w:rPr>
          <w:rFonts w:ascii="Arial" w:hAnsi="Arial"/>
          <w:b/>
          <w:sz w:val="22"/>
          <w:lang w:val="es-CO"/>
        </w:rPr>
      </w:pPr>
      <w:bookmarkStart w:id="81" w:name="_Toc473268556"/>
      <w:bookmarkStart w:id="82" w:name="_Toc474797060"/>
      <w:r w:rsidRPr="0011752D">
        <w:rPr>
          <w:rFonts w:ascii="Arial" w:hAnsi="Arial"/>
          <w:b/>
          <w:sz w:val="22"/>
          <w:lang w:val="es-CO"/>
        </w:rPr>
        <w:lastRenderedPageBreak/>
        <w:t xml:space="preserve">Tabla </w:t>
      </w:r>
      <w:r w:rsidRPr="0011752D">
        <w:rPr>
          <w:rFonts w:ascii="Arial" w:hAnsi="Arial"/>
          <w:b/>
          <w:sz w:val="22"/>
          <w:lang w:val="es-CO"/>
        </w:rPr>
        <w:fldChar w:fldCharType="begin"/>
      </w:r>
      <w:r w:rsidRPr="0011752D">
        <w:rPr>
          <w:rFonts w:ascii="Arial" w:hAnsi="Arial"/>
          <w:b/>
          <w:sz w:val="22"/>
          <w:lang w:val="es-CO"/>
        </w:rPr>
        <w:instrText xml:space="preserve"> SEQ Tabla \* ARABIC </w:instrText>
      </w:r>
      <w:r w:rsidRPr="0011752D">
        <w:rPr>
          <w:rFonts w:ascii="Arial" w:hAnsi="Arial"/>
          <w:b/>
          <w:sz w:val="22"/>
          <w:lang w:val="es-CO"/>
        </w:rPr>
        <w:fldChar w:fldCharType="separate"/>
      </w:r>
      <w:r w:rsidRPr="0011752D">
        <w:rPr>
          <w:rFonts w:ascii="Arial" w:hAnsi="Arial"/>
          <w:b/>
          <w:noProof/>
          <w:sz w:val="22"/>
          <w:lang w:val="es-CO"/>
        </w:rPr>
        <w:t>6</w:t>
      </w:r>
      <w:r w:rsidRPr="0011752D">
        <w:rPr>
          <w:rFonts w:ascii="Arial" w:hAnsi="Arial"/>
          <w:b/>
          <w:sz w:val="22"/>
          <w:lang w:val="es-CO"/>
        </w:rPr>
        <w:fldChar w:fldCharType="end"/>
      </w:r>
      <w:r w:rsidRPr="0011752D">
        <w:rPr>
          <w:rFonts w:ascii="Arial" w:hAnsi="Arial"/>
          <w:b/>
          <w:sz w:val="22"/>
          <w:lang w:val="es-CO"/>
        </w:rPr>
        <w:t xml:space="preserve"> – Metas indicativas de ahorro de energía 2017 – 2022 definidas en el PROURE</w:t>
      </w:r>
      <w:bookmarkEnd w:id="81"/>
      <w:bookmarkEnd w:id="82"/>
    </w:p>
    <w:tbl>
      <w:tblPr>
        <w:tblW w:w="5000" w:type="pct"/>
        <w:tblCellMar>
          <w:left w:w="70" w:type="dxa"/>
          <w:right w:w="70" w:type="dxa"/>
        </w:tblCellMar>
        <w:tblLook w:val="04A0" w:firstRow="1" w:lastRow="0" w:firstColumn="1" w:lastColumn="0" w:noHBand="0" w:noVBand="1"/>
      </w:tblPr>
      <w:tblGrid>
        <w:gridCol w:w="1697"/>
        <w:gridCol w:w="1979"/>
        <w:gridCol w:w="1979"/>
        <w:gridCol w:w="1555"/>
        <w:gridCol w:w="1410"/>
      </w:tblGrid>
      <w:tr w:rsidR="0011752D" w:rsidRPr="004932D7" w14:paraId="2341AA88" w14:textId="77777777" w:rsidTr="00390762">
        <w:trPr>
          <w:trHeight w:val="510"/>
        </w:trPr>
        <w:tc>
          <w:tcPr>
            <w:tcW w:w="984" w:type="pct"/>
            <w:tcBorders>
              <w:top w:val="single" w:sz="8" w:space="0" w:color="auto"/>
              <w:left w:val="single" w:sz="8" w:space="0" w:color="auto"/>
              <w:bottom w:val="nil"/>
              <w:right w:val="single" w:sz="8" w:space="0" w:color="auto"/>
            </w:tcBorders>
            <w:shd w:val="clear" w:color="000000" w:fill="1F3864"/>
            <w:vAlign w:val="center"/>
            <w:hideMark/>
          </w:tcPr>
          <w:p w14:paraId="2341AA83" w14:textId="77777777" w:rsidR="0011752D" w:rsidRPr="0011752D" w:rsidRDefault="0011752D" w:rsidP="0011752D">
            <w:pPr>
              <w:jc w:val="center"/>
              <w:rPr>
                <w:rFonts w:ascii="Arial" w:hAnsi="Arial" w:cs="Arial"/>
                <w:b/>
                <w:bCs/>
                <w:color w:val="FFFFFF"/>
                <w:sz w:val="18"/>
                <w:lang w:val="es-CO" w:eastAsia="es-CO"/>
              </w:rPr>
            </w:pPr>
            <w:r w:rsidRPr="0011752D">
              <w:rPr>
                <w:rFonts w:ascii="Arial" w:hAnsi="Arial" w:cs="Arial"/>
                <w:b/>
                <w:bCs/>
                <w:color w:val="FFFFFF"/>
                <w:sz w:val="18"/>
                <w:lang w:val="es-ES" w:eastAsia="es-CO"/>
              </w:rPr>
              <w:t>SECTOR</w:t>
            </w:r>
          </w:p>
        </w:tc>
        <w:tc>
          <w:tcPr>
            <w:tcW w:w="1148" w:type="pct"/>
            <w:tcBorders>
              <w:top w:val="single" w:sz="8" w:space="0" w:color="auto"/>
              <w:left w:val="nil"/>
              <w:bottom w:val="nil"/>
              <w:right w:val="single" w:sz="8" w:space="0" w:color="auto"/>
            </w:tcBorders>
            <w:shd w:val="clear" w:color="000000" w:fill="1F3864"/>
            <w:vAlign w:val="center"/>
            <w:hideMark/>
          </w:tcPr>
          <w:p w14:paraId="2341AA84" w14:textId="77777777" w:rsidR="0011752D" w:rsidRPr="0011752D" w:rsidRDefault="0011752D" w:rsidP="0011752D">
            <w:pPr>
              <w:jc w:val="center"/>
              <w:rPr>
                <w:rFonts w:ascii="Arial" w:hAnsi="Arial" w:cs="Arial"/>
                <w:b/>
                <w:bCs/>
                <w:color w:val="FFFFFF"/>
                <w:sz w:val="18"/>
                <w:lang w:val="es-CO" w:eastAsia="es-CO"/>
              </w:rPr>
            </w:pPr>
            <w:r w:rsidRPr="0011752D">
              <w:rPr>
                <w:rFonts w:ascii="Arial" w:hAnsi="Arial" w:cs="Arial"/>
                <w:b/>
                <w:bCs/>
                <w:color w:val="FFFFFF"/>
                <w:sz w:val="18"/>
                <w:lang w:val="es-ES" w:eastAsia="es-CO"/>
              </w:rPr>
              <w:t xml:space="preserve">META DE AHORRO </w:t>
            </w:r>
            <w:r w:rsidRPr="0011752D">
              <w:rPr>
                <w:rFonts w:ascii="Arial" w:hAnsi="Arial" w:cs="Arial"/>
                <w:b/>
                <w:bCs/>
                <w:color w:val="FFFFFF"/>
                <w:sz w:val="18"/>
                <w:lang w:val="es-ES" w:eastAsia="es-CO"/>
              </w:rPr>
              <w:br/>
              <w:t>(TJ)</w:t>
            </w:r>
          </w:p>
        </w:tc>
        <w:tc>
          <w:tcPr>
            <w:tcW w:w="1148" w:type="pct"/>
            <w:tcBorders>
              <w:top w:val="single" w:sz="8" w:space="0" w:color="auto"/>
              <w:left w:val="nil"/>
              <w:bottom w:val="nil"/>
              <w:right w:val="single" w:sz="8" w:space="0" w:color="auto"/>
            </w:tcBorders>
            <w:shd w:val="clear" w:color="000000" w:fill="1F3864"/>
            <w:vAlign w:val="center"/>
            <w:hideMark/>
          </w:tcPr>
          <w:p w14:paraId="2341AA85" w14:textId="77777777" w:rsidR="0011752D" w:rsidRPr="0011752D" w:rsidRDefault="0011752D" w:rsidP="0011752D">
            <w:pPr>
              <w:jc w:val="center"/>
              <w:rPr>
                <w:rFonts w:ascii="Arial" w:hAnsi="Arial" w:cs="Arial"/>
                <w:b/>
                <w:bCs/>
                <w:color w:val="FFFFFF"/>
                <w:sz w:val="18"/>
                <w:lang w:val="es-CO" w:eastAsia="es-CO"/>
              </w:rPr>
            </w:pPr>
            <w:r w:rsidRPr="0011752D">
              <w:rPr>
                <w:rFonts w:ascii="Arial" w:hAnsi="Arial" w:cs="Arial"/>
                <w:b/>
                <w:bCs/>
                <w:color w:val="FFFFFF"/>
                <w:sz w:val="18"/>
                <w:lang w:val="es-CO" w:eastAsia="es-CO"/>
              </w:rPr>
              <w:t xml:space="preserve">AHORRO ANUAL ESTIMADO </w:t>
            </w:r>
            <w:r w:rsidRPr="0011752D">
              <w:rPr>
                <w:rFonts w:ascii="Arial" w:hAnsi="Arial" w:cs="Arial"/>
                <w:b/>
                <w:bCs/>
                <w:color w:val="FFFFFF"/>
                <w:sz w:val="18"/>
                <w:lang w:val="es-CO" w:eastAsia="es-CO"/>
              </w:rPr>
              <w:br/>
              <w:t>(TJ)</w:t>
            </w:r>
          </w:p>
        </w:tc>
        <w:tc>
          <w:tcPr>
            <w:tcW w:w="902" w:type="pct"/>
            <w:tcBorders>
              <w:top w:val="single" w:sz="8" w:space="0" w:color="auto"/>
              <w:left w:val="nil"/>
              <w:bottom w:val="nil"/>
              <w:right w:val="single" w:sz="8" w:space="0" w:color="auto"/>
            </w:tcBorders>
            <w:shd w:val="clear" w:color="000000" w:fill="1F3864"/>
            <w:vAlign w:val="center"/>
            <w:hideMark/>
          </w:tcPr>
          <w:p w14:paraId="2341AA86" w14:textId="77777777" w:rsidR="0011752D" w:rsidRPr="0011752D" w:rsidRDefault="0011752D" w:rsidP="0011752D">
            <w:pPr>
              <w:jc w:val="center"/>
              <w:rPr>
                <w:rFonts w:ascii="Arial" w:hAnsi="Arial" w:cs="Arial"/>
                <w:b/>
                <w:bCs/>
                <w:color w:val="FFFFFF"/>
                <w:sz w:val="18"/>
                <w:lang w:val="es-CO" w:eastAsia="es-CO"/>
              </w:rPr>
            </w:pPr>
            <w:r w:rsidRPr="0011752D">
              <w:rPr>
                <w:rFonts w:ascii="Arial" w:hAnsi="Arial" w:cs="Arial"/>
                <w:b/>
                <w:bCs/>
                <w:color w:val="FFFFFF"/>
                <w:sz w:val="18"/>
                <w:lang w:val="es-ES" w:eastAsia="es-CO"/>
              </w:rPr>
              <w:t>META DE AHORRO</w:t>
            </w:r>
            <w:r w:rsidRPr="0011752D">
              <w:rPr>
                <w:rFonts w:ascii="Arial" w:hAnsi="Arial" w:cs="Arial"/>
                <w:b/>
                <w:bCs/>
                <w:color w:val="FFFFFF"/>
                <w:sz w:val="18"/>
                <w:lang w:val="es-ES" w:eastAsia="es-CO"/>
              </w:rPr>
              <w:br/>
              <w:t>(%)</w:t>
            </w:r>
          </w:p>
        </w:tc>
        <w:tc>
          <w:tcPr>
            <w:tcW w:w="820" w:type="pct"/>
            <w:tcBorders>
              <w:top w:val="single" w:sz="8" w:space="0" w:color="auto"/>
              <w:left w:val="nil"/>
              <w:bottom w:val="nil"/>
              <w:right w:val="single" w:sz="8" w:space="0" w:color="auto"/>
            </w:tcBorders>
            <w:shd w:val="clear" w:color="000000" w:fill="1F3864"/>
            <w:vAlign w:val="center"/>
            <w:hideMark/>
          </w:tcPr>
          <w:p w14:paraId="2341AA87" w14:textId="77777777" w:rsidR="0011752D" w:rsidRPr="0011752D" w:rsidRDefault="0011752D" w:rsidP="0011752D">
            <w:pPr>
              <w:jc w:val="center"/>
              <w:rPr>
                <w:rFonts w:ascii="Arial" w:hAnsi="Arial" w:cs="Arial"/>
                <w:b/>
                <w:bCs/>
                <w:color w:val="FFFFFF"/>
                <w:sz w:val="18"/>
                <w:lang w:val="es-CO" w:eastAsia="es-CO"/>
              </w:rPr>
            </w:pPr>
            <w:r w:rsidRPr="0011752D">
              <w:rPr>
                <w:rFonts w:ascii="Arial" w:hAnsi="Arial" w:cs="Arial"/>
                <w:b/>
                <w:bCs/>
                <w:color w:val="FFFFFF"/>
                <w:sz w:val="18"/>
                <w:lang w:val="es-ES" w:eastAsia="es-CO"/>
              </w:rPr>
              <w:t>Relevante a GED en el SIN</w:t>
            </w:r>
          </w:p>
        </w:tc>
      </w:tr>
      <w:tr w:rsidR="0011752D" w:rsidRPr="0011752D" w14:paraId="2341AA8E" w14:textId="77777777" w:rsidTr="00390762">
        <w:trPr>
          <w:trHeight w:val="300"/>
        </w:trPr>
        <w:tc>
          <w:tcPr>
            <w:tcW w:w="984" w:type="pct"/>
            <w:tcBorders>
              <w:top w:val="nil"/>
              <w:left w:val="single" w:sz="8" w:space="0" w:color="auto"/>
              <w:bottom w:val="nil"/>
              <w:right w:val="nil"/>
            </w:tcBorders>
            <w:shd w:val="clear" w:color="auto" w:fill="auto"/>
            <w:noWrap/>
            <w:vAlign w:val="center"/>
            <w:hideMark/>
          </w:tcPr>
          <w:p w14:paraId="2341AA89" w14:textId="77777777" w:rsidR="0011752D" w:rsidRPr="0011752D" w:rsidRDefault="0011752D" w:rsidP="0011752D">
            <w:pPr>
              <w:rPr>
                <w:rFonts w:ascii="Arial" w:hAnsi="Arial" w:cs="Arial"/>
                <w:color w:val="000000"/>
                <w:sz w:val="18"/>
                <w:lang w:val="es-CO" w:eastAsia="es-CO"/>
              </w:rPr>
            </w:pPr>
            <w:r w:rsidRPr="0011752D">
              <w:rPr>
                <w:rFonts w:ascii="Arial" w:hAnsi="Arial" w:cs="Arial"/>
                <w:color w:val="000000"/>
                <w:sz w:val="18"/>
                <w:lang w:val="es-ES" w:eastAsia="es-CO"/>
              </w:rPr>
              <w:t>TRANSPORTE</w:t>
            </w:r>
          </w:p>
        </w:tc>
        <w:tc>
          <w:tcPr>
            <w:tcW w:w="1148" w:type="pct"/>
            <w:tcBorders>
              <w:top w:val="nil"/>
              <w:left w:val="single" w:sz="8" w:space="0" w:color="auto"/>
              <w:bottom w:val="nil"/>
              <w:right w:val="single" w:sz="8" w:space="0" w:color="auto"/>
            </w:tcBorders>
            <w:shd w:val="clear" w:color="auto" w:fill="auto"/>
            <w:noWrap/>
            <w:vAlign w:val="center"/>
            <w:hideMark/>
          </w:tcPr>
          <w:p w14:paraId="2341AA8A"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424.408</w:t>
            </w:r>
          </w:p>
        </w:tc>
        <w:tc>
          <w:tcPr>
            <w:tcW w:w="1148" w:type="pct"/>
            <w:tcBorders>
              <w:top w:val="nil"/>
              <w:left w:val="nil"/>
              <w:bottom w:val="nil"/>
              <w:right w:val="single" w:sz="8" w:space="0" w:color="auto"/>
            </w:tcBorders>
            <w:shd w:val="clear" w:color="auto" w:fill="auto"/>
            <w:noWrap/>
            <w:vAlign w:val="center"/>
            <w:hideMark/>
          </w:tcPr>
          <w:p w14:paraId="2341AA8B"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CO" w:eastAsia="es-CO"/>
              </w:rPr>
              <w:t>60.630</w:t>
            </w:r>
          </w:p>
        </w:tc>
        <w:tc>
          <w:tcPr>
            <w:tcW w:w="902" w:type="pct"/>
            <w:tcBorders>
              <w:top w:val="nil"/>
              <w:left w:val="nil"/>
              <w:bottom w:val="nil"/>
              <w:right w:val="single" w:sz="8" w:space="0" w:color="auto"/>
            </w:tcBorders>
            <w:shd w:val="clear" w:color="auto" w:fill="auto"/>
            <w:noWrap/>
            <w:vAlign w:val="center"/>
            <w:hideMark/>
          </w:tcPr>
          <w:p w14:paraId="2341AA8C"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5,49%</w:t>
            </w:r>
          </w:p>
        </w:tc>
        <w:tc>
          <w:tcPr>
            <w:tcW w:w="820" w:type="pct"/>
            <w:tcBorders>
              <w:top w:val="nil"/>
              <w:left w:val="nil"/>
              <w:bottom w:val="nil"/>
              <w:right w:val="single" w:sz="8" w:space="0" w:color="auto"/>
            </w:tcBorders>
            <w:shd w:val="clear" w:color="auto" w:fill="auto"/>
            <w:vAlign w:val="center"/>
            <w:hideMark/>
          </w:tcPr>
          <w:p w14:paraId="2341AA8D"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No</w:t>
            </w:r>
          </w:p>
        </w:tc>
      </w:tr>
      <w:tr w:rsidR="0011752D" w:rsidRPr="0011752D" w14:paraId="2341AA94" w14:textId="77777777" w:rsidTr="00390762">
        <w:trPr>
          <w:trHeight w:val="300"/>
        </w:trPr>
        <w:tc>
          <w:tcPr>
            <w:tcW w:w="984" w:type="pct"/>
            <w:tcBorders>
              <w:top w:val="nil"/>
              <w:left w:val="single" w:sz="8" w:space="0" w:color="auto"/>
              <w:bottom w:val="nil"/>
              <w:right w:val="nil"/>
            </w:tcBorders>
            <w:shd w:val="clear" w:color="auto" w:fill="auto"/>
            <w:noWrap/>
            <w:vAlign w:val="center"/>
            <w:hideMark/>
          </w:tcPr>
          <w:p w14:paraId="2341AA8F" w14:textId="77777777" w:rsidR="0011752D" w:rsidRPr="0011752D" w:rsidRDefault="0011752D" w:rsidP="0011752D">
            <w:pPr>
              <w:rPr>
                <w:rFonts w:ascii="Arial" w:hAnsi="Arial" w:cs="Arial"/>
                <w:color w:val="000000"/>
                <w:sz w:val="18"/>
                <w:lang w:val="es-CO" w:eastAsia="es-CO"/>
              </w:rPr>
            </w:pPr>
            <w:r w:rsidRPr="0011752D">
              <w:rPr>
                <w:rFonts w:ascii="Arial" w:hAnsi="Arial" w:cs="Arial"/>
                <w:color w:val="000000"/>
                <w:sz w:val="18"/>
                <w:lang w:val="es-ES" w:eastAsia="es-CO"/>
              </w:rPr>
              <w:t>INDUSTRIA</w:t>
            </w:r>
          </w:p>
        </w:tc>
        <w:tc>
          <w:tcPr>
            <w:tcW w:w="1148" w:type="pct"/>
            <w:tcBorders>
              <w:top w:val="nil"/>
              <w:left w:val="single" w:sz="8" w:space="0" w:color="auto"/>
              <w:bottom w:val="nil"/>
              <w:right w:val="single" w:sz="8" w:space="0" w:color="auto"/>
            </w:tcBorders>
            <w:shd w:val="clear" w:color="auto" w:fill="auto"/>
            <w:noWrap/>
            <w:vAlign w:val="center"/>
            <w:hideMark/>
          </w:tcPr>
          <w:p w14:paraId="2341AA90"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131.859</w:t>
            </w:r>
          </w:p>
        </w:tc>
        <w:tc>
          <w:tcPr>
            <w:tcW w:w="1148" w:type="pct"/>
            <w:tcBorders>
              <w:top w:val="nil"/>
              <w:left w:val="nil"/>
              <w:bottom w:val="nil"/>
              <w:right w:val="single" w:sz="8" w:space="0" w:color="auto"/>
            </w:tcBorders>
            <w:shd w:val="clear" w:color="auto" w:fill="auto"/>
            <w:noWrap/>
            <w:vAlign w:val="center"/>
            <w:hideMark/>
          </w:tcPr>
          <w:p w14:paraId="2341AA91"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CO" w:eastAsia="es-CO"/>
              </w:rPr>
              <w:t>18.837</w:t>
            </w:r>
          </w:p>
        </w:tc>
        <w:tc>
          <w:tcPr>
            <w:tcW w:w="902" w:type="pct"/>
            <w:tcBorders>
              <w:top w:val="nil"/>
              <w:left w:val="nil"/>
              <w:bottom w:val="nil"/>
              <w:right w:val="single" w:sz="8" w:space="0" w:color="auto"/>
            </w:tcBorders>
            <w:shd w:val="clear" w:color="auto" w:fill="auto"/>
            <w:noWrap/>
            <w:vAlign w:val="center"/>
            <w:hideMark/>
          </w:tcPr>
          <w:p w14:paraId="2341AA92"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1,71%</w:t>
            </w:r>
          </w:p>
        </w:tc>
        <w:tc>
          <w:tcPr>
            <w:tcW w:w="820" w:type="pct"/>
            <w:tcBorders>
              <w:top w:val="nil"/>
              <w:left w:val="nil"/>
              <w:bottom w:val="nil"/>
              <w:right w:val="single" w:sz="8" w:space="0" w:color="auto"/>
            </w:tcBorders>
            <w:shd w:val="clear" w:color="auto" w:fill="auto"/>
            <w:vAlign w:val="center"/>
            <w:hideMark/>
          </w:tcPr>
          <w:p w14:paraId="2341AA93"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Si</w:t>
            </w:r>
          </w:p>
        </w:tc>
      </w:tr>
      <w:tr w:rsidR="0011752D" w:rsidRPr="0011752D" w14:paraId="2341AA9A" w14:textId="77777777" w:rsidTr="00390762">
        <w:trPr>
          <w:trHeight w:val="300"/>
        </w:trPr>
        <w:tc>
          <w:tcPr>
            <w:tcW w:w="984" w:type="pct"/>
            <w:tcBorders>
              <w:top w:val="nil"/>
              <w:left w:val="single" w:sz="8" w:space="0" w:color="auto"/>
              <w:bottom w:val="nil"/>
              <w:right w:val="nil"/>
            </w:tcBorders>
            <w:shd w:val="clear" w:color="auto" w:fill="auto"/>
            <w:noWrap/>
            <w:vAlign w:val="center"/>
            <w:hideMark/>
          </w:tcPr>
          <w:p w14:paraId="2341AA95" w14:textId="77777777" w:rsidR="0011752D" w:rsidRPr="0011752D" w:rsidRDefault="0011752D" w:rsidP="0011752D">
            <w:pPr>
              <w:rPr>
                <w:rFonts w:ascii="Arial" w:hAnsi="Arial" w:cs="Arial"/>
                <w:color w:val="000000"/>
                <w:sz w:val="18"/>
                <w:lang w:val="es-CO" w:eastAsia="es-CO"/>
              </w:rPr>
            </w:pPr>
            <w:r w:rsidRPr="0011752D">
              <w:rPr>
                <w:rFonts w:ascii="Arial" w:hAnsi="Arial" w:cs="Arial"/>
                <w:color w:val="000000"/>
                <w:sz w:val="18"/>
                <w:lang w:val="es-ES" w:eastAsia="es-CO"/>
              </w:rPr>
              <w:t>TERCIARIO</w:t>
            </w:r>
          </w:p>
        </w:tc>
        <w:tc>
          <w:tcPr>
            <w:tcW w:w="1148" w:type="pct"/>
            <w:tcBorders>
              <w:top w:val="nil"/>
              <w:left w:val="single" w:sz="8" w:space="0" w:color="auto"/>
              <w:bottom w:val="nil"/>
              <w:right w:val="single" w:sz="8" w:space="0" w:color="auto"/>
            </w:tcBorders>
            <w:shd w:val="clear" w:color="auto" w:fill="auto"/>
            <w:noWrap/>
            <w:vAlign w:val="center"/>
            <w:hideMark/>
          </w:tcPr>
          <w:p w14:paraId="2341AA96"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87.289</w:t>
            </w:r>
          </w:p>
        </w:tc>
        <w:tc>
          <w:tcPr>
            <w:tcW w:w="1148" w:type="pct"/>
            <w:tcBorders>
              <w:top w:val="nil"/>
              <w:left w:val="nil"/>
              <w:bottom w:val="nil"/>
              <w:right w:val="single" w:sz="8" w:space="0" w:color="auto"/>
            </w:tcBorders>
            <w:shd w:val="clear" w:color="auto" w:fill="auto"/>
            <w:noWrap/>
            <w:vAlign w:val="center"/>
            <w:hideMark/>
          </w:tcPr>
          <w:p w14:paraId="2341AA97"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CO" w:eastAsia="es-CO"/>
              </w:rPr>
              <w:t>12.470</w:t>
            </w:r>
          </w:p>
        </w:tc>
        <w:tc>
          <w:tcPr>
            <w:tcW w:w="902" w:type="pct"/>
            <w:tcBorders>
              <w:top w:val="nil"/>
              <w:left w:val="nil"/>
              <w:bottom w:val="nil"/>
              <w:right w:val="single" w:sz="8" w:space="0" w:color="auto"/>
            </w:tcBorders>
            <w:shd w:val="clear" w:color="auto" w:fill="auto"/>
            <w:noWrap/>
            <w:vAlign w:val="center"/>
            <w:hideMark/>
          </w:tcPr>
          <w:p w14:paraId="2341AA98"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1,13%</w:t>
            </w:r>
          </w:p>
        </w:tc>
        <w:tc>
          <w:tcPr>
            <w:tcW w:w="820" w:type="pct"/>
            <w:tcBorders>
              <w:top w:val="nil"/>
              <w:left w:val="nil"/>
              <w:bottom w:val="nil"/>
              <w:right w:val="single" w:sz="8" w:space="0" w:color="auto"/>
            </w:tcBorders>
            <w:shd w:val="clear" w:color="auto" w:fill="auto"/>
            <w:vAlign w:val="center"/>
            <w:hideMark/>
          </w:tcPr>
          <w:p w14:paraId="2341AA99"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Si</w:t>
            </w:r>
          </w:p>
        </w:tc>
      </w:tr>
      <w:tr w:rsidR="0011752D" w:rsidRPr="0011752D" w14:paraId="2341AAA0" w14:textId="77777777" w:rsidTr="00390762">
        <w:trPr>
          <w:trHeight w:val="315"/>
        </w:trPr>
        <w:tc>
          <w:tcPr>
            <w:tcW w:w="984" w:type="pct"/>
            <w:tcBorders>
              <w:top w:val="nil"/>
              <w:left w:val="single" w:sz="8" w:space="0" w:color="auto"/>
              <w:bottom w:val="single" w:sz="8" w:space="0" w:color="auto"/>
              <w:right w:val="nil"/>
            </w:tcBorders>
            <w:shd w:val="clear" w:color="auto" w:fill="auto"/>
            <w:noWrap/>
            <w:vAlign w:val="center"/>
            <w:hideMark/>
          </w:tcPr>
          <w:p w14:paraId="2341AA9B" w14:textId="77777777" w:rsidR="0011752D" w:rsidRPr="0011752D" w:rsidRDefault="0011752D" w:rsidP="0011752D">
            <w:pPr>
              <w:rPr>
                <w:rFonts w:ascii="Arial" w:hAnsi="Arial" w:cs="Arial"/>
                <w:color w:val="000000"/>
                <w:sz w:val="18"/>
                <w:lang w:val="es-CO" w:eastAsia="es-CO"/>
              </w:rPr>
            </w:pPr>
            <w:r w:rsidRPr="0011752D">
              <w:rPr>
                <w:rFonts w:ascii="Arial" w:hAnsi="Arial" w:cs="Arial"/>
                <w:color w:val="000000"/>
                <w:sz w:val="18"/>
                <w:lang w:val="es-ES" w:eastAsia="es-CO"/>
              </w:rPr>
              <w:t>RESIDENCIAL</w:t>
            </w:r>
          </w:p>
        </w:tc>
        <w:tc>
          <w:tcPr>
            <w:tcW w:w="1148" w:type="pct"/>
            <w:tcBorders>
              <w:top w:val="nil"/>
              <w:left w:val="single" w:sz="8" w:space="0" w:color="auto"/>
              <w:bottom w:val="single" w:sz="8" w:space="0" w:color="auto"/>
              <w:right w:val="single" w:sz="8" w:space="0" w:color="auto"/>
            </w:tcBorders>
            <w:shd w:val="clear" w:color="auto" w:fill="auto"/>
            <w:noWrap/>
            <w:vAlign w:val="center"/>
            <w:hideMark/>
          </w:tcPr>
          <w:p w14:paraId="2341AA9C"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56.121</w:t>
            </w:r>
          </w:p>
        </w:tc>
        <w:tc>
          <w:tcPr>
            <w:tcW w:w="1148" w:type="pct"/>
            <w:tcBorders>
              <w:top w:val="nil"/>
              <w:left w:val="nil"/>
              <w:bottom w:val="single" w:sz="8" w:space="0" w:color="auto"/>
              <w:right w:val="single" w:sz="8" w:space="0" w:color="auto"/>
            </w:tcBorders>
            <w:shd w:val="clear" w:color="auto" w:fill="auto"/>
            <w:noWrap/>
            <w:vAlign w:val="center"/>
            <w:hideMark/>
          </w:tcPr>
          <w:p w14:paraId="2341AA9D"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CO" w:eastAsia="es-CO"/>
              </w:rPr>
              <w:t>8.017</w:t>
            </w:r>
          </w:p>
        </w:tc>
        <w:tc>
          <w:tcPr>
            <w:tcW w:w="902" w:type="pct"/>
            <w:tcBorders>
              <w:top w:val="nil"/>
              <w:left w:val="nil"/>
              <w:bottom w:val="single" w:sz="8" w:space="0" w:color="auto"/>
              <w:right w:val="single" w:sz="8" w:space="0" w:color="auto"/>
            </w:tcBorders>
            <w:shd w:val="clear" w:color="auto" w:fill="auto"/>
            <w:noWrap/>
            <w:vAlign w:val="center"/>
            <w:hideMark/>
          </w:tcPr>
          <w:p w14:paraId="2341AA9E"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0,73%</w:t>
            </w:r>
          </w:p>
        </w:tc>
        <w:tc>
          <w:tcPr>
            <w:tcW w:w="820" w:type="pct"/>
            <w:tcBorders>
              <w:top w:val="nil"/>
              <w:left w:val="nil"/>
              <w:bottom w:val="single" w:sz="8" w:space="0" w:color="auto"/>
              <w:right w:val="single" w:sz="8" w:space="0" w:color="auto"/>
            </w:tcBorders>
            <w:shd w:val="clear" w:color="auto" w:fill="auto"/>
            <w:vAlign w:val="center"/>
            <w:hideMark/>
          </w:tcPr>
          <w:p w14:paraId="2341AA9F"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Si</w:t>
            </w:r>
          </w:p>
        </w:tc>
      </w:tr>
      <w:tr w:rsidR="0011752D" w:rsidRPr="0011752D" w14:paraId="2341AAA6" w14:textId="77777777" w:rsidTr="00390762">
        <w:trPr>
          <w:trHeight w:val="315"/>
        </w:trPr>
        <w:tc>
          <w:tcPr>
            <w:tcW w:w="984" w:type="pct"/>
            <w:tcBorders>
              <w:top w:val="nil"/>
              <w:left w:val="nil"/>
              <w:bottom w:val="nil"/>
              <w:right w:val="nil"/>
            </w:tcBorders>
            <w:shd w:val="clear" w:color="auto" w:fill="auto"/>
            <w:noWrap/>
            <w:vAlign w:val="bottom"/>
            <w:hideMark/>
          </w:tcPr>
          <w:p w14:paraId="2341AAA1" w14:textId="77777777" w:rsidR="0011752D" w:rsidRPr="0011752D" w:rsidRDefault="0011752D" w:rsidP="0011752D">
            <w:pPr>
              <w:jc w:val="center"/>
              <w:rPr>
                <w:rFonts w:ascii="Arial" w:hAnsi="Arial" w:cs="Arial"/>
                <w:color w:val="000000"/>
                <w:sz w:val="18"/>
                <w:lang w:val="es-CO" w:eastAsia="es-CO"/>
              </w:rPr>
            </w:pPr>
          </w:p>
        </w:tc>
        <w:tc>
          <w:tcPr>
            <w:tcW w:w="1148" w:type="pct"/>
            <w:tcBorders>
              <w:top w:val="nil"/>
              <w:left w:val="single" w:sz="8" w:space="0" w:color="auto"/>
              <w:bottom w:val="single" w:sz="8" w:space="0" w:color="auto"/>
              <w:right w:val="single" w:sz="8" w:space="0" w:color="auto"/>
            </w:tcBorders>
            <w:shd w:val="clear" w:color="auto" w:fill="auto"/>
            <w:noWrap/>
            <w:vAlign w:val="center"/>
            <w:hideMark/>
          </w:tcPr>
          <w:p w14:paraId="2341AAA2"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699.678</w:t>
            </w:r>
          </w:p>
        </w:tc>
        <w:tc>
          <w:tcPr>
            <w:tcW w:w="1148" w:type="pct"/>
            <w:tcBorders>
              <w:top w:val="nil"/>
              <w:left w:val="nil"/>
              <w:bottom w:val="single" w:sz="8" w:space="0" w:color="auto"/>
              <w:right w:val="single" w:sz="8" w:space="0" w:color="auto"/>
            </w:tcBorders>
            <w:shd w:val="clear" w:color="auto" w:fill="auto"/>
            <w:noWrap/>
            <w:vAlign w:val="center"/>
            <w:hideMark/>
          </w:tcPr>
          <w:p w14:paraId="2341AAA3"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CO" w:eastAsia="es-CO"/>
              </w:rPr>
              <w:t>99.954</w:t>
            </w:r>
          </w:p>
        </w:tc>
        <w:tc>
          <w:tcPr>
            <w:tcW w:w="902" w:type="pct"/>
            <w:tcBorders>
              <w:top w:val="nil"/>
              <w:left w:val="nil"/>
              <w:bottom w:val="single" w:sz="8" w:space="0" w:color="auto"/>
              <w:right w:val="single" w:sz="8" w:space="0" w:color="auto"/>
            </w:tcBorders>
            <w:shd w:val="clear" w:color="auto" w:fill="auto"/>
            <w:noWrap/>
            <w:vAlign w:val="center"/>
            <w:hideMark/>
          </w:tcPr>
          <w:p w14:paraId="2341AAA4" w14:textId="77777777" w:rsidR="0011752D" w:rsidRPr="0011752D" w:rsidRDefault="0011752D" w:rsidP="0011752D">
            <w:pPr>
              <w:jc w:val="center"/>
              <w:rPr>
                <w:rFonts w:ascii="Arial" w:hAnsi="Arial" w:cs="Arial"/>
                <w:color w:val="000000"/>
                <w:sz w:val="18"/>
                <w:lang w:val="es-CO" w:eastAsia="es-CO"/>
              </w:rPr>
            </w:pPr>
            <w:r w:rsidRPr="0011752D">
              <w:rPr>
                <w:rFonts w:ascii="Arial" w:hAnsi="Arial" w:cs="Arial"/>
                <w:color w:val="000000"/>
                <w:sz w:val="18"/>
                <w:lang w:val="es-ES" w:eastAsia="es-CO"/>
              </w:rPr>
              <w:t>9,05%</w:t>
            </w:r>
          </w:p>
        </w:tc>
        <w:tc>
          <w:tcPr>
            <w:tcW w:w="820" w:type="pct"/>
            <w:tcBorders>
              <w:top w:val="nil"/>
              <w:left w:val="nil"/>
              <w:bottom w:val="single" w:sz="8" w:space="0" w:color="auto"/>
              <w:right w:val="single" w:sz="8" w:space="0" w:color="auto"/>
            </w:tcBorders>
            <w:shd w:val="clear" w:color="auto" w:fill="auto"/>
            <w:vAlign w:val="center"/>
            <w:hideMark/>
          </w:tcPr>
          <w:p w14:paraId="2341AAA5" w14:textId="77777777" w:rsidR="0011752D" w:rsidRPr="0011752D" w:rsidRDefault="0011752D" w:rsidP="0011752D">
            <w:pPr>
              <w:jc w:val="right"/>
              <w:rPr>
                <w:rFonts w:ascii="Arial" w:hAnsi="Arial" w:cs="Arial"/>
                <w:color w:val="000000"/>
                <w:sz w:val="18"/>
                <w:lang w:val="es-CO" w:eastAsia="es-CO"/>
              </w:rPr>
            </w:pPr>
            <w:r w:rsidRPr="0011752D">
              <w:rPr>
                <w:rFonts w:ascii="Arial" w:hAnsi="Arial" w:cs="Arial"/>
                <w:color w:val="000000"/>
                <w:sz w:val="18"/>
                <w:lang w:val="es-ES" w:eastAsia="es-CO"/>
              </w:rPr>
              <w:t> </w:t>
            </w:r>
          </w:p>
        </w:tc>
      </w:tr>
    </w:tbl>
    <w:p w14:paraId="2341AAA7" w14:textId="77777777" w:rsidR="0011752D" w:rsidRPr="0011752D" w:rsidRDefault="0011752D" w:rsidP="0011752D">
      <w:pPr>
        <w:spacing w:before="240" w:after="240"/>
        <w:jc w:val="center"/>
        <w:rPr>
          <w:rFonts w:ascii="Arial" w:hAnsi="Arial"/>
          <w:sz w:val="20"/>
          <w:lang w:val="es-ES"/>
        </w:rPr>
      </w:pPr>
      <w:r w:rsidRPr="0011752D">
        <w:rPr>
          <w:rFonts w:ascii="Arial" w:hAnsi="Arial"/>
          <w:sz w:val="20"/>
          <w:lang w:val="es-ES"/>
        </w:rPr>
        <w:t xml:space="preserve">Fuente: Elaborado con base en </w:t>
      </w:r>
      <w:hyperlink r:id="rId52" w:history="1">
        <w:r w:rsidRPr="0011752D">
          <w:rPr>
            <w:rFonts w:ascii="Arial" w:hAnsi="Arial"/>
            <w:sz w:val="20"/>
            <w:lang w:val="es-ES"/>
          </w:rPr>
          <w:t>Resolución MME 41286 de 2016</w:t>
        </w:r>
      </w:hyperlink>
      <w:r w:rsidRPr="0011752D">
        <w:rPr>
          <w:rFonts w:ascii="Arial" w:hAnsi="Arial"/>
          <w:sz w:val="20"/>
          <w:lang w:val="es-ES"/>
        </w:rPr>
        <w:t xml:space="preserve"> por la cual se adopta el Plan de Acción Indicativo 2017-2022 para el desarrollo del PROURE</w:t>
      </w:r>
    </w:p>
    <w:p w14:paraId="2341AAA8" w14:textId="77777777" w:rsidR="0011752D" w:rsidRPr="0011752D" w:rsidRDefault="0011752D" w:rsidP="0011752D">
      <w:pPr>
        <w:spacing w:before="240" w:after="240"/>
        <w:jc w:val="both"/>
        <w:rPr>
          <w:rFonts w:ascii="Arial" w:hAnsi="Arial" w:cs="Arial"/>
          <w:bCs/>
          <w:color w:val="FF0000"/>
          <w:sz w:val="22"/>
          <w:szCs w:val="22"/>
          <w:highlight w:val="yellow"/>
          <w:lang w:val="es-ES"/>
        </w:rPr>
      </w:pPr>
      <w:r w:rsidRPr="0011752D">
        <w:rPr>
          <w:rFonts w:ascii="Arial" w:hAnsi="Arial" w:cs="Arial"/>
          <w:bCs/>
          <w:color w:val="000000"/>
          <w:sz w:val="22"/>
          <w:szCs w:val="22"/>
          <w:lang w:val="es-ES"/>
        </w:rPr>
        <w:t>Se debe anotar de la tabla anterior que no todo el ahorro energético corresponde a gestión eficiente de la demanda en el SIN. El ahorro energético estimado para el sector transporte está asociado, en parte, con la utilización de otros combustibles</w:t>
      </w:r>
      <w:r w:rsidRPr="0011752D">
        <w:rPr>
          <w:rFonts w:ascii="Arial" w:hAnsi="Arial" w:cs="Arial"/>
          <w:bCs/>
          <w:color w:val="000000"/>
          <w:sz w:val="22"/>
          <w:szCs w:val="22"/>
          <w:vertAlign w:val="superscript"/>
          <w:lang w:val="es-ES"/>
        </w:rPr>
        <w:footnoteReference w:id="34"/>
      </w:r>
      <w:r w:rsidRPr="0011752D">
        <w:rPr>
          <w:rFonts w:ascii="Arial" w:hAnsi="Arial" w:cs="Arial"/>
          <w:bCs/>
          <w:color w:val="000000"/>
          <w:sz w:val="22"/>
          <w:szCs w:val="22"/>
          <w:lang w:val="es-ES"/>
        </w:rPr>
        <w:t xml:space="preserve"> como el GNV, y con la definición de estándares de eficiencia y etiquetado en los vehículos. Otros sectores, como el industrial, también incluyen medidas asociadas con la sustitución de combustibles sólidos utilizados para generación de calor directo e indirecto.</w:t>
      </w:r>
    </w:p>
    <w:p w14:paraId="2341AAA9" w14:textId="77777777" w:rsidR="0011752D" w:rsidRPr="0011752D" w:rsidRDefault="0011752D" w:rsidP="0011752D">
      <w:pPr>
        <w:spacing w:before="240" w:after="240"/>
        <w:jc w:val="both"/>
        <w:rPr>
          <w:rFonts w:ascii="Arial" w:hAnsi="Arial" w:cs="Arial"/>
          <w:bCs/>
          <w:color w:val="000000"/>
          <w:sz w:val="22"/>
          <w:szCs w:val="22"/>
          <w:lang w:val="es-ES"/>
        </w:rPr>
      </w:pPr>
      <w:r w:rsidRPr="0011752D">
        <w:rPr>
          <w:rFonts w:ascii="Arial" w:hAnsi="Arial" w:cs="Arial"/>
          <w:bCs/>
          <w:color w:val="000000"/>
          <w:sz w:val="22"/>
          <w:szCs w:val="22"/>
          <w:lang w:val="es-ES"/>
        </w:rPr>
        <w:t>La siguiente tabla resume las medidas que han sido definidas en el PROURE para los sectores industrial, residencial y terciario, especificando las tendientes a la gestión eficiente de la demanda en el sector eléctrico.</w:t>
      </w:r>
    </w:p>
    <w:p w14:paraId="2341AAAA" w14:textId="77777777" w:rsidR="0011752D" w:rsidRPr="0011752D" w:rsidRDefault="0011752D" w:rsidP="0011752D">
      <w:pPr>
        <w:spacing w:before="240" w:after="240"/>
        <w:jc w:val="center"/>
        <w:rPr>
          <w:rFonts w:ascii="Arial" w:hAnsi="Arial"/>
          <w:b/>
          <w:sz w:val="22"/>
          <w:lang w:val="es-CO"/>
        </w:rPr>
      </w:pPr>
      <w:bookmarkStart w:id="83" w:name="_Toc473268557"/>
    </w:p>
    <w:p w14:paraId="2341AAAB" w14:textId="77777777" w:rsidR="0011752D" w:rsidRPr="0011752D" w:rsidRDefault="0011752D" w:rsidP="0011752D">
      <w:pPr>
        <w:spacing w:before="240" w:after="240"/>
        <w:jc w:val="center"/>
        <w:rPr>
          <w:rFonts w:ascii="Arial" w:hAnsi="Arial"/>
          <w:b/>
          <w:sz w:val="22"/>
          <w:lang w:val="es-CO"/>
        </w:rPr>
      </w:pPr>
    </w:p>
    <w:p w14:paraId="2341AAAC" w14:textId="77777777" w:rsidR="0011752D" w:rsidRPr="0011752D" w:rsidRDefault="0011752D" w:rsidP="0011752D">
      <w:pPr>
        <w:spacing w:before="240" w:after="240"/>
        <w:jc w:val="center"/>
        <w:rPr>
          <w:rFonts w:ascii="Arial" w:hAnsi="Arial" w:cs="Arial"/>
          <w:bCs/>
          <w:color w:val="FF0000"/>
          <w:sz w:val="22"/>
          <w:szCs w:val="22"/>
          <w:highlight w:val="yellow"/>
          <w:lang w:val="es-ES"/>
        </w:rPr>
      </w:pPr>
      <w:bookmarkStart w:id="84" w:name="_Toc474797061"/>
      <w:r w:rsidRPr="0011752D">
        <w:rPr>
          <w:rFonts w:ascii="Arial" w:hAnsi="Arial"/>
          <w:b/>
          <w:sz w:val="22"/>
          <w:lang w:val="es-CO"/>
        </w:rPr>
        <w:t xml:space="preserve">Tabla </w:t>
      </w:r>
      <w:r w:rsidRPr="0011752D">
        <w:rPr>
          <w:rFonts w:ascii="Arial" w:hAnsi="Arial"/>
          <w:b/>
          <w:sz w:val="22"/>
          <w:lang w:val="es-CO"/>
        </w:rPr>
        <w:fldChar w:fldCharType="begin"/>
      </w:r>
      <w:r w:rsidRPr="0011752D">
        <w:rPr>
          <w:rFonts w:ascii="Arial" w:hAnsi="Arial"/>
          <w:b/>
          <w:sz w:val="22"/>
          <w:lang w:val="es-CO"/>
        </w:rPr>
        <w:instrText xml:space="preserve"> SEQ Tabla \* ARABIC </w:instrText>
      </w:r>
      <w:r w:rsidRPr="0011752D">
        <w:rPr>
          <w:rFonts w:ascii="Arial" w:hAnsi="Arial"/>
          <w:b/>
          <w:sz w:val="22"/>
          <w:lang w:val="es-CO"/>
        </w:rPr>
        <w:fldChar w:fldCharType="separate"/>
      </w:r>
      <w:r w:rsidRPr="0011752D">
        <w:rPr>
          <w:rFonts w:ascii="Arial" w:hAnsi="Arial"/>
          <w:b/>
          <w:noProof/>
          <w:sz w:val="22"/>
          <w:lang w:val="es-CO"/>
        </w:rPr>
        <w:t>7</w:t>
      </w:r>
      <w:r w:rsidRPr="0011752D">
        <w:rPr>
          <w:rFonts w:ascii="Arial" w:hAnsi="Arial"/>
          <w:b/>
          <w:sz w:val="22"/>
          <w:lang w:val="es-CO"/>
        </w:rPr>
        <w:fldChar w:fldCharType="end"/>
      </w:r>
      <w:r w:rsidRPr="0011752D">
        <w:rPr>
          <w:rFonts w:ascii="Arial" w:hAnsi="Arial"/>
          <w:b/>
          <w:sz w:val="22"/>
          <w:lang w:val="es-CO"/>
        </w:rPr>
        <w:t xml:space="preserve"> – Medidas generales de eficiencia energética definidas en el PROURE</w:t>
      </w:r>
      <w:bookmarkEnd w:id="83"/>
      <w:bookmarkEnd w:id="84"/>
    </w:p>
    <w:tbl>
      <w:tblPr>
        <w:tblStyle w:val="TableGrid"/>
        <w:tblW w:w="0" w:type="auto"/>
        <w:tblLook w:val="04A0" w:firstRow="1" w:lastRow="0" w:firstColumn="1" w:lastColumn="0" w:noHBand="0" w:noVBand="1"/>
      </w:tblPr>
      <w:tblGrid>
        <w:gridCol w:w="7183"/>
        <w:gridCol w:w="1447"/>
      </w:tblGrid>
      <w:tr w:rsidR="0011752D" w:rsidRPr="004932D7" w14:paraId="2341AAAF" w14:textId="77777777" w:rsidTr="00390762">
        <w:trPr>
          <w:trHeight w:val="284"/>
          <w:tblHeader/>
        </w:trPr>
        <w:tc>
          <w:tcPr>
            <w:tcW w:w="7366" w:type="dxa"/>
            <w:shd w:val="clear" w:color="auto" w:fill="215868" w:themeFill="accent5" w:themeFillShade="80"/>
          </w:tcPr>
          <w:p w14:paraId="2341AAAD" w14:textId="77777777" w:rsidR="0011752D" w:rsidRPr="0011752D" w:rsidRDefault="0011752D" w:rsidP="0011752D">
            <w:pPr>
              <w:spacing w:before="120" w:after="120"/>
              <w:jc w:val="center"/>
              <w:rPr>
                <w:rFonts w:ascii="Arial" w:hAnsi="Arial" w:cs="Arial"/>
                <w:bCs/>
                <w:color w:val="FFFFFF"/>
                <w:sz w:val="18"/>
                <w:szCs w:val="18"/>
                <w:lang w:val="es-ES"/>
              </w:rPr>
            </w:pPr>
            <w:r w:rsidRPr="0011752D">
              <w:rPr>
                <w:rFonts w:ascii="Arial" w:hAnsi="Arial" w:cs="Arial"/>
                <w:bCs/>
                <w:color w:val="FFFFFF"/>
                <w:sz w:val="18"/>
                <w:szCs w:val="18"/>
                <w:lang w:val="es-ES"/>
              </w:rPr>
              <w:t>Sector / Medida General</w:t>
            </w:r>
          </w:p>
        </w:tc>
        <w:tc>
          <w:tcPr>
            <w:tcW w:w="1462" w:type="dxa"/>
            <w:shd w:val="clear" w:color="auto" w:fill="215868" w:themeFill="accent5" w:themeFillShade="80"/>
          </w:tcPr>
          <w:p w14:paraId="2341AAAE" w14:textId="77777777" w:rsidR="0011752D" w:rsidRPr="0011752D" w:rsidRDefault="0011752D" w:rsidP="0011752D">
            <w:pPr>
              <w:spacing w:before="120" w:after="120"/>
              <w:jc w:val="center"/>
              <w:rPr>
                <w:rFonts w:ascii="Arial" w:hAnsi="Arial" w:cs="Arial"/>
                <w:bCs/>
                <w:color w:val="FFFFFF"/>
                <w:sz w:val="18"/>
                <w:szCs w:val="18"/>
                <w:lang w:val="es-ES"/>
              </w:rPr>
            </w:pPr>
            <w:r w:rsidRPr="0011752D">
              <w:rPr>
                <w:rFonts w:ascii="Arial" w:hAnsi="Arial" w:cs="Arial"/>
                <w:bCs/>
                <w:color w:val="FFFFFF"/>
                <w:sz w:val="18"/>
                <w:szCs w:val="18"/>
                <w:lang w:val="es-ES"/>
              </w:rPr>
              <w:t>Relevante a GED en SIN</w:t>
            </w:r>
          </w:p>
        </w:tc>
      </w:tr>
      <w:tr w:rsidR="0011752D" w:rsidRPr="0011752D" w14:paraId="2341AAB2" w14:textId="77777777" w:rsidTr="00390762">
        <w:trPr>
          <w:trHeight w:val="284"/>
        </w:trPr>
        <w:tc>
          <w:tcPr>
            <w:tcW w:w="7366" w:type="dxa"/>
            <w:shd w:val="clear" w:color="auto" w:fill="D9D9D9" w:themeFill="background1" w:themeFillShade="D9"/>
          </w:tcPr>
          <w:p w14:paraId="2341AAB0" w14:textId="77777777" w:rsidR="0011752D" w:rsidRPr="0011752D" w:rsidRDefault="0011752D" w:rsidP="0011752D">
            <w:pPr>
              <w:spacing w:before="120" w:after="120"/>
              <w:jc w:val="both"/>
              <w:rPr>
                <w:rFonts w:ascii="Arial" w:hAnsi="Arial" w:cs="Arial"/>
                <w:bCs/>
                <w:color w:val="000000"/>
                <w:sz w:val="18"/>
                <w:szCs w:val="18"/>
                <w:lang w:val="es-ES"/>
              </w:rPr>
            </w:pPr>
            <w:r w:rsidRPr="0011752D">
              <w:rPr>
                <w:rFonts w:ascii="Arial" w:hAnsi="Arial" w:cs="Arial"/>
                <w:bCs/>
                <w:color w:val="000000"/>
                <w:sz w:val="18"/>
                <w:szCs w:val="18"/>
                <w:lang w:val="es-ES"/>
              </w:rPr>
              <w:t>Industrial</w:t>
            </w:r>
          </w:p>
        </w:tc>
        <w:tc>
          <w:tcPr>
            <w:tcW w:w="1462" w:type="dxa"/>
            <w:shd w:val="clear" w:color="auto" w:fill="D9D9D9" w:themeFill="background1" w:themeFillShade="D9"/>
          </w:tcPr>
          <w:p w14:paraId="2341AAB1" w14:textId="77777777" w:rsidR="0011752D" w:rsidRPr="0011752D" w:rsidRDefault="0011752D" w:rsidP="0011752D">
            <w:pPr>
              <w:spacing w:before="120" w:after="120"/>
              <w:jc w:val="both"/>
              <w:rPr>
                <w:rFonts w:ascii="Arial" w:hAnsi="Arial" w:cs="Arial"/>
                <w:bCs/>
                <w:color w:val="000000"/>
                <w:sz w:val="18"/>
                <w:szCs w:val="18"/>
                <w:lang w:val="es-ES"/>
              </w:rPr>
            </w:pPr>
          </w:p>
        </w:tc>
      </w:tr>
      <w:tr w:rsidR="0011752D" w:rsidRPr="0011752D" w14:paraId="2341AAB5" w14:textId="77777777" w:rsidTr="00390762">
        <w:trPr>
          <w:trHeight w:val="284"/>
        </w:trPr>
        <w:tc>
          <w:tcPr>
            <w:tcW w:w="7366" w:type="dxa"/>
            <w:vAlign w:val="center"/>
          </w:tcPr>
          <w:p w14:paraId="2341AAB3"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Medidas de eficiencia energética en energía eléctrica</w:t>
            </w:r>
          </w:p>
        </w:tc>
        <w:tc>
          <w:tcPr>
            <w:tcW w:w="1462" w:type="dxa"/>
            <w:vAlign w:val="center"/>
          </w:tcPr>
          <w:p w14:paraId="2341AAB4"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Si</w:t>
            </w:r>
          </w:p>
        </w:tc>
      </w:tr>
      <w:tr w:rsidR="0011752D" w:rsidRPr="0011752D" w14:paraId="2341AAB8" w14:textId="77777777" w:rsidTr="00390762">
        <w:trPr>
          <w:trHeight w:val="284"/>
        </w:trPr>
        <w:tc>
          <w:tcPr>
            <w:tcW w:w="7366" w:type="dxa"/>
            <w:vAlign w:val="center"/>
          </w:tcPr>
          <w:p w14:paraId="2341AAB6"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 xml:space="preserve">Medidas de eficiencia energética en combustibles sólidos para calor </w:t>
            </w:r>
          </w:p>
        </w:tc>
        <w:tc>
          <w:tcPr>
            <w:tcW w:w="1462" w:type="dxa"/>
            <w:vAlign w:val="center"/>
          </w:tcPr>
          <w:p w14:paraId="2341AAB7"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No</w:t>
            </w:r>
          </w:p>
        </w:tc>
      </w:tr>
      <w:tr w:rsidR="0011752D" w:rsidRPr="0011752D" w14:paraId="2341AABB" w14:textId="77777777" w:rsidTr="00390762">
        <w:trPr>
          <w:trHeight w:val="284"/>
        </w:trPr>
        <w:tc>
          <w:tcPr>
            <w:tcW w:w="7366" w:type="dxa"/>
            <w:vAlign w:val="center"/>
          </w:tcPr>
          <w:p w14:paraId="2341AAB9"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Medidas de eficiencia energética en Gas Natural para calor</w:t>
            </w:r>
          </w:p>
        </w:tc>
        <w:tc>
          <w:tcPr>
            <w:tcW w:w="1462" w:type="dxa"/>
            <w:vAlign w:val="center"/>
          </w:tcPr>
          <w:p w14:paraId="2341AABA"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No</w:t>
            </w:r>
          </w:p>
        </w:tc>
      </w:tr>
      <w:tr w:rsidR="0011752D" w:rsidRPr="0011752D" w14:paraId="2341AABE" w14:textId="77777777" w:rsidTr="00390762">
        <w:trPr>
          <w:trHeight w:val="284"/>
        </w:trPr>
        <w:tc>
          <w:tcPr>
            <w:tcW w:w="7366" w:type="dxa"/>
            <w:vAlign w:val="center"/>
          </w:tcPr>
          <w:p w14:paraId="2341AABC"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lastRenderedPageBreak/>
              <w:t>Medidas transversales de BPO</w:t>
            </w:r>
            <w:r w:rsidRPr="0011752D">
              <w:rPr>
                <w:rFonts w:ascii="Arial" w:hAnsi="Arial" w:cs="Arial"/>
                <w:bCs/>
                <w:color w:val="000000"/>
                <w:sz w:val="18"/>
                <w:szCs w:val="18"/>
                <w:vertAlign w:val="superscript"/>
                <w:lang w:val="es-ES"/>
              </w:rPr>
              <w:footnoteReference w:id="35"/>
            </w:r>
            <w:r w:rsidRPr="0011752D">
              <w:rPr>
                <w:rFonts w:ascii="Arial" w:hAnsi="Arial" w:cs="Arial"/>
                <w:bCs/>
                <w:color w:val="000000"/>
                <w:sz w:val="18"/>
                <w:szCs w:val="18"/>
                <w:lang w:val="es-ES"/>
              </w:rPr>
              <w:t xml:space="preserve"> y diseño e implementación de Sistemas de Gestión de la Energía, SGEn</w:t>
            </w:r>
          </w:p>
        </w:tc>
        <w:tc>
          <w:tcPr>
            <w:tcW w:w="1462" w:type="dxa"/>
            <w:vAlign w:val="center"/>
          </w:tcPr>
          <w:p w14:paraId="2341AABD"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Si</w:t>
            </w:r>
          </w:p>
        </w:tc>
      </w:tr>
      <w:tr w:rsidR="0011752D" w:rsidRPr="0011752D" w14:paraId="2341AAC1" w14:textId="77777777" w:rsidTr="00390762">
        <w:trPr>
          <w:trHeight w:val="284"/>
        </w:trPr>
        <w:tc>
          <w:tcPr>
            <w:tcW w:w="7366" w:type="dxa"/>
            <w:shd w:val="clear" w:color="auto" w:fill="D9D9D9" w:themeFill="background1" w:themeFillShade="D9"/>
          </w:tcPr>
          <w:p w14:paraId="2341AABF" w14:textId="77777777" w:rsidR="0011752D" w:rsidRPr="0011752D" w:rsidRDefault="0011752D" w:rsidP="0011752D">
            <w:pPr>
              <w:spacing w:before="120" w:after="120"/>
              <w:jc w:val="both"/>
              <w:rPr>
                <w:rFonts w:ascii="Arial" w:hAnsi="Arial" w:cs="Arial"/>
                <w:bCs/>
                <w:color w:val="000000"/>
                <w:sz w:val="18"/>
                <w:szCs w:val="18"/>
                <w:lang w:val="es-ES"/>
              </w:rPr>
            </w:pPr>
            <w:r w:rsidRPr="0011752D">
              <w:rPr>
                <w:rFonts w:ascii="Arial" w:hAnsi="Arial" w:cs="Arial"/>
                <w:bCs/>
                <w:color w:val="000000"/>
                <w:sz w:val="18"/>
                <w:szCs w:val="18"/>
                <w:lang w:val="es-ES"/>
              </w:rPr>
              <w:t>Residencial</w:t>
            </w:r>
          </w:p>
        </w:tc>
        <w:tc>
          <w:tcPr>
            <w:tcW w:w="1462" w:type="dxa"/>
            <w:shd w:val="clear" w:color="auto" w:fill="D9D9D9" w:themeFill="background1" w:themeFillShade="D9"/>
          </w:tcPr>
          <w:p w14:paraId="2341AAC0" w14:textId="77777777" w:rsidR="0011752D" w:rsidRPr="0011752D" w:rsidRDefault="0011752D" w:rsidP="0011752D">
            <w:pPr>
              <w:spacing w:before="120" w:after="120"/>
              <w:jc w:val="both"/>
              <w:rPr>
                <w:rFonts w:ascii="Arial" w:hAnsi="Arial" w:cs="Arial"/>
                <w:bCs/>
                <w:color w:val="000000"/>
                <w:sz w:val="18"/>
                <w:szCs w:val="18"/>
                <w:lang w:val="es-ES"/>
              </w:rPr>
            </w:pPr>
          </w:p>
        </w:tc>
      </w:tr>
      <w:tr w:rsidR="0011752D" w:rsidRPr="0011752D" w14:paraId="2341AAC4" w14:textId="77777777" w:rsidTr="00390762">
        <w:trPr>
          <w:trHeight w:val="284"/>
        </w:trPr>
        <w:tc>
          <w:tcPr>
            <w:tcW w:w="7366" w:type="dxa"/>
          </w:tcPr>
          <w:p w14:paraId="2341AAC2"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Medidas de eficiencia energética en energía eléctrica</w:t>
            </w:r>
          </w:p>
        </w:tc>
        <w:tc>
          <w:tcPr>
            <w:tcW w:w="1462" w:type="dxa"/>
          </w:tcPr>
          <w:p w14:paraId="2341AAC3"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Si</w:t>
            </w:r>
          </w:p>
        </w:tc>
      </w:tr>
      <w:tr w:rsidR="0011752D" w:rsidRPr="0011752D" w14:paraId="2341AAC7" w14:textId="77777777" w:rsidTr="00390762">
        <w:trPr>
          <w:trHeight w:val="284"/>
        </w:trPr>
        <w:tc>
          <w:tcPr>
            <w:tcW w:w="7366" w:type="dxa"/>
          </w:tcPr>
          <w:p w14:paraId="2341AAC5"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Mejoramiento de eficiencia energética en edificaciones</w:t>
            </w:r>
          </w:p>
        </w:tc>
        <w:tc>
          <w:tcPr>
            <w:tcW w:w="1462" w:type="dxa"/>
          </w:tcPr>
          <w:p w14:paraId="2341AAC6"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Si</w:t>
            </w:r>
          </w:p>
        </w:tc>
      </w:tr>
      <w:tr w:rsidR="0011752D" w:rsidRPr="0011752D" w14:paraId="2341AACA" w14:textId="77777777" w:rsidTr="00390762">
        <w:trPr>
          <w:trHeight w:val="284"/>
        </w:trPr>
        <w:tc>
          <w:tcPr>
            <w:tcW w:w="7366" w:type="dxa"/>
          </w:tcPr>
          <w:p w14:paraId="2341AAC8"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Sustitución de duchas eléctricas por Sistemas Solares Térmicos, SST</w:t>
            </w:r>
          </w:p>
        </w:tc>
        <w:tc>
          <w:tcPr>
            <w:tcW w:w="1462" w:type="dxa"/>
          </w:tcPr>
          <w:p w14:paraId="2341AAC9"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Si</w:t>
            </w:r>
          </w:p>
        </w:tc>
      </w:tr>
      <w:tr w:rsidR="0011752D" w:rsidRPr="0011752D" w14:paraId="2341AACD" w14:textId="77777777" w:rsidTr="00390762">
        <w:trPr>
          <w:trHeight w:val="284"/>
        </w:trPr>
        <w:tc>
          <w:tcPr>
            <w:tcW w:w="7366" w:type="dxa"/>
          </w:tcPr>
          <w:p w14:paraId="2341AACB"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Implementación de Sistemas Solares Fotovoltaicos, SFV</w:t>
            </w:r>
          </w:p>
        </w:tc>
        <w:tc>
          <w:tcPr>
            <w:tcW w:w="1462" w:type="dxa"/>
          </w:tcPr>
          <w:p w14:paraId="2341AACC"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Si</w:t>
            </w:r>
          </w:p>
        </w:tc>
      </w:tr>
      <w:tr w:rsidR="0011752D" w:rsidRPr="0011752D" w14:paraId="2341AAD0" w14:textId="77777777" w:rsidTr="00390762">
        <w:trPr>
          <w:trHeight w:val="284"/>
        </w:trPr>
        <w:tc>
          <w:tcPr>
            <w:tcW w:w="7366" w:type="dxa"/>
          </w:tcPr>
          <w:p w14:paraId="2341AACE"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Reducción de consumo por Stand by</w:t>
            </w:r>
          </w:p>
        </w:tc>
        <w:tc>
          <w:tcPr>
            <w:tcW w:w="1462" w:type="dxa"/>
          </w:tcPr>
          <w:p w14:paraId="2341AACF"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Si</w:t>
            </w:r>
          </w:p>
        </w:tc>
      </w:tr>
      <w:tr w:rsidR="0011752D" w:rsidRPr="0011752D" w14:paraId="2341AAD3" w14:textId="77777777" w:rsidTr="00390762">
        <w:trPr>
          <w:trHeight w:val="284"/>
        </w:trPr>
        <w:tc>
          <w:tcPr>
            <w:tcW w:w="7366" w:type="dxa"/>
          </w:tcPr>
          <w:p w14:paraId="2341AAD1"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Implementación de estufas mejoradas de leña y uso de GLP</w:t>
            </w:r>
          </w:p>
        </w:tc>
        <w:tc>
          <w:tcPr>
            <w:tcW w:w="1462" w:type="dxa"/>
          </w:tcPr>
          <w:p w14:paraId="2341AAD2"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No</w:t>
            </w:r>
          </w:p>
        </w:tc>
      </w:tr>
      <w:tr w:rsidR="0011752D" w:rsidRPr="005E03D2" w14:paraId="2341AAD6" w14:textId="77777777" w:rsidTr="00390762">
        <w:trPr>
          <w:trHeight w:val="284"/>
        </w:trPr>
        <w:tc>
          <w:tcPr>
            <w:tcW w:w="7366" w:type="dxa"/>
            <w:shd w:val="clear" w:color="auto" w:fill="D9D9D9" w:themeFill="background1" w:themeFillShade="D9"/>
          </w:tcPr>
          <w:p w14:paraId="2341AAD4" w14:textId="77777777" w:rsidR="0011752D" w:rsidRPr="0011752D" w:rsidRDefault="0011752D" w:rsidP="0011752D">
            <w:pPr>
              <w:spacing w:before="120" w:after="120"/>
              <w:jc w:val="both"/>
              <w:rPr>
                <w:rFonts w:ascii="Arial" w:hAnsi="Arial" w:cs="Arial"/>
                <w:bCs/>
                <w:color w:val="000000"/>
                <w:sz w:val="18"/>
                <w:szCs w:val="18"/>
                <w:lang w:val="es-ES"/>
              </w:rPr>
            </w:pPr>
            <w:r w:rsidRPr="0011752D">
              <w:rPr>
                <w:rFonts w:ascii="Arial" w:hAnsi="Arial" w:cs="Arial"/>
                <w:bCs/>
                <w:color w:val="000000"/>
                <w:sz w:val="18"/>
                <w:szCs w:val="18"/>
                <w:lang w:val="es-ES"/>
              </w:rPr>
              <w:t>Terciario (Comercial, público y servicios)</w:t>
            </w:r>
          </w:p>
        </w:tc>
        <w:tc>
          <w:tcPr>
            <w:tcW w:w="1462" w:type="dxa"/>
            <w:shd w:val="clear" w:color="auto" w:fill="D9D9D9" w:themeFill="background1" w:themeFillShade="D9"/>
          </w:tcPr>
          <w:p w14:paraId="2341AAD5" w14:textId="77777777" w:rsidR="0011752D" w:rsidRPr="0011752D" w:rsidRDefault="0011752D" w:rsidP="0011752D">
            <w:pPr>
              <w:spacing w:before="120" w:after="120"/>
              <w:jc w:val="both"/>
              <w:rPr>
                <w:rFonts w:ascii="Arial" w:hAnsi="Arial" w:cs="Arial"/>
                <w:bCs/>
                <w:color w:val="000000"/>
                <w:sz w:val="18"/>
                <w:szCs w:val="18"/>
                <w:lang w:val="es-ES"/>
              </w:rPr>
            </w:pPr>
          </w:p>
        </w:tc>
      </w:tr>
      <w:tr w:rsidR="0011752D" w:rsidRPr="0011752D" w14:paraId="2341AAD9" w14:textId="77777777" w:rsidTr="00390762">
        <w:trPr>
          <w:trHeight w:val="284"/>
        </w:trPr>
        <w:tc>
          <w:tcPr>
            <w:tcW w:w="7366" w:type="dxa"/>
          </w:tcPr>
          <w:p w14:paraId="2341AAD7"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Medidas de eficiencia energética en energía eléctrica</w:t>
            </w:r>
          </w:p>
        </w:tc>
        <w:tc>
          <w:tcPr>
            <w:tcW w:w="1462" w:type="dxa"/>
          </w:tcPr>
          <w:p w14:paraId="2341AAD8"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Si</w:t>
            </w:r>
          </w:p>
        </w:tc>
      </w:tr>
      <w:tr w:rsidR="0011752D" w:rsidRPr="0011752D" w14:paraId="2341AADC" w14:textId="77777777" w:rsidTr="00390762">
        <w:trPr>
          <w:trHeight w:val="284"/>
        </w:trPr>
        <w:tc>
          <w:tcPr>
            <w:tcW w:w="7366" w:type="dxa"/>
          </w:tcPr>
          <w:p w14:paraId="2341AADA"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Mejora en el diseño, la construcción y la adecuación arquitectónica de edificaciones</w:t>
            </w:r>
          </w:p>
        </w:tc>
        <w:tc>
          <w:tcPr>
            <w:tcW w:w="1462" w:type="dxa"/>
          </w:tcPr>
          <w:p w14:paraId="2341AADB"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Si</w:t>
            </w:r>
          </w:p>
        </w:tc>
      </w:tr>
      <w:tr w:rsidR="0011752D" w:rsidRPr="0011752D" w14:paraId="2341AADF" w14:textId="77777777" w:rsidTr="00390762">
        <w:trPr>
          <w:trHeight w:val="284"/>
        </w:trPr>
        <w:tc>
          <w:tcPr>
            <w:tcW w:w="7366" w:type="dxa"/>
          </w:tcPr>
          <w:p w14:paraId="2341AADD"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Evaluación e Implementación de distritos térmicos</w:t>
            </w:r>
          </w:p>
        </w:tc>
        <w:tc>
          <w:tcPr>
            <w:tcW w:w="1462" w:type="dxa"/>
          </w:tcPr>
          <w:p w14:paraId="2341AADE"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No</w:t>
            </w:r>
          </w:p>
        </w:tc>
      </w:tr>
      <w:tr w:rsidR="0011752D" w:rsidRPr="0011752D" w14:paraId="2341AAE2" w14:textId="77777777" w:rsidTr="00390762">
        <w:trPr>
          <w:trHeight w:val="284"/>
        </w:trPr>
        <w:tc>
          <w:tcPr>
            <w:tcW w:w="7366" w:type="dxa"/>
          </w:tcPr>
          <w:p w14:paraId="2341AAE0"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Implementación de sistemas de medición inteligente</w:t>
            </w:r>
          </w:p>
        </w:tc>
        <w:tc>
          <w:tcPr>
            <w:tcW w:w="1462" w:type="dxa"/>
          </w:tcPr>
          <w:p w14:paraId="2341AAE1"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Si</w:t>
            </w:r>
          </w:p>
        </w:tc>
      </w:tr>
      <w:tr w:rsidR="0011752D" w:rsidRPr="0011752D" w14:paraId="2341AAE5" w14:textId="77777777" w:rsidTr="00390762">
        <w:trPr>
          <w:trHeight w:val="284"/>
        </w:trPr>
        <w:tc>
          <w:tcPr>
            <w:tcW w:w="7366" w:type="dxa"/>
          </w:tcPr>
          <w:p w14:paraId="2341AAE3"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Mejoramiento de la eficiencia energética en entidades públicas</w:t>
            </w:r>
          </w:p>
        </w:tc>
        <w:tc>
          <w:tcPr>
            <w:tcW w:w="1462" w:type="dxa"/>
          </w:tcPr>
          <w:p w14:paraId="2341AAE4"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Si</w:t>
            </w:r>
          </w:p>
        </w:tc>
      </w:tr>
      <w:tr w:rsidR="0011752D" w:rsidRPr="0011752D" w14:paraId="2341AAE8" w14:textId="77777777" w:rsidTr="00390762">
        <w:trPr>
          <w:trHeight w:val="284"/>
        </w:trPr>
        <w:tc>
          <w:tcPr>
            <w:tcW w:w="7366" w:type="dxa"/>
          </w:tcPr>
          <w:p w14:paraId="2341AAE6"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Adopción de reglamento de instalaciones térmicas</w:t>
            </w:r>
          </w:p>
        </w:tc>
        <w:tc>
          <w:tcPr>
            <w:tcW w:w="1462" w:type="dxa"/>
          </w:tcPr>
          <w:p w14:paraId="2341AAE7"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No</w:t>
            </w:r>
          </w:p>
        </w:tc>
      </w:tr>
      <w:tr w:rsidR="0011752D" w:rsidRPr="0011752D" w14:paraId="2341AAEB" w14:textId="77777777" w:rsidTr="00390762">
        <w:trPr>
          <w:trHeight w:val="284"/>
        </w:trPr>
        <w:tc>
          <w:tcPr>
            <w:tcW w:w="7366" w:type="dxa"/>
          </w:tcPr>
          <w:p w14:paraId="2341AAE9" w14:textId="77777777" w:rsidR="0011752D" w:rsidRPr="0011752D" w:rsidRDefault="0011752D" w:rsidP="0011752D">
            <w:pPr>
              <w:spacing w:before="120" w:after="120"/>
              <w:ind w:left="447"/>
              <w:rPr>
                <w:rFonts w:ascii="Arial" w:hAnsi="Arial" w:cs="Arial"/>
                <w:bCs/>
                <w:color w:val="000000"/>
                <w:sz w:val="18"/>
                <w:szCs w:val="18"/>
                <w:lang w:val="es-ES"/>
              </w:rPr>
            </w:pPr>
            <w:r w:rsidRPr="0011752D">
              <w:rPr>
                <w:rFonts w:ascii="Arial" w:hAnsi="Arial" w:cs="Arial"/>
                <w:bCs/>
                <w:color w:val="000000"/>
                <w:sz w:val="18"/>
                <w:szCs w:val="18"/>
                <w:lang w:val="es-ES"/>
              </w:rPr>
              <w:t>Implementación de SGEn</w:t>
            </w:r>
          </w:p>
        </w:tc>
        <w:tc>
          <w:tcPr>
            <w:tcW w:w="1462" w:type="dxa"/>
          </w:tcPr>
          <w:p w14:paraId="2341AAEA" w14:textId="77777777" w:rsidR="0011752D" w:rsidRPr="0011752D" w:rsidRDefault="0011752D" w:rsidP="0011752D">
            <w:pPr>
              <w:spacing w:before="120" w:after="120"/>
              <w:jc w:val="center"/>
              <w:rPr>
                <w:rFonts w:ascii="Arial" w:hAnsi="Arial" w:cs="Arial"/>
                <w:bCs/>
                <w:color w:val="000000"/>
                <w:sz w:val="18"/>
                <w:szCs w:val="18"/>
                <w:lang w:val="es-ES"/>
              </w:rPr>
            </w:pPr>
            <w:r w:rsidRPr="0011752D">
              <w:rPr>
                <w:rFonts w:ascii="Arial" w:hAnsi="Arial" w:cs="Arial"/>
                <w:bCs/>
                <w:color w:val="000000"/>
                <w:sz w:val="18"/>
                <w:szCs w:val="18"/>
                <w:lang w:val="es-ES"/>
              </w:rPr>
              <w:t>Si</w:t>
            </w:r>
          </w:p>
        </w:tc>
      </w:tr>
    </w:tbl>
    <w:p w14:paraId="2341AAEC" w14:textId="77777777" w:rsidR="0011752D" w:rsidRPr="0011752D" w:rsidRDefault="0011752D" w:rsidP="0011752D">
      <w:pPr>
        <w:spacing w:before="240" w:after="240"/>
        <w:jc w:val="center"/>
        <w:rPr>
          <w:rFonts w:ascii="Arial" w:hAnsi="Arial"/>
          <w:sz w:val="18"/>
          <w:szCs w:val="18"/>
          <w:lang w:val="es-ES"/>
        </w:rPr>
      </w:pPr>
      <w:r w:rsidRPr="0011752D">
        <w:rPr>
          <w:rFonts w:ascii="Arial" w:hAnsi="Arial"/>
          <w:sz w:val="18"/>
          <w:szCs w:val="18"/>
          <w:lang w:val="es-ES"/>
        </w:rPr>
        <w:t>Fuente: Elaborado con base en las medidas definidas en la Resolución (en consulta) Por la cual se adopta el Plan de Acción Indicativo 2017-2022 para el desarrollo del PROURE</w:t>
      </w:r>
    </w:p>
    <w:p w14:paraId="2341AAED"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Las medidas de eficiencia energética en energía eléctrica están asociadas fundamentalmente con la mejora de eficiencia de aires acondicionados, refrigeración, iluminación e instalaciones eléctricas. Para el sector industrial en particular, se consideran medidas para mejorar la eficiencia de sistemas de fuerza motriz, para el sector terciario, mejoras en la eficiencia de sistemas de alumbrado público, y para el sector residencial, mejora en la eficiencia de las estufas eléctricas, las neveras e iluminación.</w:t>
      </w:r>
    </w:p>
    <w:p w14:paraId="2341AAEE"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Para efecto del presente análisis económico, se han seleccionado 11 medidas representativas de eficiencia energética en los sectores residencial, comercial e industrial </w:t>
      </w:r>
      <w:r w:rsidRPr="0011752D">
        <w:rPr>
          <w:rFonts w:ascii="Arial" w:hAnsi="Arial"/>
          <w:sz w:val="22"/>
          <w:lang w:val="es-CO"/>
        </w:rPr>
        <w:lastRenderedPageBreak/>
        <w:t>(3 medidas, 4 medidas y 4 medidas respectivamente).</w:t>
      </w:r>
      <w:r w:rsidRPr="0011752D">
        <w:rPr>
          <w:rFonts w:ascii="Arial" w:hAnsi="Arial"/>
          <w:sz w:val="22"/>
          <w:vertAlign w:val="superscript"/>
          <w:lang w:val="es-CO"/>
        </w:rPr>
        <w:footnoteReference w:id="36"/>
      </w:r>
      <w:r w:rsidRPr="0011752D">
        <w:rPr>
          <w:rFonts w:ascii="Arial" w:hAnsi="Arial"/>
          <w:sz w:val="22"/>
          <w:lang w:val="es-CO"/>
        </w:rPr>
        <w:t xml:space="preserve"> A continuación se describen las medidas consideradas.</w:t>
      </w:r>
    </w:p>
    <w:p w14:paraId="2341AAEF" w14:textId="77777777" w:rsidR="0011752D" w:rsidRPr="0011752D" w:rsidRDefault="0011752D" w:rsidP="0011752D">
      <w:pPr>
        <w:spacing w:before="240" w:after="240"/>
        <w:jc w:val="center"/>
        <w:rPr>
          <w:rFonts w:ascii="Arial" w:hAnsi="Arial" w:cs="Arial"/>
          <w:bCs/>
          <w:color w:val="FF0000"/>
          <w:sz w:val="22"/>
          <w:szCs w:val="22"/>
          <w:highlight w:val="yellow"/>
          <w:lang w:val="es-ES"/>
        </w:rPr>
      </w:pPr>
      <w:bookmarkStart w:id="85" w:name="_Toc473268558"/>
      <w:bookmarkStart w:id="86" w:name="_Toc474797062"/>
      <w:r w:rsidRPr="0011752D">
        <w:rPr>
          <w:rFonts w:ascii="Arial" w:hAnsi="Arial"/>
          <w:b/>
          <w:sz w:val="22"/>
          <w:lang w:val="es-CO"/>
        </w:rPr>
        <w:t xml:space="preserve">Tabla </w:t>
      </w:r>
      <w:r w:rsidRPr="0011752D">
        <w:rPr>
          <w:rFonts w:ascii="Arial" w:hAnsi="Arial"/>
          <w:b/>
          <w:sz w:val="22"/>
          <w:lang w:val="es-CO"/>
        </w:rPr>
        <w:fldChar w:fldCharType="begin"/>
      </w:r>
      <w:r w:rsidRPr="0011752D">
        <w:rPr>
          <w:rFonts w:ascii="Arial" w:hAnsi="Arial"/>
          <w:b/>
          <w:sz w:val="22"/>
          <w:lang w:val="es-CO"/>
        </w:rPr>
        <w:instrText xml:space="preserve"> SEQ Tabla \* ARABIC </w:instrText>
      </w:r>
      <w:r w:rsidRPr="0011752D">
        <w:rPr>
          <w:rFonts w:ascii="Arial" w:hAnsi="Arial"/>
          <w:b/>
          <w:sz w:val="22"/>
          <w:lang w:val="es-CO"/>
        </w:rPr>
        <w:fldChar w:fldCharType="separate"/>
      </w:r>
      <w:r w:rsidRPr="0011752D">
        <w:rPr>
          <w:rFonts w:ascii="Arial" w:hAnsi="Arial"/>
          <w:b/>
          <w:noProof/>
          <w:sz w:val="22"/>
          <w:lang w:val="es-CO"/>
        </w:rPr>
        <w:t>8</w:t>
      </w:r>
      <w:r w:rsidRPr="0011752D">
        <w:rPr>
          <w:rFonts w:ascii="Arial" w:hAnsi="Arial"/>
          <w:b/>
          <w:sz w:val="22"/>
          <w:lang w:val="es-CO"/>
        </w:rPr>
        <w:fldChar w:fldCharType="end"/>
      </w:r>
      <w:r w:rsidRPr="0011752D">
        <w:rPr>
          <w:rFonts w:ascii="Arial" w:hAnsi="Arial"/>
          <w:b/>
          <w:sz w:val="22"/>
          <w:lang w:val="es-CO"/>
        </w:rPr>
        <w:t xml:space="preserve"> – Efecto de las medidas tendientes a la gestión eficiente de la demanda</w:t>
      </w:r>
      <w:bookmarkEnd w:id="85"/>
      <w:bookmarkEnd w:id="86"/>
    </w:p>
    <w:tbl>
      <w:tblPr>
        <w:tblStyle w:val="TableGrid"/>
        <w:tblW w:w="5000" w:type="pct"/>
        <w:tblLook w:val="04A0" w:firstRow="1" w:lastRow="0" w:firstColumn="1" w:lastColumn="0" w:noHBand="0" w:noVBand="1"/>
      </w:tblPr>
      <w:tblGrid>
        <w:gridCol w:w="2767"/>
        <w:gridCol w:w="5863"/>
      </w:tblGrid>
      <w:tr w:rsidR="0011752D" w:rsidRPr="0011752D" w14:paraId="2341AAF2" w14:textId="77777777" w:rsidTr="00390762">
        <w:trPr>
          <w:trHeight w:val="57"/>
          <w:tblHeader/>
        </w:trPr>
        <w:tc>
          <w:tcPr>
            <w:tcW w:w="1603" w:type="pct"/>
            <w:shd w:val="clear" w:color="auto" w:fill="215868" w:themeFill="accent5" w:themeFillShade="80"/>
          </w:tcPr>
          <w:p w14:paraId="2341AAF0" w14:textId="77777777" w:rsidR="0011752D" w:rsidRPr="0011752D" w:rsidRDefault="0011752D" w:rsidP="0011752D">
            <w:pPr>
              <w:spacing w:before="120" w:after="120"/>
              <w:jc w:val="center"/>
              <w:rPr>
                <w:rFonts w:ascii="Arial" w:hAnsi="Arial" w:cs="Arial"/>
                <w:bCs/>
                <w:color w:val="FFFFFF"/>
                <w:sz w:val="18"/>
                <w:szCs w:val="18"/>
                <w:lang w:val="es-ES"/>
              </w:rPr>
            </w:pPr>
            <w:r w:rsidRPr="0011752D">
              <w:rPr>
                <w:rFonts w:ascii="Arial" w:hAnsi="Arial" w:cs="Arial"/>
                <w:bCs/>
                <w:color w:val="FFFFFF"/>
                <w:sz w:val="18"/>
                <w:szCs w:val="18"/>
                <w:lang w:val="es-ES"/>
              </w:rPr>
              <w:t>Sector / Medida</w:t>
            </w:r>
          </w:p>
        </w:tc>
        <w:tc>
          <w:tcPr>
            <w:tcW w:w="3397" w:type="pct"/>
            <w:shd w:val="clear" w:color="auto" w:fill="215868" w:themeFill="accent5" w:themeFillShade="80"/>
          </w:tcPr>
          <w:p w14:paraId="2341AAF1" w14:textId="77777777" w:rsidR="0011752D" w:rsidRPr="0011752D" w:rsidRDefault="0011752D" w:rsidP="0011752D">
            <w:pPr>
              <w:spacing w:before="120" w:after="120"/>
              <w:jc w:val="center"/>
              <w:rPr>
                <w:rFonts w:ascii="Arial" w:hAnsi="Arial" w:cs="Arial"/>
                <w:bCs/>
                <w:color w:val="FFFFFF"/>
                <w:sz w:val="18"/>
                <w:szCs w:val="18"/>
                <w:lang w:val="es-ES"/>
              </w:rPr>
            </w:pPr>
            <w:r w:rsidRPr="0011752D">
              <w:rPr>
                <w:rFonts w:ascii="Arial" w:hAnsi="Arial" w:cs="Arial"/>
                <w:bCs/>
                <w:color w:val="FFFFFF"/>
                <w:sz w:val="18"/>
                <w:szCs w:val="18"/>
                <w:lang w:val="es-ES"/>
              </w:rPr>
              <w:t>Descripción</w:t>
            </w:r>
          </w:p>
        </w:tc>
      </w:tr>
      <w:tr w:rsidR="0011752D" w:rsidRPr="0011752D" w14:paraId="2341AAF5" w14:textId="77777777" w:rsidTr="00390762">
        <w:trPr>
          <w:trHeight w:val="57"/>
        </w:trPr>
        <w:tc>
          <w:tcPr>
            <w:tcW w:w="1603" w:type="pct"/>
            <w:shd w:val="clear" w:color="auto" w:fill="D9D9D9" w:themeFill="background1" w:themeFillShade="D9"/>
          </w:tcPr>
          <w:p w14:paraId="2341AAF3" w14:textId="77777777" w:rsidR="0011752D" w:rsidRPr="0011752D" w:rsidRDefault="0011752D" w:rsidP="0011752D">
            <w:pPr>
              <w:spacing w:before="120" w:after="120"/>
              <w:jc w:val="both"/>
              <w:rPr>
                <w:rFonts w:ascii="Arial" w:hAnsi="Arial" w:cs="Arial"/>
                <w:bCs/>
                <w:color w:val="000000"/>
                <w:sz w:val="18"/>
                <w:szCs w:val="18"/>
                <w:lang w:val="es-ES"/>
              </w:rPr>
            </w:pPr>
            <w:r w:rsidRPr="0011752D">
              <w:rPr>
                <w:rFonts w:ascii="Arial" w:hAnsi="Arial" w:cs="Arial"/>
                <w:bCs/>
                <w:color w:val="000000"/>
                <w:sz w:val="18"/>
                <w:szCs w:val="18"/>
                <w:lang w:val="es-ES"/>
              </w:rPr>
              <w:t>Residencial</w:t>
            </w:r>
          </w:p>
        </w:tc>
        <w:tc>
          <w:tcPr>
            <w:tcW w:w="3397" w:type="pct"/>
            <w:shd w:val="clear" w:color="auto" w:fill="D9D9D9" w:themeFill="background1" w:themeFillShade="D9"/>
          </w:tcPr>
          <w:p w14:paraId="2341AAF4" w14:textId="77777777" w:rsidR="0011752D" w:rsidRPr="0011752D" w:rsidRDefault="0011752D" w:rsidP="0011752D">
            <w:pPr>
              <w:spacing w:before="120" w:after="120"/>
              <w:jc w:val="both"/>
              <w:rPr>
                <w:rFonts w:ascii="Arial" w:hAnsi="Arial" w:cs="Arial"/>
                <w:bCs/>
                <w:color w:val="000000"/>
                <w:sz w:val="18"/>
                <w:szCs w:val="18"/>
                <w:lang w:val="es-ES"/>
              </w:rPr>
            </w:pPr>
          </w:p>
        </w:tc>
      </w:tr>
      <w:tr w:rsidR="0011752D" w:rsidRPr="005E03D2" w14:paraId="2341AAF8" w14:textId="77777777" w:rsidTr="00390762">
        <w:trPr>
          <w:trHeight w:val="57"/>
        </w:trPr>
        <w:tc>
          <w:tcPr>
            <w:tcW w:w="1603" w:type="pct"/>
          </w:tcPr>
          <w:p w14:paraId="2341AAF6"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Cambio de bombillas</w:t>
            </w:r>
          </w:p>
        </w:tc>
        <w:tc>
          <w:tcPr>
            <w:tcW w:w="3397" w:type="pct"/>
          </w:tcPr>
          <w:p w14:paraId="2341AAF7" w14:textId="77777777" w:rsidR="0011752D" w:rsidRPr="0011752D" w:rsidRDefault="0011752D" w:rsidP="0011752D">
            <w:pPr>
              <w:spacing w:before="120" w:after="120"/>
              <w:jc w:val="both"/>
              <w:rPr>
                <w:rFonts w:ascii="Arial" w:hAnsi="Arial" w:cs="Arial"/>
                <w:bCs/>
                <w:color w:val="000000"/>
                <w:sz w:val="18"/>
                <w:szCs w:val="18"/>
                <w:lang w:val="es-ES"/>
              </w:rPr>
            </w:pPr>
            <w:r w:rsidRPr="0011752D">
              <w:rPr>
                <w:rFonts w:ascii="Arial" w:hAnsi="Arial"/>
                <w:color w:val="000000"/>
                <w:sz w:val="18"/>
                <w:szCs w:val="18"/>
                <w:lang w:val="es-ES"/>
              </w:rPr>
              <w:t>Cambio de bombillos incandescentes y LFC a bombillos LED de 7W en los estratos 1 y 2 con un potencial ahorro energético del 73% con respecto al consumo de iluminación actual. La implementación de la medida en estos estratos considera el beneficio potencial por menores subsidios.</w:t>
            </w:r>
          </w:p>
        </w:tc>
      </w:tr>
      <w:tr w:rsidR="0011752D" w:rsidRPr="005E03D2" w14:paraId="2341AAFB" w14:textId="77777777" w:rsidTr="00390762">
        <w:trPr>
          <w:trHeight w:val="57"/>
        </w:trPr>
        <w:tc>
          <w:tcPr>
            <w:tcW w:w="1603" w:type="pct"/>
          </w:tcPr>
          <w:p w14:paraId="2341AAF9"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Cambio de neveras</w:t>
            </w:r>
          </w:p>
        </w:tc>
        <w:tc>
          <w:tcPr>
            <w:tcW w:w="3397" w:type="pct"/>
          </w:tcPr>
          <w:p w14:paraId="2341AAFA" w14:textId="77777777" w:rsidR="0011752D" w:rsidRPr="0011752D" w:rsidRDefault="0011752D" w:rsidP="0011752D">
            <w:pPr>
              <w:spacing w:before="120" w:after="120"/>
              <w:jc w:val="both"/>
              <w:rPr>
                <w:rFonts w:ascii="Arial" w:hAnsi="Arial" w:cs="Arial"/>
                <w:bCs/>
                <w:color w:val="000000"/>
                <w:sz w:val="18"/>
                <w:szCs w:val="18"/>
                <w:lang w:val="es-ES"/>
              </w:rPr>
            </w:pPr>
            <w:r w:rsidRPr="0011752D">
              <w:rPr>
                <w:rFonts w:ascii="Arial" w:hAnsi="Arial"/>
                <w:color w:val="000000"/>
                <w:sz w:val="18"/>
                <w:szCs w:val="18"/>
                <w:lang w:val="es-ES"/>
              </w:rPr>
              <w:t>Sustitución de aproximadamente 4.6 millones de neveras tipo E, F y G en los estratos 1 y 2 con un potencial ahorro energético del 57% con respecto al consumo refrigeración actual en el sector residencial. La implementación de la medida en estos estratos considera el beneficio potencial por menores subsidios.</w:t>
            </w:r>
          </w:p>
        </w:tc>
      </w:tr>
      <w:tr w:rsidR="0011752D" w:rsidRPr="005E03D2" w14:paraId="2341AAFE" w14:textId="77777777" w:rsidTr="00390762">
        <w:trPr>
          <w:trHeight w:val="57"/>
        </w:trPr>
        <w:tc>
          <w:tcPr>
            <w:tcW w:w="1603" w:type="pct"/>
          </w:tcPr>
          <w:p w14:paraId="2341AAFC"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Cambio de estufas</w:t>
            </w:r>
          </w:p>
        </w:tc>
        <w:tc>
          <w:tcPr>
            <w:tcW w:w="3397" w:type="pct"/>
          </w:tcPr>
          <w:p w14:paraId="2341AAFD" w14:textId="77777777" w:rsidR="0011752D" w:rsidRPr="0011752D" w:rsidRDefault="0011752D" w:rsidP="0011752D">
            <w:pPr>
              <w:spacing w:before="120" w:after="120"/>
              <w:jc w:val="both"/>
              <w:rPr>
                <w:rFonts w:ascii="Arial" w:hAnsi="Arial" w:cs="Arial"/>
                <w:bCs/>
                <w:color w:val="000000"/>
                <w:sz w:val="18"/>
                <w:szCs w:val="18"/>
                <w:lang w:val="es-ES"/>
              </w:rPr>
            </w:pPr>
            <w:r w:rsidRPr="0011752D">
              <w:rPr>
                <w:rFonts w:ascii="Arial" w:hAnsi="Arial"/>
                <w:color w:val="000000"/>
                <w:sz w:val="18"/>
                <w:szCs w:val="18"/>
                <w:lang w:val="es-ES"/>
              </w:rPr>
              <w:t>Sustitución de aproximadamente 333.000 estufas eléctricas a estufas de inducción en los estratos 1, 2 y 3. La implementación de la medida en estos estratos considera el beneficio potencial por menores subsidios.</w:t>
            </w:r>
          </w:p>
        </w:tc>
      </w:tr>
      <w:tr w:rsidR="0011752D" w:rsidRPr="0011752D" w14:paraId="2341AB01" w14:textId="77777777" w:rsidTr="00390762">
        <w:trPr>
          <w:trHeight w:val="57"/>
        </w:trPr>
        <w:tc>
          <w:tcPr>
            <w:tcW w:w="1603" w:type="pct"/>
            <w:shd w:val="clear" w:color="auto" w:fill="D9D9D9" w:themeFill="background1" w:themeFillShade="D9"/>
          </w:tcPr>
          <w:p w14:paraId="2341AAFF" w14:textId="77777777" w:rsidR="0011752D" w:rsidRPr="0011752D" w:rsidRDefault="0011752D" w:rsidP="0011752D">
            <w:pPr>
              <w:spacing w:before="120" w:after="120"/>
              <w:jc w:val="both"/>
              <w:rPr>
                <w:rFonts w:ascii="Arial" w:hAnsi="Arial" w:cs="Arial"/>
                <w:bCs/>
                <w:color w:val="000000"/>
                <w:sz w:val="18"/>
                <w:szCs w:val="18"/>
                <w:lang w:val="es-ES"/>
              </w:rPr>
            </w:pPr>
            <w:r w:rsidRPr="0011752D">
              <w:rPr>
                <w:rFonts w:ascii="Arial" w:hAnsi="Arial" w:cs="Arial"/>
                <w:bCs/>
                <w:color w:val="000000"/>
                <w:sz w:val="18"/>
                <w:szCs w:val="18"/>
                <w:lang w:val="es-ES"/>
              </w:rPr>
              <w:t>Terciario</w:t>
            </w:r>
          </w:p>
        </w:tc>
        <w:tc>
          <w:tcPr>
            <w:tcW w:w="3397" w:type="pct"/>
            <w:shd w:val="clear" w:color="auto" w:fill="D9D9D9" w:themeFill="background1" w:themeFillShade="D9"/>
          </w:tcPr>
          <w:p w14:paraId="2341AB00" w14:textId="77777777" w:rsidR="0011752D" w:rsidRPr="0011752D" w:rsidRDefault="0011752D" w:rsidP="0011752D">
            <w:pPr>
              <w:spacing w:before="120" w:after="120"/>
              <w:jc w:val="both"/>
              <w:rPr>
                <w:rFonts w:ascii="Arial" w:hAnsi="Arial" w:cs="Arial"/>
                <w:bCs/>
                <w:color w:val="000000"/>
                <w:sz w:val="18"/>
                <w:szCs w:val="18"/>
                <w:lang w:val="es-ES"/>
              </w:rPr>
            </w:pPr>
          </w:p>
        </w:tc>
      </w:tr>
      <w:tr w:rsidR="0011752D" w:rsidRPr="005E03D2" w14:paraId="2341AB05" w14:textId="77777777" w:rsidTr="00390762">
        <w:trPr>
          <w:trHeight w:val="57"/>
        </w:trPr>
        <w:tc>
          <w:tcPr>
            <w:tcW w:w="1603" w:type="pct"/>
          </w:tcPr>
          <w:p w14:paraId="2341AB02"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 xml:space="preserve">Cambio equipos climatización </w:t>
            </w:r>
          </w:p>
          <w:p w14:paraId="2341AB03"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(Sector comercial)</w:t>
            </w:r>
          </w:p>
        </w:tc>
        <w:tc>
          <w:tcPr>
            <w:tcW w:w="3397" w:type="pct"/>
          </w:tcPr>
          <w:p w14:paraId="2341AB04" w14:textId="77777777" w:rsidR="0011752D" w:rsidRPr="0011752D" w:rsidRDefault="0011752D" w:rsidP="0011752D">
            <w:pPr>
              <w:spacing w:before="120" w:after="120"/>
              <w:jc w:val="both"/>
              <w:rPr>
                <w:rFonts w:ascii="Arial" w:hAnsi="Arial" w:cs="Arial"/>
                <w:bCs/>
                <w:color w:val="000000"/>
                <w:sz w:val="18"/>
                <w:szCs w:val="18"/>
                <w:lang w:val="es-ES"/>
              </w:rPr>
            </w:pPr>
            <w:r w:rsidRPr="0011752D">
              <w:rPr>
                <w:rFonts w:ascii="Arial" w:hAnsi="Arial"/>
                <w:color w:val="000000"/>
                <w:sz w:val="18"/>
                <w:szCs w:val="18"/>
                <w:lang w:val="es-ES"/>
              </w:rPr>
              <w:t>Reemplazo de más de 25.000 equipos de refrigeración tipo chiller (aire y agua) y Mini Split en el sector comercial con un ahorro ponderado del 35% con respecto al consumo actual.</w:t>
            </w:r>
          </w:p>
        </w:tc>
      </w:tr>
      <w:tr w:rsidR="0011752D" w:rsidRPr="005E03D2" w14:paraId="2341AB09" w14:textId="77777777" w:rsidTr="00390762">
        <w:trPr>
          <w:trHeight w:val="57"/>
        </w:trPr>
        <w:tc>
          <w:tcPr>
            <w:tcW w:w="1603" w:type="pct"/>
          </w:tcPr>
          <w:p w14:paraId="2341AB06"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 xml:space="preserve">Cambio equipos de refrigeración </w:t>
            </w:r>
          </w:p>
          <w:p w14:paraId="2341AB07"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(Sector comercial)</w:t>
            </w:r>
          </w:p>
        </w:tc>
        <w:tc>
          <w:tcPr>
            <w:tcW w:w="3397" w:type="pct"/>
          </w:tcPr>
          <w:p w14:paraId="2341AB08" w14:textId="77777777" w:rsidR="0011752D" w:rsidRPr="0011752D" w:rsidRDefault="0011752D" w:rsidP="0011752D">
            <w:pPr>
              <w:spacing w:before="120" w:after="120"/>
              <w:jc w:val="both"/>
              <w:rPr>
                <w:rFonts w:ascii="Arial" w:hAnsi="Arial" w:cs="Arial"/>
                <w:bCs/>
                <w:color w:val="000000"/>
                <w:sz w:val="18"/>
                <w:szCs w:val="18"/>
                <w:lang w:val="es-ES"/>
              </w:rPr>
            </w:pPr>
            <w:r w:rsidRPr="0011752D">
              <w:rPr>
                <w:rFonts w:ascii="Arial" w:hAnsi="Arial"/>
                <w:color w:val="000000"/>
                <w:sz w:val="18"/>
                <w:szCs w:val="18"/>
                <w:lang w:val="es-ES"/>
              </w:rPr>
              <w:t>Cambio de 156.000 neveras, congeladores, botelleros, vitrinas, dispensadores y racks de refrigeración con un potencial ahorro del 30% respecto al consumo eléctrico actual para refrigeración en el sector comercial.</w:t>
            </w:r>
          </w:p>
        </w:tc>
      </w:tr>
      <w:tr w:rsidR="0011752D" w:rsidRPr="005E03D2" w14:paraId="2341AB0D" w14:textId="77777777" w:rsidTr="00390762">
        <w:trPr>
          <w:trHeight w:val="57"/>
        </w:trPr>
        <w:tc>
          <w:tcPr>
            <w:tcW w:w="1603" w:type="pct"/>
          </w:tcPr>
          <w:p w14:paraId="2341AB0A"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 xml:space="preserve">Cambio de bombillas </w:t>
            </w:r>
          </w:p>
          <w:p w14:paraId="2341AB0B"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(Sector comercial)</w:t>
            </w:r>
          </w:p>
        </w:tc>
        <w:tc>
          <w:tcPr>
            <w:tcW w:w="3397" w:type="pct"/>
          </w:tcPr>
          <w:p w14:paraId="2341AB0C" w14:textId="77777777" w:rsidR="0011752D" w:rsidRPr="0011752D" w:rsidRDefault="0011752D" w:rsidP="0011752D">
            <w:pPr>
              <w:spacing w:before="120" w:after="120"/>
              <w:jc w:val="both"/>
              <w:rPr>
                <w:rFonts w:ascii="Arial" w:hAnsi="Arial" w:cs="Arial"/>
                <w:bCs/>
                <w:color w:val="000000"/>
                <w:sz w:val="18"/>
                <w:szCs w:val="18"/>
                <w:lang w:val="es-ES"/>
              </w:rPr>
            </w:pPr>
            <w:r w:rsidRPr="0011752D">
              <w:rPr>
                <w:rFonts w:ascii="Arial" w:hAnsi="Arial"/>
                <w:color w:val="000000"/>
                <w:sz w:val="18"/>
                <w:szCs w:val="18"/>
                <w:lang w:val="es-ES"/>
              </w:rPr>
              <w:t>Sustitución de 880.000 bombillos tubulares, incandescentes (60 W) y halógenos (50 W) en el subsector comercial por bombillos LED de 7W con un ahorro ponderado del 76% con respecto al consumo actual.</w:t>
            </w:r>
          </w:p>
        </w:tc>
      </w:tr>
      <w:tr w:rsidR="0011752D" w:rsidRPr="005E03D2" w14:paraId="2341AB11" w14:textId="77777777" w:rsidTr="00390762">
        <w:trPr>
          <w:trHeight w:val="57"/>
        </w:trPr>
        <w:tc>
          <w:tcPr>
            <w:tcW w:w="1603" w:type="pct"/>
          </w:tcPr>
          <w:p w14:paraId="2341AB0E"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Fuerza Motriz</w:t>
            </w:r>
          </w:p>
        </w:tc>
        <w:tc>
          <w:tcPr>
            <w:tcW w:w="3397" w:type="pct"/>
          </w:tcPr>
          <w:p w14:paraId="2341AB0F" w14:textId="77777777" w:rsidR="0011752D" w:rsidRPr="0011752D" w:rsidRDefault="0011752D" w:rsidP="0011752D">
            <w:pPr>
              <w:spacing w:before="120" w:after="120"/>
              <w:jc w:val="both"/>
              <w:rPr>
                <w:rFonts w:ascii="Arial" w:hAnsi="Arial"/>
                <w:color w:val="000000"/>
                <w:sz w:val="18"/>
                <w:szCs w:val="18"/>
                <w:lang w:val="es-ES"/>
              </w:rPr>
            </w:pPr>
            <w:r w:rsidRPr="0011752D">
              <w:rPr>
                <w:rFonts w:ascii="Arial" w:hAnsi="Arial"/>
                <w:color w:val="000000"/>
                <w:sz w:val="18"/>
                <w:szCs w:val="18"/>
                <w:lang w:val="es-ES"/>
              </w:rPr>
              <w:t>Sustitución de 21.000 equipos tipo IE1 por equipos tipo IE3 en los establecimientos comerciales representando un ahorro del 6% en el consumo eléctrico para fuerza motriz en este sector.</w:t>
            </w:r>
          </w:p>
          <w:p w14:paraId="2341AB10" w14:textId="77777777" w:rsidR="0011752D" w:rsidRPr="0011752D" w:rsidRDefault="0011752D" w:rsidP="0011752D">
            <w:pPr>
              <w:spacing w:before="120" w:after="120"/>
              <w:jc w:val="both"/>
              <w:rPr>
                <w:rFonts w:ascii="Arial" w:hAnsi="Arial" w:cs="Arial"/>
                <w:bCs/>
                <w:color w:val="000000"/>
                <w:sz w:val="18"/>
                <w:szCs w:val="18"/>
                <w:lang w:val="es-ES"/>
              </w:rPr>
            </w:pPr>
          </w:p>
        </w:tc>
      </w:tr>
      <w:tr w:rsidR="0011752D" w:rsidRPr="0011752D" w14:paraId="2341AB14" w14:textId="77777777" w:rsidTr="00390762">
        <w:trPr>
          <w:trHeight w:val="57"/>
        </w:trPr>
        <w:tc>
          <w:tcPr>
            <w:tcW w:w="1603" w:type="pct"/>
            <w:shd w:val="clear" w:color="auto" w:fill="D9D9D9" w:themeFill="background1" w:themeFillShade="D9"/>
          </w:tcPr>
          <w:p w14:paraId="2341AB12"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Industrial</w:t>
            </w:r>
          </w:p>
        </w:tc>
        <w:tc>
          <w:tcPr>
            <w:tcW w:w="3397" w:type="pct"/>
            <w:shd w:val="clear" w:color="auto" w:fill="D9D9D9" w:themeFill="background1" w:themeFillShade="D9"/>
          </w:tcPr>
          <w:p w14:paraId="2341AB13" w14:textId="77777777" w:rsidR="0011752D" w:rsidRPr="0011752D" w:rsidRDefault="0011752D" w:rsidP="0011752D">
            <w:pPr>
              <w:spacing w:before="120" w:after="120"/>
              <w:jc w:val="center"/>
              <w:rPr>
                <w:rFonts w:ascii="Arial" w:hAnsi="Arial"/>
                <w:color w:val="FF0000"/>
                <w:sz w:val="18"/>
                <w:szCs w:val="18"/>
                <w:lang w:val="es-ES"/>
              </w:rPr>
            </w:pPr>
          </w:p>
        </w:tc>
      </w:tr>
      <w:tr w:rsidR="0011752D" w:rsidRPr="005E03D2" w14:paraId="2341AB18" w14:textId="77777777" w:rsidTr="00390762">
        <w:trPr>
          <w:trHeight w:val="57"/>
        </w:trPr>
        <w:tc>
          <w:tcPr>
            <w:tcW w:w="1603" w:type="pct"/>
            <w:vAlign w:val="center"/>
          </w:tcPr>
          <w:p w14:paraId="2341AB15"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Sustitución de motores de baja eficiencia por motores eficientes</w:t>
            </w:r>
          </w:p>
          <w:p w14:paraId="2341AB16"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lastRenderedPageBreak/>
              <w:t>(Industria metalúrgica)</w:t>
            </w:r>
          </w:p>
        </w:tc>
        <w:tc>
          <w:tcPr>
            <w:tcW w:w="3397" w:type="pct"/>
            <w:vAlign w:val="center"/>
          </w:tcPr>
          <w:p w14:paraId="2341AB17" w14:textId="77777777" w:rsidR="0011752D" w:rsidRPr="0011752D" w:rsidRDefault="0011752D" w:rsidP="0011752D">
            <w:pPr>
              <w:spacing w:before="120" w:after="120"/>
              <w:jc w:val="both"/>
              <w:rPr>
                <w:rFonts w:ascii="Arial" w:hAnsi="Arial"/>
                <w:color w:val="000000"/>
                <w:sz w:val="18"/>
                <w:szCs w:val="18"/>
                <w:lang w:val="es-ES"/>
              </w:rPr>
            </w:pPr>
            <w:r w:rsidRPr="0011752D">
              <w:rPr>
                <w:rFonts w:ascii="Arial" w:hAnsi="Arial"/>
                <w:color w:val="000000"/>
                <w:sz w:val="18"/>
                <w:szCs w:val="18"/>
                <w:lang w:val="es-ES"/>
              </w:rPr>
              <w:lastRenderedPageBreak/>
              <w:t>Sustitución de aproximadamente 24.000 motores ineficientes (5.465 W) por motores con un menor requerimiento de potencia (5.013 W) en la industria del hierro, acero y metales no ferrosos.</w:t>
            </w:r>
          </w:p>
        </w:tc>
      </w:tr>
      <w:tr w:rsidR="0011752D" w:rsidRPr="005E03D2" w14:paraId="2341AB1C" w14:textId="77777777" w:rsidTr="00390762">
        <w:trPr>
          <w:trHeight w:val="57"/>
        </w:trPr>
        <w:tc>
          <w:tcPr>
            <w:tcW w:w="1603" w:type="pct"/>
            <w:vAlign w:val="center"/>
          </w:tcPr>
          <w:p w14:paraId="2341AB19"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Sustitución de motores de baja eficiencia por motores eficientes</w:t>
            </w:r>
          </w:p>
          <w:p w14:paraId="2341AB1A"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(Industria alimentos)</w:t>
            </w:r>
          </w:p>
        </w:tc>
        <w:tc>
          <w:tcPr>
            <w:tcW w:w="3397" w:type="pct"/>
            <w:vAlign w:val="center"/>
          </w:tcPr>
          <w:p w14:paraId="2341AB1B" w14:textId="77777777" w:rsidR="0011752D" w:rsidRPr="0011752D" w:rsidRDefault="0011752D" w:rsidP="0011752D">
            <w:pPr>
              <w:spacing w:before="120" w:after="120"/>
              <w:jc w:val="both"/>
              <w:rPr>
                <w:rFonts w:ascii="Arial" w:hAnsi="Arial"/>
                <w:color w:val="000000"/>
                <w:sz w:val="18"/>
                <w:szCs w:val="18"/>
                <w:lang w:val="es-ES"/>
              </w:rPr>
            </w:pPr>
            <w:r w:rsidRPr="0011752D">
              <w:rPr>
                <w:rFonts w:ascii="Arial" w:hAnsi="Arial"/>
                <w:color w:val="000000"/>
                <w:sz w:val="18"/>
                <w:szCs w:val="18"/>
                <w:lang w:val="es-ES"/>
              </w:rPr>
              <w:t>Sustitución de aproximadamente 57.000 motores ineficientes (5.465 W) por motores con un menor requerimiento de potencia (5.013 W) en la industria de alimentos.</w:t>
            </w:r>
          </w:p>
        </w:tc>
      </w:tr>
      <w:tr w:rsidR="0011752D" w:rsidRPr="005E03D2" w14:paraId="2341AB20" w14:textId="77777777" w:rsidTr="00390762">
        <w:trPr>
          <w:trHeight w:val="57"/>
        </w:trPr>
        <w:tc>
          <w:tcPr>
            <w:tcW w:w="1603" w:type="pct"/>
            <w:vAlign w:val="center"/>
          </w:tcPr>
          <w:p w14:paraId="2341AB1D"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 xml:space="preserve">Sustitución de motores de baja eficiencia por motores eficientes </w:t>
            </w:r>
          </w:p>
          <w:p w14:paraId="2341AB1E"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(Industria químicos)</w:t>
            </w:r>
          </w:p>
        </w:tc>
        <w:tc>
          <w:tcPr>
            <w:tcW w:w="3397" w:type="pct"/>
            <w:vAlign w:val="center"/>
          </w:tcPr>
          <w:p w14:paraId="2341AB1F" w14:textId="77777777" w:rsidR="0011752D" w:rsidRPr="0011752D" w:rsidRDefault="0011752D" w:rsidP="0011752D">
            <w:pPr>
              <w:spacing w:before="120" w:after="120"/>
              <w:jc w:val="both"/>
              <w:rPr>
                <w:rFonts w:ascii="Arial" w:hAnsi="Arial"/>
                <w:color w:val="000000"/>
                <w:sz w:val="18"/>
                <w:szCs w:val="18"/>
                <w:lang w:val="es-ES"/>
              </w:rPr>
            </w:pPr>
            <w:r w:rsidRPr="0011752D">
              <w:rPr>
                <w:rFonts w:ascii="Arial" w:hAnsi="Arial"/>
                <w:color w:val="000000"/>
                <w:sz w:val="18"/>
                <w:szCs w:val="18"/>
                <w:lang w:val="es-ES"/>
              </w:rPr>
              <w:t>Sustitución de aproximadamente 47.500 motores ineficientes (5.465 W) por motores con un menor requerimiento de potencia (5.013 W) en la industria de químicos.</w:t>
            </w:r>
          </w:p>
        </w:tc>
      </w:tr>
      <w:tr w:rsidR="0011752D" w:rsidRPr="005E03D2" w14:paraId="2341AB24" w14:textId="77777777" w:rsidTr="00390762">
        <w:trPr>
          <w:trHeight w:val="57"/>
        </w:trPr>
        <w:tc>
          <w:tcPr>
            <w:tcW w:w="1603" w:type="pct"/>
            <w:vAlign w:val="center"/>
          </w:tcPr>
          <w:p w14:paraId="2341AB21"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Mantenimiento y optimización de la operación de los aires acondicionados</w:t>
            </w:r>
          </w:p>
          <w:p w14:paraId="2341AB22" w14:textId="77777777" w:rsidR="0011752D" w:rsidRPr="0011752D" w:rsidRDefault="0011752D" w:rsidP="0011752D">
            <w:pPr>
              <w:spacing w:before="120" w:after="120"/>
              <w:ind w:left="22"/>
              <w:rPr>
                <w:rFonts w:ascii="Arial" w:hAnsi="Arial" w:cs="Arial"/>
                <w:bCs/>
                <w:color w:val="000000"/>
                <w:sz w:val="18"/>
                <w:szCs w:val="18"/>
                <w:lang w:val="es-ES"/>
              </w:rPr>
            </w:pPr>
            <w:r w:rsidRPr="0011752D">
              <w:rPr>
                <w:rFonts w:ascii="Arial" w:hAnsi="Arial" w:cs="Arial"/>
                <w:bCs/>
                <w:color w:val="000000"/>
                <w:sz w:val="18"/>
                <w:szCs w:val="18"/>
                <w:lang w:val="es-ES"/>
              </w:rPr>
              <w:t>(Industria de alimentos)</w:t>
            </w:r>
          </w:p>
        </w:tc>
        <w:tc>
          <w:tcPr>
            <w:tcW w:w="3397" w:type="pct"/>
            <w:vAlign w:val="center"/>
          </w:tcPr>
          <w:p w14:paraId="2341AB23" w14:textId="77777777" w:rsidR="0011752D" w:rsidRPr="0011752D" w:rsidRDefault="0011752D" w:rsidP="0011752D">
            <w:pPr>
              <w:spacing w:before="120" w:after="120"/>
              <w:jc w:val="both"/>
              <w:rPr>
                <w:rFonts w:ascii="Arial" w:hAnsi="Arial"/>
                <w:color w:val="000000"/>
                <w:sz w:val="18"/>
                <w:szCs w:val="18"/>
                <w:lang w:val="es-ES"/>
              </w:rPr>
            </w:pPr>
            <w:r w:rsidRPr="0011752D">
              <w:rPr>
                <w:rFonts w:ascii="Arial" w:hAnsi="Arial"/>
                <w:color w:val="000000"/>
                <w:sz w:val="18"/>
                <w:szCs w:val="18"/>
                <w:lang w:val="es-ES"/>
              </w:rPr>
              <w:t>Corrección y mantenimiento a cerca de 1.300 aires acondicionados en la industria de alimentos pasando de una potencia de 16.773 W a una potencia de 15.096 W.</w:t>
            </w:r>
          </w:p>
        </w:tc>
      </w:tr>
    </w:tbl>
    <w:p w14:paraId="2341AB25" w14:textId="77777777" w:rsidR="0011752D" w:rsidRPr="0011752D" w:rsidRDefault="0011752D" w:rsidP="0011752D">
      <w:pPr>
        <w:spacing w:after="120"/>
        <w:jc w:val="both"/>
        <w:rPr>
          <w:rFonts w:ascii="Arial" w:hAnsi="Arial"/>
          <w:sz w:val="18"/>
          <w:szCs w:val="18"/>
          <w:lang w:val="es-CO"/>
        </w:rPr>
      </w:pPr>
      <w:r w:rsidRPr="0011752D">
        <w:rPr>
          <w:rFonts w:ascii="Arial" w:hAnsi="Arial"/>
          <w:sz w:val="18"/>
          <w:szCs w:val="18"/>
          <w:lang w:val="es-ES"/>
        </w:rPr>
        <w:t xml:space="preserve">Fuente: Elaborado con base en medidas identificadas en el estudio “Política de Eficiencia Energética para Colombia” realizado por E&amp;Y para el Ministerio de Minas y Energía (2015). </w:t>
      </w:r>
    </w:p>
    <w:p w14:paraId="2341AB26"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Las medidas evaluadas, y según se precisa en el Plan de Acción Indicativo de Eficiencia Energética 2016 – 2021 de la UPME, corresponden a medidas que no necesariamente son atractivas económicamente para el privado, sin embargo, una vez incluidos el efecto de las externalidades (como por ejemplo menores emisiones de CO2), se obtiene un beneficio neto para la sociedad. En este sentido, y para lograr la inversión requerida por parte de los privados, particularmente en el sector comercial e industrial, se buscarían generar beneficios a la inversión valoradas al costo de las externalidades, los cuales pueden ser de carácter tributario o arancelario, entre otros. Para el sector residencial, y debido a que el mayor efecto de las medidas de eficiencia energética requiere inversión en los sectores de menor poder adquisitivo, es probable que un porcentaje de la inversión sea asumido por parte del gobierno, posibilitando así la adquisición los equipos de mayor costo por parte del usuario final (ej. adquisición de neveras eficientes).   </w:t>
      </w:r>
    </w:p>
    <w:p w14:paraId="2341AB27"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En la </w:t>
      </w:r>
      <w:r w:rsidRPr="0011752D">
        <w:rPr>
          <w:rFonts w:ascii="Arial" w:hAnsi="Arial"/>
          <w:sz w:val="22"/>
          <w:lang w:val="es-CO"/>
        </w:rPr>
        <w:fldChar w:fldCharType="begin"/>
      </w:r>
      <w:r w:rsidRPr="0011752D">
        <w:rPr>
          <w:rFonts w:ascii="Arial" w:hAnsi="Arial"/>
          <w:sz w:val="22"/>
          <w:lang w:val="es-CO"/>
        </w:rPr>
        <w:instrText xml:space="preserve"> REF _Ref473211879 \h </w:instrText>
      </w:r>
      <w:r w:rsidRPr="0011752D">
        <w:rPr>
          <w:rFonts w:ascii="Arial" w:hAnsi="Arial"/>
          <w:sz w:val="22"/>
          <w:lang w:val="es-CO"/>
        </w:rPr>
      </w:r>
      <w:r w:rsidRPr="0011752D">
        <w:rPr>
          <w:rFonts w:ascii="Arial" w:hAnsi="Arial"/>
          <w:sz w:val="22"/>
          <w:lang w:val="es-CO"/>
        </w:rPr>
        <w:fldChar w:fldCharType="separate"/>
      </w:r>
      <w:r w:rsidRPr="0011752D">
        <w:rPr>
          <w:rFonts w:ascii="Arial" w:hAnsi="Arial"/>
          <w:b/>
          <w:sz w:val="22"/>
          <w:lang w:val="es-CO"/>
        </w:rPr>
        <w:t xml:space="preserve">Tabla </w:t>
      </w:r>
      <w:r w:rsidRPr="0011752D">
        <w:rPr>
          <w:rFonts w:ascii="Arial" w:hAnsi="Arial"/>
          <w:b/>
          <w:noProof/>
          <w:sz w:val="22"/>
          <w:lang w:val="es-CO"/>
        </w:rPr>
        <w:t>9</w:t>
      </w:r>
      <w:r w:rsidRPr="0011752D">
        <w:rPr>
          <w:rFonts w:ascii="Arial" w:hAnsi="Arial"/>
          <w:sz w:val="22"/>
          <w:lang w:val="es-CO"/>
        </w:rPr>
        <w:fldChar w:fldCharType="end"/>
      </w:r>
      <w:r w:rsidRPr="0011752D">
        <w:rPr>
          <w:rFonts w:ascii="Arial" w:hAnsi="Arial"/>
          <w:sz w:val="22"/>
          <w:lang w:val="es-CO"/>
        </w:rPr>
        <w:t xml:space="preserve"> y la </w:t>
      </w:r>
      <w:r w:rsidRPr="0011752D">
        <w:rPr>
          <w:rFonts w:ascii="Arial" w:hAnsi="Arial"/>
          <w:sz w:val="22"/>
          <w:highlight w:val="yellow"/>
          <w:lang w:val="es-CO"/>
        </w:rPr>
        <w:fldChar w:fldCharType="begin"/>
      </w:r>
      <w:r w:rsidRPr="0011752D">
        <w:rPr>
          <w:rFonts w:ascii="Arial" w:hAnsi="Arial"/>
          <w:sz w:val="22"/>
          <w:lang w:val="es-CO"/>
        </w:rPr>
        <w:instrText xml:space="preserve"> REF _Ref473211898 \h </w:instrText>
      </w:r>
      <w:r w:rsidRPr="0011752D">
        <w:rPr>
          <w:rFonts w:ascii="Arial" w:hAnsi="Arial"/>
          <w:sz w:val="22"/>
          <w:highlight w:val="yellow"/>
          <w:lang w:val="es-CO"/>
        </w:rPr>
      </w:r>
      <w:r w:rsidRPr="0011752D">
        <w:rPr>
          <w:rFonts w:ascii="Arial" w:hAnsi="Arial"/>
          <w:sz w:val="22"/>
          <w:highlight w:val="yellow"/>
          <w:lang w:val="es-CO"/>
        </w:rPr>
        <w:fldChar w:fldCharType="separate"/>
      </w:r>
      <w:r w:rsidRPr="0011752D">
        <w:rPr>
          <w:rFonts w:ascii="Arial" w:hAnsi="Arial"/>
          <w:b/>
          <w:sz w:val="22"/>
          <w:lang w:val="es-CO"/>
        </w:rPr>
        <w:t xml:space="preserve">Tabla </w:t>
      </w:r>
      <w:r w:rsidRPr="0011752D">
        <w:rPr>
          <w:rFonts w:ascii="Arial" w:hAnsi="Arial"/>
          <w:b/>
          <w:noProof/>
          <w:sz w:val="22"/>
          <w:lang w:val="es-CO"/>
        </w:rPr>
        <w:t>10</w:t>
      </w:r>
      <w:r w:rsidRPr="0011752D">
        <w:rPr>
          <w:rFonts w:ascii="Arial" w:hAnsi="Arial"/>
          <w:sz w:val="22"/>
          <w:highlight w:val="yellow"/>
          <w:lang w:val="es-CO"/>
        </w:rPr>
        <w:fldChar w:fldCharType="end"/>
      </w:r>
      <w:r w:rsidRPr="0011752D">
        <w:rPr>
          <w:rFonts w:ascii="Arial" w:hAnsi="Arial"/>
          <w:sz w:val="22"/>
          <w:lang w:val="es-CO"/>
        </w:rPr>
        <w:t xml:space="preserve"> se resume los efectos energéticos y ambientales por la implementación de las medidas anteriormente descritas</w:t>
      </w:r>
      <w:r w:rsidRPr="0011752D">
        <w:rPr>
          <w:rFonts w:ascii="Arial" w:hAnsi="Arial"/>
          <w:sz w:val="22"/>
          <w:vertAlign w:val="superscript"/>
          <w:lang w:val="es-CO"/>
        </w:rPr>
        <w:footnoteReference w:id="37"/>
      </w:r>
      <w:r w:rsidRPr="0011752D">
        <w:rPr>
          <w:rFonts w:ascii="Arial" w:hAnsi="Arial"/>
          <w:sz w:val="22"/>
          <w:lang w:val="es-CO"/>
        </w:rPr>
        <w:t>.</w:t>
      </w:r>
    </w:p>
    <w:p w14:paraId="2341AB28" w14:textId="77777777" w:rsidR="0011752D" w:rsidRPr="0011752D" w:rsidRDefault="0011752D" w:rsidP="0011752D">
      <w:pPr>
        <w:spacing w:before="240" w:after="240"/>
        <w:jc w:val="both"/>
        <w:rPr>
          <w:rFonts w:ascii="Arial" w:hAnsi="Arial"/>
          <w:b/>
          <w:sz w:val="22"/>
          <w:lang w:val="es-CO"/>
        </w:rPr>
      </w:pPr>
      <w:bookmarkStart w:id="87" w:name="_Ref473211879"/>
      <w:bookmarkStart w:id="88" w:name="_Toc473268559"/>
    </w:p>
    <w:p w14:paraId="2341AB29" w14:textId="77777777" w:rsidR="0011752D" w:rsidRPr="0011752D" w:rsidRDefault="0011752D" w:rsidP="0011752D">
      <w:pPr>
        <w:spacing w:before="240" w:after="240"/>
        <w:jc w:val="both"/>
        <w:rPr>
          <w:rFonts w:ascii="Arial" w:hAnsi="Arial"/>
          <w:b/>
          <w:sz w:val="22"/>
          <w:lang w:val="es-CO"/>
        </w:rPr>
      </w:pPr>
    </w:p>
    <w:p w14:paraId="2341AB2A" w14:textId="77777777" w:rsidR="0011752D" w:rsidRPr="0011752D" w:rsidRDefault="0011752D" w:rsidP="0011752D">
      <w:pPr>
        <w:spacing w:before="240" w:after="240"/>
        <w:jc w:val="both"/>
        <w:rPr>
          <w:rFonts w:ascii="Arial" w:hAnsi="Arial"/>
          <w:b/>
          <w:sz w:val="22"/>
          <w:lang w:val="es-CO"/>
        </w:rPr>
      </w:pPr>
    </w:p>
    <w:p w14:paraId="2341AB2B" w14:textId="77777777" w:rsidR="0011752D" w:rsidRPr="0011752D" w:rsidRDefault="0011752D" w:rsidP="0011752D">
      <w:pPr>
        <w:jc w:val="both"/>
        <w:rPr>
          <w:rFonts w:ascii="Arial" w:hAnsi="Arial"/>
          <w:b/>
          <w:sz w:val="22"/>
          <w:lang w:val="es-CO"/>
        </w:rPr>
      </w:pPr>
      <w:bookmarkStart w:id="89" w:name="_Toc474797063"/>
      <w:r w:rsidRPr="0011752D">
        <w:rPr>
          <w:rFonts w:ascii="Arial" w:hAnsi="Arial"/>
          <w:b/>
          <w:sz w:val="22"/>
          <w:lang w:val="es-CO"/>
        </w:rPr>
        <w:t xml:space="preserve">Tabla </w:t>
      </w:r>
      <w:r w:rsidRPr="0011752D">
        <w:rPr>
          <w:rFonts w:ascii="Arial" w:hAnsi="Arial"/>
          <w:b/>
          <w:sz w:val="22"/>
          <w:lang w:val="es-CO"/>
        </w:rPr>
        <w:fldChar w:fldCharType="begin"/>
      </w:r>
      <w:r w:rsidRPr="0011752D">
        <w:rPr>
          <w:rFonts w:ascii="Arial" w:hAnsi="Arial"/>
          <w:b/>
          <w:sz w:val="22"/>
          <w:lang w:val="es-CO"/>
        </w:rPr>
        <w:instrText xml:space="preserve"> SEQ Tabla \* ARABIC </w:instrText>
      </w:r>
      <w:r w:rsidRPr="0011752D">
        <w:rPr>
          <w:rFonts w:ascii="Arial" w:hAnsi="Arial"/>
          <w:b/>
          <w:sz w:val="22"/>
          <w:lang w:val="es-CO"/>
        </w:rPr>
        <w:fldChar w:fldCharType="separate"/>
      </w:r>
      <w:r w:rsidRPr="0011752D">
        <w:rPr>
          <w:rFonts w:ascii="Arial" w:hAnsi="Arial"/>
          <w:b/>
          <w:noProof/>
          <w:sz w:val="22"/>
          <w:lang w:val="es-CO"/>
        </w:rPr>
        <w:t>9</w:t>
      </w:r>
      <w:r w:rsidRPr="0011752D">
        <w:rPr>
          <w:rFonts w:ascii="Arial" w:hAnsi="Arial"/>
          <w:b/>
          <w:sz w:val="22"/>
          <w:lang w:val="es-CO"/>
        </w:rPr>
        <w:fldChar w:fldCharType="end"/>
      </w:r>
      <w:bookmarkEnd w:id="87"/>
      <w:r w:rsidRPr="0011752D">
        <w:rPr>
          <w:rFonts w:ascii="Arial" w:hAnsi="Arial"/>
          <w:b/>
          <w:sz w:val="22"/>
          <w:lang w:val="es-CO"/>
        </w:rPr>
        <w:t xml:space="preserve"> – Potencial ahorro energético por la implementación de medidas de eficiencia energética (GWh)</w:t>
      </w:r>
      <w:bookmarkEnd w:id="88"/>
      <w:bookmarkEnd w:id="89"/>
    </w:p>
    <w:tbl>
      <w:tblPr>
        <w:tblW w:w="5000" w:type="pct"/>
        <w:tblCellMar>
          <w:left w:w="70" w:type="dxa"/>
          <w:right w:w="70" w:type="dxa"/>
        </w:tblCellMar>
        <w:tblLook w:val="04A0" w:firstRow="1" w:lastRow="0" w:firstColumn="1" w:lastColumn="0" w:noHBand="0" w:noVBand="1"/>
      </w:tblPr>
      <w:tblGrid>
        <w:gridCol w:w="5020"/>
        <w:gridCol w:w="572"/>
        <w:gridCol w:w="594"/>
        <w:gridCol w:w="596"/>
        <w:gridCol w:w="618"/>
        <w:gridCol w:w="618"/>
        <w:gridCol w:w="617"/>
      </w:tblGrid>
      <w:tr w:rsidR="0011752D" w:rsidRPr="0011752D" w14:paraId="2341AB33" w14:textId="77777777" w:rsidTr="00390762">
        <w:trPr>
          <w:trHeight w:val="300"/>
          <w:tblHeader/>
        </w:trPr>
        <w:tc>
          <w:tcPr>
            <w:tcW w:w="2907" w:type="pct"/>
            <w:tcBorders>
              <w:top w:val="nil"/>
              <w:left w:val="nil"/>
              <w:bottom w:val="single" w:sz="4" w:space="0" w:color="auto"/>
              <w:right w:val="nil"/>
            </w:tcBorders>
            <w:shd w:val="clear" w:color="auto" w:fill="auto"/>
            <w:noWrap/>
            <w:vAlign w:val="bottom"/>
            <w:hideMark/>
          </w:tcPr>
          <w:p w14:paraId="2341AB2C" w14:textId="77777777" w:rsidR="0011752D" w:rsidRPr="0011752D" w:rsidRDefault="0011752D" w:rsidP="0011752D">
            <w:pPr>
              <w:rPr>
                <w:rFonts w:ascii="Calibri" w:hAnsi="Calibri"/>
                <w:b/>
                <w:color w:val="000000"/>
                <w:sz w:val="16"/>
                <w:szCs w:val="22"/>
                <w:lang w:val="es-CO" w:eastAsia="es-CO"/>
              </w:rPr>
            </w:pPr>
            <w:r w:rsidRPr="0011752D">
              <w:rPr>
                <w:rFonts w:ascii="Calibri" w:hAnsi="Calibri"/>
                <w:color w:val="000000"/>
                <w:sz w:val="16"/>
                <w:szCs w:val="22"/>
                <w:lang w:val="es-CO" w:eastAsia="es-CO"/>
              </w:rPr>
              <w:lastRenderedPageBreak/>
              <w:t> </w:t>
            </w:r>
            <w:r w:rsidRPr="0011752D">
              <w:rPr>
                <w:rFonts w:ascii="Calibri" w:hAnsi="Calibri"/>
                <w:b/>
                <w:color w:val="000000"/>
                <w:sz w:val="16"/>
                <w:szCs w:val="22"/>
                <w:lang w:val="es-CO" w:eastAsia="es-CO"/>
              </w:rPr>
              <w:t>Ahorro energético para el sector eléctrico (GWh)</w:t>
            </w:r>
          </w:p>
        </w:tc>
        <w:tc>
          <w:tcPr>
            <w:tcW w:w="331" w:type="pct"/>
            <w:tcBorders>
              <w:top w:val="single" w:sz="4" w:space="0" w:color="FFFFFF"/>
              <w:left w:val="nil"/>
              <w:bottom w:val="single" w:sz="4" w:space="0" w:color="auto"/>
              <w:right w:val="single" w:sz="4" w:space="0" w:color="FFFFFF"/>
            </w:tcBorders>
            <w:shd w:val="clear" w:color="000000" w:fill="203764"/>
            <w:noWrap/>
            <w:vAlign w:val="bottom"/>
            <w:hideMark/>
          </w:tcPr>
          <w:p w14:paraId="2341AB2D" w14:textId="77777777" w:rsidR="0011752D" w:rsidRPr="0011752D" w:rsidRDefault="0011752D" w:rsidP="0011752D">
            <w:pPr>
              <w:jc w:val="center"/>
              <w:rPr>
                <w:rFonts w:ascii="Calibri" w:hAnsi="Calibri"/>
                <w:color w:val="FFFFFF"/>
                <w:sz w:val="16"/>
                <w:szCs w:val="22"/>
                <w:lang w:val="es-CO" w:eastAsia="es-CO"/>
              </w:rPr>
            </w:pPr>
            <w:r w:rsidRPr="0011752D">
              <w:rPr>
                <w:rFonts w:ascii="Calibri" w:hAnsi="Calibri"/>
                <w:color w:val="FFFFFF"/>
                <w:sz w:val="16"/>
                <w:szCs w:val="22"/>
                <w:lang w:val="es-CO" w:eastAsia="es-CO"/>
              </w:rPr>
              <w:t>2017</w:t>
            </w:r>
          </w:p>
        </w:tc>
        <w:tc>
          <w:tcPr>
            <w:tcW w:w="344" w:type="pct"/>
            <w:tcBorders>
              <w:top w:val="single" w:sz="4" w:space="0" w:color="FFFFFF"/>
              <w:left w:val="nil"/>
              <w:bottom w:val="single" w:sz="4" w:space="0" w:color="auto"/>
              <w:right w:val="single" w:sz="4" w:space="0" w:color="FFFFFF"/>
            </w:tcBorders>
            <w:shd w:val="clear" w:color="000000" w:fill="203764"/>
            <w:noWrap/>
            <w:vAlign w:val="bottom"/>
            <w:hideMark/>
          </w:tcPr>
          <w:p w14:paraId="2341AB2E" w14:textId="77777777" w:rsidR="0011752D" w:rsidRPr="0011752D" w:rsidRDefault="0011752D" w:rsidP="0011752D">
            <w:pPr>
              <w:jc w:val="center"/>
              <w:rPr>
                <w:rFonts w:ascii="Calibri" w:hAnsi="Calibri"/>
                <w:color w:val="FFFFFF"/>
                <w:sz w:val="16"/>
                <w:szCs w:val="22"/>
                <w:lang w:val="es-CO" w:eastAsia="es-CO"/>
              </w:rPr>
            </w:pPr>
            <w:r w:rsidRPr="0011752D">
              <w:rPr>
                <w:rFonts w:ascii="Calibri" w:hAnsi="Calibri"/>
                <w:color w:val="FFFFFF"/>
                <w:sz w:val="16"/>
                <w:szCs w:val="22"/>
                <w:lang w:val="es-CO" w:eastAsia="es-CO"/>
              </w:rPr>
              <w:t>2018</w:t>
            </w:r>
          </w:p>
        </w:tc>
        <w:tc>
          <w:tcPr>
            <w:tcW w:w="345" w:type="pct"/>
            <w:tcBorders>
              <w:top w:val="single" w:sz="4" w:space="0" w:color="FFFFFF"/>
              <w:left w:val="nil"/>
              <w:bottom w:val="single" w:sz="4" w:space="0" w:color="auto"/>
              <w:right w:val="single" w:sz="4" w:space="0" w:color="FFFFFF"/>
            </w:tcBorders>
            <w:shd w:val="clear" w:color="000000" w:fill="203764"/>
            <w:noWrap/>
            <w:vAlign w:val="bottom"/>
            <w:hideMark/>
          </w:tcPr>
          <w:p w14:paraId="2341AB2F" w14:textId="77777777" w:rsidR="0011752D" w:rsidRPr="0011752D" w:rsidRDefault="0011752D" w:rsidP="0011752D">
            <w:pPr>
              <w:jc w:val="center"/>
              <w:rPr>
                <w:rFonts w:ascii="Calibri" w:hAnsi="Calibri"/>
                <w:color w:val="FFFFFF"/>
                <w:sz w:val="16"/>
                <w:szCs w:val="22"/>
                <w:lang w:val="es-CO" w:eastAsia="es-CO"/>
              </w:rPr>
            </w:pPr>
            <w:r w:rsidRPr="0011752D">
              <w:rPr>
                <w:rFonts w:ascii="Calibri" w:hAnsi="Calibri"/>
                <w:color w:val="FFFFFF"/>
                <w:sz w:val="16"/>
                <w:szCs w:val="22"/>
                <w:lang w:val="es-CO" w:eastAsia="es-CO"/>
              </w:rPr>
              <w:t>2019</w:t>
            </w:r>
          </w:p>
        </w:tc>
        <w:tc>
          <w:tcPr>
            <w:tcW w:w="358" w:type="pct"/>
            <w:tcBorders>
              <w:top w:val="single" w:sz="4" w:space="0" w:color="FFFFFF"/>
              <w:left w:val="nil"/>
              <w:bottom w:val="single" w:sz="4" w:space="0" w:color="auto"/>
              <w:right w:val="single" w:sz="4" w:space="0" w:color="FFFFFF"/>
            </w:tcBorders>
            <w:shd w:val="clear" w:color="000000" w:fill="203764"/>
            <w:noWrap/>
            <w:vAlign w:val="bottom"/>
            <w:hideMark/>
          </w:tcPr>
          <w:p w14:paraId="2341AB30" w14:textId="77777777" w:rsidR="0011752D" w:rsidRPr="0011752D" w:rsidRDefault="0011752D" w:rsidP="0011752D">
            <w:pPr>
              <w:jc w:val="center"/>
              <w:rPr>
                <w:rFonts w:ascii="Calibri" w:hAnsi="Calibri"/>
                <w:color w:val="FFFFFF"/>
                <w:sz w:val="16"/>
                <w:szCs w:val="22"/>
                <w:lang w:val="es-CO" w:eastAsia="es-CO"/>
              </w:rPr>
            </w:pPr>
            <w:r w:rsidRPr="0011752D">
              <w:rPr>
                <w:rFonts w:ascii="Calibri" w:hAnsi="Calibri"/>
                <w:color w:val="FFFFFF"/>
                <w:sz w:val="16"/>
                <w:szCs w:val="22"/>
                <w:lang w:val="es-CO" w:eastAsia="es-CO"/>
              </w:rPr>
              <w:t>2020</w:t>
            </w:r>
          </w:p>
        </w:tc>
        <w:tc>
          <w:tcPr>
            <w:tcW w:w="358" w:type="pct"/>
            <w:tcBorders>
              <w:top w:val="single" w:sz="4" w:space="0" w:color="FFFFFF"/>
              <w:left w:val="nil"/>
              <w:bottom w:val="single" w:sz="4" w:space="0" w:color="auto"/>
              <w:right w:val="single" w:sz="4" w:space="0" w:color="FFFFFF"/>
            </w:tcBorders>
            <w:shd w:val="clear" w:color="000000" w:fill="203764"/>
            <w:noWrap/>
            <w:vAlign w:val="bottom"/>
            <w:hideMark/>
          </w:tcPr>
          <w:p w14:paraId="2341AB31" w14:textId="77777777" w:rsidR="0011752D" w:rsidRPr="0011752D" w:rsidRDefault="0011752D" w:rsidP="0011752D">
            <w:pPr>
              <w:jc w:val="center"/>
              <w:rPr>
                <w:rFonts w:ascii="Calibri" w:hAnsi="Calibri"/>
                <w:color w:val="FFFFFF"/>
                <w:sz w:val="16"/>
                <w:szCs w:val="22"/>
                <w:lang w:val="es-CO" w:eastAsia="es-CO"/>
              </w:rPr>
            </w:pPr>
            <w:r w:rsidRPr="0011752D">
              <w:rPr>
                <w:rFonts w:ascii="Calibri" w:hAnsi="Calibri"/>
                <w:color w:val="FFFFFF"/>
                <w:sz w:val="16"/>
                <w:szCs w:val="22"/>
                <w:lang w:val="es-CO" w:eastAsia="es-CO"/>
              </w:rPr>
              <w:t>2021</w:t>
            </w:r>
          </w:p>
        </w:tc>
        <w:tc>
          <w:tcPr>
            <w:tcW w:w="358" w:type="pct"/>
            <w:tcBorders>
              <w:top w:val="single" w:sz="4" w:space="0" w:color="FFFFFF"/>
              <w:left w:val="nil"/>
              <w:bottom w:val="single" w:sz="4" w:space="0" w:color="auto"/>
              <w:right w:val="single" w:sz="4" w:space="0" w:color="FFFFFF"/>
            </w:tcBorders>
            <w:shd w:val="clear" w:color="000000" w:fill="203764"/>
            <w:noWrap/>
            <w:vAlign w:val="bottom"/>
            <w:hideMark/>
          </w:tcPr>
          <w:p w14:paraId="2341AB32" w14:textId="77777777" w:rsidR="0011752D" w:rsidRPr="0011752D" w:rsidRDefault="0011752D" w:rsidP="0011752D">
            <w:pPr>
              <w:jc w:val="center"/>
              <w:rPr>
                <w:rFonts w:ascii="Calibri" w:hAnsi="Calibri"/>
                <w:color w:val="FFFFFF"/>
                <w:sz w:val="16"/>
                <w:szCs w:val="22"/>
                <w:lang w:val="es-CO" w:eastAsia="es-CO"/>
              </w:rPr>
            </w:pPr>
            <w:r w:rsidRPr="0011752D">
              <w:rPr>
                <w:rFonts w:ascii="Calibri" w:hAnsi="Calibri"/>
                <w:color w:val="FFFFFF"/>
                <w:sz w:val="16"/>
                <w:szCs w:val="22"/>
                <w:lang w:val="es-CO" w:eastAsia="es-CO"/>
              </w:rPr>
              <w:t>2022</w:t>
            </w:r>
          </w:p>
        </w:tc>
      </w:tr>
      <w:tr w:rsidR="0011752D" w:rsidRPr="0011752D" w14:paraId="2341AB3B" w14:textId="77777777" w:rsidTr="00390762">
        <w:trPr>
          <w:trHeight w:val="300"/>
        </w:trPr>
        <w:tc>
          <w:tcPr>
            <w:tcW w:w="2907" w:type="pct"/>
            <w:tcBorders>
              <w:top w:val="nil"/>
              <w:left w:val="nil"/>
              <w:bottom w:val="single" w:sz="4" w:space="0" w:color="auto"/>
              <w:right w:val="nil"/>
            </w:tcBorders>
            <w:shd w:val="clear" w:color="000000" w:fill="E7E6E6"/>
            <w:noWrap/>
            <w:vAlign w:val="bottom"/>
            <w:hideMark/>
          </w:tcPr>
          <w:p w14:paraId="2341AB34" w14:textId="77777777" w:rsidR="0011752D" w:rsidRPr="0011752D" w:rsidRDefault="0011752D" w:rsidP="0011752D">
            <w:pPr>
              <w:rPr>
                <w:rFonts w:ascii="Calibri" w:hAnsi="Calibri"/>
                <w:b/>
                <w:bCs/>
                <w:color w:val="000000"/>
                <w:sz w:val="16"/>
                <w:szCs w:val="22"/>
                <w:lang w:val="es-CO" w:eastAsia="es-CO"/>
              </w:rPr>
            </w:pPr>
            <w:r w:rsidRPr="0011752D">
              <w:rPr>
                <w:rFonts w:ascii="Calibri" w:hAnsi="Calibri"/>
                <w:b/>
                <w:bCs/>
                <w:color w:val="000000"/>
                <w:sz w:val="16"/>
                <w:szCs w:val="22"/>
                <w:lang w:val="es-CO" w:eastAsia="es-CO"/>
              </w:rPr>
              <w:t>Sector Residencial</w:t>
            </w:r>
          </w:p>
        </w:tc>
        <w:tc>
          <w:tcPr>
            <w:tcW w:w="331" w:type="pct"/>
            <w:tcBorders>
              <w:top w:val="nil"/>
              <w:left w:val="nil"/>
              <w:bottom w:val="single" w:sz="4" w:space="0" w:color="auto"/>
              <w:right w:val="nil"/>
            </w:tcBorders>
            <w:shd w:val="clear" w:color="000000" w:fill="E7E6E6"/>
            <w:noWrap/>
            <w:vAlign w:val="bottom"/>
            <w:hideMark/>
          </w:tcPr>
          <w:p w14:paraId="2341AB35" w14:textId="77777777" w:rsidR="0011752D" w:rsidRPr="0011752D" w:rsidRDefault="0011752D" w:rsidP="0011752D">
            <w:pPr>
              <w:rPr>
                <w:rFonts w:ascii="Calibri" w:hAnsi="Calibri"/>
                <w:color w:val="000000"/>
                <w:sz w:val="16"/>
                <w:szCs w:val="22"/>
                <w:lang w:val="es-CO" w:eastAsia="es-CO"/>
              </w:rPr>
            </w:pPr>
            <w:r w:rsidRPr="0011752D">
              <w:rPr>
                <w:rFonts w:ascii="Calibri" w:hAnsi="Calibri"/>
                <w:color w:val="000000"/>
                <w:sz w:val="16"/>
                <w:szCs w:val="22"/>
                <w:lang w:val="es-CO" w:eastAsia="es-CO"/>
              </w:rPr>
              <w:t> </w:t>
            </w:r>
          </w:p>
        </w:tc>
        <w:tc>
          <w:tcPr>
            <w:tcW w:w="344" w:type="pct"/>
            <w:tcBorders>
              <w:top w:val="nil"/>
              <w:left w:val="nil"/>
              <w:bottom w:val="single" w:sz="4" w:space="0" w:color="auto"/>
              <w:right w:val="nil"/>
            </w:tcBorders>
            <w:shd w:val="clear" w:color="000000" w:fill="E7E6E6"/>
            <w:noWrap/>
            <w:vAlign w:val="bottom"/>
            <w:hideMark/>
          </w:tcPr>
          <w:p w14:paraId="2341AB36" w14:textId="77777777" w:rsidR="0011752D" w:rsidRPr="0011752D" w:rsidRDefault="0011752D" w:rsidP="0011752D">
            <w:pPr>
              <w:rPr>
                <w:rFonts w:ascii="Calibri" w:hAnsi="Calibri"/>
                <w:color w:val="000000"/>
                <w:sz w:val="16"/>
                <w:szCs w:val="22"/>
                <w:lang w:val="es-CO" w:eastAsia="es-CO"/>
              </w:rPr>
            </w:pPr>
            <w:r w:rsidRPr="0011752D">
              <w:rPr>
                <w:rFonts w:ascii="Calibri" w:hAnsi="Calibri"/>
                <w:color w:val="000000"/>
                <w:sz w:val="16"/>
                <w:szCs w:val="22"/>
                <w:lang w:val="es-CO" w:eastAsia="es-CO"/>
              </w:rPr>
              <w:t> </w:t>
            </w:r>
          </w:p>
        </w:tc>
        <w:tc>
          <w:tcPr>
            <w:tcW w:w="345" w:type="pct"/>
            <w:tcBorders>
              <w:top w:val="nil"/>
              <w:left w:val="nil"/>
              <w:bottom w:val="single" w:sz="4" w:space="0" w:color="auto"/>
              <w:right w:val="nil"/>
            </w:tcBorders>
            <w:shd w:val="clear" w:color="000000" w:fill="E7E6E6"/>
            <w:noWrap/>
            <w:vAlign w:val="bottom"/>
            <w:hideMark/>
          </w:tcPr>
          <w:p w14:paraId="2341AB37" w14:textId="77777777" w:rsidR="0011752D" w:rsidRPr="0011752D" w:rsidRDefault="0011752D" w:rsidP="0011752D">
            <w:pPr>
              <w:rPr>
                <w:rFonts w:ascii="Calibri" w:hAnsi="Calibri"/>
                <w:color w:val="000000"/>
                <w:sz w:val="16"/>
                <w:szCs w:val="22"/>
                <w:lang w:val="es-CO" w:eastAsia="es-CO"/>
              </w:rPr>
            </w:pPr>
            <w:r w:rsidRPr="0011752D">
              <w:rPr>
                <w:rFonts w:ascii="Calibri" w:hAnsi="Calibri"/>
                <w:color w:val="000000"/>
                <w:sz w:val="16"/>
                <w:szCs w:val="22"/>
                <w:lang w:val="es-CO" w:eastAsia="es-CO"/>
              </w:rPr>
              <w:t> </w:t>
            </w:r>
          </w:p>
        </w:tc>
        <w:tc>
          <w:tcPr>
            <w:tcW w:w="358" w:type="pct"/>
            <w:tcBorders>
              <w:top w:val="nil"/>
              <w:left w:val="nil"/>
              <w:bottom w:val="single" w:sz="4" w:space="0" w:color="auto"/>
              <w:right w:val="nil"/>
            </w:tcBorders>
            <w:shd w:val="clear" w:color="000000" w:fill="E7E6E6"/>
            <w:noWrap/>
            <w:vAlign w:val="bottom"/>
            <w:hideMark/>
          </w:tcPr>
          <w:p w14:paraId="2341AB38" w14:textId="77777777" w:rsidR="0011752D" w:rsidRPr="0011752D" w:rsidRDefault="0011752D" w:rsidP="0011752D">
            <w:pPr>
              <w:rPr>
                <w:rFonts w:ascii="Calibri" w:hAnsi="Calibri"/>
                <w:color w:val="000000"/>
                <w:sz w:val="16"/>
                <w:szCs w:val="22"/>
                <w:lang w:val="es-CO" w:eastAsia="es-CO"/>
              </w:rPr>
            </w:pPr>
            <w:r w:rsidRPr="0011752D">
              <w:rPr>
                <w:rFonts w:ascii="Calibri" w:hAnsi="Calibri"/>
                <w:color w:val="000000"/>
                <w:sz w:val="16"/>
                <w:szCs w:val="22"/>
                <w:lang w:val="es-CO" w:eastAsia="es-CO"/>
              </w:rPr>
              <w:t> </w:t>
            </w:r>
          </w:p>
        </w:tc>
        <w:tc>
          <w:tcPr>
            <w:tcW w:w="358" w:type="pct"/>
            <w:tcBorders>
              <w:top w:val="nil"/>
              <w:left w:val="nil"/>
              <w:bottom w:val="single" w:sz="4" w:space="0" w:color="auto"/>
              <w:right w:val="nil"/>
            </w:tcBorders>
            <w:shd w:val="clear" w:color="000000" w:fill="E7E6E6"/>
            <w:noWrap/>
            <w:vAlign w:val="bottom"/>
            <w:hideMark/>
          </w:tcPr>
          <w:p w14:paraId="2341AB39" w14:textId="77777777" w:rsidR="0011752D" w:rsidRPr="0011752D" w:rsidRDefault="0011752D" w:rsidP="0011752D">
            <w:pPr>
              <w:rPr>
                <w:rFonts w:ascii="Calibri" w:hAnsi="Calibri"/>
                <w:color w:val="000000"/>
                <w:sz w:val="16"/>
                <w:szCs w:val="22"/>
                <w:lang w:val="es-CO" w:eastAsia="es-CO"/>
              </w:rPr>
            </w:pPr>
            <w:r w:rsidRPr="0011752D">
              <w:rPr>
                <w:rFonts w:ascii="Calibri" w:hAnsi="Calibri"/>
                <w:color w:val="000000"/>
                <w:sz w:val="16"/>
                <w:szCs w:val="22"/>
                <w:lang w:val="es-CO" w:eastAsia="es-CO"/>
              </w:rPr>
              <w:t> </w:t>
            </w:r>
          </w:p>
        </w:tc>
        <w:tc>
          <w:tcPr>
            <w:tcW w:w="358" w:type="pct"/>
            <w:tcBorders>
              <w:top w:val="nil"/>
              <w:left w:val="nil"/>
              <w:bottom w:val="single" w:sz="4" w:space="0" w:color="auto"/>
              <w:right w:val="nil"/>
            </w:tcBorders>
            <w:shd w:val="clear" w:color="000000" w:fill="E7E6E6"/>
            <w:noWrap/>
            <w:vAlign w:val="bottom"/>
            <w:hideMark/>
          </w:tcPr>
          <w:p w14:paraId="2341AB3A" w14:textId="77777777" w:rsidR="0011752D" w:rsidRPr="0011752D" w:rsidRDefault="0011752D" w:rsidP="0011752D">
            <w:pPr>
              <w:rPr>
                <w:rFonts w:ascii="Calibri" w:hAnsi="Calibri"/>
                <w:color w:val="000000"/>
                <w:sz w:val="16"/>
                <w:szCs w:val="22"/>
                <w:lang w:val="es-CO" w:eastAsia="es-CO"/>
              </w:rPr>
            </w:pPr>
            <w:r w:rsidRPr="0011752D">
              <w:rPr>
                <w:rFonts w:ascii="Calibri" w:hAnsi="Calibri"/>
                <w:color w:val="000000"/>
                <w:sz w:val="16"/>
                <w:szCs w:val="22"/>
                <w:lang w:val="es-CO" w:eastAsia="es-CO"/>
              </w:rPr>
              <w:t> </w:t>
            </w:r>
          </w:p>
        </w:tc>
      </w:tr>
      <w:tr w:rsidR="0011752D" w:rsidRPr="0011752D" w14:paraId="2341AB43" w14:textId="77777777" w:rsidTr="00390762">
        <w:trPr>
          <w:trHeight w:val="300"/>
        </w:trPr>
        <w:tc>
          <w:tcPr>
            <w:tcW w:w="2907" w:type="pct"/>
            <w:tcBorders>
              <w:top w:val="nil"/>
              <w:left w:val="nil"/>
              <w:bottom w:val="nil"/>
              <w:right w:val="nil"/>
            </w:tcBorders>
            <w:shd w:val="clear" w:color="auto" w:fill="auto"/>
            <w:noWrap/>
            <w:vAlign w:val="bottom"/>
            <w:hideMark/>
          </w:tcPr>
          <w:p w14:paraId="2341AB3C" w14:textId="77777777" w:rsidR="0011752D" w:rsidRPr="0011752D" w:rsidRDefault="0011752D" w:rsidP="0011752D">
            <w:pPr>
              <w:ind w:firstLineChars="100" w:firstLine="160"/>
              <w:rPr>
                <w:rFonts w:ascii="Calibri" w:hAnsi="Calibri"/>
                <w:color w:val="000000"/>
                <w:sz w:val="16"/>
                <w:szCs w:val="22"/>
                <w:lang w:val="es-CO" w:eastAsia="es-CO"/>
              </w:rPr>
            </w:pPr>
            <w:r w:rsidRPr="0011752D">
              <w:rPr>
                <w:rFonts w:ascii="Calibri" w:hAnsi="Calibri"/>
                <w:color w:val="000000"/>
                <w:sz w:val="16"/>
                <w:szCs w:val="22"/>
                <w:lang w:val="es-CO" w:eastAsia="es-CO"/>
              </w:rPr>
              <w:t>Cambio de bombillos</w:t>
            </w:r>
          </w:p>
        </w:tc>
        <w:tc>
          <w:tcPr>
            <w:tcW w:w="331" w:type="pct"/>
            <w:tcBorders>
              <w:top w:val="nil"/>
              <w:left w:val="nil"/>
              <w:bottom w:val="nil"/>
              <w:right w:val="nil"/>
            </w:tcBorders>
            <w:shd w:val="clear" w:color="auto" w:fill="auto"/>
            <w:noWrap/>
            <w:vAlign w:val="bottom"/>
            <w:hideMark/>
          </w:tcPr>
          <w:p w14:paraId="2341AB3D"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232</w:t>
            </w:r>
          </w:p>
        </w:tc>
        <w:tc>
          <w:tcPr>
            <w:tcW w:w="344" w:type="pct"/>
            <w:tcBorders>
              <w:top w:val="nil"/>
              <w:left w:val="nil"/>
              <w:bottom w:val="nil"/>
              <w:right w:val="nil"/>
            </w:tcBorders>
            <w:shd w:val="clear" w:color="auto" w:fill="auto"/>
            <w:noWrap/>
            <w:vAlign w:val="bottom"/>
            <w:hideMark/>
          </w:tcPr>
          <w:p w14:paraId="2341AB3E"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464</w:t>
            </w:r>
          </w:p>
        </w:tc>
        <w:tc>
          <w:tcPr>
            <w:tcW w:w="345" w:type="pct"/>
            <w:tcBorders>
              <w:top w:val="nil"/>
              <w:left w:val="nil"/>
              <w:bottom w:val="nil"/>
              <w:right w:val="nil"/>
            </w:tcBorders>
            <w:shd w:val="clear" w:color="auto" w:fill="auto"/>
            <w:noWrap/>
            <w:vAlign w:val="bottom"/>
            <w:hideMark/>
          </w:tcPr>
          <w:p w14:paraId="2341AB3F"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696</w:t>
            </w:r>
          </w:p>
        </w:tc>
        <w:tc>
          <w:tcPr>
            <w:tcW w:w="358" w:type="pct"/>
            <w:tcBorders>
              <w:top w:val="nil"/>
              <w:left w:val="nil"/>
              <w:bottom w:val="nil"/>
              <w:right w:val="nil"/>
            </w:tcBorders>
            <w:shd w:val="clear" w:color="auto" w:fill="auto"/>
            <w:noWrap/>
            <w:vAlign w:val="bottom"/>
            <w:hideMark/>
          </w:tcPr>
          <w:p w14:paraId="2341AB40"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928</w:t>
            </w:r>
          </w:p>
        </w:tc>
        <w:tc>
          <w:tcPr>
            <w:tcW w:w="358" w:type="pct"/>
            <w:tcBorders>
              <w:top w:val="nil"/>
              <w:left w:val="nil"/>
              <w:bottom w:val="nil"/>
              <w:right w:val="nil"/>
            </w:tcBorders>
            <w:shd w:val="clear" w:color="auto" w:fill="auto"/>
            <w:noWrap/>
            <w:vAlign w:val="bottom"/>
            <w:hideMark/>
          </w:tcPr>
          <w:p w14:paraId="2341AB41"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1.161</w:t>
            </w:r>
          </w:p>
        </w:tc>
        <w:tc>
          <w:tcPr>
            <w:tcW w:w="358" w:type="pct"/>
            <w:tcBorders>
              <w:top w:val="nil"/>
              <w:left w:val="nil"/>
              <w:bottom w:val="nil"/>
              <w:right w:val="nil"/>
            </w:tcBorders>
            <w:shd w:val="clear" w:color="auto" w:fill="auto"/>
            <w:noWrap/>
            <w:vAlign w:val="bottom"/>
            <w:hideMark/>
          </w:tcPr>
          <w:p w14:paraId="2341AB42"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1.161</w:t>
            </w:r>
          </w:p>
        </w:tc>
      </w:tr>
      <w:tr w:rsidR="0011752D" w:rsidRPr="0011752D" w14:paraId="2341AB4B" w14:textId="77777777" w:rsidTr="00390762">
        <w:trPr>
          <w:trHeight w:val="300"/>
        </w:trPr>
        <w:tc>
          <w:tcPr>
            <w:tcW w:w="2907" w:type="pct"/>
            <w:tcBorders>
              <w:top w:val="nil"/>
              <w:left w:val="nil"/>
              <w:bottom w:val="nil"/>
              <w:right w:val="nil"/>
            </w:tcBorders>
            <w:shd w:val="clear" w:color="auto" w:fill="auto"/>
            <w:noWrap/>
            <w:vAlign w:val="bottom"/>
            <w:hideMark/>
          </w:tcPr>
          <w:p w14:paraId="2341AB44" w14:textId="77777777" w:rsidR="0011752D" w:rsidRPr="0011752D" w:rsidRDefault="0011752D" w:rsidP="0011752D">
            <w:pPr>
              <w:ind w:firstLineChars="100" w:firstLine="160"/>
              <w:rPr>
                <w:rFonts w:ascii="Calibri" w:hAnsi="Calibri"/>
                <w:color w:val="000000"/>
                <w:sz w:val="16"/>
                <w:szCs w:val="22"/>
                <w:lang w:val="es-CO" w:eastAsia="es-CO"/>
              </w:rPr>
            </w:pPr>
            <w:r w:rsidRPr="0011752D">
              <w:rPr>
                <w:rFonts w:ascii="Calibri" w:hAnsi="Calibri"/>
                <w:color w:val="000000"/>
                <w:sz w:val="16"/>
                <w:szCs w:val="22"/>
                <w:lang w:val="es-CO" w:eastAsia="es-CO"/>
              </w:rPr>
              <w:t>Cambio de neveras</w:t>
            </w:r>
          </w:p>
        </w:tc>
        <w:tc>
          <w:tcPr>
            <w:tcW w:w="331" w:type="pct"/>
            <w:tcBorders>
              <w:top w:val="nil"/>
              <w:left w:val="nil"/>
              <w:bottom w:val="nil"/>
              <w:right w:val="nil"/>
            </w:tcBorders>
            <w:shd w:val="clear" w:color="auto" w:fill="auto"/>
            <w:noWrap/>
            <w:vAlign w:val="bottom"/>
            <w:hideMark/>
          </w:tcPr>
          <w:p w14:paraId="2341AB4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399</w:t>
            </w:r>
          </w:p>
        </w:tc>
        <w:tc>
          <w:tcPr>
            <w:tcW w:w="344" w:type="pct"/>
            <w:tcBorders>
              <w:top w:val="nil"/>
              <w:left w:val="nil"/>
              <w:bottom w:val="nil"/>
              <w:right w:val="nil"/>
            </w:tcBorders>
            <w:shd w:val="clear" w:color="auto" w:fill="auto"/>
            <w:noWrap/>
            <w:vAlign w:val="bottom"/>
            <w:hideMark/>
          </w:tcPr>
          <w:p w14:paraId="2341AB4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798</w:t>
            </w:r>
          </w:p>
        </w:tc>
        <w:tc>
          <w:tcPr>
            <w:tcW w:w="345" w:type="pct"/>
            <w:tcBorders>
              <w:top w:val="nil"/>
              <w:left w:val="nil"/>
              <w:bottom w:val="nil"/>
              <w:right w:val="nil"/>
            </w:tcBorders>
            <w:shd w:val="clear" w:color="auto" w:fill="auto"/>
            <w:noWrap/>
            <w:vAlign w:val="bottom"/>
            <w:hideMark/>
          </w:tcPr>
          <w:p w14:paraId="2341AB4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1.197</w:t>
            </w:r>
          </w:p>
        </w:tc>
        <w:tc>
          <w:tcPr>
            <w:tcW w:w="358" w:type="pct"/>
            <w:tcBorders>
              <w:top w:val="nil"/>
              <w:left w:val="nil"/>
              <w:bottom w:val="nil"/>
              <w:right w:val="nil"/>
            </w:tcBorders>
            <w:shd w:val="clear" w:color="auto" w:fill="auto"/>
            <w:noWrap/>
            <w:vAlign w:val="bottom"/>
            <w:hideMark/>
          </w:tcPr>
          <w:p w14:paraId="2341AB4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1.596</w:t>
            </w:r>
          </w:p>
        </w:tc>
        <w:tc>
          <w:tcPr>
            <w:tcW w:w="358" w:type="pct"/>
            <w:tcBorders>
              <w:top w:val="nil"/>
              <w:left w:val="nil"/>
              <w:bottom w:val="nil"/>
              <w:right w:val="nil"/>
            </w:tcBorders>
            <w:shd w:val="clear" w:color="auto" w:fill="auto"/>
            <w:noWrap/>
            <w:vAlign w:val="bottom"/>
            <w:hideMark/>
          </w:tcPr>
          <w:p w14:paraId="2341AB4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1.995</w:t>
            </w:r>
          </w:p>
        </w:tc>
        <w:tc>
          <w:tcPr>
            <w:tcW w:w="358" w:type="pct"/>
            <w:tcBorders>
              <w:top w:val="nil"/>
              <w:left w:val="nil"/>
              <w:bottom w:val="nil"/>
              <w:right w:val="nil"/>
            </w:tcBorders>
            <w:shd w:val="clear" w:color="auto" w:fill="auto"/>
            <w:noWrap/>
            <w:vAlign w:val="bottom"/>
            <w:hideMark/>
          </w:tcPr>
          <w:p w14:paraId="2341AB4A"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1.995</w:t>
            </w:r>
          </w:p>
        </w:tc>
      </w:tr>
      <w:tr w:rsidR="0011752D" w:rsidRPr="0011752D" w14:paraId="2341AB53" w14:textId="77777777" w:rsidTr="00390762">
        <w:trPr>
          <w:trHeight w:val="300"/>
        </w:trPr>
        <w:tc>
          <w:tcPr>
            <w:tcW w:w="2907" w:type="pct"/>
            <w:tcBorders>
              <w:top w:val="nil"/>
              <w:left w:val="nil"/>
              <w:bottom w:val="single" w:sz="4" w:space="0" w:color="auto"/>
              <w:right w:val="nil"/>
            </w:tcBorders>
            <w:shd w:val="clear" w:color="auto" w:fill="auto"/>
            <w:noWrap/>
            <w:vAlign w:val="bottom"/>
            <w:hideMark/>
          </w:tcPr>
          <w:p w14:paraId="2341AB4C" w14:textId="77777777" w:rsidR="0011752D" w:rsidRPr="0011752D" w:rsidRDefault="0011752D" w:rsidP="0011752D">
            <w:pPr>
              <w:ind w:firstLineChars="100" w:firstLine="160"/>
              <w:rPr>
                <w:rFonts w:ascii="Calibri" w:hAnsi="Calibri"/>
                <w:color w:val="000000"/>
                <w:sz w:val="16"/>
                <w:szCs w:val="22"/>
                <w:lang w:val="es-CO" w:eastAsia="es-CO"/>
              </w:rPr>
            </w:pPr>
            <w:r w:rsidRPr="0011752D">
              <w:rPr>
                <w:rFonts w:ascii="Calibri" w:hAnsi="Calibri"/>
                <w:color w:val="000000"/>
                <w:sz w:val="16"/>
                <w:szCs w:val="22"/>
                <w:lang w:val="es-CO" w:eastAsia="es-CO"/>
              </w:rPr>
              <w:t>Cambio de estufas</w:t>
            </w:r>
          </w:p>
        </w:tc>
        <w:tc>
          <w:tcPr>
            <w:tcW w:w="331" w:type="pct"/>
            <w:tcBorders>
              <w:top w:val="nil"/>
              <w:left w:val="nil"/>
              <w:bottom w:val="single" w:sz="4" w:space="0" w:color="auto"/>
              <w:right w:val="nil"/>
            </w:tcBorders>
            <w:shd w:val="clear" w:color="auto" w:fill="auto"/>
            <w:noWrap/>
            <w:vAlign w:val="bottom"/>
            <w:hideMark/>
          </w:tcPr>
          <w:p w14:paraId="2341AB4D"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118</w:t>
            </w:r>
          </w:p>
        </w:tc>
        <w:tc>
          <w:tcPr>
            <w:tcW w:w="344" w:type="pct"/>
            <w:tcBorders>
              <w:top w:val="nil"/>
              <w:left w:val="nil"/>
              <w:bottom w:val="single" w:sz="4" w:space="0" w:color="auto"/>
              <w:right w:val="nil"/>
            </w:tcBorders>
            <w:shd w:val="clear" w:color="auto" w:fill="auto"/>
            <w:noWrap/>
            <w:vAlign w:val="bottom"/>
            <w:hideMark/>
          </w:tcPr>
          <w:p w14:paraId="2341AB4E"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236</w:t>
            </w:r>
          </w:p>
        </w:tc>
        <w:tc>
          <w:tcPr>
            <w:tcW w:w="345" w:type="pct"/>
            <w:tcBorders>
              <w:top w:val="nil"/>
              <w:left w:val="nil"/>
              <w:bottom w:val="single" w:sz="4" w:space="0" w:color="auto"/>
              <w:right w:val="nil"/>
            </w:tcBorders>
            <w:shd w:val="clear" w:color="auto" w:fill="auto"/>
            <w:noWrap/>
            <w:vAlign w:val="bottom"/>
            <w:hideMark/>
          </w:tcPr>
          <w:p w14:paraId="2341AB4F"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354</w:t>
            </w:r>
          </w:p>
        </w:tc>
        <w:tc>
          <w:tcPr>
            <w:tcW w:w="358" w:type="pct"/>
            <w:tcBorders>
              <w:top w:val="nil"/>
              <w:left w:val="nil"/>
              <w:bottom w:val="single" w:sz="4" w:space="0" w:color="auto"/>
              <w:right w:val="nil"/>
            </w:tcBorders>
            <w:shd w:val="clear" w:color="auto" w:fill="auto"/>
            <w:noWrap/>
            <w:vAlign w:val="bottom"/>
            <w:hideMark/>
          </w:tcPr>
          <w:p w14:paraId="2341AB50"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472</w:t>
            </w:r>
          </w:p>
        </w:tc>
        <w:tc>
          <w:tcPr>
            <w:tcW w:w="358" w:type="pct"/>
            <w:tcBorders>
              <w:top w:val="nil"/>
              <w:left w:val="nil"/>
              <w:bottom w:val="single" w:sz="4" w:space="0" w:color="auto"/>
              <w:right w:val="nil"/>
            </w:tcBorders>
            <w:shd w:val="clear" w:color="auto" w:fill="auto"/>
            <w:noWrap/>
            <w:vAlign w:val="bottom"/>
            <w:hideMark/>
          </w:tcPr>
          <w:p w14:paraId="2341AB51"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589</w:t>
            </w:r>
          </w:p>
        </w:tc>
        <w:tc>
          <w:tcPr>
            <w:tcW w:w="358" w:type="pct"/>
            <w:tcBorders>
              <w:top w:val="nil"/>
              <w:left w:val="nil"/>
              <w:bottom w:val="single" w:sz="4" w:space="0" w:color="auto"/>
              <w:right w:val="nil"/>
            </w:tcBorders>
            <w:shd w:val="clear" w:color="auto" w:fill="auto"/>
            <w:noWrap/>
            <w:vAlign w:val="bottom"/>
            <w:hideMark/>
          </w:tcPr>
          <w:p w14:paraId="2341AB52"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589</w:t>
            </w:r>
          </w:p>
        </w:tc>
      </w:tr>
      <w:tr w:rsidR="0011752D" w:rsidRPr="0011752D" w14:paraId="2341AB5B" w14:textId="77777777" w:rsidTr="00390762">
        <w:trPr>
          <w:trHeight w:val="300"/>
        </w:trPr>
        <w:tc>
          <w:tcPr>
            <w:tcW w:w="2907" w:type="pct"/>
            <w:tcBorders>
              <w:top w:val="nil"/>
              <w:left w:val="nil"/>
              <w:bottom w:val="single" w:sz="4" w:space="0" w:color="auto"/>
              <w:right w:val="nil"/>
            </w:tcBorders>
            <w:shd w:val="clear" w:color="auto" w:fill="auto"/>
            <w:noWrap/>
            <w:vAlign w:val="bottom"/>
            <w:hideMark/>
          </w:tcPr>
          <w:p w14:paraId="2341AB54" w14:textId="77777777" w:rsidR="0011752D" w:rsidRPr="0011752D" w:rsidRDefault="0011752D" w:rsidP="0011752D">
            <w:pPr>
              <w:rPr>
                <w:rFonts w:ascii="Calibri" w:hAnsi="Calibri"/>
                <w:color w:val="000000"/>
                <w:sz w:val="16"/>
                <w:szCs w:val="22"/>
                <w:lang w:val="es-CO" w:eastAsia="es-CO"/>
              </w:rPr>
            </w:pPr>
            <w:r w:rsidRPr="0011752D">
              <w:rPr>
                <w:rFonts w:ascii="Calibri" w:hAnsi="Calibri"/>
                <w:color w:val="000000"/>
                <w:sz w:val="16"/>
                <w:szCs w:val="22"/>
                <w:lang w:val="es-CO" w:eastAsia="es-CO"/>
              </w:rPr>
              <w:t>Total ahorro anual Sector Residencial (GWh)</w:t>
            </w:r>
          </w:p>
        </w:tc>
        <w:tc>
          <w:tcPr>
            <w:tcW w:w="331" w:type="pct"/>
            <w:tcBorders>
              <w:top w:val="nil"/>
              <w:left w:val="nil"/>
              <w:bottom w:val="single" w:sz="4" w:space="0" w:color="auto"/>
              <w:right w:val="nil"/>
            </w:tcBorders>
            <w:shd w:val="clear" w:color="auto" w:fill="auto"/>
            <w:noWrap/>
            <w:vAlign w:val="bottom"/>
            <w:hideMark/>
          </w:tcPr>
          <w:p w14:paraId="2341AB5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749</w:t>
            </w:r>
          </w:p>
        </w:tc>
        <w:tc>
          <w:tcPr>
            <w:tcW w:w="344" w:type="pct"/>
            <w:tcBorders>
              <w:top w:val="nil"/>
              <w:left w:val="nil"/>
              <w:bottom w:val="single" w:sz="4" w:space="0" w:color="auto"/>
              <w:right w:val="nil"/>
            </w:tcBorders>
            <w:shd w:val="clear" w:color="auto" w:fill="auto"/>
            <w:noWrap/>
            <w:vAlign w:val="bottom"/>
            <w:hideMark/>
          </w:tcPr>
          <w:p w14:paraId="2341AB5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1.498</w:t>
            </w:r>
          </w:p>
        </w:tc>
        <w:tc>
          <w:tcPr>
            <w:tcW w:w="345" w:type="pct"/>
            <w:tcBorders>
              <w:top w:val="nil"/>
              <w:left w:val="nil"/>
              <w:bottom w:val="single" w:sz="4" w:space="0" w:color="auto"/>
              <w:right w:val="nil"/>
            </w:tcBorders>
            <w:shd w:val="clear" w:color="auto" w:fill="auto"/>
            <w:noWrap/>
            <w:vAlign w:val="bottom"/>
            <w:hideMark/>
          </w:tcPr>
          <w:p w14:paraId="2341AB5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2.247</w:t>
            </w:r>
          </w:p>
        </w:tc>
        <w:tc>
          <w:tcPr>
            <w:tcW w:w="358" w:type="pct"/>
            <w:tcBorders>
              <w:top w:val="nil"/>
              <w:left w:val="nil"/>
              <w:bottom w:val="single" w:sz="4" w:space="0" w:color="auto"/>
              <w:right w:val="nil"/>
            </w:tcBorders>
            <w:shd w:val="clear" w:color="auto" w:fill="auto"/>
            <w:noWrap/>
            <w:vAlign w:val="bottom"/>
            <w:hideMark/>
          </w:tcPr>
          <w:p w14:paraId="2341AB5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2.996</w:t>
            </w:r>
          </w:p>
        </w:tc>
        <w:tc>
          <w:tcPr>
            <w:tcW w:w="358" w:type="pct"/>
            <w:tcBorders>
              <w:top w:val="nil"/>
              <w:left w:val="nil"/>
              <w:bottom w:val="single" w:sz="4" w:space="0" w:color="auto"/>
              <w:right w:val="nil"/>
            </w:tcBorders>
            <w:shd w:val="clear" w:color="auto" w:fill="auto"/>
            <w:noWrap/>
            <w:vAlign w:val="bottom"/>
            <w:hideMark/>
          </w:tcPr>
          <w:p w14:paraId="2341AB5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3.744</w:t>
            </w:r>
          </w:p>
        </w:tc>
        <w:tc>
          <w:tcPr>
            <w:tcW w:w="358" w:type="pct"/>
            <w:tcBorders>
              <w:top w:val="nil"/>
              <w:left w:val="nil"/>
              <w:bottom w:val="single" w:sz="4" w:space="0" w:color="auto"/>
              <w:right w:val="nil"/>
            </w:tcBorders>
            <w:shd w:val="clear" w:color="auto" w:fill="auto"/>
            <w:noWrap/>
            <w:vAlign w:val="bottom"/>
            <w:hideMark/>
          </w:tcPr>
          <w:p w14:paraId="2341AB5A"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3.744</w:t>
            </w:r>
          </w:p>
        </w:tc>
      </w:tr>
      <w:tr w:rsidR="0011752D" w:rsidRPr="0011752D" w14:paraId="2341AB63" w14:textId="77777777" w:rsidTr="00390762">
        <w:trPr>
          <w:trHeight w:val="300"/>
        </w:trPr>
        <w:tc>
          <w:tcPr>
            <w:tcW w:w="2907" w:type="pct"/>
            <w:tcBorders>
              <w:top w:val="nil"/>
              <w:left w:val="nil"/>
              <w:bottom w:val="single" w:sz="4" w:space="0" w:color="auto"/>
              <w:right w:val="nil"/>
            </w:tcBorders>
            <w:shd w:val="clear" w:color="auto" w:fill="auto"/>
            <w:noWrap/>
            <w:vAlign w:val="bottom"/>
            <w:hideMark/>
          </w:tcPr>
          <w:p w14:paraId="2341AB5C" w14:textId="77777777" w:rsidR="0011752D" w:rsidRPr="0011752D" w:rsidRDefault="0011752D" w:rsidP="0011752D">
            <w:pPr>
              <w:rPr>
                <w:rFonts w:ascii="Calibri" w:hAnsi="Calibri"/>
                <w:color w:val="000000"/>
                <w:sz w:val="16"/>
                <w:szCs w:val="22"/>
                <w:lang w:val="es-CO" w:eastAsia="es-CO"/>
              </w:rPr>
            </w:pPr>
            <w:r w:rsidRPr="0011752D">
              <w:rPr>
                <w:rFonts w:ascii="Calibri" w:hAnsi="Calibri"/>
                <w:color w:val="000000"/>
                <w:sz w:val="16"/>
                <w:szCs w:val="22"/>
                <w:lang w:val="es-CO" w:eastAsia="es-CO"/>
              </w:rPr>
              <w:t>Ahorro energético acumulado S. Residencial (GWh)</w:t>
            </w:r>
          </w:p>
        </w:tc>
        <w:tc>
          <w:tcPr>
            <w:tcW w:w="331" w:type="pct"/>
            <w:tcBorders>
              <w:top w:val="nil"/>
              <w:left w:val="nil"/>
              <w:bottom w:val="single" w:sz="4" w:space="0" w:color="auto"/>
              <w:right w:val="nil"/>
            </w:tcBorders>
            <w:shd w:val="clear" w:color="auto" w:fill="auto"/>
            <w:noWrap/>
            <w:vAlign w:val="bottom"/>
            <w:hideMark/>
          </w:tcPr>
          <w:p w14:paraId="2341AB5D"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749</w:t>
            </w:r>
          </w:p>
        </w:tc>
        <w:tc>
          <w:tcPr>
            <w:tcW w:w="344" w:type="pct"/>
            <w:tcBorders>
              <w:top w:val="nil"/>
              <w:left w:val="nil"/>
              <w:bottom w:val="single" w:sz="4" w:space="0" w:color="auto"/>
              <w:right w:val="nil"/>
            </w:tcBorders>
            <w:shd w:val="clear" w:color="auto" w:fill="auto"/>
            <w:noWrap/>
            <w:vAlign w:val="bottom"/>
            <w:hideMark/>
          </w:tcPr>
          <w:p w14:paraId="2341AB5E"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2.247</w:t>
            </w:r>
          </w:p>
        </w:tc>
        <w:tc>
          <w:tcPr>
            <w:tcW w:w="345" w:type="pct"/>
            <w:tcBorders>
              <w:top w:val="nil"/>
              <w:left w:val="nil"/>
              <w:bottom w:val="single" w:sz="4" w:space="0" w:color="auto"/>
              <w:right w:val="nil"/>
            </w:tcBorders>
            <w:shd w:val="clear" w:color="auto" w:fill="auto"/>
            <w:noWrap/>
            <w:vAlign w:val="bottom"/>
            <w:hideMark/>
          </w:tcPr>
          <w:p w14:paraId="2341AB5F"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4.493</w:t>
            </w:r>
          </w:p>
        </w:tc>
        <w:tc>
          <w:tcPr>
            <w:tcW w:w="358" w:type="pct"/>
            <w:tcBorders>
              <w:top w:val="nil"/>
              <w:left w:val="nil"/>
              <w:bottom w:val="single" w:sz="4" w:space="0" w:color="auto"/>
              <w:right w:val="nil"/>
            </w:tcBorders>
            <w:shd w:val="clear" w:color="auto" w:fill="auto"/>
            <w:noWrap/>
            <w:vAlign w:val="bottom"/>
            <w:hideMark/>
          </w:tcPr>
          <w:p w14:paraId="2341AB60"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7.489</w:t>
            </w:r>
          </w:p>
        </w:tc>
        <w:tc>
          <w:tcPr>
            <w:tcW w:w="358" w:type="pct"/>
            <w:tcBorders>
              <w:top w:val="nil"/>
              <w:left w:val="nil"/>
              <w:bottom w:val="single" w:sz="4" w:space="0" w:color="auto"/>
              <w:right w:val="nil"/>
            </w:tcBorders>
            <w:shd w:val="clear" w:color="auto" w:fill="auto"/>
            <w:noWrap/>
            <w:vAlign w:val="bottom"/>
            <w:hideMark/>
          </w:tcPr>
          <w:p w14:paraId="2341AB61"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11.233</w:t>
            </w:r>
          </w:p>
        </w:tc>
        <w:tc>
          <w:tcPr>
            <w:tcW w:w="358" w:type="pct"/>
            <w:tcBorders>
              <w:top w:val="nil"/>
              <w:left w:val="nil"/>
              <w:bottom w:val="single" w:sz="4" w:space="0" w:color="auto"/>
              <w:right w:val="nil"/>
            </w:tcBorders>
            <w:shd w:val="clear" w:color="auto" w:fill="auto"/>
            <w:noWrap/>
            <w:vAlign w:val="bottom"/>
            <w:hideMark/>
          </w:tcPr>
          <w:p w14:paraId="2341AB62"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14.978</w:t>
            </w:r>
          </w:p>
        </w:tc>
      </w:tr>
      <w:tr w:rsidR="0011752D" w:rsidRPr="0011752D" w14:paraId="2341AB6B" w14:textId="77777777" w:rsidTr="00390762">
        <w:trPr>
          <w:trHeight w:val="300"/>
        </w:trPr>
        <w:tc>
          <w:tcPr>
            <w:tcW w:w="2907" w:type="pct"/>
            <w:tcBorders>
              <w:top w:val="nil"/>
              <w:left w:val="nil"/>
              <w:bottom w:val="single" w:sz="4" w:space="0" w:color="auto"/>
              <w:right w:val="nil"/>
            </w:tcBorders>
            <w:shd w:val="clear" w:color="000000" w:fill="E7E6E6"/>
            <w:noWrap/>
            <w:vAlign w:val="bottom"/>
            <w:hideMark/>
          </w:tcPr>
          <w:p w14:paraId="2341AB64" w14:textId="77777777" w:rsidR="0011752D" w:rsidRPr="0011752D" w:rsidRDefault="0011752D" w:rsidP="0011752D">
            <w:pPr>
              <w:rPr>
                <w:rFonts w:ascii="Calibri" w:hAnsi="Calibri"/>
                <w:b/>
                <w:bCs/>
                <w:color w:val="000000"/>
                <w:sz w:val="16"/>
                <w:szCs w:val="22"/>
                <w:lang w:val="es-CO" w:eastAsia="es-CO"/>
              </w:rPr>
            </w:pPr>
            <w:r w:rsidRPr="0011752D">
              <w:rPr>
                <w:rFonts w:ascii="Calibri" w:hAnsi="Calibri"/>
                <w:b/>
                <w:bCs/>
                <w:color w:val="000000"/>
                <w:sz w:val="16"/>
                <w:szCs w:val="22"/>
                <w:lang w:val="es-CO" w:eastAsia="es-CO"/>
              </w:rPr>
              <w:t>Sector Comercial</w:t>
            </w:r>
          </w:p>
        </w:tc>
        <w:tc>
          <w:tcPr>
            <w:tcW w:w="331" w:type="pct"/>
            <w:tcBorders>
              <w:top w:val="nil"/>
              <w:left w:val="nil"/>
              <w:bottom w:val="single" w:sz="4" w:space="0" w:color="auto"/>
              <w:right w:val="nil"/>
            </w:tcBorders>
            <w:shd w:val="clear" w:color="000000" w:fill="E7E6E6"/>
            <w:noWrap/>
            <w:vAlign w:val="bottom"/>
            <w:hideMark/>
          </w:tcPr>
          <w:p w14:paraId="2341AB65"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344" w:type="pct"/>
            <w:tcBorders>
              <w:top w:val="nil"/>
              <w:left w:val="nil"/>
              <w:bottom w:val="single" w:sz="4" w:space="0" w:color="auto"/>
              <w:right w:val="nil"/>
            </w:tcBorders>
            <w:shd w:val="clear" w:color="000000" w:fill="E7E6E6"/>
            <w:noWrap/>
            <w:vAlign w:val="bottom"/>
            <w:hideMark/>
          </w:tcPr>
          <w:p w14:paraId="2341AB66"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345" w:type="pct"/>
            <w:tcBorders>
              <w:top w:val="nil"/>
              <w:left w:val="nil"/>
              <w:bottom w:val="single" w:sz="4" w:space="0" w:color="auto"/>
              <w:right w:val="nil"/>
            </w:tcBorders>
            <w:shd w:val="clear" w:color="000000" w:fill="E7E6E6"/>
            <w:noWrap/>
            <w:vAlign w:val="bottom"/>
            <w:hideMark/>
          </w:tcPr>
          <w:p w14:paraId="2341AB67"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358" w:type="pct"/>
            <w:tcBorders>
              <w:top w:val="nil"/>
              <w:left w:val="nil"/>
              <w:bottom w:val="single" w:sz="4" w:space="0" w:color="auto"/>
              <w:right w:val="nil"/>
            </w:tcBorders>
            <w:shd w:val="clear" w:color="000000" w:fill="E7E6E6"/>
            <w:noWrap/>
            <w:vAlign w:val="bottom"/>
            <w:hideMark/>
          </w:tcPr>
          <w:p w14:paraId="2341AB68"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358" w:type="pct"/>
            <w:tcBorders>
              <w:top w:val="nil"/>
              <w:left w:val="nil"/>
              <w:bottom w:val="single" w:sz="4" w:space="0" w:color="auto"/>
              <w:right w:val="nil"/>
            </w:tcBorders>
            <w:shd w:val="clear" w:color="000000" w:fill="E7E6E6"/>
            <w:noWrap/>
            <w:vAlign w:val="bottom"/>
            <w:hideMark/>
          </w:tcPr>
          <w:p w14:paraId="2341AB69"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358" w:type="pct"/>
            <w:tcBorders>
              <w:top w:val="nil"/>
              <w:left w:val="nil"/>
              <w:bottom w:val="single" w:sz="4" w:space="0" w:color="auto"/>
              <w:right w:val="nil"/>
            </w:tcBorders>
            <w:shd w:val="clear" w:color="000000" w:fill="E7E6E6"/>
            <w:noWrap/>
            <w:vAlign w:val="bottom"/>
            <w:hideMark/>
          </w:tcPr>
          <w:p w14:paraId="2341AB6A"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r>
      <w:tr w:rsidR="0011752D" w:rsidRPr="0011752D" w14:paraId="2341AB73" w14:textId="77777777" w:rsidTr="00390762">
        <w:trPr>
          <w:trHeight w:val="300"/>
        </w:trPr>
        <w:tc>
          <w:tcPr>
            <w:tcW w:w="2907" w:type="pct"/>
            <w:tcBorders>
              <w:top w:val="nil"/>
              <w:left w:val="nil"/>
              <w:bottom w:val="nil"/>
              <w:right w:val="nil"/>
            </w:tcBorders>
            <w:shd w:val="clear" w:color="auto" w:fill="auto"/>
            <w:noWrap/>
            <w:vAlign w:val="bottom"/>
            <w:hideMark/>
          </w:tcPr>
          <w:p w14:paraId="2341AB6C" w14:textId="77777777" w:rsidR="0011752D" w:rsidRPr="0011752D" w:rsidRDefault="0011752D" w:rsidP="0011752D">
            <w:pPr>
              <w:ind w:firstLineChars="100" w:firstLine="160"/>
              <w:rPr>
                <w:rFonts w:ascii="Calibri" w:hAnsi="Calibri"/>
                <w:color w:val="000000"/>
                <w:sz w:val="16"/>
                <w:szCs w:val="22"/>
                <w:lang w:val="es-CO" w:eastAsia="es-CO"/>
              </w:rPr>
            </w:pPr>
            <w:r w:rsidRPr="0011752D">
              <w:rPr>
                <w:rFonts w:ascii="Calibri" w:hAnsi="Calibri"/>
                <w:color w:val="000000"/>
                <w:sz w:val="16"/>
                <w:szCs w:val="22"/>
                <w:lang w:val="es-CO" w:eastAsia="es-CO"/>
              </w:rPr>
              <w:t>Cambio equipos de climatización</w:t>
            </w:r>
          </w:p>
        </w:tc>
        <w:tc>
          <w:tcPr>
            <w:tcW w:w="331" w:type="pct"/>
            <w:tcBorders>
              <w:top w:val="nil"/>
              <w:left w:val="nil"/>
              <w:bottom w:val="nil"/>
              <w:right w:val="nil"/>
            </w:tcBorders>
            <w:shd w:val="clear" w:color="auto" w:fill="auto"/>
            <w:noWrap/>
            <w:vAlign w:val="bottom"/>
            <w:hideMark/>
          </w:tcPr>
          <w:p w14:paraId="2341AB6D"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222</w:t>
            </w:r>
          </w:p>
        </w:tc>
        <w:tc>
          <w:tcPr>
            <w:tcW w:w="344" w:type="pct"/>
            <w:tcBorders>
              <w:top w:val="nil"/>
              <w:left w:val="nil"/>
              <w:bottom w:val="nil"/>
              <w:right w:val="nil"/>
            </w:tcBorders>
            <w:shd w:val="clear" w:color="auto" w:fill="auto"/>
            <w:noWrap/>
            <w:vAlign w:val="bottom"/>
            <w:hideMark/>
          </w:tcPr>
          <w:p w14:paraId="2341AB6E"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444</w:t>
            </w:r>
          </w:p>
        </w:tc>
        <w:tc>
          <w:tcPr>
            <w:tcW w:w="345" w:type="pct"/>
            <w:tcBorders>
              <w:top w:val="nil"/>
              <w:left w:val="nil"/>
              <w:bottom w:val="nil"/>
              <w:right w:val="nil"/>
            </w:tcBorders>
            <w:shd w:val="clear" w:color="auto" w:fill="auto"/>
            <w:noWrap/>
            <w:vAlign w:val="bottom"/>
            <w:hideMark/>
          </w:tcPr>
          <w:p w14:paraId="2341AB6F"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666</w:t>
            </w:r>
          </w:p>
        </w:tc>
        <w:tc>
          <w:tcPr>
            <w:tcW w:w="358" w:type="pct"/>
            <w:tcBorders>
              <w:top w:val="nil"/>
              <w:left w:val="nil"/>
              <w:bottom w:val="nil"/>
              <w:right w:val="nil"/>
            </w:tcBorders>
            <w:shd w:val="clear" w:color="auto" w:fill="auto"/>
            <w:noWrap/>
            <w:vAlign w:val="bottom"/>
            <w:hideMark/>
          </w:tcPr>
          <w:p w14:paraId="2341AB70"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888</w:t>
            </w:r>
          </w:p>
        </w:tc>
        <w:tc>
          <w:tcPr>
            <w:tcW w:w="358" w:type="pct"/>
            <w:tcBorders>
              <w:top w:val="nil"/>
              <w:left w:val="nil"/>
              <w:bottom w:val="nil"/>
              <w:right w:val="nil"/>
            </w:tcBorders>
            <w:shd w:val="clear" w:color="auto" w:fill="auto"/>
            <w:noWrap/>
            <w:vAlign w:val="bottom"/>
            <w:hideMark/>
          </w:tcPr>
          <w:p w14:paraId="2341AB71"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1.110</w:t>
            </w:r>
          </w:p>
        </w:tc>
        <w:tc>
          <w:tcPr>
            <w:tcW w:w="358" w:type="pct"/>
            <w:tcBorders>
              <w:top w:val="nil"/>
              <w:left w:val="nil"/>
              <w:bottom w:val="nil"/>
              <w:right w:val="nil"/>
            </w:tcBorders>
            <w:shd w:val="clear" w:color="auto" w:fill="auto"/>
            <w:noWrap/>
            <w:vAlign w:val="bottom"/>
            <w:hideMark/>
          </w:tcPr>
          <w:p w14:paraId="2341AB72"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1.110</w:t>
            </w:r>
          </w:p>
        </w:tc>
      </w:tr>
      <w:tr w:rsidR="0011752D" w:rsidRPr="0011752D" w14:paraId="2341AB7B" w14:textId="77777777" w:rsidTr="00390762">
        <w:trPr>
          <w:trHeight w:val="300"/>
        </w:trPr>
        <w:tc>
          <w:tcPr>
            <w:tcW w:w="2907" w:type="pct"/>
            <w:tcBorders>
              <w:top w:val="nil"/>
              <w:left w:val="nil"/>
              <w:bottom w:val="nil"/>
              <w:right w:val="nil"/>
            </w:tcBorders>
            <w:shd w:val="clear" w:color="auto" w:fill="auto"/>
            <w:noWrap/>
            <w:vAlign w:val="bottom"/>
            <w:hideMark/>
          </w:tcPr>
          <w:p w14:paraId="2341AB74" w14:textId="77777777" w:rsidR="0011752D" w:rsidRPr="0011752D" w:rsidRDefault="0011752D" w:rsidP="0011752D">
            <w:pPr>
              <w:ind w:firstLineChars="100" w:firstLine="160"/>
              <w:rPr>
                <w:rFonts w:ascii="Calibri" w:hAnsi="Calibri"/>
                <w:color w:val="000000"/>
                <w:sz w:val="16"/>
                <w:szCs w:val="22"/>
                <w:lang w:val="es-CO" w:eastAsia="es-CO"/>
              </w:rPr>
            </w:pPr>
            <w:r w:rsidRPr="0011752D">
              <w:rPr>
                <w:rFonts w:ascii="Calibri" w:hAnsi="Calibri"/>
                <w:color w:val="000000"/>
                <w:sz w:val="16"/>
                <w:szCs w:val="22"/>
                <w:lang w:val="es-CO" w:eastAsia="es-CO"/>
              </w:rPr>
              <w:t>Cambio de equipos de refrigeración</w:t>
            </w:r>
          </w:p>
        </w:tc>
        <w:tc>
          <w:tcPr>
            <w:tcW w:w="331" w:type="pct"/>
            <w:tcBorders>
              <w:top w:val="nil"/>
              <w:left w:val="nil"/>
              <w:bottom w:val="nil"/>
              <w:right w:val="nil"/>
            </w:tcBorders>
            <w:shd w:val="clear" w:color="auto" w:fill="auto"/>
            <w:noWrap/>
            <w:vAlign w:val="bottom"/>
            <w:hideMark/>
          </w:tcPr>
          <w:p w14:paraId="2341AB7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42</w:t>
            </w:r>
          </w:p>
        </w:tc>
        <w:tc>
          <w:tcPr>
            <w:tcW w:w="344" w:type="pct"/>
            <w:tcBorders>
              <w:top w:val="nil"/>
              <w:left w:val="nil"/>
              <w:bottom w:val="nil"/>
              <w:right w:val="nil"/>
            </w:tcBorders>
            <w:shd w:val="clear" w:color="auto" w:fill="auto"/>
            <w:noWrap/>
            <w:vAlign w:val="bottom"/>
            <w:hideMark/>
          </w:tcPr>
          <w:p w14:paraId="2341AB7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83</w:t>
            </w:r>
          </w:p>
        </w:tc>
        <w:tc>
          <w:tcPr>
            <w:tcW w:w="345" w:type="pct"/>
            <w:tcBorders>
              <w:top w:val="nil"/>
              <w:left w:val="nil"/>
              <w:bottom w:val="nil"/>
              <w:right w:val="nil"/>
            </w:tcBorders>
            <w:shd w:val="clear" w:color="auto" w:fill="auto"/>
            <w:noWrap/>
            <w:vAlign w:val="bottom"/>
            <w:hideMark/>
          </w:tcPr>
          <w:p w14:paraId="2341AB7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125</w:t>
            </w:r>
          </w:p>
        </w:tc>
        <w:tc>
          <w:tcPr>
            <w:tcW w:w="358" w:type="pct"/>
            <w:tcBorders>
              <w:top w:val="nil"/>
              <w:left w:val="nil"/>
              <w:bottom w:val="nil"/>
              <w:right w:val="nil"/>
            </w:tcBorders>
            <w:shd w:val="clear" w:color="auto" w:fill="auto"/>
            <w:noWrap/>
            <w:vAlign w:val="bottom"/>
            <w:hideMark/>
          </w:tcPr>
          <w:p w14:paraId="2341AB7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167</w:t>
            </w:r>
          </w:p>
        </w:tc>
        <w:tc>
          <w:tcPr>
            <w:tcW w:w="358" w:type="pct"/>
            <w:tcBorders>
              <w:top w:val="nil"/>
              <w:left w:val="nil"/>
              <w:bottom w:val="nil"/>
              <w:right w:val="nil"/>
            </w:tcBorders>
            <w:shd w:val="clear" w:color="auto" w:fill="auto"/>
            <w:noWrap/>
            <w:vAlign w:val="bottom"/>
            <w:hideMark/>
          </w:tcPr>
          <w:p w14:paraId="2341AB7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209</w:t>
            </w:r>
          </w:p>
        </w:tc>
        <w:tc>
          <w:tcPr>
            <w:tcW w:w="358" w:type="pct"/>
            <w:tcBorders>
              <w:top w:val="nil"/>
              <w:left w:val="nil"/>
              <w:bottom w:val="nil"/>
              <w:right w:val="nil"/>
            </w:tcBorders>
            <w:shd w:val="clear" w:color="auto" w:fill="auto"/>
            <w:noWrap/>
            <w:vAlign w:val="bottom"/>
            <w:hideMark/>
          </w:tcPr>
          <w:p w14:paraId="2341AB7A"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209</w:t>
            </w:r>
          </w:p>
        </w:tc>
      </w:tr>
      <w:tr w:rsidR="0011752D" w:rsidRPr="0011752D" w14:paraId="2341AB83" w14:textId="77777777" w:rsidTr="00390762">
        <w:trPr>
          <w:trHeight w:val="300"/>
        </w:trPr>
        <w:tc>
          <w:tcPr>
            <w:tcW w:w="2907" w:type="pct"/>
            <w:tcBorders>
              <w:top w:val="nil"/>
              <w:left w:val="nil"/>
              <w:bottom w:val="nil"/>
              <w:right w:val="nil"/>
            </w:tcBorders>
            <w:shd w:val="clear" w:color="auto" w:fill="auto"/>
            <w:noWrap/>
            <w:vAlign w:val="bottom"/>
            <w:hideMark/>
          </w:tcPr>
          <w:p w14:paraId="2341AB7C" w14:textId="77777777" w:rsidR="0011752D" w:rsidRPr="0011752D" w:rsidRDefault="0011752D" w:rsidP="0011752D">
            <w:pPr>
              <w:ind w:firstLineChars="100" w:firstLine="160"/>
              <w:rPr>
                <w:rFonts w:ascii="Calibri" w:hAnsi="Calibri"/>
                <w:color w:val="000000"/>
                <w:sz w:val="16"/>
                <w:szCs w:val="22"/>
                <w:lang w:val="es-CO" w:eastAsia="es-CO"/>
              </w:rPr>
            </w:pPr>
            <w:r w:rsidRPr="0011752D">
              <w:rPr>
                <w:rFonts w:ascii="Calibri" w:hAnsi="Calibri"/>
                <w:color w:val="000000"/>
                <w:sz w:val="16"/>
                <w:szCs w:val="22"/>
                <w:lang w:val="es-CO" w:eastAsia="es-CO"/>
              </w:rPr>
              <w:t>Cambio de bombillos</w:t>
            </w:r>
          </w:p>
        </w:tc>
        <w:tc>
          <w:tcPr>
            <w:tcW w:w="331" w:type="pct"/>
            <w:tcBorders>
              <w:top w:val="nil"/>
              <w:left w:val="nil"/>
              <w:bottom w:val="nil"/>
              <w:right w:val="nil"/>
            </w:tcBorders>
            <w:shd w:val="clear" w:color="auto" w:fill="auto"/>
            <w:noWrap/>
            <w:vAlign w:val="bottom"/>
            <w:hideMark/>
          </w:tcPr>
          <w:p w14:paraId="2341AB7D"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14</w:t>
            </w:r>
          </w:p>
        </w:tc>
        <w:tc>
          <w:tcPr>
            <w:tcW w:w="344" w:type="pct"/>
            <w:tcBorders>
              <w:top w:val="nil"/>
              <w:left w:val="nil"/>
              <w:bottom w:val="nil"/>
              <w:right w:val="nil"/>
            </w:tcBorders>
            <w:shd w:val="clear" w:color="auto" w:fill="auto"/>
            <w:noWrap/>
            <w:vAlign w:val="bottom"/>
            <w:hideMark/>
          </w:tcPr>
          <w:p w14:paraId="2341AB7E"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28</w:t>
            </w:r>
          </w:p>
        </w:tc>
        <w:tc>
          <w:tcPr>
            <w:tcW w:w="345" w:type="pct"/>
            <w:tcBorders>
              <w:top w:val="nil"/>
              <w:left w:val="nil"/>
              <w:bottom w:val="nil"/>
              <w:right w:val="nil"/>
            </w:tcBorders>
            <w:shd w:val="clear" w:color="auto" w:fill="auto"/>
            <w:noWrap/>
            <w:vAlign w:val="bottom"/>
            <w:hideMark/>
          </w:tcPr>
          <w:p w14:paraId="2341AB7F"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42</w:t>
            </w:r>
          </w:p>
        </w:tc>
        <w:tc>
          <w:tcPr>
            <w:tcW w:w="358" w:type="pct"/>
            <w:tcBorders>
              <w:top w:val="nil"/>
              <w:left w:val="nil"/>
              <w:bottom w:val="nil"/>
              <w:right w:val="nil"/>
            </w:tcBorders>
            <w:shd w:val="clear" w:color="auto" w:fill="auto"/>
            <w:noWrap/>
            <w:vAlign w:val="bottom"/>
            <w:hideMark/>
          </w:tcPr>
          <w:p w14:paraId="2341AB80"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56</w:t>
            </w:r>
          </w:p>
        </w:tc>
        <w:tc>
          <w:tcPr>
            <w:tcW w:w="358" w:type="pct"/>
            <w:tcBorders>
              <w:top w:val="nil"/>
              <w:left w:val="nil"/>
              <w:bottom w:val="nil"/>
              <w:right w:val="nil"/>
            </w:tcBorders>
            <w:shd w:val="clear" w:color="auto" w:fill="auto"/>
            <w:noWrap/>
            <w:vAlign w:val="bottom"/>
            <w:hideMark/>
          </w:tcPr>
          <w:p w14:paraId="2341AB81"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70</w:t>
            </w:r>
          </w:p>
        </w:tc>
        <w:tc>
          <w:tcPr>
            <w:tcW w:w="358" w:type="pct"/>
            <w:tcBorders>
              <w:top w:val="nil"/>
              <w:left w:val="nil"/>
              <w:bottom w:val="nil"/>
              <w:right w:val="nil"/>
            </w:tcBorders>
            <w:shd w:val="clear" w:color="auto" w:fill="auto"/>
            <w:noWrap/>
            <w:vAlign w:val="bottom"/>
            <w:hideMark/>
          </w:tcPr>
          <w:p w14:paraId="2341AB82"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70</w:t>
            </w:r>
          </w:p>
        </w:tc>
      </w:tr>
      <w:tr w:rsidR="0011752D" w:rsidRPr="0011752D" w14:paraId="2341AB8B" w14:textId="77777777" w:rsidTr="00390762">
        <w:trPr>
          <w:trHeight w:val="300"/>
        </w:trPr>
        <w:tc>
          <w:tcPr>
            <w:tcW w:w="2907" w:type="pct"/>
            <w:tcBorders>
              <w:top w:val="nil"/>
              <w:left w:val="nil"/>
              <w:bottom w:val="single" w:sz="4" w:space="0" w:color="auto"/>
              <w:right w:val="nil"/>
            </w:tcBorders>
            <w:shd w:val="clear" w:color="auto" w:fill="auto"/>
            <w:noWrap/>
            <w:vAlign w:val="bottom"/>
            <w:hideMark/>
          </w:tcPr>
          <w:p w14:paraId="2341AB84" w14:textId="77777777" w:rsidR="0011752D" w:rsidRPr="0011752D" w:rsidRDefault="0011752D" w:rsidP="0011752D">
            <w:pPr>
              <w:ind w:firstLineChars="100" w:firstLine="160"/>
              <w:rPr>
                <w:rFonts w:ascii="Calibri" w:hAnsi="Calibri"/>
                <w:color w:val="000000"/>
                <w:sz w:val="16"/>
                <w:szCs w:val="22"/>
                <w:lang w:val="es-CO" w:eastAsia="es-CO"/>
              </w:rPr>
            </w:pPr>
            <w:r w:rsidRPr="0011752D">
              <w:rPr>
                <w:rFonts w:ascii="Calibri" w:hAnsi="Calibri"/>
                <w:color w:val="000000"/>
                <w:sz w:val="16"/>
                <w:szCs w:val="22"/>
                <w:lang w:val="es-CO" w:eastAsia="es-CO"/>
              </w:rPr>
              <w:t>Cambio de equipos de fuerza motriz</w:t>
            </w:r>
          </w:p>
        </w:tc>
        <w:tc>
          <w:tcPr>
            <w:tcW w:w="331" w:type="pct"/>
            <w:tcBorders>
              <w:top w:val="nil"/>
              <w:left w:val="nil"/>
              <w:bottom w:val="single" w:sz="4" w:space="0" w:color="auto"/>
              <w:right w:val="nil"/>
            </w:tcBorders>
            <w:shd w:val="clear" w:color="auto" w:fill="auto"/>
            <w:noWrap/>
            <w:vAlign w:val="bottom"/>
            <w:hideMark/>
          </w:tcPr>
          <w:p w14:paraId="2341AB8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3</w:t>
            </w:r>
          </w:p>
        </w:tc>
        <w:tc>
          <w:tcPr>
            <w:tcW w:w="344" w:type="pct"/>
            <w:tcBorders>
              <w:top w:val="nil"/>
              <w:left w:val="nil"/>
              <w:bottom w:val="single" w:sz="4" w:space="0" w:color="auto"/>
              <w:right w:val="nil"/>
            </w:tcBorders>
            <w:shd w:val="clear" w:color="auto" w:fill="auto"/>
            <w:noWrap/>
            <w:vAlign w:val="bottom"/>
            <w:hideMark/>
          </w:tcPr>
          <w:p w14:paraId="2341AB8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6</w:t>
            </w:r>
          </w:p>
        </w:tc>
        <w:tc>
          <w:tcPr>
            <w:tcW w:w="345" w:type="pct"/>
            <w:tcBorders>
              <w:top w:val="nil"/>
              <w:left w:val="nil"/>
              <w:bottom w:val="single" w:sz="4" w:space="0" w:color="auto"/>
              <w:right w:val="nil"/>
            </w:tcBorders>
            <w:shd w:val="clear" w:color="auto" w:fill="auto"/>
            <w:noWrap/>
            <w:vAlign w:val="bottom"/>
            <w:hideMark/>
          </w:tcPr>
          <w:p w14:paraId="2341AB8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9</w:t>
            </w:r>
          </w:p>
        </w:tc>
        <w:tc>
          <w:tcPr>
            <w:tcW w:w="358" w:type="pct"/>
            <w:tcBorders>
              <w:top w:val="nil"/>
              <w:left w:val="nil"/>
              <w:bottom w:val="single" w:sz="4" w:space="0" w:color="auto"/>
              <w:right w:val="nil"/>
            </w:tcBorders>
            <w:shd w:val="clear" w:color="auto" w:fill="auto"/>
            <w:noWrap/>
            <w:vAlign w:val="bottom"/>
            <w:hideMark/>
          </w:tcPr>
          <w:p w14:paraId="2341AB8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12</w:t>
            </w:r>
          </w:p>
        </w:tc>
        <w:tc>
          <w:tcPr>
            <w:tcW w:w="358" w:type="pct"/>
            <w:tcBorders>
              <w:top w:val="nil"/>
              <w:left w:val="nil"/>
              <w:bottom w:val="single" w:sz="4" w:space="0" w:color="auto"/>
              <w:right w:val="nil"/>
            </w:tcBorders>
            <w:shd w:val="clear" w:color="auto" w:fill="auto"/>
            <w:noWrap/>
            <w:vAlign w:val="bottom"/>
            <w:hideMark/>
          </w:tcPr>
          <w:p w14:paraId="2341AB8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14</w:t>
            </w:r>
          </w:p>
        </w:tc>
        <w:tc>
          <w:tcPr>
            <w:tcW w:w="358" w:type="pct"/>
            <w:tcBorders>
              <w:top w:val="nil"/>
              <w:left w:val="nil"/>
              <w:bottom w:val="single" w:sz="4" w:space="0" w:color="auto"/>
              <w:right w:val="nil"/>
            </w:tcBorders>
            <w:shd w:val="clear" w:color="auto" w:fill="auto"/>
            <w:noWrap/>
            <w:vAlign w:val="bottom"/>
            <w:hideMark/>
          </w:tcPr>
          <w:p w14:paraId="2341AB8A"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14</w:t>
            </w:r>
          </w:p>
        </w:tc>
      </w:tr>
      <w:tr w:rsidR="0011752D" w:rsidRPr="0011752D" w14:paraId="2341AB93" w14:textId="77777777" w:rsidTr="00390762">
        <w:trPr>
          <w:trHeight w:val="300"/>
        </w:trPr>
        <w:tc>
          <w:tcPr>
            <w:tcW w:w="2907" w:type="pct"/>
            <w:tcBorders>
              <w:top w:val="nil"/>
              <w:left w:val="nil"/>
              <w:bottom w:val="single" w:sz="4" w:space="0" w:color="auto"/>
              <w:right w:val="nil"/>
            </w:tcBorders>
            <w:shd w:val="clear" w:color="auto" w:fill="auto"/>
            <w:noWrap/>
            <w:vAlign w:val="bottom"/>
            <w:hideMark/>
          </w:tcPr>
          <w:p w14:paraId="2341AB8C" w14:textId="77777777" w:rsidR="0011752D" w:rsidRPr="0011752D" w:rsidRDefault="0011752D" w:rsidP="0011752D">
            <w:pPr>
              <w:rPr>
                <w:rFonts w:ascii="Calibri" w:hAnsi="Calibri"/>
                <w:color w:val="000000"/>
                <w:sz w:val="16"/>
                <w:szCs w:val="22"/>
                <w:lang w:val="es-CO" w:eastAsia="es-CO"/>
              </w:rPr>
            </w:pPr>
            <w:r w:rsidRPr="0011752D">
              <w:rPr>
                <w:rFonts w:ascii="Calibri" w:hAnsi="Calibri"/>
                <w:color w:val="000000"/>
                <w:sz w:val="16"/>
                <w:szCs w:val="22"/>
                <w:lang w:val="es-CO" w:eastAsia="es-CO"/>
              </w:rPr>
              <w:t>Total ahorro anual Sector Comercial(GWh)</w:t>
            </w:r>
          </w:p>
        </w:tc>
        <w:tc>
          <w:tcPr>
            <w:tcW w:w="331" w:type="pct"/>
            <w:tcBorders>
              <w:top w:val="nil"/>
              <w:left w:val="nil"/>
              <w:bottom w:val="single" w:sz="4" w:space="0" w:color="auto"/>
              <w:right w:val="nil"/>
            </w:tcBorders>
            <w:shd w:val="clear" w:color="auto" w:fill="auto"/>
            <w:noWrap/>
            <w:vAlign w:val="bottom"/>
            <w:hideMark/>
          </w:tcPr>
          <w:p w14:paraId="2341AB8D"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281</w:t>
            </w:r>
          </w:p>
        </w:tc>
        <w:tc>
          <w:tcPr>
            <w:tcW w:w="344" w:type="pct"/>
            <w:tcBorders>
              <w:top w:val="nil"/>
              <w:left w:val="nil"/>
              <w:bottom w:val="single" w:sz="4" w:space="0" w:color="auto"/>
              <w:right w:val="nil"/>
            </w:tcBorders>
            <w:shd w:val="clear" w:color="auto" w:fill="auto"/>
            <w:noWrap/>
            <w:vAlign w:val="bottom"/>
            <w:hideMark/>
          </w:tcPr>
          <w:p w14:paraId="2341AB8E"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561</w:t>
            </w:r>
          </w:p>
        </w:tc>
        <w:tc>
          <w:tcPr>
            <w:tcW w:w="345" w:type="pct"/>
            <w:tcBorders>
              <w:top w:val="nil"/>
              <w:left w:val="nil"/>
              <w:bottom w:val="single" w:sz="4" w:space="0" w:color="auto"/>
              <w:right w:val="nil"/>
            </w:tcBorders>
            <w:shd w:val="clear" w:color="auto" w:fill="auto"/>
            <w:noWrap/>
            <w:vAlign w:val="bottom"/>
            <w:hideMark/>
          </w:tcPr>
          <w:p w14:paraId="2341AB8F"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842</w:t>
            </w:r>
          </w:p>
        </w:tc>
        <w:tc>
          <w:tcPr>
            <w:tcW w:w="358" w:type="pct"/>
            <w:tcBorders>
              <w:top w:val="nil"/>
              <w:left w:val="nil"/>
              <w:bottom w:val="single" w:sz="4" w:space="0" w:color="auto"/>
              <w:right w:val="nil"/>
            </w:tcBorders>
            <w:shd w:val="clear" w:color="auto" w:fill="auto"/>
            <w:noWrap/>
            <w:vAlign w:val="bottom"/>
            <w:hideMark/>
          </w:tcPr>
          <w:p w14:paraId="2341AB90"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1.123</w:t>
            </w:r>
          </w:p>
        </w:tc>
        <w:tc>
          <w:tcPr>
            <w:tcW w:w="358" w:type="pct"/>
            <w:tcBorders>
              <w:top w:val="nil"/>
              <w:left w:val="nil"/>
              <w:bottom w:val="single" w:sz="4" w:space="0" w:color="auto"/>
              <w:right w:val="nil"/>
            </w:tcBorders>
            <w:shd w:val="clear" w:color="auto" w:fill="auto"/>
            <w:noWrap/>
            <w:vAlign w:val="bottom"/>
            <w:hideMark/>
          </w:tcPr>
          <w:p w14:paraId="2341AB91"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1.403</w:t>
            </w:r>
          </w:p>
        </w:tc>
        <w:tc>
          <w:tcPr>
            <w:tcW w:w="358" w:type="pct"/>
            <w:tcBorders>
              <w:top w:val="nil"/>
              <w:left w:val="nil"/>
              <w:bottom w:val="single" w:sz="4" w:space="0" w:color="auto"/>
              <w:right w:val="nil"/>
            </w:tcBorders>
            <w:shd w:val="clear" w:color="auto" w:fill="auto"/>
            <w:noWrap/>
            <w:vAlign w:val="bottom"/>
            <w:hideMark/>
          </w:tcPr>
          <w:p w14:paraId="2341AB92"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1.403</w:t>
            </w:r>
          </w:p>
        </w:tc>
      </w:tr>
      <w:tr w:rsidR="0011752D" w:rsidRPr="0011752D" w14:paraId="2341AB9B" w14:textId="77777777" w:rsidTr="00390762">
        <w:trPr>
          <w:trHeight w:val="300"/>
        </w:trPr>
        <w:tc>
          <w:tcPr>
            <w:tcW w:w="2907" w:type="pct"/>
            <w:tcBorders>
              <w:top w:val="nil"/>
              <w:left w:val="nil"/>
              <w:bottom w:val="single" w:sz="4" w:space="0" w:color="auto"/>
              <w:right w:val="nil"/>
            </w:tcBorders>
            <w:shd w:val="clear" w:color="auto" w:fill="auto"/>
            <w:noWrap/>
            <w:vAlign w:val="bottom"/>
            <w:hideMark/>
          </w:tcPr>
          <w:p w14:paraId="2341AB94" w14:textId="77777777" w:rsidR="0011752D" w:rsidRPr="0011752D" w:rsidRDefault="0011752D" w:rsidP="0011752D">
            <w:pPr>
              <w:rPr>
                <w:rFonts w:ascii="Calibri" w:hAnsi="Calibri"/>
                <w:color w:val="000000"/>
                <w:sz w:val="16"/>
                <w:szCs w:val="22"/>
                <w:lang w:val="es-CO" w:eastAsia="es-CO"/>
              </w:rPr>
            </w:pPr>
            <w:r w:rsidRPr="0011752D">
              <w:rPr>
                <w:rFonts w:ascii="Calibri" w:hAnsi="Calibri"/>
                <w:color w:val="000000"/>
                <w:sz w:val="16"/>
                <w:szCs w:val="22"/>
                <w:lang w:val="es-CO" w:eastAsia="es-CO"/>
              </w:rPr>
              <w:t>Ahorro energético acumulado S. Comercial (GWh)</w:t>
            </w:r>
          </w:p>
        </w:tc>
        <w:tc>
          <w:tcPr>
            <w:tcW w:w="331" w:type="pct"/>
            <w:tcBorders>
              <w:top w:val="nil"/>
              <w:left w:val="nil"/>
              <w:bottom w:val="single" w:sz="4" w:space="0" w:color="auto"/>
              <w:right w:val="nil"/>
            </w:tcBorders>
            <w:shd w:val="clear" w:color="auto" w:fill="auto"/>
            <w:noWrap/>
            <w:vAlign w:val="bottom"/>
            <w:hideMark/>
          </w:tcPr>
          <w:p w14:paraId="2341AB9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281</w:t>
            </w:r>
          </w:p>
        </w:tc>
        <w:tc>
          <w:tcPr>
            <w:tcW w:w="344" w:type="pct"/>
            <w:tcBorders>
              <w:top w:val="nil"/>
              <w:left w:val="nil"/>
              <w:bottom w:val="single" w:sz="4" w:space="0" w:color="auto"/>
              <w:right w:val="nil"/>
            </w:tcBorders>
            <w:shd w:val="clear" w:color="auto" w:fill="auto"/>
            <w:noWrap/>
            <w:vAlign w:val="bottom"/>
            <w:hideMark/>
          </w:tcPr>
          <w:p w14:paraId="2341AB9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842</w:t>
            </w:r>
          </w:p>
        </w:tc>
        <w:tc>
          <w:tcPr>
            <w:tcW w:w="345" w:type="pct"/>
            <w:tcBorders>
              <w:top w:val="nil"/>
              <w:left w:val="nil"/>
              <w:bottom w:val="single" w:sz="4" w:space="0" w:color="auto"/>
              <w:right w:val="nil"/>
            </w:tcBorders>
            <w:shd w:val="clear" w:color="auto" w:fill="auto"/>
            <w:noWrap/>
            <w:vAlign w:val="bottom"/>
            <w:hideMark/>
          </w:tcPr>
          <w:p w14:paraId="2341AB9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1.684</w:t>
            </w:r>
          </w:p>
        </w:tc>
        <w:tc>
          <w:tcPr>
            <w:tcW w:w="358" w:type="pct"/>
            <w:tcBorders>
              <w:top w:val="nil"/>
              <w:left w:val="nil"/>
              <w:bottom w:val="single" w:sz="4" w:space="0" w:color="auto"/>
              <w:right w:val="nil"/>
            </w:tcBorders>
            <w:shd w:val="clear" w:color="auto" w:fill="auto"/>
            <w:noWrap/>
            <w:vAlign w:val="bottom"/>
            <w:hideMark/>
          </w:tcPr>
          <w:p w14:paraId="2341AB9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2.807</w:t>
            </w:r>
          </w:p>
        </w:tc>
        <w:tc>
          <w:tcPr>
            <w:tcW w:w="358" w:type="pct"/>
            <w:tcBorders>
              <w:top w:val="nil"/>
              <w:left w:val="nil"/>
              <w:bottom w:val="single" w:sz="4" w:space="0" w:color="auto"/>
              <w:right w:val="nil"/>
            </w:tcBorders>
            <w:shd w:val="clear" w:color="auto" w:fill="auto"/>
            <w:noWrap/>
            <w:vAlign w:val="bottom"/>
            <w:hideMark/>
          </w:tcPr>
          <w:p w14:paraId="2341AB9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4.210</w:t>
            </w:r>
          </w:p>
        </w:tc>
        <w:tc>
          <w:tcPr>
            <w:tcW w:w="358" w:type="pct"/>
            <w:tcBorders>
              <w:top w:val="nil"/>
              <w:left w:val="nil"/>
              <w:bottom w:val="single" w:sz="4" w:space="0" w:color="auto"/>
              <w:right w:val="nil"/>
            </w:tcBorders>
            <w:shd w:val="clear" w:color="auto" w:fill="auto"/>
            <w:noWrap/>
            <w:vAlign w:val="bottom"/>
            <w:hideMark/>
          </w:tcPr>
          <w:p w14:paraId="2341AB9A"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5.613</w:t>
            </w:r>
          </w:p>
        </w:tc>
      </w:tr>
      <w:tr w:rsidR="0011752D" w:rsidRPr="0011752D" w14:paraId="2341ABA3" w14:textId="77777777" w:rsidTr="00390762">
        <w:trPr>
          <w:trHeight w:val="300"/>
        </w:trPr>
        <w:tc>
          <w:tcPr>
            <w:tcW w:w="2907" w:type="pct"/>
            <w:tcBorders>
              <w:top w:val="nil"/>
              <w:left w:val="nil"/>
              <w:bottom w:val="single" w:sz="4" w:space="0" w:color="auto"/>
              <w:right w:val="nil"/>
            </w:tcBorders>
            <w:shd w:val="clear" w:color="000000" w:fill="E7E6E6"/>
            <w:noWrap/>
            <w:vAlign w:val="bottom"/>
            <w:hideMark/>
          </w:tcPr>
          <w:p w14:paraId="2341AB9C" w14:textId="77777777" w:rsidR="0011752D" w:rsidRPr="0011752D" w:rsidRDefault="0011752D" w:rsidP="0011752D">
            <w:pPr>
              <w:rPr>
                <w:rFonts w:ascii="Calibri" w:hAnsi="Calibri"/>
                <w:b/>
                <w:bCs/>
                <w:color w:val="000000"/>
                <w:sz w:val="16"/>
                <w:szCs w:val="22"/>
                <w:lang w:val="es-CO" w:eastAsia="es-CO"/>
              </w:rPr>
            </w:pPr>
            <w:r w:rsidRPr="0011752D">
              <w:rPr>
                <w:rFonts w:ascii="Calibri" w:hAnsi="Calibri"/>
                <w:b/>
                <w:bCs/>
                <w:color w:val="000000"/>
                <w:sz w:val="16"/>
                <w:szCs w:val="22"/>
                <w:lang w:val="es-CO" w:eastAsia="es-CO"/>
              </w:rPr>
              <w:t>Sector Industrial</w:t>
            </w:r>
          </w:p>
        </w:tc>
        <w:tc>
          <w:tcPr>
            <w:tcW w:w="331" w:type="pct"/>
            <w:tcBorders>
              <w:top w:val="nil"/>
              <w:left w:val="nil"/>
              <w:bottom w:val="single" w:sz="4" w:space="0" w:color="auto"/>
              <w:right w:val="nil"/>
            </w:tcBorders>
            <w:shd w:val="clear" w:color="000000" w:fill="E7E6E6"/>
            <w:noWrap/>
            <w:vAlign w:val="bottom"/>
            <w:hideMark/>
          </w:tcPr>
          <w:p w14:paraId="2341AB9D"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344" w:type="pct"/>
            <w:tcBorders>
              <w:top w:val="nil"/>
              <w:left w:val="nil"/>
              <w:bottom w:val="single" w:sz="4" w:space="0" w:color="auto"/>
              <w:right w:val="nil"/>
            </w:tcBorders>
            <w:shd w:val="clear" w:color="000000" w:fill="E7E6E6"/>
            <w:noWrap/>
            <w:vAlign w:val="bottom"/>
            <w:hideMark/>
          </w:tcPr>
          <w:p w14:paraId="2341AB9E"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345" w:type="pct"/>
            <w:tcBorders>
              <w:top w:val="nil"/>
              <w:left w:val="nil"/>
              <w:bottom w:val="single" w:sz="4" w:space="0" w:color="auto"/>
              <w:right w:val="nil"/>
            </w:tcBorders>
            <w:shd w:val="clear" w:color="000000" w:fill="E7E6E6"/>
            <w:noWrap/>
            <w:vAlign w:val="bottom"/>
            <w:hideMark/>
          </w:tcPr>
          <w:p w14:paraId="2341AB9F"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358" w:type="pct"/>
            <w:tcBorders>
              <w:top w:val="nil"/>
              <w:left w:val="nil"/>
              <w:bottom w:val="single" w:sz="4" w:space="0" w:color="auto"/>
              <w:right w:val="nil"/>
            </w:tcBorders>
            <w:shd w:val="clear" w:color="000000" w:fill="E7E6E6"/>
            <w:noWrap/>
            <w:vAlign w:val="bottom"/>
            <w:hideMark/>
          </w:tcPr>
          <w:p w14:paraId="2341ABA0"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358" w:type="pct"/>
            <w:tcBorders>
              <w:top w:val="nil"/>
              <w:left w:val="nil"/>
              <w:bottom w:val="single" w:sz="4" w:space="0" w:color="auto"/>
              <w:right w:val="nil"/>
            </w:tcBorders>
            <w:shd w:val="clear" w:color="000000" w:fill="E7E6E6"/>
            <w:noWrap/>
            <w:vAlign w:val="bottom"/>
            <w:hideMark/>
          </w:tcPr>
          <w:p w14:paraId="2341ABA1"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358" w:type="pct"/>
            <w:tcBorders>
              <w:top w:val="nil"/>
              <w:left w:val="nil"/>
              <w:bottom w:val="single" w:sz="4" w:space="0" w:color="auto"/>
              <w:right w:val="nil"/>
            </w:tcBorders>
            <w:shd w:val="clear" w:color="000000" w:fill="E7E6E6"/>
            <w:noWrap/>
            <w:vAlign w:val="bottom"/>
            <w:hideMark/>
          </w:tcPr>
          <w:p w14:paraId="2341ABA2"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r>
      <w:tr w:rsidR="0011752D" w:rsidRPr="0011752D" w14:paraId="2341ABAB" w14:textId="77777777" w:rsidTr="00390762">
        <w:trPr>
          <w:trHeight w:val="300"/>
        </w:trPr>
        <w:tc>
          <w:tcPr>
            <w:tcW w:w="2907" w:type="pct"/>
            <w:tcBorders>
              <w:top w:val="nil"/>
              <w:left w:val="nil"/>
              <w:bottom w:val="nil"/>
              <w:right w:val="nil"/>
            </w:tcBorders>
            <w:shd w:val="clear" w:color="auto" w:fill="auto"/>
            <w:noWrap/>
            <w:vAlign w:val="bottom"/>
            <w:hideMark/>
          </w:tcPr>
          <w:p w14:paraId="2341ABA4" w14:textId="77777777" w:rsidR="0011752D" w:rsidRPr="0011752D" w:rsidRDefault="0011752D" w:rsidP="0011752D">
            <w:pPr>
              <w:ind w:firstLineChars="100" w:firstLine="160"/>
              <w:rPr>
                <w:rFonts w:ascii="Calibri" w:hAnsi="Calibri"/>
                <w:color w:val="000000"/>
                <w:sz w:val="16"/>
                <w:szCs w:val="22"/>
                <w:lang w:val="es-CO" w:eastAsia="es-CO"/>
              </w:rPr>
            </w:pPr>
            <w:r w:rsidRPr="0011752D">
              <w:rPr>
                <w:rFonts w:ascii="Calibri" w:hAnsi="Calibri"/>
                <w:color w:val="000000"/>
                <w:sz w:val="16"/>
                <w:szCs w:val="22"/>
                <w:lang w:val="es-CO" w:eastAsia="es-CO"/>
              </w:rPr>
              <w:t>Sustitución de motores ineficientes (Industria alimentos)</w:t>
            </w:r>
          </w:p>
        </w:tc>
        <w:tc>
          <w:tcPr>
            <w:tcW w:w="331" w:type="pct"/>
            <w:tcBorders>
              <w:top w:val="nil"/>
              <w:left w:val="nil"/>
              <w:bottom w:val="nil"/>
              <w:right w:val="nil"/>
            </w:tcBorders>
            <w:shd w:val="clear" w:color="auto" w:fill="auto"/>
            <w:noWrap/>
            <w:vAlign w:val="bottom"/>
            <w:hideMark/>
          </w:tcPr>
          <w:p w14:paraId="2341ABA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28</w:t>
            </w:r>
          </w:p>
        </w:tc>
        <w:tc>
          <w:tcPr>
            <w:tcW w:w="344" w:type="pct"/>
            <w:tcBorders>
              <w:top w:val="nil"/>
              <w:left w:val="nil"/>
              <w:bottom w:val="nil"/>
              <w:right w:val="nil"/>
            </w:tcBorders>
            <w:shd w:val="clear" w:color="auto" w:fill="auto"/>
            <w:noWrap/>
            <w:vAlign w:val="bottom"/>
            <w:hideMark/>
          </w:tcPr>
          <w:p w14:paraId="2341ABA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57</w:t>
            </w:r>
          </w:p>
        </w:tc>
        <w:tc>
          <w:tcPr>
            <w:tcW w:w="345" w:type="pct"/>
            <w:tcBorders>
              <w:top w:val="nil"/>
              <w:left w:val="nil"/>
              <w:bottom w:val="nil"/>
              <w:right w:val="nil"/>
            </w:tcBorders>
            <w:shd w:val="clear" w:color="auto" w:fill="auto"/>
            <w:noWrap/>
            <w:vAlign w:val="bottom"/>
            <w:hideMark/>
          </w:tcPr>
          <w:p w14:paraId="2341ABA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85</w:t>
            </w:r>
          </w:p>
        </w:tc>
        <w:tc>
          <w:tcPr>
            <w:tcW w:w="358" w:type="pct"/>
            <w:tcBorders>
              <w:top w:val="nil"/>
              <w:left w:val="nil"/>
              <w:bottom w:val="nil"/>
              <w:right w:val="nil"/>
            </w:tcBorders>
            <w:shd w:val="clear" w:color="auto" w:fill="auto"/>
            <w:noWrap/>
            <w:vAlign w:val="bottom"/>
            <w:hideMark/>
          </w:tcPr>
          <w:p w14:paraId="2341ABA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114</w:t>
            </w:r>
          </w:p>
        </w:tc>
        <w:tc>
          <w:tcPr>
            <w:tcW w:w="358" w:type="pct"/>
            <w:tcBorders>
              <w:top w:val="nil"/>
              <w:left w:val="nil"/>
              <w:bottom w:val="nil"/>
              <w:right w:val="nil"/>
            </w:tcBorders>
            <w:shd w:val="clear" w:color="auto" w:fill="auto"/>
            <w:noWrap/>
            <w:vAlign w:val="bottom"/>
            <w:hideMark/>
          </w:tcPr>
          <w:p w14:paraId="2341ABA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114</w:t>
            </w:r>
          </w:p>
        </w:tc>
        <w:tc>
          <w:tcPr>
            <w:tcW w:w="358" w:type="pct"/>
            <w:tcBorders>
              <w:top w:val="nil"/>
              <w:left w:val="nil"/>
              <w:bottom w:val="nil"/>
              <w:right w:val="nil"/>
            </w:tcBorders>
            <w:shd w:val="clear" w:color="auto" w:fill="auto"/>
            <w:noWrap/>
            <w:vAlign w:val="bottom"/>
            <w:hideMark/>
          </w:tcPr>
          <w:p w14:paraId="2341ABAA"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114</w:t>
            </w:r>
          </w:p>
        </w:tc>
      </w:tr>
      <w:tr w:rsidR="0011752D" w:rsidRPr="0011752D" w14:paraId="2341ABB3" w14:textId="77777777" w:rsidTr="00390762">
        <w:trPr>
          <w:trHeight w:val="300"/>
        </w:trPr>
        <w:tc>
          <w:tcPr>
            <w:tcW w:w="2907" w:type="pct"/>
            <w:tcBorders>
              <w:top w:val="nil"/>
              <w:left w:val="nil"/>
              <w:bottom w:val="nil"/>
              <w:right w:val="nil"/>
            </w:tcBorders>
            <w:shd w:val="clear" w:color="auto" w:fill="auto"/>
            <w:noWrap/>
            <w:vAlign w:val="bottom"/>
            <w:hideMark/>
          </w:tcPr>
          <w:p w14:paraId="2341ABAC" w14:textId="77777777" w:rsidR="0011752D" w:rsidRPr="0011752D" w:rsidRDefault="0011752D" w:rsidP="0011752D">
            <w:pPr>
              <w:ind w:firstLineChars="100" w:firstLine="160"/>
              <w:rPr>
                <w:rFonts w:ascii="Calibri" w:hAnsi="Calibri"/>
                <w:color w:val="000000"/>
                <w:sz w:val="16"/>
                <w:szCs w:val="22"/>
                <w:lang w:val="es-CO" w:eastAsia="es-CO"/>
              </w:rPr>
            </w:pPr>
            <w:r w:rsidRPr="0011752D">
              <w:rPr>
                <w:rFonts w:ascii="Calibri" w:hAnsi="Calibri"/>
                <w:color w:val="000000"/>
                <w:sz w:val="16"/>
                <w:szCs w:val="22"/>
                <w:lang w:val="es-CO" w:eastAsia="es-CO"/>
              </w:rPr>
              <w:t>Sustitución de motores ineficientes (Industria químicos)</w:t>
            </w:r>
          </w:p>
        </w:tc>
        <w:tc>
          <w:tcPr>
            <w:tcW w:w="331" w:type="pct"/>
            <w:tcBorders>
              <w:top w:val="nil"/>
              <w:left w:val="nil"/>
              <w:bottom w:val="nil"/>
              <w:right w:val="nil"/>
            </w:tcBorders>
            <w:shd w:val="clear" w:color="auto" w:fill="auto"/>
            <w:noWrap/>
            <w:vAlign w:val="bottom"/>
            <w:hideMark/>
          </w:tcPr>
          <w:p w14:paraId="2341ABAD"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24</w:t>
            </w:r>
          </w:p>
        </w:tc>
        <w:tc>
          <w:tcPr>
            <w:tcW w:w="344" w:type="pct"/>
            <w:tcBorders>
              <w:top w:val="nil"/>
              <w:left w:val="nil"/>
              <w:bottom w:val="nil"/>
              <w:right w:val="nil"/>
            </w:tcBorders>
            <w:shd w:val="clear" w:color="auto" w:fill="auto"/>
            <w:noWrap/>
            <w:vAlign w:val="bottom"/>
            <w:hideMark/>
          </w:tcPr>
          <w:p w14:paraId="2341ABAE"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47</w:t>
            </w:r>
          </w:p>
        </w:tc>
        <w:tc>
          <w:tcPr>
            <w:tcW w:w="345" w:type="pct"/>
            <w:tcBorders>
              <w:top w:val="nil"/>
              <w:left w:val="nil"/>
              <w:bottom w:val="nil"/>
              <w:right w:val="nil"/>
            </w:tcBorders>
            <w:shd w:val="clear" w:color="auto" w:fill="auto"/>
            <w:noWrap/>
            <w:vAlign w:val="bottom"/>
            <w:hideMark/>
          </w:tcPr>
          <w:p w14:paraId="2341ABAF"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71</w:t>
            </w:r>
          </w:p>
        </w:tc>
        <w:tc>
          <w:tcPr>
            <w:tcW w:w="358" w:type="pct"/>
            <w:tcBorders>
              <w:top w:val="nil"/>
              <w:left w:val="nil"/>
              <w:bottom w:val="nil"/>
              <w:right w:val="nil"/>
            </w:tcBorders>
            <w:shd w:val="clear" w:color="auto" w:fill="auto"/>
            <w:noWrap/>
            <w:vAlign w:val="bottom"/>
            <w:hideMark/>
          </w:tcPr>
          <w:p w14:paraId="2341ABB0"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94</w:t>
            </w:r>
          </w:p>
        </w:tc>
        <w:tc>
          <w:tcPr>
            <w:tcW w:w="358" w:type="pct"/>
            <w:tcBorders>
              <w:top w:val="nil"/>
              <w:left w:val="nil"/>
              <w:bottom w:val="nil"/>
              <w:right w:val="nil"/>
            </w:tcBorders>
            <w:shd w:val="clear" w:color="auto" w:fill="auto"/>
            <w:noWrap/>
            <w:vAlign w:val="bottom"/>
            <w:hideMark/>
          </w:tcPr>
          <w:p w14:paraId="2341ABB1"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94</w:t>
            </w:r>
          </w:p>
        </w:tc>
        <w:tc>
          <w:tcPr>
            <w:tcW w:w="358" w:type="pct"/>
            <w:tcBorders>
              <w:top w:val="nil"/>
              <w:left w:val="nil"/>
              <w:bottom w:val="nil"/>
              <w:right w:val="nil"/>
            </w:tcBorders>
            <w:shd w:val="clear" w:color="auto" w:fill="auto"/>
            <w:noWrap/>
            <w:vAlign w:val="bottom"/>
            <w:hideMark/>
          </w:tcPr>
          <w:p w14:paraId="2341ABB2"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94</w:t>
            </w:r>
          </w:p>
        </w:tc>
      </w:tr>
      <w:tr w:rsidR="0011752D" w:rsidRPr="0011752D" w14:paraId="2341ABBB" w14:textId="77777777" w:rsidTr="00390762">
        <w:trPr>
          <w:trHeight w:val="300"/>
        </w:trPr>
        <w:tc>
          <w:tcPr>
            <w:tcW w:w="2907" w:type="pct"/>
            <w:tcBorders>
              <w:top w:val="nil"/>
              <w:left w:val="nil"/>
              <w:bottom w:val="nil"/>
              <w:right w:val="nil"/>
            </w:tcBorders>
            <w:shd w:val="clear" w:color="auto" w:fill="auto"/>
            <w:noWrap/>
            <w:vAlign w:val="bottom"/>
            <w:hideMark/>
          </w:tcPr>
          <w:p w14:paraId="2341ABB4" w14:textId="77777777" w:rsidR="0011752D" w:rsidRPr="0011752D" w:rsidRDefault="0011752D" w:rsidP="0011752D">
            <w:pPr>
              <w:ind w:firstLineChars="100" w:firstLine="160"/>
              <w:rPr>
                <w:rFonts w:ascii="Calibri" w:hAnsi="Calibri"/>
                <w:color w:val="000000"/>
                <w:sz w:val="16"/>
                <w:szCs w:val="22"/>
                <w:lang w:val="es-CO" w:eastAsia="es-CO"/>
              </w:rPr>
            </w:pPr>
            <w:r w:rsidRPr="0011752D">
              <w:rPr>
                <w:rFonts w:ascii="Calibri" w:hAnsi="Calibri"/>
                <w:color w:val="000000"/>
                <w:sz w:val="16"/>
                <w:szCs w:val="22"/>
                <w:lang w:val="es-CO" w:eastAsia="es-CO"/>
              </w:rPr>
              <w:t>Sustitución de motores ineficientes (Industria metalurgica)</w:t>
            </w:r>
          </w:p>
        </w:tc>
        <w:tc>
          <w:tcPr>
            <w:tcW w:w="331" w:type="pct"/>
            <w:tcBorders>
              <w:top w:val="nil"/>
              <w:left w:val="nil"/>
              <w:bottom w:val="nil"/>
              <w:right w:val="nil"/>
            </w:tcBorders>
            <w:shd w:val="clear" w:color="auto" w:fill="auto"/>
            <w:noWrap/>
            <w:vAlign w:val="bottom"/>
            <w:hideMark/>
          </w:tcPr>
          <w:p w14:paraId="2341ABB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12</w:t>
            </w:r>
          </w:p>
        </w:tc>
        <w:tc>
          <w:tcPr>
            <w:tcW w:w="344" w:type="pct"/>
            <w:tcBorders>
              <w:top w:val="nil"/>
              <w:left w:val="nil"/>
              <w:bottom w:val="nil"/>
              <w:right w:val="nil"/>
            </w:tcBorders>
            <w:shd w:val="clear" w:color="auto" w:fill="auto"/>
            <w:noWrap/>
            <w:vAlign w:val="bottom"/>
            <w:hideMark/>
          </w:tcPr>
          <w:p w14:paraId="2341ABB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24</w:t>
            </w:r>
          </w:p>
        </w:tc>
        <w:tc>
          <w:tcPr>
            <w:tcW w:w="345" w:type="pct"/>
            <w:tcBorders>
              <w:top w:val="nil"/>
              <w:left w:val="nil"/>
              <w:bottom w:val="nil"/>
              <w:right w:val="nil"/>
            </w:tcBorders>
            <w:shd w:val="clear" w:color="auto" w:fill="auto"/>
            <w:noWrap/>
            <w:vAlign w:val="bottom"/>
            <w:hideMark/>
          </w:tcPr>
          <w:p w14:paraId="2341ABB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36</w:t>
            </w:r>
          </w:p>
        </w:tc>
        <w:tc>
          <w:tcPr>
            <w:tcW w:w="358" w:type="pct"/>
            <w:tcBorders>
              <w:top w:val="nil"/>
              <w:left w:val="nil"/>
              <w:bottom w:val="nil"/>
              <w:right w:val="nil"/>
            </w:tcBorders>
            <w:shd w:val="clear" w:color="auto" w:fill="auto"/>
            <w:noWrap/>
            <w:vAlign w:val="bottom"/>
            <w:hideMark/>
          </w:tcPr>
          <w:p w14:paraId="2341ABB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47</w:t>
            </w:r>
          </w:p>
        </w:tc>
        <w:tc>
          <w:tcPr>
            <w:tcW w:w="358" w:type="pct"/>
            <w:tcBorders>
              <w:top w:val="nil"/>
              <w:left w:val="nil"/>
              <w:bottom w:val="nil"/>
              <w:right w:val="nil"/>
            </w:tcBorders>
            <w:shd w:val="clear" w:color="auto" w:fill="auto"/>
            <w:noWrap/>
            <w:vAlign w:val="bottom"/>
            <w:hideMark/>
          </w:tcPr>
          <w:p w14:paraId="2341ABB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47</w:t>
            </w:r>
          </w:p>
        </w:tc>
        <w:tc>
          <w:tcPr>
            <w:tcW w:w="358" w:type="pct"/>
            <w:tcBorders>
              <w:top w:val="nil"/>
              <w:left w:val="nil"/>
              <w:bottom w:val="nil"/>
              <w:right w:val="nil"/>
            </w:tcBorders>
            <w:shd w:val="clear" w:color="auto" w:fill="auto"/>
            <w:noWrap/>
            <w:vAlign w:val="bottom"/>
            <w:hideMark/>
          </w:tcPr>
          <w:p w14:paraId="2341ABBA"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47</w:t>
            </w:r>
          </w:p>
        </w:tc>
      </w:tr>
      <w:tr w:rsidR="0011752D" w:rsidRPr="0011752D" w14:paraId="2341ABC3" w14:textId="77777777" w:rsidTr="00390762">
        <w:trPr>
          <w:trHeight w:val="300"/>
        </w:trPr>
        <w:tc>
          <w:tcPr>
            <w:tcW w:w="2907" w:type="pct"/>
            <w:tcBorders>
              <w:top w:val="nil"/>
              <w:left w:val="nil"/>
              <w:bottom w:val="single" w:sz="4" w:space="0" w:color="auto"/>
              <w:right w:val="nil"/>
            </w:tcBorders>
            <w:shd w:val="clear" w:color="auto" w:fill="auto"/>
            <w:noWrap/>
            <w:vAlign w:val="bottom"/>
            <w:hideMark/>
          </w:tcPr>
          <w:p w14:paraId="2341ABBC" w14:textId="77777777" w:rsidR="0011752D" w:rsidRPr="0011752D" w:rsidRDefault="0011752D" w:rsidP="0011752D">
            <w:pPr>
              <w:ind w:firstLineChars="100" w:firstLine="160"/>
              <w:rPr>
                <w:rFonts w:ascii="Calibri" w:hAnsi="Calibri"/>
                <w:color w:val="000000"/>
                <w:sz w:val="16"/>
                <w:szCs w:val="22"/>
                <w:lang w:val="es-CO" w:eastAsia="es-CO"/>
              </w:rPr>
            </w:pPr>
            <w:r w:rsidRPr="0011752D">
              <w:rPr>
                <w:rFonts w:ascii="Calibri" w:hAnsi="Calibri"/>
                <w:color w:val="000000"/>
                <w:sz w:val="16"/>
                <w:szCs w:val="22"/>
                <w:lang w:val="es-CO" w:eastAsia="es-CO"/>
              </w:rPr>
              <w:t>Mantenimiento y optimización de operación de aires acondicionados</w:t>
            </w:r>
          </w:p>
        </w:tc>
        <w:tc>
          <w:tcPr>
            <w:tcW w:w="331" w:type="pct"/>
            <w:tcBorders>
              <w:top w:val="nil"/>
              <w:left w:val="nil"/>
              <w:bottom w:val="single" w:sz="4" w:space="0" w:color="auto"/>
              <w:right w:val="nil"/>
            </w:tcBorders>
            <w:shd w:val="clear" w:color="auto" w:fill="auto"/>
            <w:noWrap/>
            <w:vAlign w:val="bottom"/>
            <w:hideMark/>
          </w:tcPr>
          <w:p w14:paraId="2341ABBD"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10</w:t>
            </w:r>
          </w:p>
        </w:tc>
        <w:tc>
          <w:tcPr>
            <w:tcW w:w="344" w:type="pct"/>
            <w:tcBorders>
              <w:top w:val="nil"/>
              <w:left w:val="nil"/>
              <w:bottom w:val="single" w:sz="4" w:space="0" w:color="auto"/>
              <w:right w:val="nil"/>
            </w:tcBorders>
            <w:shd w:val="clear" w:color="auto" w:fill="auto"/>
            <w:noWrap/>
            <w:vAlign w:val="bottom"/>
            <w:hideMark/>
          </w:tcPr>
          <w:p w14:paraId="2341ABBE"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10</w:t>
            </w:r>
          </w:p>
        </w:tc>
        <w:tc>
          <w:tcPr>
            <w:tcW w:w="345" w:type="pct"/>
            <w:tcBorders>
              <w:top w:val="nil"/>
              <w:left w:val="nil"/>
              <w:bottom w:val="single" w:sz="4" w:space="0" w:color="auto"/>
              <w:right w:val="nil"/>
            </w:tcBorders>
            <w:shd w:val="clear" w:color="auto" w:fill="auto"/>
            <w:noWrap/>
            <w:vAlign w:val="bottom"/>
            <w:hideMark/>
          </w:tcPr>
          <w:p w14:paraId="2341ABBF"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10</w:t>
            </w:r>
          </w:p>
        </w:tc>
        <w:tc>
          <w:tcPr>
            <w:tcW w:w="358" w:type="pct"/>
            <w:tcBorders>
              <w:top w:val="nil"/>
              <w:left w:val="nil"/>
              <w:bottom w:val="single" w:sz="4" w:space="0" w:color="auto"/>
              <w:right w:val="nil"/>
            </w:tcBorders>
            <w:shd w:val="clear" w:color="auto" w:fill="auto"/>
            <w:noWrap/>
            <w:vAlign w:val="bottom"/>
            <w:hideMark/>
          </w:tcPr>
          <w:p w14:paraId="2341ABC0"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10</w:t>
            </w:r>
          </w:p>
        </w:tc>
        <w:tc>
          <w:tcPr>
            <w:tcW w:w="358" w:type="pct"/>
            <w:tcBorders>
              <w:top w:val="nil"/>
              <w:left w:val="nil"/>
              <w:bottom w:val="single" w:sz="4" w:space="0" w:color="auto"/>
              <w:right w:val="nil"/>
            </w:tcBorders>
            <w:shd w:val="clear" w:color="auto" w:fill="auto"/>
            <w:noWrap/>
            <w:vAlign w:val="bottom"/>
            <w:hideMark/>
          </w:tcPr>
          <w:p w14:paraId="2341ABC1"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10</w:t>
            </w:r>
          </w:p>
        </w:tc>
        <w:tc>
          <w:tcPr>
            <w:tcW w:w="358" w:type="pct"/>
            <w:tcBorders>
              <w:top w:val="nil"/>
              <w:left w:val="nil"/>
              <w:bottom w:val="single" w:sz="4" w:space="0" w:color="auto"/>
              <w:right w:val="nil"/>
            </w:tcBorders>
            <w:shd w:val="clear" w:color="auto" w:fill="auto"/>
            <w:noWrap/>
            <w:vAlign w:val="bottom"/>
            <w:hideMark/>
          </w:tcPr>
          <w:p w14:paraId="2341ABC2"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10</w:t>
            </w:r>
          </w:p>
        </w:tc>
      </w:tr>
      <w:tr w:rsidR="0011752D" w:rsidRPr="0011752D" w14:paraId="2341ABCB" w14:textId="77777777" w:rsidTr="00390762">
        <w:trPr>
          <w:trHeight w:val="300"/>
        </w:trPr>
        <w:tc>
          <w:tcPr>
            <w:tcW w:w="2907" w:type="pct"/>
            <w:tcBorders>
              <w:top w:val="nil"/>
              <w:left w:val="nil"/>
              <w:bottom w:val="single" w:sz="4" w:space="0" w:color="auto"/>
              <w:right w:val="nil"/>
            </w:tcBorders>
            <w:shd w:val="clear" w:color="auto" w:fill="auto"/>
            <w:noWrap/>
            <w:vAlign w:val="bottom"/>
            <w:hideMark/>
          </w:tcPr>
          <w:p w14:paraId="2341ABC4" w14:textId="77777777" w:rsidR="0011752D" w:rsidRPr="0011752D" w:rsidRDefault="0011752D" w:rsidP="0011752D">
            <w:pPr>
              <w:rPr>
                <w:rFonts w:ascii="Calibri" w:hAnsi="Calibri"/>
                <w:color w:val="000000"/>
                <w:sz w:val="16"/>
                <w:szCs w:val="22"/>
                <w:lang w:val="es-CO" w:eastAsia="es-CO"/>
              </w:rPr>
            </w:pPr>
            <w:r w:rsidRPr="0011752D">
              <w:rPr>
                <w:rFonts w:ascii="Calibri" w:hAnsi="Calibri"/>
                <w:color w:val="000000"/>
                <w:sz w:val="16"/>
                <w:szCs w:val="22"/>
                <w:lang w:val="es-CO" w:eastAsia="es-CO"/>
              </w:rPr>
              <w:t>Total ahorro anual Sector Industrial (GWh)</w:t>
            </w:r>
          </w:p>
        </w:tc>
        <w:tc>
          <w:tcPr>
            <w:tcW w:w="331" w:type="pct"/>
            <w:tcBorders>
              <w:top w:val="nil"/>
              <w:left w:val="nil"/>
              <w:bottom w:val="single" w:sz="4" w:space="0" w:color="auto"/>
              <w:right w:val="nil"/>
            </w:tcBorders>
            <w:shd w:val="clear" w:color="auto" w:fill="auto"/>
            <w:noWrap/>
            <w:vAlign w:val="bottom"/>
            <w:hideMark/>
          </w:tcPr>
          <w:p w14:paraId="2341ABC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73</w:t>
            </w:r>
          </w:p>
        </w:tc>
        <w:tc>
          <w:tcPr>
            <w:tcW w:w="344" w:type="pct"/>
            <w:tcBorders>
              <w:top w:val="nil"/>
              <w:left w:val="nil"/>
              <w:bottom w:val="single" w:sz="4" w:space="0" w:color="auto"/>
              <w:right w:val="nil"/>
            </w:tcBorders>
            <w:shd w:val="clear" w:color="auto" w:fill="auto"/>
            <w:noWrap/>
            <w:vAlign w:val="bottom"/>
            <w:hideMark/>
          </w:tcPr>
          <w:p w14:paraId="2341ABC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137</w:t>
            </w:r>
          </w:p>
        </w:tc>
        <w:tc>
          <w:tcPr>
            <w:tcW w:w="345" w:type="pct"/>
            <w:tcBorders>
              <w:top w:val="nil"/>
              <w:left w:val="nil"/>
              <w:bottom w:val="single" w:sz="4" w:space="0" w:color="auto"/>
              <w:right w:val="nil"/>
            </w:tcBorders>
            <w:shd w:val="clear" w:color="auto" w:fill="auto"/>
            <w:noWrap/>
            <w:vAlign w:val="bottom"/>
            <w:hideMark/>
          </w:tcPr>
          <w:p w14:paraId="2341ABC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201</w:t>
            </w:r>
          </w:p>
        </w:tc>
        <w:tc>
          <w:tcPr>
            <w:tcW w:w="358" w:type="pct"/>
            <w:tcBorders>
              <w:top w:val="nil"/>
              <w:left w:val="nil"/>
              <w:bottom w:val="single" w:sz="4" w:space="0" w:color="auto"/>
              <w:right w:val="nil"/>
            </w:tcBorders>
            <w:shd w:val="clear" w:color="auto" w:fill="auto"/>
            <w:noWrap/>
            <w:vAlign w:val="bottom"/>
            <w:hideMark/>
          </w:tcPr>
          <w:p w14:paraId="2341ABC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265</w:t>
            </w:r>
          </w:p>
        </w:tc>
        <w:tc>
          <w:tcPr>
            <w:tcW w:w="358" w:type="pct"/>
            <w:tcBorders>
              <w:top w:val="nil"/>
              <w:left w:val="nil"/>
              <w:bottom w:val="single" w:sz="4" w:space="0" w:color="auto"/>
              <w:right w:val="nil"/>
            </w:tcBorders>
            <w:shd w:val="clear" w:color="auto" w:fill="auto"/>
            <w:noWrap/>
            <w:vAlign w:val="bottom"/>
            <w:hideMark/>
          </w:tcPr>
          <w:p w14:paraId="2341ABC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265</w:t>
            </w:r>
          </w:p>
        </w:tc>
        <w:tc>
          <w:tcPr>
            <w:tcW w:w="358" w:type="pct"/>
            <w:tcBorders>
              <w:top w:val="nil"/>
              <w:left w:val="nil"/>
              <w:bottom w:val="single" w:sz="4" w:space="0" w:color="auto"/>
              <w:right w:val="nil"/>
            </w:tcBorders>
            <w:shd w:val="clear" w:color="auto" w:fill="auto"/>
            <w:noWrap/>
            <w:vAlign w:val="bottom"/>
            <w:hideMark/>
          </w:tcPr>
          <w:p w14:paraId="2341ABCA"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265</w:t>
            </w:r>
          </w:p>
        </w:tc>
      </w:tr>
      <w:tr w:rsidR="0011752D" w:rsidRPr="0011752D" w14:paraId="2341ABD3" w14:textId="77777777" w:rsidTr="00390762">
        <w:trPr>
          <w:trHeight w:val="315"/>
        </w:trPr>
        <w:tc>
          <w:tcPr>
            <w:tcW w:w="2907" w:type="pct"/>
            <w:tcBorders>
              <w:top w:val="nil"/>
              <w:left w:val="nil"/>
              <w:bottom w:val="single" w:sz="8" w:space="0" w:color="auto"/>
              <w:right w:val="nil"/>
            </w:tcBorders>
            <w:shd w:val="clear" w:color="auto" w:fill="auto"/>
            <w:noWrap/>
            <w:vAlign w:val="bottom"/>
            <w:hideMark/>
          </w:tcPr>
          <w:p w14:paraId="2341ABCC" w14:textId="77777777" w:rsidR="0011752D" w:rsidRPr="0011752D" w:rsidRDefault="0011752D" w:rsidP="0011752D">
            <w:pPr>
              <w:rPr>
                <w:rFonts w:ascii="Calibri" w:hAnsi="Calibri"/>
                <w:color w:val="000000"/>
                <w:sz w:val="16"/>
                <w:szCs w:val="22"/>
                <w:lang w:val="es-CO" w:eastAsia="es-CO"/>
              </w:rPr>
            </w:pPr>
            <w:r w:rsidRPr="0011752D">
              <w:rPr>
                <w:rFonts w:ascii="Calibri" w:hAnsi="Calibri"/>
                <w:color w:val="000000"/>
                <w:sz w:val="16"/>
                <w:szCs w:val="22"/>
                <w:lang w:val="es-CO" w:eastAsia="es-CO"/>
              </w:rPr>
              <w:t>Ahorro energético acumulado S. Industrial (GWh)</w:t>
            </w:r>
          </w:p>
        </w:tc>
        <w:tc>
          <w:tcPr>
            <w:tcW w:w="331" w:type="pct"/>
            <w:tcBorders>
              <w:top w:val="nil"/>
              <w:left w:val="nil"/>
              <w:bottom w:val="single" w:sz="8" w:space="0" w:color="auto"/>
              <w:right w:val="nil"/>
            </w:tcBorders>
            <w:shd w:val="clear" w:color="auto" w:fill="auto"/>
            <w:noWrap/>
            <w:vAlign w:val="bottom"/>
            <w:hideMark/>
          </w:tcPr>
          <w:p w14:paraId="2341ABCD"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73</w:t>
            </w:r>
          </w:p>
        </w:tc>
        <w:tc>
          <w:tcPr>
            <w:tcW w:w="344" w:type="pct"/>
            <w:tcBorders>
              <w:top w:val="nil"/>
              <w:left w:val="nil"/>
              <w:bottom w:val="single" w:sz="8" w:space="0" w:color="auto"/>
              <w:right w:val="nil"/>
            </w:tcBorders>
            <w:shd w:val="clear" w:color="auto" w:fill="auto"/>
            <w:noWrap/>
            <w:vAlign w:val="bottom"/>
            <w:hideMark/>
          </w:tcPr>
          <w:p w14:paraId="2341ABCE"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211</w:t>
            </w:r>
          </w:p>
        </w:tc>
        <w:tc>
          <w:tcPr>
            <w:tcW w:w="345" w:type="pct"/>
            <w:tcBorders>
              <w:top w:val="nil"/>
              <w:left w:val="nil"/>
              <w:bottom w:val="single" w:sz="8" w:space="0" w:color="auto"/>
              <w:right w:val="nil"/>
            </w:tcBorders>
            <w:shd w:val="clear" w:color="auto" w:fill="auto"/>
            <w:noWrap/>
            <w:vAlign w:val="bottom"/>
            <w:hideMark/>
          </w:tcPr>
          <w:p w14:paraId="2341ABCF"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412</w:t>
            </w:r>
          </w:p>
        </w:tc>
        <w:tc>
          <w:tcPr>
            <w:tcW w:w="358" w:type="pct"/>
            <w:tcBorders>
              <w:top w:val="nil"/>
              <w:left w:val="nil"/>
              <w:bottom w:val="single" w:sz="8" w:space="0" w:color="auto"/>
              <w:right w:val="nil"/>
            </w:tcBorders>
            <w:shd w:val="clear" w:color="auto" w:fill="auto"/>
            <w:noWrap/>
            <w:vAlign w:val="bottom"/>
            <w:hideMark/>
          </w:tcPr>
          <w:p w14:paraId="2341ABD0"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677</w:t>
            </w:r>
          </w:p>
        </w:tc>
        <w:tc>
          <w:tcPr>
            <w:tcW w:w="358" w:type="pct"/>
            <w:tcBorders>
              <w:top w:val="nil"/>
              <w:left w:val="nil"/>
              <w:bottom w:val="single" w:sz="8" w:space="0" w:color="auto"/>
              <w:right w:val="nil"/>
            </w:tcBorders>
            <w:shd w:val="clear" w:color="auto" w:fill="auto"/>
            <w:noWrap/>
            <w:vAlign w:val="bottom"/>
            <w:hideMark/>
          </w:tcPr>
          <w:p w14:paraId="2341ABD1"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942</w:t>
            </w:r>
          </w:p>
        </w:tc>
        <w:tc>
          <w:tcPr>
            <w:tcW w:w="358" w:type="pct"/>
            <w:tcBorders>
              <w:top w:val="nil"/>
              <w:left w:val="nil"/>
              <w:bottom w:val="single" w:sz="8" w:space="0" w:color="auto"/>
              <w:right w:val="nil"/>
            </w:tcBorders>
            <w:shd w:val="clear" w:color="auto" w:fill="auto"/>
            <w:noWrap/>
            <w:vAlign w:val="bottom"/>
            <w:hideMark/>
          </w:tcPr>
          <w:p w14:paraId="2341ABD2"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1.207</w:t>
            </w:r>
          </w:p>
        </w:tc>
      </w:tr>
      <w:tr w:rsidR="0011752D" w:rsidRPr="0011752D" w14:paraId="2341ABDB" w14:textId="77777777" w:rsidTr="00390762">
        <w:trPr>
          <w:trHeight w:val="300"/>
        </w:trPr>
        <w:tc>
          <w:tcPr>
            <w:tcW w:w="2907" w:type="pct"/>
            <w:tcBorders>
              <w:top w:val="nil"/>
              <w:left w:val="nil"/>
              <w:bottom w:val="single" w:sz="4" w:space="0" w:color="auto"/>
              <w:right w:val="nil"/>
            </w:tcBorders>
            <w:shd w:val="clear" w:color="000000" w:fill="E7E6E6"/>
            <w:noWrap/>
            <w:vAlign w:val="bottom"/>
            <w:hideMark/>
          </w:tcPr>
          <w:p w14:paraId="2341ABD4" w14:textId="77777777" w:rsidR="0011752D" w:rsidRPr="0011752D" w:rsidRDefault="0011752D" w:rsidP="0011752D">
            <w:pPr>
              <w:rPr>
                <w:rFonts w:ascii="Calibri" w:hAnsi="Calibri"/>
                <w:b/>
                <w:bCs/>
                <w:color w:val="000000"/>
                <w:sz w:val="16"/>
                <w:szCs w:val="22"/>
                <w:lang w:val="es-CO" w:eastAsia="es-CO"/>
              </w:rPr>
            </w:pPr>
            <w:r w:rsidRPr="0011752D">
              <w:rPr>
                <w:rFonts w:ascii="Calibri" w:hAnsi="Calibri"/>
                <w:b/>
                <w:bCs/>
                <w:color w:val="000000"/>
                <w:sz w:val="16"/>
                <w:szCs w:val="22"/>
                <w:lang w:val="es-CO" w:eastAsia="es-CO"/>
              </w:rPr>
              <w:t>Total ahorro anual (GWh)</w:t>
            </w:r>
          </w:p>
        </w:tc>
        <w:tc>
          <w:tcPr>
            <w:tcW w:w="331" w:type="pct"/>
            <w:tcBorders>
              <w:top w:val="nil"/>
              <w:left w:val="nil"/>
              <w:bottom w:val="single" w:sz="4" w:space="0" w:color="auto"/>
              <w:right w:val="nil"/>
            </w:tcBorders>
            <w:shd w:val="clear" w:color="000000" w:fill="E7E6E6"/>
            <w:noWrap/>
            <w:vAlign w:val="bottom"/>
            <w:hideMark/>
          </w:tcPr>
          <w:p w14:paraId="2341ABD5"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1.103</w:t>
            </w:r>
          </w:p>
        </w:tc>
        <w:tc>
          <w:tcPr>
            <w:tcW w:w="344" w:type="pct"/>
            <w:tcBorders>
              <w:top w:val="nil"/>
              <w:left w:val="nil"/>
              <w:bottom w:val="single" w:sz="4" w:space="0" w:color="auto"/>
              <w:right w:val="nil"/>
            </w:tcBorders>
            <w:shd w:val="clear" w:color="000000" w:fill="E7E6E6"/>
            <w:noWrap/>
            <w:vAlign w:val="bottom"/>
            <w:hideMark/>
          </w:tcPr>
          <w:p w14:paraId="2341ABD6"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2.196</w:t>
            </w:r>
          </w:p>
        </w:tc>
        <w:tc>
          <w:tcPr>
            <w:tcW w:w="345" w:type="pct"/>
            <w:tcBorders>
              <w:top w:val="nil"/>
              <w:left w:val="nil"/>
              <w:bottom w:val="single" w:sz="4" w:space="0" w:color="auto"/>
              <w:right w:val="nil"/>
            </w:tcBorders>
            <w:shd w:val="clear" w:color="000000" w:fill="E7E6E6"/>
            <w:noWrap/>
            <w:vAlign w:val="bottom"/>
            <w:hideMark/>
          </w:tcPr>
          <w:p w14:paraId="2341ABD7"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3.290</w:t>
            </w:r>
          </w:p>
        </w:tc>
        <w:tc>
          <w:tcPr>
            <w:tcW w:w="358" w:type="pct"/>
            <w:tcBorders>
              <w:top w:val="nil"/>
              <w:left w:val="nil"/>
              <w:bottom w:val="single" w:sz="4" w:space="0" w:color="auto"/>
              <w:right w:val="nil"/>
            </w:tcBorders>
            <w:shd w:val="clear" w:color="000000" w:fill="E7E6E6"/>
            <w:noWrap/>
            <w:vAlign w:val="bottom"/>
            <w:hideMark/>
          </w:tcPr>
          <w:p w14:paraId="2341ABD8"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4.383</w:t>
            </w:r>
          </w:p>
        </w:tc>
        <w:tc>
          <w:tcPr>
            <w:tcW w:w="358" w:type="pct"/>
            <w:tcBorders>
              <w:top w:val="nil"/>
              <w:left w:val="nil"/>
              <w:bottom w:val="single" w:sz="4" w:space="0" w:color="auto"/>
              <w:right w:val="nil"/>
            </w:tcBorders>
            <w:shd w:val="clear" w:color="000000" w:fill="E7E6E6"/>
            <w:noWrap/>
            <w:vAlign w:val="bottom"/>
            <w:hideMark/>
          </w:tcPr>
          <w:p w14:paraId="2341ABD9"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5.413</w:t>
            </w:r>
          </w:p>
        </w:tc>
        <w:tc>
          <w:tcPr>
            <w:tcW w:w="358" w:type="pct"/>
            <w:tcBorders>
              <w:top w:val="nil"/>
              <w:left w:val="nil"/>
              <w:bottom w:val="single" w:sz="4" w:space="0" w:color="auto"/>
              <w:right w:val="nil"/>
            </w:tcBorders>
            <w:shd w:val="clear" w:color="000000" w:fill="E7E6E6"/>
            <w:noWrap/>
            <w:vAlign w:val="bottom"/>
            <w:hideMark/>
          </w:tcPr>
          <w:p w14:paraId="2341ABDA"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5.413</w:t>
            </w:r>
          </w:p>
        </w:tc>
      </w:tr>
      <w:tr w:rsidR="0011752D" w:rsidRPr="0011752D" w14:paraId="2341ABE3" w14:textId="77777777" w:rsidTr="00390762">
        <w:trPr>
          <w:trHeight w:val="315"/>
        </w:trPr>
        <w:tc>
          <w:tcPr>
            <w:tcW w:w="2907" w:type="pct"/>
            <w:tcBorders>
              <w:top w:val="nil"/>
              <w:left w:val="nil"/>
              <w:bottom w:val="single" w:sz="8" w:space="0" w:color="auto"/>
              <w:right w:val="nil"/>
            </w:tcBorders>
            <w:shd w:val="clear" w:color="000000" w:fill="E7E6E6"/>
            <w:noWrap/>
            <w:vAlign w:val="bottom"/>
            <w:hideMark/>
          </w:tcPr>
          <w:p w14:paraId="2341ABDC" w14:textId="77777777" w:rsidR="0011752D" w:rsidRPr="0011752D" w:rsidRDefault="0011752D" w:rsidP="0011752D">
            <w:pPr>
              <w:rPr>
                <w:rFonts w:ascii="Calibri" w:hAnsi="Calibri"/>
                <w:b/>
                <w:bCs/>
                <w:color w:val="000000"/>
                <w:sz w:val="16"/>
                <w:szCs w:val="22"/>
                <w:lang w:val="es-CO" w:eastAsia="es-CO"/>
              </w:rPr>
            </w:pPr>
            <w:r w:rsidRPr="0011752D">
              <w:rPr>
                <w:rFonts w:ascii="Calibri" w:hAnsi="Calibri"/>
                <w:b/>
                <w:bCs/>
                <w:color w:val="000000"/>
                <w:sz w:val="16"/>
                <w:szCs w:val="22"/>
                <w:lang w:val="es-CO" w:eastAsia="es-CO"/>
              </w:rPr>
              <w:t>Ahorro energético acumulado (GWh)</w:t>
            </w:r>
          </w:p>
        </w:tc>
        <w:tc>
          <w:tcPr>
            <w:tcW w:w="331" w:type="pct"/>
            <w:tcBorders>
              <w:top w:val="nil"/>
              <w:left w:val="nil"/>
              <w:bottom w:val="single" w:sz="8" w:space="0" w:color="auto"/>
              <w:right w:val="nil"/>
            </w:tcBorders>
            <w:shd w:val="clear" w:color="000000" w:fill="E7E6E6"/>
            <w:noWrap/>
            <w:vAlign w:val="bottom"/>
            <w:hideMark/>
          </w:tcPr>
          <w:p w14:paraId="2341ABDD"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1.103</w:t>
            </w:r>
          </w:p>
        </w:tc>
        <w:tc>
          <w:tcPr>
            <w:tcW w:w="344" w:type="pct"/>
            <w:tcBorders>
              <w:top w:val="nil"/>
              <w:left w:val="nil"/>
              <w:bottom w:val="single" w:sz="8" w:space="0" w:color="auto"/>
              <w:right w:val="nil"/>
            </w:tcBorders>
            <w:shd w:val="clear" w:color="000000" w:fill="E7E6E6"/>
            <w:noWrap/>
            <w:vAlign w:val="bottom"/>
            <w:hideMark/>
          </w:tcPr>
          <w:p w14:paraId="2341ABDE"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3.299</w:t>
            </w:r>
          </w:p>
        </w:tc>
        <w:tc>
          <w:tcPr>
            <w:tcW w:w="345" w:type="pct"/>
            <w:tcBorders>
              <w:top w:val="nil"/>
              <w:left w:val="nil"/>
              <w:bottom w:val="single" w:sz="8" w:space="0" w:color="auto"/>
              <w:right w:val="nil"/>
            </w:tcBorders>
            <w:shd w:val="clear" w:color="000000" w:fill="E7E6E6"/>
            <w:noWrap/>
            <w:vAlign w:val="bottom"/>
            <w:hideMark/>
          </w:tcPr>
          <w:p w14:paraId="2341ABDF"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6.589</w:t>
            </w:r>
          </w:p>
        </w:tc>
        <w:tc>
          <w:tcPr>
            <w:tcW w:w="358" w:type="pct"/>
            <w:tcBorders>
              <w:top w:val="nil"/>
              <w:left w:val="nil"/>
              <w:bottom w:val="single" w:sz="8" w:space="0" w:color="auto"/>
              <w:right w:val="nil"/>
            </w:tcBorders>
            <w:shd w:val="clear" w:color="000000" w:fill="E7E6E6"/>
            <w:noWrap/>
            <w:vAlign w:val="bottom"/>
            <w:hideMark/>
          </w:tcPr>
          <w:p w14:paraId="2341ABE0"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10.972</w:t>
            </w:r>
          </w:p>
        </w:tc>
        <w:tc>
          <w:tcPr>
            <w:tcW w:w="358" w:type="pct"/>
            <w:tcBorders>
              <w:top w:val="nil"/>
              <w:left w:val="nil"/>
              <w:bottom w:val="single" w:sz="8" w:space="0" w:color="auto"/>
              <w:right w:val="nil"/>
            </w:tcBorders>
            <w:shd w:val="clear" w:color="000000" w:fill="E7E6E6"/>
            <w:noWrap/>
            <w:vAlign w:val="bottom"/>
            <w:hideMark/>
          </w:tcPr>
          <w:p w14:paraId="2341ABE1"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16.385</w:t>
            </w:r>
          </w:p>
        </w:tc>
        <w:tc>
          <w:tcPr>
            <w:tcW w:w="358" w:type="pct"/>
            <w:tcBorders>
              <w:top w:val="nil"/>
              <w:left w:val="nil"/>
              <w:bottom w:val="single" w:sz="8" w:space="0" w:color="auto"/>
              <w:right w:val="nil"/>
            </w:tcBorders>
            <w:shd w:val="clear" w:color="000000" w:fill="E7E6E6"/>
            <w:noWrap/>
            <w:vAlign w:val="bottom"/>
            <w:hideMark/>
          </w:tcPr>
          <w:p w14:paraId="2341ABE2"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21.797</w:t>
            </w:r>
          </w:p>
        </w:tc>
      </w:tr>
    </w:tbl>
    <w:p w14:paraId="2341ABE4" w14:textId="77777777" w:rsidR="0011752D" w:rsidRPr="0011752D" w:rsidRDefault="0011752D" w:rsidP="0011752D">
      <w:pPr>
        <w:spacing w:before="240" w:after="240"/>
        <w:jc w:val="both"/>
        <w:rPr>
          <w:rFonts w:ascii="Arial" w:hAnsi="Arial"/>
          <w:b/>
          <w:sz w:val="22"/>
          <w:lang w:val="es-CO"/>
        </w:rPr>
      </w:pPr>
      <w:bookmarkStart w:id="90" w:name="_Ref473211898"/>
      <w:bookmarkStart w:id="91" w:name="_Toc473268560"/>
      <w:bookmarkStart w:id="92" w:name="_Toc474797064"/>
      <w:r w:rsidRPr="0011752D">
        <w:rPr>
          <w:rFonts w:ascii="Arial" w:hAnsi="Arial"/>
          <w:b/>
          <w:sz w:val="22"/>
          <w:lang w:val="es-CO"/>
        </w:rPr>
        <w:t xml:space="preserve">Tabla </w:t>
      </w:r>
      <w:r w:rsidRPr="0011752D">
        <w:rPr>
          <w:rFonts w:ascii="Arial" w:hAnsi="Arial"/>
          <w:b/>
          <w:sz w:val="22"/>
          <w:lang w:val="es-CO"/>
        </w:rPr>
        <w:fldChar w:fldCharType="begin"/>
      </w:r>
      <w:r w:rsidRPr="0011752D">
        <w:rPr>
          <w:rFonts w:ascii="Arial" w:hAnsi="Arial"/>
          <w:b/>
          <w:sz w:val="22"/>
          <w:lang w:val="es-CO"/>
        </w:rPr>
        <w:instrText xml:space="preserve"> SEQ Tabla \* ARABIC </w:instrText>
      </w:r>
      <w:r w:rsidRPr="0011752D">
        <w:rPr>
          <w:rFonts w:ascii="Arial" w:hAnsi="Arial"/>
          <w:b/>
          <w:sz w:val="22"/>
          <w:lang w:val="es-CO"/>
        </w:rPr>
        <w:fldChar w:fldCharType="separate"/>
      </w:r>
      <w:r w:rsidRPr="0011752D">
        <w:rPr>
          <w:rFonts w:ascii="Arial" w:hAnsi="Arial"/>
          <w:b/>
          <w:noProof/>
          <w:sz w:val="22"/>
          <w:lang w:val="es-CO"/>
        </w:rPr>
        <w:t>10</w:t>
      </w:r>
      <w:r w:rsidRPr="0011752D">
        <w:rPr>
          <w:rFonts w:ascii="Arial" w:hAnsi="Arial"/>
          <w:b/>
          <w:sz w:val="22"/>
          <w:lang w:val="es-CO"/>
        </w:rPr>
        <w:fldChar w:fldCharType="end"/>
      </w:r>
      <w:bookmarkEnd w:id="90"/>
      <w:r w:rsidRPr="0011752D">
        <w:rPr>
          <w:rFonts w:ascii="Arial" w:hAnsi="Arial"/>
          <w:b/>
          <w:sz w:val="22"/>
          <w:lang w:val="es-CO"/>
        </w:rPr>
        <w:t xml:space="preserve"> – Potencial de emisiones de CO</w:t>
      </w:r>
      <w:r w:rsidRPr="0011752D">
        <w:rPr>
          <w:rFonts w:ascii="Arial" w:hAnsi="Arial"/>
          <w:b/>
          <w:sz w:val="22"/>
          <w:vertAlign w:val="subscript"/>
          <w:lang w:val="es-CO"/>
        </w:rPr>
        <w:t>2</w:t>
      </w:r>
      <w:r w:rsidRPr="0011752D">
        <w:rPr>
          <w:rFonts w:ascii="Arial" w:hAnsi="Arial"/>
          <w:b/>
          <w:sz w:val="22"/>
          <w:lang w:val="es-CO"/>
        </w:rPr>
        <w:t xml:space="preserve"> evitadas por implementación de medidas de eficiencia energética (TonCO</w:t>
      </w:r>
      <w:r w:rsidRPr="0011752D">
        <w:rPr>
          <w:rFonts w:ascii="Arial" w:hAnsi="Arial"/>
          <w:b/>
          <w:sz w:val="22"/>
          <w:vertAlign w:val="subscript"/>
          <w:lang w:val="es-CO"/>
        </w:rPr>
        <w:t>2</w:t>
      </w:r>
      <w:r w:rsidRPr="0011752D">
        <w:rPr>
          <w:rFonts w:ascii="Arial" w:hAnsi="Arial"/>
          <w:b/>
          <w:sz w:val="22"/>
          <w:lang w:val="es-CO"/>
        </w:rPr>
        <w:t>)</w:t>
      </w:r>
      <w:bookmarkEnd w:id="91"/>
      <w:bookmarkEnd w:id="92"/>
    </w:p>
    <w:tbl>
      <w:tblPr>
        <w:tblW w:w="5000" w:type="pct"/>
        <w:tblLayout w:type="fixed"/>
        <w:tblCellMar>
          <w:left w:w="70" w:type="dxa"/>
          <w:right w:w="70" w:type="dxa"/>
        </w:tblCellMar>
        <w:tblLook w:val="04A0" w:firstRow="1" w:lastRow="0" w:firstColumn="1" w:lastColumn="0" w:noHBand="0" w:noVBand="1"/>
      </w:tblPr>
      <w:tblGrid>
        <w:gridCol w:w="4021"/>
        <w:gridCol w:w="769"/>
        <w:gridCol w:w="769"/>
        <w:gridCol w:w="769"/>
        <w:gridCol w:w="769"/>
        <w:gridCol w:w="769"/>
        <w:gridCol w:w="769"/>
      </w:tblGrid>
      <w:tr w:rsidR="0011752D" w:rsidRPr="0011752D" w14:paraId="2341ABEC" w14:textId="77777777" w:rsidTr="00390762">
        <w:trPr>
          <w:trHeight w:val="300"/>
          <w:tblHeader/>
        </w:trPr>
        <w:tc>
          <w:tcPr>
            <w:tcW w:w="2327" w:type="pct"/>
            <w:tcBorders>
              <w:top w:val="nil"/>
              <w:left w:val="nil"/>
              <w:bottom w:val="single" w:sz="4" w:space="0" w:color="auto"/>
              <w:right w:val="nil"/>
            </w:tcBorders>
            <w:shd w:val="clear" w:color="auto" w:fill="auto"/>
            <w:noWrap/>
            <w:vAlign w:val="bottom"/>
            <w:hideMark/>
          </w:tcPr>
          <w:p w14:paraId="2341ABE5"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 </w:t>
            </w:r>
          </w:p>
        </w:tc>
        <w:tc>
          <w:tcPr>
            <w:tcW w:w="445" w:type="pct"/>
            <w:tcBorders>
              <w:top w:val="single" w:sz="4" w:space="0" w:color="FFFFFF"/>
              <w:left w:val="nil"/>
              <w:bottom w:val="single" w:sz="4" w:space="0" w:color="auto"/>
              <w:right w:val="single" w:sz="4" w:space="0" w:color="FFFFFF"/>
            </w:tcBorders>
            <w:shd w:val="clear" w:color="000000" w:fill="203764"/>
            <w:noWrap/>
            <w:vAlign w:val="bottom"/>
            <w:hideMark/>
          </w:tcPr>
          <w:p w14:paraId="2341ABE6" w14:textId="77777777" w:rsidR="0011752D" w:rsidRPr="0011752D" w:rsidRDefault="0011752D" w:rsidP="0011752D">
            <w:pPr>
              <w:jc w:val="center"/>
              <w:rPr>
                <w:rFonts w:ascii="Calibri" w:hAnsi="Calibri"/>
                <w:color w:val="FFFFFF"/>
                <w:sz w:val="15"/>
                <w:szCs w:val="15"/>
                <w:lang w:val="es-CO" w:eastAsia="es-CO"/>
              </w:rPr>
            </w:pPr>
            <w:r w:rsidRPr="0011752D">
              <w:rPr>
                <w:rFonts w:ascii="Calibri" w:hAnsi="Calibri"/>
                <w:color w:val="FFFFFF"/>
                <w:sz w:val="15"/>
                <w:szCs w:val="15"/>
                <w:lang w:val="es-CO" w:eastAsia="es-CO"/>
              </w:rPr>
              <w:t>2017</w:t>
            </w:r>
          </w:p>
        </w:tc>
        <w:tc>
          <w:tcPr>
            <w:tcW w:w="445" w:type="pct"/>
            <w:tcBorders>
              <w:top w:val="single" w:sz="4" w:space="0" w:color="FFFFFF"/>
              <w:left w:val="nil"/>
              <w:bottom w:val="single" w:sz="4" w:space="0" w:color="auto"/>
              <w:right w:val="single" w:sz="4" w:space="0" w:color="FFFFFF"/>
            </w:tcBorders>
            <w:shd w:val="clear" w:color="000000" w:fill="203764"/>
            <w:noWrap/>
            <w:vAlign w:val="bottom"/>
            <w:hideMark/>
          </w:tcPr>
          <w:p w14:paraId="2341ABE7" w14:textId="77777777" w:rsidR="0011752D" w:rsidRPr="0011752D" w:rsidRDefault="0011752D" w:rsidP="0011752D">
            <w:pPr>
              <w:jc w:val="center"/>
              <w:rPr>
                <w:rFonts w:ascii="Calibri" w:hAnsi="Calibri"/>
                <w:color w:val="FFFFFF"/>
                <w:sz w:val="15"/>
                <w:szCs w:val="15"/>
                <w:lang w:val="es-CO" w:eastAsia="es-CO"/>
              </w:rPr>
            </w:pPr>
            <w:r w:rsidRPr="0011752D">
              <w:rPr>
                <w:rFonts w:ascii="Calibri" w:hAnsi="Calibri"/>
                <w:color w:val="FFFFFF"/>
                <w:sz w:val="15"/>
                <w:szCs w:val="15"/>
                <w:lang w:val="es-CO" w:eastAsia="es-CO"/>
              </w:rPr>
              <w:t>2018</w:t>
            </w:r>
          </w:p>
        </w:tc>
        <w:tc>
          <w:tcPr>
            <w:tcW w:w="445" w:type="pct"/>
            <w:tcBorders>
              <w:top w:val="single" w:sz="4" w:space="0" w:color="FFFFFF"/>
              <w:left w:val="nil"/>
              <w:bottom w:val="single" w:sz="4" w:space="0" w:color="auto"/>
              <w:right w:val="single" w:sz="4" w:space="0" w:color="FFFFFF"/>
            </w:tcBorders>
            <w:shd w:val="clear" w:color="000000" w:fill="203764"/>
            <w:noWrap/>
            <w:vAlign w:val="bottom"/>
            <w:hideMark/>
          </w:tcPr>
          <w:p w14:paraId="2341ABE8" w14:textId="77777777" w:rsidR="0011752D" w:rsidRPr="0011752D" w:rsidRDefault="0011752D" w:rsidP="0011752D">
            <w:pPr>
              <w:jc w:val="center"/>
              <w:rPr>
                <w:rFonts w:ascii="Calibri" w:hAnsi="Calibri"/>
                <w:color w:val="FFFFFF"/>
                <w:sz w:val="15"/>
                <w:szCs w:val="15"/>
                <w:lang w:val="es-CO" w:eastAsia="es-CO"/>
              </w:rPr>
            </w:pPr>
            <w:r w:rsidRPr="0011752D">
              <w:rPr>
                <w:rFonts w:ascii="Calibri" w:hAnsi="Calibri"/>
                <w:color w:val="FFFFFF"/>
                <w:sz w:val="15"/>
                <w:szCs w:val="15"/>
                <w:lang w:val="es-CO" w:eastAsia="es-CO"/>
              </w:rPr>
              <w:t>2019</w:t>
            </w:r>
          </w:p>
        </w:tc>
        <w:tc>
          <w:tcPr>
            <w:tcW w:w="445" w:type="pct"/>
            <w:tcBorders>
              <w:top w:val="single" w:sz="4" w:space="0" w:color="FFFFFF"/>
              <w:left w:val="nil"/>
              <w:bottom w:val="single" w:sz="4" w:space="0" w:color="auto"/>
              <w:right w:val="single" w:sz="4" w:space="0" w:color="FFFFFF"/>
            </w:tcBorders>
            <w:shd w:val="clear" w:color="000000" w:fill="203764"/>
            <w:noWrap/>
            <w:vAlign w:val="bottom"/>
            <w:hideMark/>
          </w:tcPr>
          <w:p w14:paraId="2341ABE9" w14:textId="77777777" w:rsidR="0011752D" w:rsidRPr="0011752D" w:rsidRDefault="0011752D" w:rsidP="0011752D">
            <w:pPr>
              <w:jc w:val="center"/>
              <w:rPr>
                <w:rFonts w:ascii="Calibri" w:hAnsi="Calibri"/>
                <w:color w:val="FFFFFF"/>
                <w:sz w:val="15"/>
                <w:szCs w:val="15"/>
                <w:lang w:val="es-CO" w:eastAsia="es-CO"/>
              </w:rPr>
            </w:pPr>
            <w:r w:rsidRPr="0011752D">
              <w:rPr>
                <w:rFonts w:ascii="Calibri" w:hAnsi="Calibri"/>
                <w:color w:val="FFFFFF"/>
                <w:sz w:val="15"/>
                <w:szCs w:val="15"/>
                <w:lang w:val="es-CO" w:eastAsia="es-CO"/>
              </w:rPr>
              <w:t>2020</w:t>
            </w:r>
          </w:p>
        </w:tc>
        <w:tc>
          <w:tcPr>
            <w:tcW w:w="445" w:type="pct"/>
            <w:tcBorders>
              <w:top w:val="single" w:sz="4" w:space="0" w:color="FFFFFF"/>
              <w:left w:val="nil"/>
              <w:bottom w:val="single" w:sz="4" w:space="0" w:color="auto"/>
              <w:right w:val="single" w:sz="4" w:space="0" w:color="FFFFFF"/>
            </w:tcBorders>
            <w:shd w:val="clear" w:color="000000" w:fill="203764"/>
            <w:noWrap/>
            <w:vAlign w:val="bottom"/>
            <w:hideMark/>
          </w:tcPr>
          <w:p w14:paraId="2341ABEA" w14:textId="77777777" w:rsidR="0011752D" w:rsidRPr="0011752D" w:rsidRDefault="0011752D" w:rsidP="0011752D">
            <w:pPr>
              <w:jc w:val="center"/>
              <w:rPr>
                <w:rFonts w:ascii="Calibri" w:hAnsi="Calibri"/>
                <w:color w:val="FFFFFF"/>
                <w:sz w:val="15"/>
                <w:szCs w:val="15"/>
                <w:lang w:val="es-CO" w:eastAsia="es-CO"/>
              </w:rPr>
            </w:pPr>
            <w:r w:rsidRPr="0011752D">
              <w:rPr>
                <w:rFonts w:ascii="Calibri" w:hAnsi="Calibri"/>
                <w:color w:val="FFFFFF"/>
                <w:sz w:val="15"/>
                <w:szCs w:val="15"/>
                <w:lang w:val="es-CO" w:eastAsia="es-CO"/>
              </w:rPr>
              <w:t>2021</w:t>
            </w:r>
          </w:p>
        </w:tc>
        <w:tc>
          <w:tcPr>
            <w:tcW w:w="445" w:type="pct"/>
            <w:tcBorders>
              <w:top w:val="single" w:sz="4" w:space="0" w:color="FFFFFF"/>
              <w:left w:val="nil"/>
              <w:bottom w:val="single" w:sz="4" w:space="0" w:color="auto"/>
              <w:right w:val="single" w:sz="4" w:space="0" w:color="FFFFFF"/>
            </w:tcBorders>
            <w:shd w:val="clear" w:color="000000" w:fill="203764"/>
            <w:noWrap/>
            <w:vAlign w:val="bottom"/>
            <w:hideMark/>
          </w:tcPr>
          <w:p w14:paraId="2341ABEB" w14:textId="77777777" w:rsidR="0011752D" w:rsidRPr="0011752D" w:rsidRDefault="0011752D" w:rsidP="0011752D">
            <w:pPr>
              <w:jc w:val="center"/>
              <w:rPr>
                <w:rFonts w:ascii="Calibri" w:hAnsi="Calibri"/>
                <w:color w:val="FFFFFF"/>
                <w:sz w:val="15"/>
                <w:szCs w:val="15"/>
                <w:lang w:val="es-CO" w:eastAsia="es-CO"/>
              </w:rPr>
            </w:pPr>
            <w:r w:rsidRPr="0011752D">
              <w:rPr>
                <w:rFonts w:ascii="Calibri" w:hAnsi="Calibri"/>
                <w:color w:val="FFFFFF"/>
                <w:sz w:val="15"/>
                <w:szCs w:val="15"/>
                <w:lang w:val="es-CO" w:eastAsia="es-CO"/>
              </w:rPr>
              <w:t>2022</w:t>
            </w:r>
          </w:p>
        </w:tc>
      </w:tr>
      <w:tr w:rsidR="0011752D" w:rsidRPr="0011752D" w14:paraId="2341ABF4" w14:textId="77777777" w:rsidTr="00390762">
        <w:trPr>
          <w:trHeight w:val="300"/>
        </w:trPr>
        <w:tc>
          <w:tcPr>
            <w:tcW w:w="2327" w:type="pct"/>
            <w:tcBorders>
              <w:top w:val="nil"/>
              <w:left w:val="nil"/>
              <w:bottom w:val="single" w:sz="4" w:space="0" w:color="auto"/>
              <w:right w:val="nil"/>
            </w:tcBorders>
            <w:shd w:val="clear" w:color="000000" w:fill="E7E6E6"/>
            <w:noWrap/>
            <w:vAlign w:val="bottom"/>
            <w:hideMark/>
          </w:tcPr>
          <w:p w14:paraId="2341ABED" w14:textId="77777777" w:rsidR="0011752D" w:rsidRPr="0011752D" w:rsidRDefault="0011752D" w:rsidP="0011752D">
            <w:pPr>
              <w:rPr>
                <w:rFonts w:ascii="Calibri" w:hAnsi="Calibri"/>
                <w:b/>
                <w:bCs/>
                <w:color w:val="000000"/>
                <w:sz w:val="16"/>
                <w:szCs w:val="16"/>
                <w:lang w:val="es-CO" w:eastAsia="es-CO"/>
              </w:rPr>
            </w:pPr>
            <w:r w:rsidRPr="0011752D">
              <w:rPr>
                <w:rFonts w:ascii="Calibri" w:hAnsi="Calibri"/>
                <w:b/>
                <w:bCs/>
                <w:color w:val="000000"/>
                <w:sz w:val="16"/>
                <w:szCs w:val="16"/>
                <w:lang w:val="es-CO" w:eastAsia="es-CO"/>
              </w:rPr>
              <w:t>Sector Residencial</w:t>
            </w:r>
          </w:p>
        </w:tc>
        <w:tc>
          <w:tcPr>
            <w:tcW w:w="445" w:type="pct"/>
            <w:tcBorders>
              <w:top w:val="nil"/>
              <w:left w:val="nil"/>
              <w:bottom w:val="single" w:sz="4" w:space="0" w:color="auto"/>
              <w:right w:val="nil"/>
            </w:tcBorders>
            <w:shd w:val="clear" w:color="000000" w:fill="E7E6E6"/>
            <w:noWrap/>
            <w:vAlign w:val="bottom"/>
            <w:hideMark/>
          </w:tcPr>
          <w:p w14:paraId="2341ABEE"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BEF"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BF0"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BF1"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BF2"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BF3"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r>
      <w:tr w:rsidR="0011752D" w:rsidRPr="0011752D" w14:paraId="2341ABFC" w14:textId="77777777" w:rsidTr="00390762">
        <w:trPr>
          <w:trHeight w:val="300"/>
        </w:trPr>
        <w:tc>
          <w:tcPr>
            <w:tcW w:w="2327" w:type="pct"/>
            <w:tcBorders>
              <w:top w:val="nil"/>
              <w:left w:val="nil"/>
              <w:bottom w:val="nil"/>
              <w:right w:val="nil"/>
            </w:tcBorders>
            <w:shd w:val="clear" w:color="auto" w:fill="auto"/>
            <w:noWrap/>
            <w:vAlign w:val="bottom"/>
            <w:hideMark/>
          </w:tcPr>
          <w:p w14:paraId="2341ABF5"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Cambio de bombillos</w:t>
            </w:r>
          </w:p>
        </w:tc>
        <w:tc>
          <w:tcPr>
            <w:tcW w:w="445" w:type="pct"/>
            <w:tcBorders>
              <w:top w:val="nil"/>
              <w:left w:val="nil"/>
              <w:bottom w:val="nil"/>
              <w:right w:val="nil"/>
            </w:tcBorders>
            <w:shd w:val="clear" w:color="auto" w:fill="auto"/>
            <w:noWrap/>
            <w:vAlign w:val="bottom"/>
            <w:hideMark/>
          </w:tcPr>
          <w:p w14:paraId="2341ABF6"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32.558</w:t>
            </w:r>
          </w:p>
        </w:tc>
        <w:tc>
          <w:tcPr>
            <w:tcW w:w="445" w:type="pct"/>
            <w:tcBorders>
              <w:top w:val="nil"/>
              <w:left w:val="nil"/>
              <w:bottom w:val="nil"/>
              <w:right w:val="nil"/>
            </w:tcBorders>
            <w:shd w:val="clear" w:color="auto" w:fill="auto"/>
            <w:noWrap/>
            <w:vAlign w:val="bottom"/>
            <w:hideMark/>
          </w:tcPr>
          <w:p w14:paraId="2341ABF7"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65.117</w:t>
            </w:r>
          </w:p>
        </w:tc>
        <w:tc>
          <w:tcPr>
            <w:tcW w:w="445" w:type="pct"/>
            <w:tcBorders>
              <w:top w:val="nil"/>
              <w:left w:val="nil"/>
              <w:bottom w:val="nil"/>
              <w:right w:val="nil"/>
            </w:tcBorders>
            <w:shd w:val="clear" w:color="auto" w:fill="auto"/>
            <w:noWrap/>
            <w:vAlign w:val="bottom"/>
            <w:hideMark/>
          </w:tcPr>
          <w:p w14:paraId="2341ABF8"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97.675</w:t>
            </w:r>
          </w:p>
        </w:tc>
        <w:tc>
          <w:tcPr>
            <w:tcW w:w="445" w:type="pct"/>
            <w:tcBorders>
              <w:top w:val="nil"/>
              <w:left w:val="nil"/>
              <w:bottom w:val="nil"/>
              <w:right w:val="nil"/>
            </w:tcBorders>
            <w:shd w:val="clear" w:color="auto" w:fill="auto"/>
            <w:noWrap/>
            <w:vAlign w:val="bottom"/>
            <w:hideMark/>
          </w:tcPr>
          <w:p w14:paraId="2341ABF9"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130.234</w:t>
            </w:r>
          </w:p>
        </w:tc>
        <w:tc>
          <w:tcPr>
            <w:tcW w:w="445" w:type="pct"/>
            <w:tcBorders>
              <w:top w:val="nil"/>
              <w:left w:val="nil"/>
              <w:bottom w:val="nil"/>
              <w:right w:val="nil"/>
            </w:tcBorders>
            <w:shd w:val="clear" w:color="auto" w:fill="auto"/>
            <w:noWrap/>
            <w:vAlign w:val="bottom"/>
            <w:hideMark/>
          </w:tcPr>
          <w:p w14:paraId="2341ABFA"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162.792</w:t>
            </w:r>
          </w:p>
        </w:tc>
        <w:tc>
          <w:tcPr>
            <w:tcW w:w="445" w:type="pct"/>
            <w:tcBorders>
              <w:top w:val="nil"/>
              <w:left w:val="nil"/>
              <w:bottom w:val="nil"/>
              <w:right w:val="nil"/>
            </w:tcBorders>
            <w:shd w:val="clear" w:color="auto" w:fill="auto"/>
            <w:noWrap/>
            <w:vAlign w:val="bottom"/>
            <w:hideMark/>
          </w:tcPr>
          <w:p w14:paraId="2341ABFB"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162.792</w:t>
            </w:r>
          </w:p>
        </w:tc>
      </w:tr>
      <w:tr w:rsidR="0011752D" w:rsidRPr="0011752D" w14:paraId="2341AC04" w14:textId="77777777" w:rsidTr="00390762">
        <w:trPr>
          <w:trHeight w:val="300"/>
        </w:trPr>
        <w:tc>
          <w:tcPr>
            <w:tcW w:w="2327" w:type="pct"/>
            <w:tcBorders>
              <w:top w:val="nil"/>
              <w:left w:val="nil"/>
              <w:bottom w:val="nil"/>
              <w:right w:val="nil"/>
            </w:tcBorders>
            <w:shd w:val="clear" w:color="auto" w:fill="auto"/>
            <w:noWrap/>
            <w:vAlign w:val="bottom"/>
            <w:hideMark/>
          </w:tcPr>
          <w:p w14:paraId="2341ABFD"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Cambio de neveras</w:t>
            </w:r>
          </w:p>
        </w:tc>
        <w:tc>
          <w:tcPr>
            <w:tcW w:w="445" w:type="pct"/>
            <w:tcBorders>
              <w:top w:val="nil"/>
              <w:left w:val="nil"/>
              <w:bottom w:val="nil"/>
              <w:right w:val="nil"/>
            </w:tcBorders>
            <w:shd w:val="clear" w:color="auto" w:fill="auto"/>
            <w:noWrap/>
            <w:vAlign w:val="bottom"/>
            <w:hideMark/>
          </w:tcPr>
          <w:p w14:paraId="2341ABFE"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55.957</w:t>
            </w:r>
          </w:p>
        </w:tc>
        <w:tc>
          <w:tcPr>
            <w:tcW w:w="445" w:type="pct"/>
            <w:tcBorders>
              <w:top w:val="nil"/>
              <w:left w:val="nil"/>
              <w:bottom w:val="nil"/>
              <w:right w:val="nil"/>
            </w:tcBorders>
            <w:shd w:val="clear" w:color="auto" w:fill="auto"/>
            <w:noWrap/>
            <w:vAlign w:val="bottom"/>
            <w:hideMark/>
          </w:tcPr>
          <w:p w14:paraId="2341ABFF"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111.915</w:t>
            </w:r>
          </w:p>
        </w:tc>
        <w:tc>
          <w:tcPr>
            <w:tcW w:w="445" w:type="pct"/>
            <w:tcBorders>
              <w:top w:val="nil"/>
              <w:left w:val="nil"/>
              <w:bottom w:val="nil"/>
              <w:right w:val="nil"/>
            </w:tcBorders>
            <w:shd w:val="clear" w:color="auto" w:fill="auto"/>
            <w:noWrap/>
            <w:vAlign w:val="bottom"/>
            <w:hideMark/>
          </w:tcPr>
          <w:p w14:paraId="2341AC00"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167.872</w:t>
            </w:r>
          </w:p>
        </w:tc>
        <w:tc>
          <w:tcPr>
            <w:tcW w:w="445" w:type="pct"/>
            <w:tcBorders>
              <w:top w:val="nil"/>
              <w:left w:val="nil"/>
              <w:bottom w:val="nil"/>
              <w:right w:val="nil"/>
            </w:tcBorders>
            <w:shd w:val="clear" w:color="auto" w:fill="auto"/>
            <w:noWrap/>
            <w:vAlign w:val="bottom"/>
            <w:hideMark/>
          </w:tcPr>
          <w:p w14:paraId="2341AC01"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223.829</w:t>
            </w:r>
          </w:p>
        </w:tc>
        <w:tc>
          <w:tcPr>
            <w:tcW w:w="445" w:type="pct"/>
            <w:tcBorders>
              <w:top w:val="nil"/>
              <w:left w:val="nil"/>
              <w:bottom w:val="nil"/>
              <w:right w:val="nil"/>
            </w:tcBorders>
            <w:shd w:val="clear" w:color="auto" w:fill="auto"/>
            <w:noWrap/>
            <w:vAlign w:val="bottom"/>
            <w:hideMark/>
          </w:tcPr>
          <w:p w14:paraId="2341AC02"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279.786</w:t>
            </w:r>
          </w:p>
        </w:tc>
        <w:tc>
          <w:tcPr>
            <w:tcW w:w="445" w:type="pct"/>
            <w:tcBorders>
              <w:top w:val="nil"/>
              <w:left w:val="nil"/>
              <w:bottom w:val="nil"/>
              <w:right w:val="nil"/>
            </w:tcBorders>
            <w:shd w:val="clear" w:color="auto" w:fill="auto"/>
            <w:noWrap/>
            <w:vAlign w:val="bottom"/>
            <w:hideMark/>
          </w:tcPr>
          <w:p w14:paraId="2341AC03"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279.786</w:t>
            </w:r>
          </w:p>
        </w:tc>
      </w:tr>
      <w:tr w:rsidR="0011752D" w:rsidRPr="0011752D" w14:paraId="2341AC0C" w14:textId="77777777" w:rsidTr="00390762">
        <w:trPr>
          <w:trHeight w:val="300"/>
        </w:trPr>
        <w:tc>
          <w:tcPr>
            <w:tcW w:w="2327" w:type="pct"/>
            <w:tcBorders>
              <w:top w:val="nil"/>
              <w:left w:val="nil"/>
              <w:bottom w:val="single" w:sz="4" w:space="0" w:color="auto"/>
              <w:right w:val="nil"/>
            </w:tcBorders>
            <w:shd w:val="clear" w:color="auto" w:fill="auto"/>
            <w:noWrap/>
            <w:vAlign w:val="bottom"/>
            <w:hideMark/>
          </w:tcPr>
          <w:p w14:paraId="2341AC05"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Cambio de estufas</w:t>
            </w:r>
          </w:p>
        </w:tc>
        <w:tc>
          <w:tcPr>
            <w:tcW w:w="445" w:type="pct"/>
            <w:tcBorders>
              <w:top w:val="nil"/>
              <w:left w:val="nil"/>
              <w:bottom w:val="single" w:sz="4" w:space="0" w:color="auto"/>
              <w:right w:val="nil"/>
            </w:tcBorders>
            <w:shd w:val="clear" w:color="auto" w:fill="auto"/>
            <w:noWrap/>
            <w:vAlign w:val="bottom"/>
            <w:hideMark/>
          </w:tcPr>
          <w:p w14:paraId="2341AC06"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16.537</w:t>
            </w:r>
          </w:p>
        </w:tc>
        <w:tc>
          <w:tcPr>
            <w:tcW w:w="445" w:type="pct"/>
            <w:tcBorders>
              <w:top w:val="nil"/>
              <w:left w:val="nil"/>
              <w:bottom w:val="single" w:sz="4" w:space="0" w:color="auto"/>
              <w:right w:val="nil"/>
            </w:tcBorders>
            <w:shd w:val="clear" w:color="auto" w:fill="auto"/>
            <w:noWrap/>
            <w:vAlign w:val="bottom"/>
            <w:hideMark/>
          </w:tcPr>
          <w:p w14:paraId="2341AC07"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33.073</w:t>
            </w:r>
          </w:p>
        </w:tc>
        <w:tc>
          <w:tcPr>
            <w:tcW w:w="445" w:type="pct"/>
            <w:tcBorders>
              <w:top w:val="nil"/>
              <w:left w:val="nil"/>
              <w:bottom w:val="single" w:sz="4" w:space="0" w:color="auto"/>
              <w:right w:val="nil"/>
            </w:tcBorders>
            <w:shd w:val="clear" w:color="auto" w:fill="auto"/>
            <w:noWrap/>
            <w:vAlign w:val="bottom"/>
            <w:hideMark/>
          </w:tcPr>
          <w:p w14:paraId="2341AC08"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49.610</w:t>
            </w:r>
          </w:p>
        </w:tc>
        <w:tc>
          <w:tcPr>
            <w:tcW w:w="445" w:type="pct"/>
            <w:tcBorders>
              <w:top w:val="nil"/>
              <w:left w:val="nil"/>
              <w:bottom w:val="single" w:sz="4" w:space="0" w:color="auto"/>
              <w:right w:val="nil"/>
            </w:tcBorders>
            <w:shd w:val="clear" w:color="auto" w:fill="auto"/>
            <w:noWrap/>
            <w:vAlign w:val="bottom"/>
            <w:hideMark/>
          </w:tcPr>
          <w:p w14:paraId="2341AC09"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66.146</w:t>
            </w:r>
          </w:p>
        </w:tc>
        <w:tc>
          <w:tcPr>
            <w:tcW w:w="445" w:type="pct"/>
            <w:tcBorders>
              <w:top w:val="nil"/>
              <w:left w:val="nil"/>
              <w:bottom w:val="single" w:sz="4" w:space="0" w:color="auto"/>
              <w:right w:val="nil"/>
            </w:tcBorders>
            <w:shd w:val="clear" w:color="auto" w:fill="auto"/>
            <w:noWrap/>
            <w:vAlign w:val="bottom"/>
            <w:hideMark/>
          </w:tcPr>
          <w:p w14:paraId="2341AC0A"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82.683</w:t>
            </w:r>
          </w:p>
        </w:tc>
        <w:tc>
          <w:tcPr>
            <w:tcW w:w="445" w:type="pct"/>
            <w:tcBorders>
              <w:top w:val="nil"/>
              <w:left w:val="nil"/>
              <w:bottom w:val="single" w:sz="4" w:space="0" w:color="auto"/>
              <w:right w:val="nil"/>
            </w:tcBorders>
            <w:shd w:val="clear" w:color="auto" w:fill="auto"/>
            <w:noWrap/>
            <w:vAlign w:val="bottom"/>
            <w:hideMark/>
          </w:tcPr>
          <w:p w14:paraId="2341AC0B"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82.683</w:t>
            </w:r>
          </w:p>
        </w:tc>
      </w:tr>
      <w:tr w:rsidR="0011752D" w:rsidRPr="0011752D" w14:paraId="2341AC14" w14:textId="77777777" w:rsidTr="00390762">
        <w:trPr>
          <w:trHeight w:val="300"/>
        </w:trPr>
        <w:tc>
          <w:tcPr>
            <w:tcW w:w="2327" w:type="pct"/>
            <w:tcBorders>
              <w:top w:val="nil"/>
              <w:left w:val="nil"/>
              <w:bottom w:val="single" w:sz="4" w:space="0" w:color="auto"/>
              <w:right w:val="nil"/>
            </w:tcBorders>
            <w:shd w:val="clear" w:color="auto" w:fill="auto"/>
            <w:noWrap/>
            <w:vAlign w:val="bottom"/>
            <w:hideMark/>
          </w:tcPr>
          <w:p w14:paraId="2341AC0D"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Total ahorro anual Sector Residencial (TonCO</w:t>
            </w:r>
            <w:r w:rsidRPr="0011752D">
              <w:rPr>
                <w:rFonts w:ascii="Calibri" w:hAnsi="Calibri"/>
                <w:color w:val="000000"/>
                <w:sz w:val="16"/>
                <w:szCs w:val="16"/>
                <w:vertAlign w:val="subscript"/>
                <w:lang w:val="es-CO" w:eastAsia="es-CO"/>
              </w:rPr>
              <w:t>2</w:t>
            </w:r>
            <w:r w:rsidRPr="0011752D">
              <w:rPr>
                <w:rFonts w:ascii="Calibri" w:hAnsi="Calibri"/>
                <w:color w:val="000000"/>
                <w:sz w:val="16"/>
                <w:szCs w:val="16"/>
                <w:lang w:val="es-CO" w:eastAsia="es-CO"/>
              </w:rPr>
              <w:t>)</w:t>
            </w:r>
          </w:p>
        </w:tc>
        <w:tc>
          <w:tcPr>
            <w:tcW w:w="445" w:type="pct"/>
            <w:tcBorders>
              <w:top w:val="nil"/>
              <w:left w:val="nil"/>
              <w:bottom w:val="single" w:sz="4" w:space="0" w:color="auto"/>
              <w:right w:val="nil"/>
            </w:tcBorders>
            <w:shd w:val="clear" w:color="auto" w:fill="auto"/>
            <w:noWrap/>
            <w:vAlign w:val="bottom"/>
            <w:hideMark/>
          </w:tcPr>
          <w:p w14:paraId="2341AC0E"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105.052</w:t>
            </w:r>
          </w:p>
        </w:tc>
        <w:tc>
          <w:tcPr>
            <w:tcW w:w="445" w:type="pct"/>
            <w:tcBorders>
              <w:top w:val="nil"/>
              <w:left w:val="nil"/>
              <w:bottom w:val="single" w:sz="4" w:space="0" w:color="auto"/>
              <w:right w:val="nil"/>
            </w:tcBorders>
            <w:shd w:val="clear" w:color="auto" w:fill="auto"/>
            <w:noWrap/>
            <w:vAlign w:val="bottom"/>
            <w:hideMark/>
          </w:tcPr>
          <w:p w14:paraId="2341AC0F"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210.104</w:t>
            </w:r>
          </w:p>
        </w:tc>
        <w:tc>
          <w:tcPr>
            <w:tcW w:w="445" w:type="pct"/>
            <w:tcBorders>
              <w:top w:val="nil"/>
              <w:left w:val="nil"/>
              <w:bottom w:val="single" w:sz="4" w:space="0" w:color="auto"/>
              <w:right w:val="nil"/>
            </w:tcBorders>
            <w:shd w:val="clear" w:color="auto" w:fill="auto"/>
            <w:noWrap/>
            <w:vAlign w:val="bottom"/>
            <w:hideMark/>
          </w:tcPr>
          <w:p w14:paraId="2341AC10"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315.157</w:t>
            </w:r>
          </w:p>
        </w:tc>
        <w:tc>
          <w:tcPr>
            <w:tcW w:w="445" w:type="pct"/>
            <w:tcBorders>
              <w:top w:val="nil"/>
              <w:left w:val="nil"/>
              <w:bottom w:val="single" w:sz="4" w:space="0" w:color="auto"/>
              <w:right w:val="nil"/>
            </w:tcBorders>
            <w:shd w:val="clear" w:color="auto" w:fill="auto"/>
            <w:noWrap/>
            <w:vAlign w:val="bottom"/>
            <w:hideMark/>
          </w:tcPr>
          <w:p w14:paraId="2341AC11"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420.209</w:t>
            </w:r>
          </w:p>
        </w:tc>
        <w:tc>
          <w:tcPr>
            <w:tcW w:w="445" w:type="pct"/>
            <w:tcBorders>
              <w:top w:val="nil"/>
              <w:left w:val="nil"/>
              <w:bottom w:val="single" w:sz="4" w:space="0" w:color="auto"/>
              <w:right w:val="nil"/>
            </w:tcBorders>
            <w:shd w:val="clear" w:color="auto" w:fill="auto"/>
            <w:noWrap/>
            <w:vAlign w:val="bottom"/>
            <w:hideMark/>
          </w:tcPr>
          <w:p w14:paraId="2341AC12"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525.261</w:t>
            </w:r>
          </w:p>
        </w:tc>
        <w:tc>
          <w:tcPr>
            <w:tcW w:w="445" w:type="pct"/>
            <w:tcBorders>
              <w:top w:val="nil"/>
              <w:left w:val="nil"/>
              <w:bottom w:val="single" w:sz="4" w:space="0" w:color="auto"/>
              <w:right w:val="nil"/>
            </w:tcBorders>
            <w:shd w:val="clear" w:color="auto" w:fill="auto"/>
            <w:noWrap/>
            <w:vAlign w:val="bottom"/>
            <w:hideMark/>
          </w:tcPr>
          <w:p w14:paraId="2341AC13"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525.261</w:t>
            </w:r>
          </w:p>
        </w:tc>
      </w:tr>
      <w:tr w:rsidR="0011752D" w:rsidRPr="0011752D" w14:paraId="2341AC1C" w14:textId="77777777" w:rsidTr="00390762">
        <w:trPr>
          <w:trHeight w:val="300"/>
        </w:trPr>
        <w:tc>
          <w:tcPr>
            <w:tcW w:w="2327" w:type="pct"/>
            <w:tcBorders>
              <w:top w:val="nil"/>
              <w:left w:val="nil"/>
              <w:bottom w:val="single" w:sz="4" w:space="0" w:color="auto"/>
              <w:right w:val="nil"/>
            </w:tcBorders>
            <w:shd w:val="clear" w:color="auto" w:fill="auto"/>
            <w:noWrap/>
            <w:vAlign w:val="bottom"/>
            <w:hideMark/>
          </w:tcPr>
          <w:p w14:paraId="2341AC15"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Ahorro energético acumulado S. Residencial (TonCO</w:t>
            </w:r>
            <w:r w:rsidRPr="0011752D">
              <w:rPr>
                <w:rFonts w:ascii="Calibri" w:hAnsi="Calibri"/>
                <w:color w:val="000000"/>
                <w:sz w:val="16"/>
                <w:szCs w:val="16"/>
                <w:vertAlign w:val="subscript"/>
                <w:lang w:val="es-CO" w:eastAsia="es-CO"/>
              </w:rPr>
              <w:t>2</w:t>
            </w:r>
            <w:r w:rsidRPr="0011752D">
              <w:rPr>
                <w:rFonts w:ascii="Calibri" w:hAnsi="Calibri"/>
                <w:color w:val="000000"/>
                <w:sz w:val="16"/>
                <w:szCs w:val="16"/>
                <w:lang w:val="es-CO" w:eastAsia="es-CO"/>
              </w:rPr>
              <w:t>)</w:t>
            </w:r>
          </w:p>
        </w:tc>
        <w:tc>
          <w:tcPr>
            <w:tcW w:w="445" w:type="pct"/>
            <w:tcBorders>
              <w:top w:val="nil"/>
              <w:left w:val="nil"/>
              <w:bottom w:val="single" w:sz="4" w:space="0" w:color="auto"/>
              <w:right w:val="nil"/>
            </w:tcBorders>
            <w:shd w:val="clear" w:color="auto" w:fill="auto"/>
            <w:noWrap/>
            <w:vAlign w:val="bottom"/>
            <w:hideMark/>
          </w:tcPr>
          <w:p w14:paraId="2341AC16"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105.052</w:t>
            </w:r>
          </w:p>
        </w:tc>
        <w:tc>
          <w:tcPr>
            <w:tcW w:w="445" w:type="pct"/>
            <w:tcBorders>
              <w:top w:val="nil"/>
              <w:left w:val="nil"/>
              <w:bottom w:val="single" w:sz="4" w:space="0" w:color="auto"/>
              <w:right w:val="nil"/>
            </w:tcBorders>
            <w:shd w:val="clear" w:color="auto" w:fill="auto"/>
            <w:noWrap/>
            <w:vAlign w:val="bottom"/>
            <w:hideMark/>
          </w:tcPr>
          <w:p w14:paraId="2341AC17"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315.157</w:t>
            </w:r>
          </w:p>
        </w:tc>
        <w:tc>
          <w:tcPr>
            <w:tcW w:w="445" w:type="pct"/>
            <w:tcBorders>
              <w:top w:val="nil"/>
              <w:left w:val="nil"/>
              <w:bottom w:val="single" w:sz="4" w:space="0" w:color="auto"/>
              <w:right w:val="nil"/>
            </w:tcBorders>
            <w:shd w:val="clear" w:color="auto" w:fill="auto"/>
            <w:noWrap/>
            <w:vAlign w:val="bottom"/>
            <w:hideMark/>
          </w:tcPr>
          <w:p w14:paraId="2341AC18"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630.313</w:t>
            </w:r>
          </w:p>
        </w:tc>
        <w:tc>
          <w:tcPr>
            <w:tcW w:w="445" w:type="pct"/>
            <w:tcBorders>
              <w:top w:val="nil"/>
              <w:left w:val="nil"/>
              <w:bottom w:val="single" w:sz="4" w:space="0" w:color="auto"/>
              <w:right w:val="nil"/>
            </w:tcBorders>
            <w:shd w:val="clear" w:color="auto" w:fill="auto"/>
            <w:noWrap/>
            <w:vAlign w:val="bottom"/>
            <w:hideMark/>
          </w:tcPr>
          <w:p w14:paraId="2341AC19"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1.050.522</w:t>
            </w:r>
          </w:p>
        </w:tc>
        <w:tc>
          <w:tcPr>
            <w:tcW w:w="445" w:type="pct"/>
            <w:tcBorders>
              <w:top w:val="nil"/>
              <w:left w:val="nil"/>
              <w:bottom w:val="single" w:sz="4" w:space="0" w:color="auto"/>
              <w:right w:val="nil"/>
            </w:tcBorders>
            <w:shd w:val="clear" w:color="auto" w:fill="auto"/>
            <w:noWrap/>
            <w:vAlign w:val="bottom"/>
            <w:hideMark/>
          </w:tcPr>
          <w:p w14:paraId="2341AC1A"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1.575.783</w:t>
            </w:r>
          </w:p>
        </w:tc>
        <w:tc>
          <w:tcPr>
            <w:tcW w:w="445" w:type="pct"/>
            <w:tcBorders>
              <w:top w:val="nil"/>
              <w:left w:val="nil"/>
              <w:bottom w:val="single" w:sz="4" w:space="0" w:color="auto"/>
              <w:right w:val="nil"/>
            </w:tcBorders>
            <w:shd w:val="clear" w:color="auto" w:fill="auto"/>
            <w:noWrap/>
            <w:vAlign w:val="bottom"/>
            <w:hideMark/>
          </w:tcPr>
          <w:p w14:paraId="2341AC1B"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2.101.044</w:t>
            </w:r>
          </w:p>
        </w:tc>
      </w:tr>
      <w:tr w:rsidR="0011752D" w:rsidRPr="0011752D" w14:paraId="2341AC24" w14:textId="77777777" w:rsidTr="00390762">
        <w:trPr>
          <w:trHeight w:val="300"/>
        </w:trPr>
        <w:tc>
          <w:tcPr>
            <w:tcW w:w="2327" w:type="pct"/>
            <w:tcBorders>
              <w:top w:val="nil"/>
              <w:left w:val="nil"/>
              <w:bottom w:val="single" w:sz="4" w:space="0" w:color="auto"/>
              <w:right w:val="nil"/>
            </w:tcBorders>
            <w:shd w:val="clear" w:color="000000" w:fill="E7E6E6"/>
            <w:noWrap/>
            <w:vAlign w:val="bottom"/>
            <w:hideMark/>
          </w:tcPr>
          <w:p w14:paraId="2341AC1D" w14:textId="77777777" w:rsidR="0011752D" w:rsidRPr="0011752D" w:rsidRDefault="0011752D" w:rsidP="0011752D">
            <w:pPr>
              <w:rPr>
                <w:rFonts w:ascii="Calibri" w:hAnsi="Calibri"/>
                <w:b/>
                <w:bCs/>
                <w:color w:val="000000"/>
                <w:sz w:val="16"/>
                <w:szCs w:val="16"/>
                <w:lang w:val="es-CO" w:eastAsia="es-CO"/>
              </w:rPr>
            </w:pPr>
            <w:r w:rsidRPr="0011752D">
              <w:rPr>
                <w:rFonts w:ascii="Calibri" w:hAnsi="Calibri"/>
                <w:b/>
                <w:bCs/>
                <w:color w:val="000000"/>
                <w:sz w:val="16"/>
                <w:szCs w:val="16"/>
                <w:lang w:val="es-CO" w:eastAsia="es-CO"/>
              </w:rPr>
              <w:t>Sector Comercial</w:t>
            </w:r>
          </w:p>
        </w:tc>
        <w:tc>
          <w:tcPr>
            <w:tcW w:w="445" w:type="pct"/>
            <w:tcBorders>
              <w:top w:val="nil"/>
              <w:left w:val="nil"/>
              <w:bottom w:val="single" w:sz="4" w:space="0" w:color="auto"/>
              <w:right w:val="nil"/>
            </w:tcBorders>
            <w:shd w:val="clear" w:color="000000" w:fill="E7E6E6"/>
            <w:noWrap/>
            <w:vAlign w:val="bottom"/>
            <w:hideMark/>
          </w:tcPr>
          <w:p w14:paraId="2341AC1E"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C1F"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C20"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C21"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C22"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C23"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r>
      <w:tr w:rsidR="0011752D" w:rsidRPr="0011752D" w14:paraId="2341AC2C" w14:textId="77777777" w:rsidTr="00390762">
        <w:trPr>
          <w:trHeight w:val="300"/>
        </w:trPr>
        <w:tc>
          <w:tcPr>
            <w:tcW w:w="2327" w:type="pct"/>
            <w:tcBorders>
              <w:top w:val="nil"/>
              <w:left w:val="nil"/>
              <w:bottom w:val="nil"/>
              <w:right w:val="nil"/>
            </w:tcBorders>
            <w:shd w:val="clear" w:color="auto" w:fill="auto"/>
            <w:noWrap/>
            <w:vAlign w:val="bottom"/>
            <w:hideMark/>
          </w:tcPr>
          <w:p w14:paraId="2341AC25"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Cambio equipos de climatización</w:t>
            </w:r>
          </w:p>
        </w:tc>
        <w:tc>
          <w:tcPr>
            <w:tcW w:w="445" w:type="pct"/>
            <w:tcBorders>
              <w:top w:val="nil"/>
              <w:left w:val="nil"/>
              <w:bottom w:val="nil"/>
              <w:right w:val="nil"/>
            </w:tcBorders>
            <w:shd w:val="clear" w:color="auto" w:fill="auto"/>
            <w:noWrap/>
            <w:vAlign w:val="bottom"/>
            <w:hideMark/>
          </w:tcPr>
          <w:p w14:paraId="2341AC26"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31.145</w:t>
            </w:r>
          </w:p>
        </w:tc>
        <w:tc>
          <w:tcPr>
            <w:tcW w:w="445" w:type="pct"/>
            <w:tcBorders>
              <w:top w:val="nil"/>
              <w:left w:val="nil"/>
              <w:bottom w:val="nil"/>
              <w:right w:val="nil"/>
            </w:tcBorders>
            <w:shd w:val="clear" w:color="auto" w:fill="auto"/>
            <w:noWrap/>
            <w:vAlign w:val="bottom"/>
            <w:hideMark/>
          </w:tcPr>
          <w:p w14:paraId="2341AC27"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62.289</w:t>
            </w:r>
          </w:p>
        </w:tc>
        <w:tc>
          <w:tcPr>
            <w:tcW w:w="445" w:type="pct"/>
            <w:tcBorders>
              <w:top w:val="nil"/>
              <w:left w:val="nil"/>
              <w:bottom w:val="nil"/>
              <w:right w:val="nil"/>
            </w:tcBorders>
            <w:shd w:val="clear" w:color="auto" w:fill="auto"/>
            <w:noWrap/>
            <w:vAlign w:val="bottom"/>
            <w:hideMark/>
          </w:tcPr>
          <w:p w14:paraId="2341AC28"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93.434</w:t>
            </w:r>
          </w:p>
        </w:tc>
        <w:tc>
          <w:tcPr>
            <w:tcW w:w="445" w:type="pct"/>
            <w:tcBorders>
              <w:top w:val="nil"/>
              <w:left w:val="nil"/>
              <w:bottom w:val="nil"/>
              <w:right w:val="nil"/>
            </w:tcBorders>
            <w:shd w:val="clear" w:color="auto" w:fill="auto"/>
            <w:noWrap/>
            <w:vAlign w:val="bottom"/>
            <w:hideMark/>
          </w:tcPr>
          <w:p w14:paraId="2341AC29"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124.578</w:t>
            </w:r>
          </w:p>
        </w:tc>
        <w:tc>
          <w:tcPr>
            <w:tcW w:w="445" w:type="pct"/>
            <w:tcBorders>
              <w:top w:val="nil"/>
              <w:left w:val="nil"/>
              <w:bottom w:val="nil"/>
              <w:right w:val="nil"/>
            </w:tcBorders>
            <w:shd w:val="clear" w:color="auto" w:fill="auto"/>
            <w:noWrap/>
            <w:vAlign w:val="bottom"/>
            <w:hideMark/>
          </w:tcPr>
          <w:p w14:paraId="2341AC2A"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155.723</w:t>
            </w:r>
          </w:p>
        </w:tc>
        <w:tc>
          <w:tcPr>
            <w:tcW w:w="445" w:type="pct"/>
            <w:tcBorders>
              <w:top w:val="nil"/>
              <w:left w:val="nil"/>
              <w:bottom w:val="nil"/>
              <w:right w:val="nil"/>
            </w:tcBorders>
            <w:shd w:val="clear" w:color="auto" w:fill="auto"/>
            <w:noWrap/>
            <w:vAlign w:val="bottom"/>
            <w:hideMark/>
          </w:tcPr>
          <w:p w14:paraId="2341AC2B"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155.723</w:t>
            </w:r>
          </w:p>
        </w:tc>
      </w:tr>
      <w:tr w:rsidR="0011752D" w:rsidRPr="0011752D" w14:paraId="2341AC34" w14:textId="77777777" w:rsidTr="00390762">
        <w:trPr>
          <w:trHeight w:val="300"/>
        </w:trPr>
        <w:tc>
          <w:tcPr>
            <w:tcW w:w="2327" w:type="pct"/>
            <w:tcBorders>
              <w:top w:val="nil"/>
              <w:left w:val="nil"/>
              <w:bottom w:val="nil"/>
              <w:right w:val="nil"/>
            </w:tcBorders>
            <w:shd w:val="clear" w:color="auto" w:fill="auto"/>
            <w:noWrap/>
            <w:vAlign w:val="bottom"/>
            <w:hideMark/>
          </w:tcPr>
          <w:p w14:paraId="2341AC2D"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Cambio de equipos de refrigeración</w:t>
            </w:r>
          </w:p>
        </w:tc>
        <w:tc>
          <w:tcPr>
            <w:tcW w:w="445" w:type="pct"/>
            <w:tcBorders>
              <w:top w:val="nil"/>
              <w:left w:val="nil"/>
              <w:bottom w:val="nil"/>
              <w:right w:val="nil"/>
            </w:tcBorders>
            <w:shd w:val="clear" w:color="auto" w:fill="auto"/>
            <w:noWrap/>
            <w:vAlign w:val="bottom"/>
            <w:hideMark/>
          </w:tcPr>
          <w:p w14:paraId="2341AC2E"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5.854</w:t>
            </w:r>
          </w:p>
        </w:tc>
        <w:tc>
          <w:tcPr>
            <w:tcW w:w="445" w:type="pct"/>
            <w:tcBorders>
              <w:top w:val="nil"/>
              <w:left w:val="nil"/>
              <w:bottom w:val="nil"/>
              <w:right w:val="nil"/>
            </w:tcBorders>
            <w:shd w:val="clear" w:color="auto" w:fill="auto"/>
            <w:noWrap/>
            <w:vAlign w:val="bottom"/>
            <w:hideMark/>
          </w:tcPr>
          <w:p w14:paraId="2341AC2F"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11.709</w:t>
            </w:r>
          </w:p>
        </w:tc>
        <w:tc>
          <w:tcPr>
            <w:tcW w:w="445" w:type="pct"/>
            <w:tcBorders>
              <w:top w:val="nil"/>
              <w:left w:val="nil"/>
              <w:bottom w:val="nil"/>
              <w:right w:val="nil"/>
            </w:tcBorders>
            <w:shd w:val="clear" w:color="auto" w:fill="auto"/>
            <w:noWrap/>
            <w:vAlign w:val="bottom"/>
            <w:hideMark/>
          </w:tcPr>
          <w:p w14:paraId="2341AC30"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17.563</w:t>
            </w:r>
          </w:p>
        </w:tc>
        <w:tc>
          <w:tcPr>
            <w:tcW w:w="445" w:type="pct"/>
            <w:tcBorders>
              <w:top w:val="nil"/>
              <w:left w:val="nil"/>
              <w:bottom w:val="nil"/>
              <w:right w:val="nil"/>
            </w:tcBorders>
            <w:shd w:val="clear" w:color="auto" w:fill="auto"/>
            <w:noWrap/>
            <w:vAlign w:val="bottom"/>
            <w:hideMark/>
          </w:tcPr>
          <w:p w14:paraId="2341AC31"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23.417</w:t>
            </w:r>
          </w:p>
        </w:tc>
        <w:tc>
          <w:tcPr>
            <w:tcW w:w="445" w:type="pct"/>
            <w:tcBorders>
              <w:top w:val="nil"/>
              <w:left w:val="nil"/>
              <w:bottom w:val="nil"/>
              <w:right w:val="nil"/>
            </w:tcBorders>
            <w:shd w:val="clear" w:color="auto" w:fill="auto"/>
            <w:noWrap/>
            <w:vAlign w:val="bottom"/>
            <w:hideMark/>
          </w:tcPr>
          <w:p w14:paraId="2341AC32"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29.272</w:t>
            </w:r>
          </w:p>
        </w:tc>
        <w:tc>
          <w:tcPr>
            <w:tcW w:w="445" w:type="pct"/>
            <w:tcBorders>
              <w:top w:val="nil"/>
              <w:left w:val="nil"/>
              <w:bottom w:val="nil"/>
              <w:right w:val="nil"/>
            </w:tcBorders>
            <w:shd w:val="clear" w:color="auto" w:fill="auto"/>
            <w:noWrap/>
            <w:vAlign w:val="bottom"/>
            <w:hideMark/>
          </w:tcPr>
          <w:p w14:paraId="2341AC33"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29.272</w:t>
            </w:r>
          </w:p>
        </w:tc>
      </w:tr>
      <w:tr w:rsidR="0011752D" w:rsidRPr="0011752D" w14:paraId="2341AC3C" w14:textId="77777777" w:rsidTr="00390762">
        <w:trPr>
          <w:trHeight w:val="300"/>
        </w:trPr>
        <w:tc>
          <w:tcPr>
            <w:tcW w:w="2327" w:type="pct"/>
            <w:tcBorders>
              <w:top w:val="nil"/>
              <w:left w:val="nil"/>
              <w:bottom w:val="nil"/>
              <w:right w:val="nil"/>
            </w:tcBorders>
            <w:shd w:val="clear" w:color="auto" w:fill="auto"/>
            <w:noWrap/>
            <w:vAlign w:val="bottom"/>
            <w:hideMark/>
          </w:tcPr>
          <w:p w14:paraId="2341AC35"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Cambio de bombillos</w:t>
            </w:r>
          </w:p>
        </w:tc>
        <w:tc>
          <w:tcPr>
            <w:tcW w:w="445" w:type="pct"/>
            <w:tcBorders>
              <w:top w:val="nil"/>
              <w:left w:val="nil"/>
              <w:bottom w:val="nil"/>
              <w:right w:val="nil"/>
            </w:tcBorders>
            <w:shd w:val="clear" w:color="auto" w:fill="auto"/>
            <w:noWrap/>
            <w:vAlign w:val="bottom"/>
            <w:hideMark/>
          </w:tcPr>
          <w:p w14:paraId="2341AC36"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1.966</w:t>
            </w:r>
          </w:p>
        </w:tc>
        <w:tc>
          <w:tcPr>
            <w:tcW w:w="445" w:type="pct"/>
            <w:tcBorders>
              <w:top w:val="nil"/>
              <w:left w:val="nil"/>
              <w:bottom w:val="nil"/>
              <w:right w:val="nil"/>
            </w:tcBorders>
            <w:shd w:val="clear" w:color="auto" w:fill="auto"/>
            <w:noWrap/>
            <w:vAlign w:val="bottom"/>
            <w:hideMark/>
          </w:tcPr>
          <w:p w14:paraId="2341AC37"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3.931</w:t>
            </w:r>
          </w:p>
        </w:tc>
        <w:tc>
          <w:tcPr>
            <w:tcW w:w="445" w:type="pct"/>
            <w:tcBorders>
              <w:top w:val="nil"/>
              <w:left w:val="nil"/>
              <w:bottom w:val="nil"/>
              <w:right w:val="nil"/>
            </w:tcBorders>
            <w:shd w:val="clear" w:color="auto" w:fill="auto"/>
            <w:noWrap/>
            <w:vAlign w:val="bottom"/>
            <w:hideMark/>
          </w:tcPr>
          <w:p w14:paraId="2341AC38"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5.897</w:t>
            </w:r>
          </w:p>
        </w:tc>
        <w:tc>
          <w:tcPr>
            <w:tcW w:w="445" w:type="pct"/>
            <w:tcBorders>
              <w:top w:val="nil"/>
              <w:left w:val="nil"/>
              <w:bottom w:val="nil"/>
              <w:right w:val="nil"/>
            </w:tcBorders>
            <w:shd w:val="clear" w:color="auto" w:fill="auto"/>
            <w:noWrap/>
            <w:vAlign w:val="bottom"/>
            <w:hideMark/>
          </w:tcPr>
          <w:p w14:paraId="2341AC39"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7.863</w:t>
            </w:r>
          </w:p>
        </w:tc>
        <w:tc>
          <w:tcPr>
            <w:tcW w:w="445" w:type="pct"/>
            <w:tcBorders>
              <w:top w:val="nil"/>
              <w:left w:val="nil"/>
              <w:bottom w:val="nil"/>
              <w:right w:val="nil"/>
            </w:tcBorders>
            <w:shd w:val="clear" w:color="auto" w:fill="auto"/>
            <w:noWrap/>
            <w:vAlign w:val="bottom"/>
            <w:hideMark/>
          </w:tcPr>
          <w:p w14:paraId="2341AC3A"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9.828</w:t>
            </w:r>
          </w:p>
        </w:tc>
        <w:tc>
          <w:tcPr>
            <w:tcW w:w="445" w:type="pct"/>
            <w:tcBorders>
              <w:top w:val="nil"/>
              <w:left w:val="nil"/>
              <w:bottom w:val="nil"/>
              <w:right w:val="nil"/>
            </w:tcBorders>
            <w:shd w:val="clear" w:color="auto" w:fill="auto"/>
            <w:noWrap/>
            <w:vAlign w:val="bottom"/>
            <w:hideMark/>
          </w:tcPr>
          <w:p w14:paraId="2341AC3B"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9.828</w:t>
            </w:r>
          </w:p>
        </w:tc>
      </w:tr>
      <w:tr w:rsidR="0011752D" w:rsidRPr="0011752D" w14:paraId="2341AC44" w14:textId="77777777" w:rsidTr="00390762">
        <w:trPr>
          <w:trHeight w:val="300"/>
        </w:trPr>
        <w:tc>
          <w:tcPr>
            <w:tcW w:w="2327" w:type="pct"/>
            <w:tcBorders>
              <w:top w:val="nil"/>
              <w:left w:val="nil"/>
              <w:bottom w:val="single" w:sz="4" w:space="0" w:color="auto"/>
              <w:right w:val="nil"/>
            </w:tcBorders>
            <w:shd w:val="clear" w:color="auto" w:fill="auto"/>
            <w:noWrap/>
            <w:vAlign w:val="bottom"/>
            <w:hideMark/>
          </w:tcPr>
          <w:p w14:paraId="2341AC3D"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Cambio de equipos de fuerza motriz</w:t>
            </w:r>
          </w:p>
        </w:tc>
        <w:tc>
          <w:tcPr>
            <w:tcW w:w="445" w:type="pct"/>
            <w:tcBorders>
              <w:top w:val="nil"/>
              <w:left w:val="nil"/>
              <w:bottom w:val="single" w:sz="4" w:space="0" w:color="auto"/>
              <w:right w:val="nil"/>
            </w:tcBorders>
            <w:shd w:val="clear" w:color="auto" w:fill="auto"/>
            <w:noWrap/>
            <w:vAlign w:val="bottom"/>
            <w:hideMark/>
          </w:tcPr>
          <w:p w14:paraId="2341AC3E"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405</w:t>
            </w:r>
          </w:p>
        </w:tc>
        <w:tc>
          <w:tcPr>
            <w:tcW w:w="445" w:type="pct"/>
            <w:tcBorders>
              <w:top w:val="nil"/>
              <w:left w:val="nil"/>
              <w:bottom w:val="single" w:sz="4" w:space="0" w:color="auto"/>
              <w:right w:val="nil"/>
            </w:tcBorders>
            <w:shd w:val="clear" w:color="auto" w:fill="auto"/>
            <w:noWrap/>
            <w:vAlign w:val="bottom"/>
            <w:hideMark/>
          </w:tcPr>
          <w:p w14:paraId="2341AC3F"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811</w:t>
            </w:r>
          </w:p>
        </w:tc>
        <w:tc>
          <w:tcPr>
            <w:tcW w:w="445" w:type="pct"/>
            <w:tcBorders>
              <w:top w:val="nil"/>
              <w:left w:val="nil"/>
              <w:bottom w:val="single" w:sz="4" w:space="0" w:color="auto"/>
              <w:right w:val="nil"/>
            </w:tcBorders>
            <w:shd w:val="clear" w:color="auto" w:fill="auto"/>
            <w:noWrap/>
            <w:vAlign w:val="bottom"/>
            <w:hideMark/>
          </w:tcPr>
          <w:p w14:paraId="2341AC40"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1.216</w:t>
            </w:r>
          </w:p>
        </w:tc>
        <w:tc>
          <w:tcPr>
            <w:tcW w:w="445" w:type="pct"/>
            <w:tcBorders>
              <w:top w:val="nil"/>
              <w:left w:val="nil"/>
              <w:bottom w:val="single" w:sz="4" w:space="0" w:color="auto"/>
              <w:right w:val="nil"/>
            </w:tcBorders>
            <w:shd w:val="clear" w:color="auto" w:fill="auto"/>
            <w:noWrap/>
            <w:vAlign w:val="bottom"/>
            <w:hideMark/>
          </w:tcPr>
          <w:p w14:paraId="2341AC41"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1.621</w:t>
            </w:r>
          </w:p>
        </w:tc>
        <w:tc>
          <w:tcPr>
            <w:tcW w:w="445" w:type="pct"/>
            <w:tcBorders>
              <w:top w:val="nil"/>
              <w:left w:val="nil"/>
              <w:bottom w:val="single" w:sz="4" w:space="0" w:color="auto"/>
              <w:right w:val="nil"/>
            </w:tcBorders>
            <w:shd w:val="clear" w:color="auto" w:fill="auto"/>
            <w:noWrap/>
            <w:vAlign w:val="bottom"/>
            <w:hideMark/>
          </w:tcPr>
          <w:p w14:paraId="2341AC42"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2.027</w:t>
            </w:r>
          </w:p>
        </w:tc>
        <w:tc>
          <w:tcPr>
            <w:tcW w:w="445" w:type="pct"/>
            <w:tcBorders>
              <w:top w:val="nil"/>
              <w:left w:val="nil"/>
              <w:bottom w:val="single" w:sz="4" w:space="0" w:color="auto"/>
              <w:right w:val="nil"/>
            </w:tcBorders>
            <w:shd w:val="clear" w:color="auto" w:fill="auto"/>
            <w:noWrap/>
            <w:vAlign w:val="bottom"/>
            <w:hideMark/>
          </w:tcPr>
          <w:p w14:paraId="2341AC43"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2.027</w:t>
            </w:r>
          </w:p>
        </w:tc>
      </w:tr>
      <w:tr w:rsidR="0011752D" w:rsidRPr="0011752D" w14:paraId="2341AC4C" w14:textId="77777777" w:rsidTr="00390762">
        <w:trPr>
          <w:trHeight w:val="300"/>
        </w:trPr>
        <w:tc>
          <w:tcPr>
            <w:tcW w:w="2327" w:type="pct"/>
            <w:tcBorders>
              <w:top w:val="nil"/>
              <w:left w:val="nil"/>
              <w:bottom w:val="single" w:sz="4" w:space="0" w:color="auto"/>
              <w:right w:val="nil"/>
            </w:tcBorders>
            <w:shd w:val="clear" w:color="auto" w:fill="auto"/>
            <w:noWrap/>
            <w:vAlign w:val="bottom"/>
            <w:hideMark/>
          </w:tcPr>
          <w:p w14:paraId="2341AC45"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Total ahorro anual Sector Comercial (TonCO</w:t>
            </w:r>
            <w:r w:rsidRPr="0011752D">
              <w:rPr>
                <w:rFonts w:ascii="Calibri" w:hAnsi="Calibri"/>
                <w:color w:val="000000"/>
                <w:sz w:val="16"/>
                <w:szCs w:val="16"/>
                <w:vertAlign w:val="subscript"/>
                <w:lang w:val="es-CO" w:eastAsia="es-CO"/>
              </w:rPr>
              <w:t>2</w:t>
            </w:r>
            <w:r w:rsidRPr="0011752D">
              <w:rPr>
                <w:rFonts w:ascii="Calibri" w:hAnsi="Calibri"/>
                <w:color w:val="000000"/>
                <w:sz w:val="16"/>
                <w:szCs w:val="16"/>
                <w:lang w:val="es-CO" w:eastAsia="es-CO"/>
              </w:rPr>
              <w:t>)</w:t>
            </w:r>
          </w:p>
        </w:tc>
        <w:tc>
          <w:tcPr>
            <w:tcW w:w="445" w:type="pct"/>
            <w:tcBorders>
              <w:top w:val="nil"/>
              <w:left w:val="nil"/>
              <w:bottom w:val="single" w:sz="4" w:space="0" w:color="auto"/>
              <w:right w:val="nil"/>
            </w:tcBorders>
            <w:shd w:val="clear" w:color="auto" w:fill="auto"/>
            <w:noWrap/>
            <w:vAlign w:val="bottom"/>
            <w:hideMark/>
          </w:tcPr>
          <w:p w14:paraId="2341AC46"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39.370</w:t>
            </w:r>
          </w:p>
        </w:tc>
        <w:tc>
          <w:tcPr>
            <w:tcW w:w="445" w:type="pct"/>
            <w:tcBorders>
              <w:top w:val="nil"/>
              <w:left w:val="nil"/>
              <w:bottom w:val="single" w:sz="4" w:space="0" w:color="auto"/>
              <w:right w:val="nil"/>
            </w:tcBorders>
            <w:shd w:val="clear" w:color="auto" w:fill="auto"/>
            <w:noWrap/>
            <w:vAlign w:val="bottom"/>
            <w:hideMark/>
          </w:tcPr>
          <w:p w14:paraId="2341AC47"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78.740</w:t>
            </w:r>
          </w:p>
        </w:tc>
        <w:tc>
          <w:tcPr>
            <w:tcW w:w="445" w:type="pct"/>
            <w:tcBorders>
              <w:top w:val="nil"/>
              <w:left w:val="nil"/>
              <w:bottom w:val="single" w:sz="4" w:space="0" w:color="auto"/>
              <w:right w:val="nil"/>
            </w:tcBorders>
            <w:shd w:val="clear" w:color="auto" w:fill="auto"/>
            <w:noWrap/>
            <w:vAlign w:val="bottom"/>
            <w:hideMark/>
          </w:tcPr>
          <w:p w14:paraId="2341AC48"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118.110</w:t>
            </w:r>
          </w:p>
        </w:tc>
        <w:tc>
          <w:tcPr>
            <w:tcW w:w="445" w:type="pct"/>
            <w:tcBorders>
              <w:top w:val="nil"/>
              <w:left w:val="nil"/>
              <w:bottom w:val="single" w:sz="4" w:space="0" w:color="auto"/>
              <w:right w:val="nil"/>
            </w:tcBorders>
            <w:shd w:val="clear" w:color="auto" w:fill="auto"/>
            <w:noWrap/>
            <w:vAlign w:val="bottom"/>
            <w:hideMark/>
          </w:tcPr>
          <w:p w14:paraId="2341AC49"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157.480</w:t>
            </w:r>
          </w:p>
        </w:tc>
        <w:tc>
          <w:tcPr>
            <w:tcW w:w="445" w:type="pct"/>
            <w:tcBorders>
              <w:top w:val="nil"/>
              <w:left w:val="nil"/>
              <w:bottom w:val="single" w:sz="4" w:space="0" w:color="auto"/>
              <w:right w:val="nil"/>
            </w:tcBorders>
            <w:shd w:val="clear" w:color="auto" w:fill="auto"/>
            <w:noWrap/>
            <w:vAlign w:val="bottom"/>
            <w:hideMark/>
          </w:tcPr>
          <w:p w14:paraId="2341AC4A"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196.849</w:t>
            </w:r>
          </w:p>
        </w:tc>
        <w:tc>
          <w:tcPr>
            <w:tcW w:w="445" w:type="pct"/>
            <w:tcBorders>
              <w:top w:val="nil"/>
              <w:left w:val="nil"/>
              <w:bottom w:val="single" w:sz="4" w:space="0" w:color="auto"/>
              <w:right w:val="nil"/>
            </w:tcBorders>
            <w:shd w:val="clear" w:color="auto" w:fill="auto"/>
            <w:noWrap/>
            <w:vAlign w:val="bottom"/>
            <w:hideMark/>
          </w:tcPr>
          <w:p w14:paraId="2341AC4B"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196.849</w:t>
            </w:r>
          </w:p>
        </w:tc>
      </w:tr>
      <w:tr w:rsidR="0011752D" w:rsidRPr="0011752D" w14:paraId="2341AC54" w14:textId="77777777" w:rsidTr="00390762">
        <w:trPr>
          <w:trHeight w:val="300"/>
        </w:trPr>
        <w:tc>
          <w:tcPr>
            <w:tcW w:w="2327" w:type="pct"/>
            <w:tcBorders>
              <w:top w:val="nil"/>
              <w:left w:val="nil"/>
              <w:bottom w:val="single" w:sz="4" w:space="0" w:color="auto"/>
              <w:right w:val="nil"/>
            </w:tcBorders>
            <w:shd w:val="clear" w:color="auto" w:fill="auto"/>
            <w:noWrap/>
            <w:vAlign w:val="bottom"/>
            <w:hideMark/>
          </w:tcPr>
          <w:p w14:paraId="2341AC4D"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Ahorro energético acumulado S. Comercial (TonCO</w:t>
            </w:r>
            <w:r w:rsidRPr="0011752D">
              <w:rPr>
                <w:rFonts w:ascii="Calibri" w:hAnsi="Calibri"/>
                <w:color w:val="000000"/>
                <w:sz w:val="16"/>
                <w:szCs w:val="16"/>
                <w:vertAlign w:val="subscript"/>
                <w:lang w:val="es-CO" w:eastAsia="es-CO"/>
              </w:rPr>
              <w:t>2</w:t>
            </w:r>
            <w:r w:rsidRPr="0011752D">
              <w:rPr>
                <w:rFonts w:ascii="Calibri" w:hAnsi="Calibri"/>
                <w:color w:val="000000"/>
                <w:sz w:val="16"/>
                <w:szCs w:val="16"/>
                <w:lang w:val="es-CO" w:eastAsia="es-CO"/>
              </w:rPr>
              <w:t>)</w:t>
            </w:r>
          </w:p>
        </w:tc>
        <w:tc>
          <w:tcPr>
            <w:tcW w:w="445" w:type="pct"/>
            <w:tcBorders>
              <w:top w:val="nil"/>
              <w:left w:val="nil"/>
              <w:bottom w:val="single" w:sz="4" w:space="0" w:color="auto"/>
              <w:right w:val="nil"/>
            </w:tcBorders>
            <w:shd w:val="clear" w:color="auto" w:fill="auto"/>
            <w:noWrap/>
            <w:vAlign w:val="bottom"/>
            <w:hideMark/>
          </w:tcPr>
          <w:p w14:paraId="2341AC4E"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39.370</w:t>
            </w:r>
          </w:p>
        </w:tc>
        <w:tc>
          <w:tcPr>
            <w:tcW w:w="445" w:type="pct"/>
            <w:tcBorders>
              <w:top w:val="nil"/>
              <w:left w:val="nil"/>
              <w:bottom w:val="single" w:sz="4" w:space="0" w:color="auto"/>
              <w:right w:val="nil"/>
            </w:tcBorders>
            <w:shd w:val="clear" w:color="auto" w:fill="auto"/>
            <w:noWrap/>
            <w:vAlign w:val="bottom"/>
            <w:hideMark/>
          </w:tcPr>
          <w:p w14:paraId="2341AC4F"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118.110</w:t>
            </w:r>
          </w:p>
        </w:tc>
        <w:tc>
          <w:tcPr>
            <w:tcW w:w="445" w:type="pct"/>
            <w:tcBorders>
              <w:top w:val="nil"/>
              <w:left w:val="nil"/>
              <w:bottom w:val="single" w:sz="4" w:space="0" w:color="auto"/>
              <w:right w:val="nil"/>
            </w:tcBorders>
            <w:shd w:val="clear" w:color="auto" w:fill="auto"/>
            <w:noWrap/>
            <w:vAlign w:val="bottom"/>
            <w:hideMark/>
          </w:tcPr>
          <w:p w14:paraId="2341AC50"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236.219</w:t>
            </w:r>
          </w:p>
        </w:tc>
        <w:tc>
          <w:tcPr>
            <w:tcW w:w="445" w:type="pct"/>
            <w:tcBorders>
              <w:top w:val="nil"/>
              <w:left w:val="nil"/>
              <w:bottom w:val="single" w:sz="4" w:space="0" w:color="auto"/>
              <w:right w:val="nil"/>
            </w:tcBorders>
            <w:shd w:val="clear" w:color="auto" w:fill="auto"/>
            <w:noWrap/>
            <w:vAlign w:val="bottom"/>
            <w:hideMark/>
          </w:tcPr>
          <w:p w14:paraId="2341AC51"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393.699</w:t>
            </w:r>
          </w:p>
        </w:tc>
        <w:tc>
          <w:tcPr>
            <w:tcW w:w="445" w:type="pct"/>
            <w:tcBorders>
              <w:top w:val="nil"/>
              <w:left w:val="nil"/>
              <w:bottom w:val="single" w:sz="4" w:space="0" w:color="auto"/>
              <w:right w:val="nil"/>
            </w:tcBorders>
            <w:shd w:val="clear" w:color="auto" w:fill="auto"/>
            <w:noWrap/>
            <w:vAlign w:val="bottom"/>
            <w:hideMark/>
          </w:tcPr>
          <w:p w14:paraId="2341AC52"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590.548</w:t>
            </w:r>
          </w:p>
        </w:tc>
        <w:tc>
          <w:tcPr>
            <w:tcW w:w="445" w:type="pct"/>
            <w:tcBorders>
              <w:top w:val="nil"/>
              <w:left w:val="nil"/>
              <w:bottom w:val="single" w:sz="4" w:space="0" w:color="auto"/>
              <w:right w:val="nil"/>
            </w:tcBorders>
            <w:shd w:val="clear" w:color="auto" w:fill="auto"/>
            <w:noWrap/>
            <w:vAlign w:val="bottom"/>
            <w:hideMark/>
          </w:tcPr>
          <w:p w14:paraId="2341AC53"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787.398</w:t>
            </w:r>
          </w:p>
        </w:tc>
      </w:tr>
      <w:tr w:rsidR="0011752D" w:rsidRPr="0011752D" w14:paraId="2341AC5C" w14:textId="77777777" w:rsidTr="00390762">
        <w:trPr>
          <w:trHeight w:val="300"/>
        </w:trPr>
        <w:tc>
          <w:tcPr>
            <w:tcW w:w="2327" w:type="pct"/>
            <w:tcBorders>
              <w:top w:val="nil"/>
              <w:left w:val="nil"/>
              <w:bottom w:val="single" w:sz="4" w:space="0" w:color="auto"/>
              <w:right w:val="nil"/>
            </w:tcBorders>
            <w:shd w:val="clear" w:color="000000" w:fill="E7E6E6"/>
            <w:noWrap/>
            <w:vAlign w:val="bottom"/>
            <w:hideMark/>
          </w:tcPr>
          <w:p w14:paraId="2341AC55" w14:textId="77777777" w:rsidR="0011752D" w:rsidRPr="0011752D" w:rsidRDefault="0011752D" w:rsidP="0011752D">
            <w:pPr>
              <w:rPr>
                <w:rFonts w:ascii="Calibri" w:hAnsi="Calibri"/>
                <w:b/>
                <w:bCs/>
                <w:color w:val="000000"/>
                <w:sz w:val="16"/>
                <w:szCs w:val="16"/>
                <w:lang w:val="es-CO" w:eastAsia="es-CO"/>
              </w:rPr>
            </w:pPr>
            <w:r w:rsidRPr="0011752D">
              <w:rPr>
                <w:rFonts w:ascii="Calibri" w:hAnsi="Calibri"/>
                <w:b/>
                <w:bCs/>
                <w:color w:val="000000"/>
                <w:sz w:val="16"/>
                <w:szCs w:val="16"/>
                <w:lang w:val="es-CO" w:eastAsia="es-CO"/>
              </w:rPr>
              <w:t>Sector Industrial</w:t>
            </w:r>
          </w:p>
        </w:tc>
        <w:tc>
          <w:tcPr>
            <w:tcW w:w="445" w:type="pct"/>
            <w:tcBorders>
              <w:top w:val="nil"/>
              <w:left w:val="nil"/>
              <w:bottom w:val="single" w:sz="4" w:space="0" w:color="auto"/>
              <w:right w:val="nil"/>
            </w:tcBorders>
            <w:shd w:val="clear" w:color="000000" w:fill="E7E6E6"/>
            <w:noWrap/>
            <w:vAlign w:val="bottom"/>
            <w:hideMark/>
          </w:tcPr>
          <w:p w14:paraId="2341AC56"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C57"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C58"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C59"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C5A"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c>
          <w:tcPr>
            <w:tcW w:w="445" w:type="pct"/>
            <w:tcBorders>
              <w:top w:val="nil"/>
              <w:left w:val="nil"/>
              <w:bottom w:val="single" w:sz="4" w:space="0" w:color="auto"/>
              <w:right w:val="nil"/>
            </w:tcBorders>
            <w:shd w:val="clear" w:color="000000" w:fill="E7E6E6"/>
            <w:noWrap/>
            <w:vAlign w:val="bottom"/>
            <w:hideMark/>
          </w:tcPr>
          <w:p w14:paraId="2341AC5B" w14:textId="77777777" w:rsidR="0011752D" w:rsidRPr="0011752D" w:rsidRDefault="0011752D" w:rsidP="0011752D">
            <w:pPr>
              <w:rPr>
                <w:rFonts w:ascii="Calibri" w:hAnsi="Calibri"/>
                <w:color w:val="000000"/>
                <w:sz w:val="15"/>
                <w:szCs w:val="15"/>
                <w:lang w:val="es-CO" w:eastAsia="es-CO"/>
              </w:rPr>
            </w:pPr>
            <w:r w:rsidRPr="0011752D">
              <w:rPr>
                <w:rFonts w:ascii="Calibri" w:hAnsi="Calibri"/>
                <w:color w:val="000000"/>
                <w:sz w:val="15"/>
                <w:szCs w:val="15"/>
                <w:lang w:val="es-CO" w:eastAsia="es-CO"/>
              </w:rPr>
              <w:t> </w:t>
            </w:r>
          </w:p>
        </w:tc>
      </w:tr>
      <w:tr w:rsidR="0011752D" w:rsidRPr="0011752D" w14:paraId="2341AC64" w14:textId="77777777" w:rsidTr="00390762">
        <w:trPr>
          <w:trHeight w:val="300"/>
        </w:trPr>
        <w:tc>
          <w:tcPr>
            <w:tcW w:w="2327" w:type="pct"/>
            <w:tcBorders>
              <w:top w:val="nil"/>
              <w:left w:val="nil"/>
              <w:bottom w:val="nil"/>
              <w:right w:val="nil"/>
            </w:tcBorders>
            <w:shd w:val="clear" w:color="auto" w:fill="auto"/>
            <w:noWrap/>
            <w:vAlign w:val="bottom"/>
            <w:hideMark/>
          </w:tcPr>
          <w:p w14:paraId="2341AC5D"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Sustitución de motores ineficientes (Industria alimentos)</w:t>
            </w:r>
          </w:p>
        </w:tc>
        <w:tc>
          <w:tcPr>
            <w:tcW w:w="445" w:type="pct"/>
            <w:tcBorders>
              <w:top w:val="nil"/>
              <w:left w:val="nil"/>
              <w:bottom w:val="nil"/>
              <w:right w:val="nil"/>
            </w:tcBorders>
            <w:shd w:val="clear" w:color="auto" w:fill="auto"/>
            <w:noWrap/>
            <w:vAlign w:val="bottom"/>
            <w:hideMark/>
          </w:tcPr>
          <w:p w14:paraId="2341AC5E"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3.983</w:t>
            </w:r>
          </w:p>
        </w:tc>
        <w:tc>
          <w:tcPr>
            <w:tcW w:w="445" w:type="pct"/>
            <w:tcBorders>
              <w:top w:val="nil"/>
              <w:left w:val="nil"/>
              <w:bottom w:val="nil"/>
              <w:right w:val="nil"/>
            </w:tcBorders>
            <w:shd w:val="clear" w:color="auto" w:fill="auto"/>
            <w:noWrap/>
            <w:vAlign w:val="bottom"/>
            <w:hideMark/>
          </w:tcPr>
          <w:p w14:paraId="2341AC5F"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7.966</w:t>
            </w:r>
          </w:p>
        </w:tc>
        <w:tc>
          <w:tcPr>
            <w:tcW w:w="445" w:type="pct"/>
            <w:tcBorders>
              <w:top w:val="nil"/>
              <w:left w:val="nil"/>
              <w:bottom w:val="nil"/>
              <w:right w:val="nil"/>
            </w:tcBorders>
            <w:shd w:val="clear" w:color="auto" w:fill="auto"/>
            <w:noWrap/>
            <w:vAlign w:val="bottom"/>
            <w:hideMark/>
          </w:tcPr>
          <w:p w14:paraId="2341AC60"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11.950</w:t>
            </w:r>
          </w:p>
        </w:tc>
        <w:tc>
          <w:tcPr>
            <w:tcW w:w="445" w:type="pct"/>
            <w:tcBorders>
              <w:top w:val="nil"/>
              <w:left w:val="nil"/>
              <w:bottom w:val="nil"/>
              <w:right w:val="nil"/>
            </w:tcBorders>
            <w:shd w:val="clear" w:color="auto" w:fill="auto"/>
            <w:noWrap/>
            <w:vAlign w:val="bottom"/>
            <w:hideMark/>
          </w:tcPr>
          <w:p w14:paraId="2341AC61"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15.933</w:t>
            </w:r>
          </w:p>
        </w:tc>
        <w:tc>
          <w:tcPr>
            <w:tcW w:w="445" w:type="pct"/>
            <w:tcBorders>
              <w:top w:val="nil"/>
              <w:left w:val="nil"/>
              <w:bottom w:val="nil"/>
              <w:right w:val="nil"/>
            </w:tcBorders>
            <w:shd w:val="clear" w:color="auto" w:fill="auto"/>
            <w:noWrap/>
            <w:vAlign w:val="bottom"/>
            <w:hideMark/>
          </w:tcPr>
          <w:p w14:paraId="2341AC62"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15.933</w:t>
            </w:r>
          </w:p>
        </w:tc>
        <w:tc>
          <w:tcPr>
            <w:tcW w:w="445" w:type="pct"/>
            <w:tcBorders>
              <w:top w:val="nil"/>
              <w:left w:val="nil"/>
              <w:bottom w:val="nil"/>
              <w:right w:val="nil"/>
            </w:tcBorders>
            <w:shd w:val="clear" w:color="auto" w:fill="auto"/>
            <w:noWrap/>
            <w:vAlign w:val="bottom"/>
            <w:hideMark/>
          </w:tcPr>
          <w:p w14:paraId="2341AC63"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15.933</w:t>
            </w:r>
          </w:p>
        </w:tc>
      </w:tr>
      <w:tr w:rsidR="0011752D" w:rsidRPr="0011752D" w14:paraId="2341AC6C" w14:textId="77777777" w:rsidTr="00390762">
        <w:trPr>
          <w:trHeight w:val="300"/>
        </w:trPr>
        <w:tc>
          <w:tcPr>
            <w:tcW w:w="2327" w:type="pct"/>
            <w:tcBorders>
              <w:top w:val="nil"/>
              <w:left w:val="nil"/>
              <w:bottom w:val="nil"/>
              <w:right w:val="nil"/>
            </w:tcBorders>
            <w:shd w:val="clear" w:color="auto" w:fill="auto"/>
            <w:noWrap/>
            <w:vAlign w:val="bottom"/>
            <w:hideMark/>
          </w:tcPr>
          <w:p w14:paraId="2341AC65"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lastRenderedPageBreak/>
              <w:t>Sustitución de motores ineficientes (Industria químicos)</w:t>
            </w:r>
          </w:p>
        </w:tc>
        <w:tc>
          <w:tcPr>
            <w:tcW w:w="445" w:type="pct"/>
            <w:tcBorders>
              <w:top w:val="nil"/>
              <w:left w:val="nil"/>
              <w:bottom w:val="nil"/>
              <w:right w:val="nil"/>
            </w:tcBorders>
            <w:shd w:val="clear" w:color="auto" w:fill="auto"/>
            <w:noWrap/>
            <w:vAlign w:val="bottom"/>
            <w:hideMark/>
          </w:tcPr>
          <w:p w14:paraId="2341AC66"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3.304</w:t>
            </w:r>
          </w:p>
        </w:tc>
        <w:tc>
          <w:tcPr>
            <w:tcW w:w="445" w:type="pct"/>
            <w:tcBorders>
              <w:top w:val="nil"/>
              <w:left w:val="nil"/>
              <w:bottom w:val="nil"/>
              <w:right w:val="nil"/>
            </w:tcBorders>
            <w:shd w:val="clear" w:color="auto" w:fill="auto"/>
            <w:noWrap/>
            <w:vAlign w:val="bottom"/>
            <w:hideMark/>
          </w:tcPr>
          <w:p w14:paraId="2341AC67"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6.609</w:t>
            </w:r>
          </w:p>
        </w:tc>
        <w:tc>
          <w:tcPr>
            <w:tcW w:w="445" w:type="pct"/>
            <w:tcBorders>
              <w:top w:val="nil"/>
              <w:left w:val="nil"/>
              <w:bottom w:val="nil"/>
              <w:right w:val="nil"/>
            </w:tcBorders>
            <w:shd w:val="clear" w:color="auto" w:fill="auto"/>
            <w:noWrap/>
            <w:vAlign w:val="bottom"/>
            <w:hideMark/>
          </w:tcPr>
          <w:p w14:paraId="2341AC68"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9.913</w:t>
            </w:r>
          </w:p>
        </w:tc>
        <w:tc>
          <w:tcPr>
            <w:tcW w:w="445" w:type="pct"/>
            <w:tcBorders>
              <w:top w:val="nil"/>
              <w:left w:val="nil"/>
              <w:bottom w:val="nil"/>
              <w:right w:val="nil"/>
            </w:tcBorders>
            <w:shd w:val="clear" w:color="auto" w:fill="auto"/>
            <w:noWrap/>
            <w:vAlign w:val="bottom"/>
            <w:hideMark/>
          </w:tcPr>
          <w:p w14:paraId="2341AC69"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13.218</w:t>
            </w:r>
          </w:p>
        </w:tc>
        <w:tc>
          <w:tcPr>
            <w:tcW w:w="445" w:type="pct"/>
            <w:tcBorders>
              <w:top w:val="nil"/>
              <w:left w:val="nil"/>
              <w:bottom w:val="nil"/>
              <w:right w:val="nil"/>
            </w:tcBorders>
            <w:shd w:val="clear" w:color="auto" w:fill="auto"/>
            <w:noWrap/>
            <w:vAlign w:val="bottom"/>
            <w:hideMark/>
          </w:tcPr>
          <w:p w14:paraId="2341AC6A"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13.218</w:t>
            </w:r>
          </w:p>
        </w:tc>
        <w:tc>
          <w:tcPr>
            <w:tcW w:w="445" w:type="pct"/>
            <w:tcBorders>
              <w:top w:val="nil"/>
              <w:left w:val="nil"/>
              <w:bottom w:val="nil"/>
              <w:right w:val="nil"/>
            </w:tcBorders>
            <w:shd w:val="clear" w:color="auto" w:fill="auto"/>
            <w:noWrap/>
            <w:vAlign w:val="bottom"/>
            <w:hideMark/>
          </w:tcPr>
          <w:p w14:paraId="2341AC6B"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13.218</w:t>
            </w:r>
          </w:p>
        </w:tc>
      </w:tr>
      <w:tr w:rsidR="0011752D" w:rsidRPr="0011752D" w14:paraId="2341AC74" w14:textId="77777777" w:rsidTr="00390762">
        <w:trPr>
          <w:trHeight w:val="300"/>
        </w:trPr>
        <w:tc>
          <w:tcPr>
            <w:tcW w:w="2327" w:type="pct"/>
            <w:tcBorders>
              <w:top w:val="nil"/>
              <w:left w:val="nil"/>
              <w:bottom w:val="nil"/>
              <w:right w:val="nil"/>
            </w:tcBorders>
            <w:shd w:val="clear" w:color="auto" w:fill="auto"/>
            <w:noWrap/>
            <w:vAlign w:val="bottom"/>
            <w:hideMark/>
          </w:tcPr>
          <w:p w14:paraId="2341AC6D"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Sustitución de motores ineficientes (Industria metalúrgica)</w:t>
            </w:r>
          </w:p>
        </w:tc>
        <w:tc>
          <w:tcPr>
            <w:tcW w:w="445" w:type="pct"/>
            <w:tcBorders>
              <w:top w:val="nil"/>
              <w:left w:val="nil"/>
              <w:bottom w:val="nil"/>
              <w:right w:val="nil"/>
            </w:tcBorders>
            <w:shd w:val="clear" w:color="auto" w:fill="auto"/>
            <w:noWrap/>
            <w:vAlign w:val="bottom"/>
            <w:hideMark/>
          </w:tcPr>
          <w:p w14:paraId="2341AC6E"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1.666</w:t>
            </w:r>
          </w:p>
        </w:tc>
        <w:tc>
          <w:tcPr>
            <w:tcW w:w="445" w:type="pct"/>
            <w:tcBorders>
              <w:top w:val="nil"/>
              <w:left w:val="nil"/>
              <w:bottom w:val="nil"/>
              <w:right w:val="nil"/>
            </w:tcBorders>
            <w:shd w:val="clear" w:color="auto" w:fill="auto"/>
            <w:noWrap/>
            <w:vAlign w:val="bottom"/>
            <w:hideMark/>
          </w:tcPr>
          <w:p w14:paraId="2341AC6F"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3.331</w:t>
            </w:r>
          </w:p>
        </w:tc>
        <w:tc>
          <w:tcPr>
            <w:tcW w:w="445" w:type="pct"/>
            <w:tcBorders>
              <w:top w:val="nil"/>
              <w:left w:val="nil"/>
              <w:bottom w:val="nil"/>
              <w:right w:val="nil"/>
            </w:tcBorders>
            <w:shd w:val="clear" w:color="auto" w:fill="auto"/>
            <w:noWrap/>
            <w:vAlign w:val="bottom"/>
            <w:hideMark/>
          </w:tcPr>
          <w:p w14:paraId="2341AC70"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4.997</w:t>
            </w:r>
          </w:p>
        </w:tc>
        <w:tc>
          <w:tcPr>
            <w:tcW w:w="445" w:type="pct"/>
            <w:tcBorders>
              <w:top w:val="nil"/>
              <w:left w:val="nil"/>
              <w:bottom w:val="nil"/>
              <w:right w:val="nil"/>
            </w:tcBorders>
            <w:shd w:val="clear" w:color="auto" w:fill="auto"/>
            <w:noWrap/>
            <w:vAlign w:val="bottom"/>
            <w:hideMark/>
          </w:tcPr>
          <w:p w14:paraId="2341AC71"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6.663</w:t>
            </w:r>
          </w:p>
        </w:tc>
        <w:tc>
          <w:tcPr>
            <w:tcW w:w="445" w:type="pct"/>
            <w:tcBorders>
              <w:top w:val="nil"/>
              <w:left w:val="nil"/>
              <w:bottom w:val="nil"/>
              <w:right w:val="nil"/>
            </w:tcBorders>
            <w:shd w:val="clear" w:color="auto" w:fill="auto"/>
            <w:noWrap/>
            <w:vAlign w:val="bottom"/>
            <w:hideMark/>
          </w:tcPr>
          <w:p w14:paraId="2341AC72"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6.663</w:t>
            </w:r>
          </w:p>
        </w:tc>
        <w:tc>
          <w:tcPr>
            <w:tcW w:w="445" w:type="pct"/>
            <w:tcBorders>
              <w:top w:val="nil"/>
              <w:left w:val="nil"/>
              <w:bottom w:val="nil"/>
              <w:right w:val="nil"/>
            </w:tcBorders>
            <w:shd w:val="clear" w:color="auto" w:fill="auto"/>
            <w:noWrap/>
            <w:vAlign w:val="bottom"/>
            <w:hideMark/>
          </w:tcPr>
          <w:p w14:paraId="2341AC73"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6.663</w:t>
            </w:r>
          </w:p>
        </w:tc>
      </w:tr>
      <w:tr w:rsidR="0011752D" w:rsidRPr="0011752D" w14:paraId="2341AC7C" w14:textId="77777777" w:rsidTr="00390762">
        <w:trPr>
          <w:trHeight w:val="300"/>
        </w:trPr>
        <w:tc>
          <w:tcPr>
            <w:tcW w:w="2327" w:type="pct"/>
            <w:tcBorders>
              <w:top w:val="nil"/>
              <w:left w:val="nil"/>
              <w:bottom w:val="single" w:sz="4" w:space="0" w:color="auto"/>
              <w:right w:val="nil"/>
            </w:tcBorders>
            <w:shd w:val="clear" w:color="auto" w:fill="auto"/>
            <w:noWrap/>
            <w:vAlign w:val="bottom"/>
            <w:hideMark/>
          </w:tcPr>
          <w:p w14:paraId="2341AC75"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Mantenimiento y optimización de operación de aires acondicionados</w:t>
            </w:r>
          </w:p>
        </w:tc>
        <w:tc>
          <w:tcPr>
            <w:tcW w:w="445" w:type="pct"/>
            <w:tcBorders>
              <w:top w:val="nil"/>
              <w:left w:val="nil"/>
              <w:bottom w:val="single" w:sz="4" w:space="0" w:color="auto"/>
              <w:right w:val="nil"/>
            </w:tcBorders>
            <w:shd w:val="clear" w:color="auto" w:fill="auto"/>
            <w:noWrap/>
            <w:vAlign w:val="bottom"/>
            <w:hideMark/>
          </w:tcPr>
          <w:p w14:paraId="2341AC76"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1.349</w:t>
            </w:r>
          </w:p>
        </w:tc>
        <w:tc>
          <w:tcPr>
            <w:tcW w:w="445" w:type="pct"/>
            <w:tcBorders>
              <w:top w:val="nil"/>
              <w:left w:val="nil"/>
              <w:bottom w:val="single" w:sz="4" w:space="0" w:color="auto"/>
              <w:right w:val="nil"/>
            </w:tcBorders>
            <w:shd w:val="clear" w:color="auto" w:fill="auto"/>
            <w:noWrap/>
            <w:vAlign w:val="bottom"/>
            <w:hideMark/>
          </w:tcPr>
          <w:p w14:paraId="2341AC77"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1.349</w:t>
            </w:r>
          </w:p>
        </w:tc>
        <w:tc>
          <w:tcPr>
            <w:tcW w:w="445" w:type="pct"/>
            <w:tcBorders>
              <w:top w:val="nil"/>
              <w:left w:val="nil"/>
              <w:bottom w:val="single" w:sz="4" w:space="0" w:color="auto"/>
              <w:right w:val="nil"/>
            </w:tcBorders>
            <w:shd w:val="clear" w:color="auto" w:fill="auto"/>
            <w:noWrap/>
            <w:vAlign w:val="bottom"/>
            <w:hideMark/>
          </w:tcPr>
          <w:p w14:paraId="2341AC78"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1.349</w:t>
            </w:r>
          </w:p>
        </w:tc>
        <w:tc>
          <w:tcPr>
            <w:tcW w:w="445" w:type="pct"/>
            <w:tcBorders>
              <w:top w:val="nil"/>
              <w:left w:val="nil"/>
              <w:bottom w:val="single" w:sz="4" w:space="0" w:color="auto"/>
              <w:right w:val="nil"/>
            </w:tcBorders>
            <w:shd w:val="clear" w:color="auto" w:fill="auto"/>
            <w:noWrap/>
            <w:vAlign w:val="bottom"/>
            <w:hideMark/>
          </w:tcPr>
          <w:p w14:paraId="2341AC79"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1.349</w:t>
            </w:r>
          </w:p>
        </w:tc>
        <w:tc>
          <w:tcPr>
            <w:tcW w:w="445" w:type="pct"/>
            <w:tcBorders>
              <w:top w:val="nil"/>
              <w:left w:val="nil"/>
              <w:bottom w:val="single" w:sz="4" w:space="0" w:color="auto"/>
              <w:right w:val="nil"/>
            </w:tcBorders>
            <w:shd w:val="clear" w:color="auto" w:fill="auto"/>
            <w:noWrap/>
            <w:vAlign w:val="bottom"/>
            <w:hideMark/>
          </w:tcPr>
          <w:p w14:paraId="2341AC7A"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1.349</w:t>
            </w:r>
          </w:p>
        </w:tc>
        <w:tc>
          <w:tcPr>
            <w:tcW w:w="445" w:type="pct"/>
            <w:tcBorders>
              <w:top w:val="nil"/>
              <w:left w:val="nil"/>
              <w:bottom w:val="single" w:sz="4" w:space="0" w:color="auto"/>
              <w:right w:val="nil"/>
            </w:tcBorders>
            <w:shd w:val="clear" w:color="auto" w:fill="auto"/>
            <w:noWrap/>
            <w:vAlign w:val="bottom"/>
            <w:hideMark/>
          </w:tcPr>
          <w:p w14:paraId="2341AC7B"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1.349</w:t>
            </w:r>
          </w:p>
        </w:tc>
      </w:tr>
      <w:tr w:rsidR="0011752D" w:rsidRPr="0011752D" w14:paraId="2341AC84" w14:textId="77777777" w:rsidTr="00390762">
        <w:trPr>
          <w:trHeight w:val="300"/>
        </w:trPr>
        <w:tc>
          <w:tcPr>
            <w:tcW w:w="2327" w:type="pct"/>
            <w:tcBorders>
              <w:top w:val="nil"/>
              <w:left w:val="nil"/>
              <w:bottom w:val="single" w:sz="4" w:space="0" w:color="auto"/>
              <w:right w:val="nil"/>
            </w:tcBorders>
            <w:shd w:val="clear" w:color="auto" w:fill="auto"/>
            <w:noWrap/>
            <w:vAlign w:val="bottom"/>
            <w:hideMark/>
          </w:tcPr>
          <w:p w14:paraId="2341AC7D"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Total ahorro anual Sector Industrial (TonCO</w:t>
            </w:r>
            <w:r w:rsidRPr="0011752D">
              <w:rPr>
                <w:rFonts w:ascii="Calibri" w:hAnsi="Calibri"/>
                <w:color w:val="000000"/>
                <w:sz w:val="16"/>
                <w:szCs w:val="16"/>
                <w:vertAlign w:val="subscript"/>
                <w:lang w:val="es-CO" w:eastAsia="es-CO"/>
              </w:rPr>
              <w:t>2</w:t>
            </w:r>
            <w:r w:rsidRPr="0011752D">
              <w:rPr>
                <w:rFonts w:ascii="Calibri" w:hAnsi="Calibri"/>
                <w:color w:val="000000"/>
                <w:sz w:val="16"/>
                <w:szCs w:val="16"/>
                <w:lang w:val="es-CO" w:eastAsia="es-CO"/>
              </w:rPr>
              <w:t>)</w:t>
            </w:r>
          </w:p>
        </w:tc>
        <w:tc>
          <w:tcPr>
            <w:tcW w:w="445" w:type="pct"/>
            <w:tcBorders>
              <w:top w:val="nil"/>
              <w:left w:val="nil"/>
              <w:bottom w:val="single" w:sz="4" w:space="0" w:color="auto"/>
              <w:right w:val="nil"/>
            </w:tcBorders>
            <w:shd w:val="clear" w:color="auto" w:fill="auto"/>
            <w:noWrap/>
            <w:vAlign w:val="bottom"/>
            <w:hideMark/>
          </w:tcPr>
          <w:p w14:paraId="2341AC7E"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10.302</w:t>
            </w:r>
          </w:p>
        </w:tc>
        <w:tc>
          <w:tcPr>
            <w:tcW w:w="445" w:type="pct"/>
            <w:tcBorders>
              <w:top w:val="nil"/>
              <w:left w:val="nil"/>
              <w:bottom w:val="single" w:sz="4" w:space="0" w:color="auto"/>
              <w:right w:val="nil"/>
            </w:tcBorders>
            <w:shd w:val="clear" w:color="auto" w:fill="auto"/>
            <w:noWrap/>
            <w:vAlign w:val="bottom"/>
            <w:hideMark/>
          </w:tcPr>
          <w:p w14:paraId="2341AC7F"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19.256</w:t>
            </w:r>
          </w:p>
        </w:tc>
        <w:tc>
          <w:tcPr>
            <w:tcW w:w="445" w:type="pct"/>
            <w:tcBorders>
              <w:top w:val="nil"/>
              <w:left w:val="nil"/>
              <w:bottom w:val="single" w:sz="4" w:space="0" w:color="auto"/>
              <w:right w:val="nil"/>
            </w:tcBorders>
            <w:shd w:val="clear" w:color="auto" w:fill="auto"/>
            <w:noWrap/>
            <w:vAlign w:val="bottom"/>
            <w:hideMark/>
          </w:tcPr>
          <w:p w14:paraId="2341AC80"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28.209</w:t>
            </w:r>
          </w:p>
        </w:tc>
        <w:tc>
          <w:tcPr>
            <w:tcW w:w="445" w:type="pct"/>
            <w:tcBorders>
              <w:top w:val="nil"/>
              <w:left w:val="nil"/>
              <w:bottom w:val="single" w:sz="4" w:space="0" w:color="auto"/>
              <w:right w:val="nil"/>
            </w:tcBorders>
            <w:shd w:val="clear" w:color="auto" w:fill="auto"/>
            <w:noWrap/>
            <w:vAlign w:val="bottom"/>
            <w:hideMark/>
          </w:tcPr>
          <w:p w14:paraId="2341AC81"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37.162</w:t>
            </w:r>
          </w:p>
        </w:tc>
        <w:tc>
          <w:tcPr>
            <w:tcW w:w="445" w:type="pct"/>
            <w:tcBorders>
              <w:top w:val="nil"/>
              <w:left w:val="nil"/>
              <w:bottom w:val="single" w:sz="4" w:space="0" w:color="auto"/>
              <w:right w:val="nil"/>
            </w:tcBorders>
            <w:shd w:val="clear" w:color="auto" w:fill="auto"/>
            <w:noWrap/>
            <w:vAlign w:val="bottom"/>
            <w:hideMark/>
          </w:tcPr>
          <w:p w14:paraId="2341AC82"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37.162</w:t>
            </w:r>
          </w:p>
        </w:tc>
        <w:tc>
          <w:tcPr>
            <w:tcW w:w="445" w:type="pct"/>
            <w:tcBorders>
              <w:top w:val="nil"/>
              <w:left w:val="nil"/>
              <w:bottom w:val="single" w:sz="4" w:space="0" w:color="auto"/>
              <w:right w:val="nil"/>
            </w:tcBorders>
            <w:shd w:val="clear" w:color="auto" w:fill="auto"/>
            <w:noWrap/>
            <w:vAlign w:val="bottom"/>
            <w:hideMark/>
          </w:tcPr>
          <w:p w14:paraId="2341AC83"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37.162</w:t>
            </w:r>
          </w:p>
        </w:tc>
      </w:tr>
      <w:tr w:rsidR="0011752D" w:rsidRPr="0011752D" w14:paraId="2341AC8C" w14:textId="77777777" w:rsidTr="00390762">
        <w:trPr>
          <w:trHeight w:val="315"/>
        </w:trPr>
        <w:tc>
          <w:tcPr>
            <w:tcW w:w="2327" w:type="pct"/>
            <w:tcBorders>
              <w:top w:val="nil"/>
              <w:left w:val="nil"/>
              <w:bottom w:val="single" w:sz="8" w:space="0" w:color="auto"/>
              <w:right w:val="nil"/>
            </w:tcBorders>
            <w:shd w:val="clear" w:color="auto" w:fill="auto"/>
            <w:noWrap/>
            <w:vAlign w:val="bottom"/>
            <w:hideMark/>
          </w:tcPr>
          <w:p w14:paraId="2341AC85"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Ahorro energético acumulado S. Industrial (TonCO</w:t>
            </w:r>
            <w:r w:rsidRPr="0011752D">
              <w:rPr>
                <w:rFonts w:ascii="Calibri" w:hAnsi="Calibri"/>
                <w:color w:val="000000"/>
                <w:sz w:val="16"/>
                <w:szCs w:val="16"/>
                <w:vertAlign w:val="subscript"/>
                <w:lang w:val="es-CO" w:eastAsia="es-CO"/>
              </w:rPr>
              <w:t>2</w:t>
            </w:r>
            <w:r w:rsidRPr="0011752D">
              <w:rPr>
                <w:rFonts w:ascii="Calibri" w:hAnsi="Calibri"/>
                <w:color w:val="000000"/>
                <w:sz w:val="16"/>
                <w:szCs w:val="16"/>
                <w:lang w:val="es-CO" w:eastAsia="es-CO"/>
              </w:rPr>
              <w:t>)</w:t>
            </w:r>
          </w:p>
        </w:tc>
        <w:tc>
          <w:tcPr>
            <w:tcW w:w="445" w:type="pct"/>
            <w:tcBorders>
              <w:top w:val="nil"/>
              <w:left w:val="nil"/>
              <w:bottom w:val="single" w:sz="8" w:space="0" w:color="auto"/>
              <w:right w:val="nil"/>
            </w:tcBorders>
            <w:shd w:val="clear" w:color="auto" w:fill="auto"/>
            <w:noWrap/>
            <w:vAlign w:val="bottom"/>
            <w:hideMark/>
          </w:tcPr>
          <w:p w14:paraId="2341AC86"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10.302</w:t>
            </w:r>
          </w:p>
        </w:tc>
        <w:tc>
          <w:tcPr>
            <w:tcW w:w="445" w:type="pct"/>
            <w:tcBorders>
              <w:top w:val="nil"/>
              <w:left w:val="nil"/>
              <w:bottom w:val="single" w:sz="8" w:space="0" w:color="auto"/>
              <w:right w:val="nil"/>
            </w:tcBorders>
            <w:shd w:val="clear" w:color="auto" w:fill="auto"/>
            <w:noWrap/>
            <w:vAlign w:val="bottom"/>
            <w:hideMark/>
          </w:tcPr>
          <w:p w14:paraId="2341AC87"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29.558</w:t>
            </w:r>
          </w:p>
        </w:tc>
        <w:tc>
          <w:tcPr>
            <w:tcW w:w="445" w:type="pct"/>
            <w:tcBorders>
              <w:top w:val="nil"/>
              <w:left w:val="nil"/>
              <w:bottom w:val="single" w:sz="8" w:space="0" w:color="auto"/>
              <w:right w:val="nil"/>
            </w:tcBorders>
            <w:shd w:val="clear" w:color="auto" w:fill="auto"/>
            <w:noWrap/>
            <w:vAlign w:val="bottom"/>
            <w:hideMark/>
          </w:tcPr>
          <w:p w14:paraId="2341AC88"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57.767</w:t>
            </w:r>
          </w:p>
        </w:tc>
        <w:tc>
          <w:tcPr>
            <w:tcW w:w="445" w:type="pct"/>
            <w:tcBorders>
              <w:top w:val="nil"/>
              <w:left w:val="nil"/>
              <w:bottom w:val="single" w:sz="8" w:space="0" w:color="auto"/>
              <w:right w:val="nil"/>
            </w:tcBorders>
            <w:shd w:val="clear" w:color="auto" w:fill="auto"/>
            <w:noWrap/>
            <w:vAlign w:val="bottom"/>
            <w:hideMark/>
          </w:tcPr>
          <w:p w14:paraId="2341AC89"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94.929</w:t>
            </w:r>
          </w:p>
        </w:tc>
        <w:tc>
          <w:tcPr>
            <w:tcW w:w="445" w:type="pct"/>
            <w:tcBorders>
              <w:top w:val="nil"/>
              <w:left w:val="nil"/>
              <w:bottom w:val="single" w:sz="8" w:space="0" w:color="auto"/>
              <w:right w:val="nil"/>
            </w:tcBorders>
            <w:shd w:val="clear" w:color="auto" w:fill="auto"/>
            <w:noWrap/>
            <w:vAlign w:val="bottom"/>
            <w:hideMark/>
          </w:tcPr>
          <w:p w14:paraId="2341AC8A"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132.091</w:t>
            </w:r>
          </w:p>
        </w:tc>
        <w:tc>
          <w:tcPr>
            <w:tcW w:w="445" w:type="pct"/>
            <w:tcBorders>
              <w:top w:val="nil"/>
              <w:left w:val="nil"/>
              <w:bottom w:val="single" w:sz="8" w:space="0" w:color="auto"/>
              <w:right w:val="nil"/>
            </w:tcBorders>
            <w:shd w:val="clear" w:color="auto" w:fill="auto"/>
            <w:noWrap/>
            <w:vAlign w:val="bottom"/>
            <w:hideMark/>
          </w:tcPr>
          <w:p w14:paraId="2341AC8B" w14:textId="77777777" w:rsidR="0011752D" w:rsidRPr="0011752D" w:rsidRDefault="0011752D" w:rsidP="0011752D">
            <w:pPr>
              <w:jc w:val="right"/>
              <w:rPr>
                <w:rFonts w:ascii="Calibri" w:hAnsi="Calibri"/>
                <w:color w:val="000000"/>
                <w:sz w:val="15"/>
                <w:szCs w:val="15"/>
                <w:lang w:val="es-CO" w:eastAsia="es-CO"/>
              </w:rPr>
            </w:pPr>
            <w:r w:rsidRPr="0011752D">
              <w:rPr>
                <w:rFonts w:ascii="Calibri" w:hAnsi="Calibri"/>
                <w:color w:val="000000"/>
                <w:sz w:val="15"/>
                <w:szCs w:val="15"/>
                <w:lang w:val="es-CO" w:eastAsia="es-CO"/>
              </w:rPr>
              <w:t>169.253</w:t>
            </w:r>
          </w:p>
        </w:tc>
      </w:tr>
      <w:tr w:rsidR="0011752D" w:rsidRPr="0011752D" w14:paraId="2341AC94" w14:textId="77777777" w:rsidTr="00390762">
        <w:trPr>
          <w:trHeight w:val="300"/>
        </w:trPr>
        <w:tc>
          <w:tcPr>
            <w:tcW w:w="2327" w:type="pct"/>
            <w:tcBorders>
              <w:top w:val="nil"/>
              <w:left w:val="nil"/>
              <w:bottom w:val="single" w:sz="4" w:space="0" w:color="auto"/>
              <w:right w:val="nil"/>
            </w:tcBorders>
            <w:shd w:val="clear" w:color="000000" w:fill="E7E6E6"/>
            <w:noWrap/>
            <w:vAlign w:val="bottom"/>
            <w:hideMark/>
          </w:tcPr>
          <w:p w14:paraId="2341AC8D" w14:textId="77777777" w:rsidR="0011752D" w:rsidRPr="0011752D" w:rsidRDefault="0011752D" w:rsidP="0011752D">
            <w:pPr>
              <w:rPr>
                <w:rFonts w:ascii="Calibri" w:hAnsi="Calibri"/>
                <w:b/>
                <w:bCs/>
                <w:color w:val="000000"/>
                <w:sz w:val="16"/>
                <w:szCs w:val="16"/>
                <w:lang w:val="es-CO" w:eastAsia="es-CO"/>
              </w:rPr>
            </w:pPr>
            <w:r w:rsidRPr="0011752D">
              <w:rPr>
                <w:rFonts w:ascii="Calibri" w:hAnsi="Calibri"/>
                <w:b/>
                <w:bCs/>
                <w:color w:val="000000"/>
                <w:sz w:val="16"/>
                <w:szCs w:val="16"/>
                <w:lang w:val="es-CO" w:eastAsia="es-CO"/>
              </w:rPr>
              <w:t>Total emisiones evitadas anuales (TonCO</w:t>
            </w:r>
            <w:r w:rsidRPr="0011752D">
              <w:rPr>
                <w:rFonts w:ascii="Calibri" w:hAnsi="Calibri"/>
                <w:b/>
                <w:bCs/>
                <w:color w:val="000000"/>
                <w:sz w:val="16"/>
                <w:szCs w:val="16"/>
                <w:vertAlign w:val="subscript"/>
                <w:lang w:val="es-CO" w:eastAsia="es-CO"/>
              </w:rPr>
              <w:t>2</w:t>
            </w:r>
            <w:r w:rsidRPr="0011752D">
              <w:rPr>
                <w:rFonts w:ascii="Calibri" w:hAnsi="Calibri"/>
                <w:b/>
                <w:bCs/>
                <w:color w:val="000000"/>
                <w:sz w:val="16"/>
                <w:szCs w:val="16"/>
                <w:lang w:val="es-CO" w:eastAsia="es-CO"/>
              </w:rPr>
              <w:t>)</w:t>
            </w:r>
          </w:p>
        </w:tc>
        <w:tc>
          <w:tcPr>
            <w:tcW w:w="445" w:type="pct"/>
            <w:tcBorders>
              <w:top w:val="nil"/>
              <w:left w:val="nil"/>
              <w:bottom w:val="single" w:sz="4" w:space="0" w:color="auto"/>
              <w:right w:val="nil"/>
            </w:tcBorders>
            <w:shd w:val="clear" w:color="000000" w:fill="E7E6E6"/>
            <w:noWrap/>
            <w:vAlign w:val="bottom"/>
            <w:hideMark/>
          </w:tcPr>
          <w:p w14:paraId="2341AC8E" w14:textId="77777777" w:rsidR="0011752D" w:rsidRPr="0011752D" w:rsidRDefault="0011752D" w:rsidP="0011752D">
            <w:pPr>
              <w:jc w:val="right"/>
              <w:rPr>
                <w:rFonts w:ascii="Calibri" w:hAnsi="Calibri"/>
                <w:b/>
                <w:bCs/>
                <w:color w:val="000000"/>
                <w:sz w:val="15"/>
                <w:szCs w:val="15"/>
                <w:lang w:val="es-CO" w:eastAsia="es-CO"/>
              </w:rPr>
            </w:pPr>
            <w:r w:rsidRPr="0011752D">
              <w:rPr>
                <w:rFonts w:ascii="Calibri" w:hAnsi="Calibri"/>
                <w:b/>
                <w:bCs/>
                <w:color w:val="000000"/>
                <w:sz w:val="15"/>
                <w:szCs w:val="15"/>
                <w:lang w:val="es-CO" w:eastAsia="es-CO"/>
              </w:rPr>
              <w:t>154.724</w:t>
            </w:r>
          </w:p>
        </w:tc>
        <w:tc>
          <w:tcPr>
            <w:tcW w:w="445" w:type="pct"/>
            <w:tcBorders>
              <w:top w:val="nil"/>
              <w:left w:val="nil"/>
              <w:bottom w:val="single" w:sz="4" w:space="0" w:color="auto"/>
              <w:right w:val="nil"/>
            </w:tcBorders>
            <w:shd w:val="clear" w:color="000000" w:fill="E7E6E6"/>
            <w:noWrap/>
            <w:vAlign w:val="bottom"/>
            <w:hideMark/>
          </w:tcPr>
          <w:p w14:paraId="2341AC8F" w14:textId="77777777" w:rsidR="0011752D" w:rsidRPr="0011752D" w:rsidRDefault="0011752D" w:rsidP="0011752D">
            <w:pPr>
              <w:jc w:val="right"/>
              <w:rPr>
                <w:rFonts w:ascii="Calibri" w:hAnsi="Calibri"/>
                <w:b/>
                <w:bCs/>
                <w:color w:val="000000"/>
                <w:sz w:val="15"/>
                <w:szCs w:val="15"/>
                <w:lang w:val="es-CO" w:eastAsia="es-CO"/>
              </w:rPr>
            </w:pPr>
            <w:r w:rsidRPr="0011752D">
              <w:rPr>
                <w:rFonts w:ascii="Calibri" w:hAnsi="Calibri"/>
                <w:b/>
                <w:bCs/>
                <w:color w:val="000000"/>
                <w:sz w:val="15"/>
                <w:szCs w:val="15"/>
                <w:lang w:val="es-CO" w:eastAsia="es-CO"/>
              </w:rPr>
              <w:t>308.100</w:t>
            </w:r>
          </w:p>
        </w:tc>
        <w:tc>
          <w:tcPr>
            <w:tcW w:w="445" w:type="pct"/>
            <w:tcBorders>
              <w:top w:val="nil"/>
              <w:left w:val="nil"/>
              <w:bottom w:val="single" w:sz="4" w:space="0" w:color="auto"/>
              <w:right w:val="nil"/>
            </w:tcBorders>
            <w:shd w:val="clear" w:color="000000" w:fill="E7E6E6"/>
            <w:noWrap/>
            <w:vAlign w:val="bottom"/>
            <w:hideMark/>
          </w:tcPr>
          <w:p w14:paraId="2341AC90" w14:textId="77777777" w:rsidR="0011752D" w:rsidRPr="0011752D" w:rsidRDefault="0011752D" w:rsidP="0011752D">
            <w:pPr>
              <w:jc w:val="right"/>
              <w:rPr>
                <w:rFonts w:ascii="Calibri" w:hAnsi="Calibri"/>
                <w:b/>
                <w:bCs/>
                <w:color w:val="000000"/>
                <w:sz w:val="15"/>
                <w:szCs w:val="15"/>
                <w:lang w:val="es-CO" w:eastAsia="es-CO"/>
              </w:rPr>
            </w:pPr>
            <w:r w:rsidRPr="0011752D">
              <w:rPr>
                <w:rFonts w:ascii="Calibri" w:hAnsi="Calibri"/>
                <w:b/>
                <w:bCs/>
                <w:color w:val="000000"/>
                <w:sz w:val="15"/>
                <w:szCs w:val="15"/>
                <w:lang w:val="es-CO" w:eastAsia="es-CO"/>
              </w:rPr>
              <w:t>461.475</w:t>
            </w:r>
          </w:p>
        </w:tc>
        <w:tc>
          <w:tcPr>
            <w:tcW w:w="445" w:type="pct"/>
            <w:tcBorders>
              <w:top w:val="nil"/>
              <w:left w:val="nil"/>
              <w:bottom w:val="single" w:sz="4" w:space="0" w:color="auto"/>
              <w:right w:val="nil"/>
            </w:tcBorders>
            <w:shd w:val="clear" w:color="000000" w:fill="E7E6E6"/>
            <w:noWrap/>
            <w:vAlign w:val="bottom"/>
            <w:hideMark/>
          </w:tcPr>
          <w:p w14:paraId="2341AC91" w14:textId="77777777" w:rsidR="0011752D" w:rsidRPr="0011752D" w:rsidRDefault="0011752D" w:rsidP="0011752D">
            <w:pPr>
              <w:jc w:val="right"/>
              <w:rPr>
                <w:rFonts w:ascii="Calibri" w:hAnsi="Calibri"/>
                <w:b/>
                <w:bCs/>
                <w:color w:val="000000"/>
                <w:sz w:val="15"/>
                <w:szCs w:val="15"/>
                <w:lang w:val="es-CO" w:eastAsia="es-CO"/>
              </w:rPr>
            </w:pPr>
            <w:r w:rsidRPr="0011752D">
              <w:rPr>
                <w:rFonts w:ascii="Calibri" w:hAnsi="Calibri"/>
                <w:b/>
                <w:bCs/>
                <w:color w:val="000000"/>
                <w:sz w:val="15"/>
                <w:szCs w:val="15"/>
                <w:lang w:val="es-CO" w:eastAsia="es-CO"/>
              </w:rPr>
              <w:t>614.850</w:t>
            </w:r>
          </w:p>
        </w:tc>
        <w:tc>
          <w:tcPr>
            <w:tcW w:w="445" w:type="pct"/>
            <w:tcBorders>
              <w:top w:val="nil"/>
              <w:left w:val="nil"/>
              <w:bottom w:val="single" w:sz="4" w:space="0" w:color="auto"/>
              <w:right w:val="nil"/>
            </w:tcBorders>
            <w:shd w:val="clear" w:color="000000" w:fill="E7E6E6"/>
            <w:noWrap/>
            <w:vAlign w:val="bottom"/>
            <w:hideMark/>
          </w:tcPr>
          <w:p w14:paraId="2341AC92" w14:textId="77777777" w:rsidR="0011752D" w:rsidRPr="0011752D" w:rsidRDefault="0011752D" w:rsidP="0011752D">
            <w:pPr>
              <w:jc w:val="right"/>
              <w:rPr>
                <w:rFonts w:ascii="Calibri" w:hAnsi="Calibri"/>
                <w:b/>
                <w:bCs/>
                <w:color w:val="000000"/>
                <w:sz w:val="15"/>
                <w:szCs w:val="15"/>
                <w:lang w:val="es-CO" w:eastAsia="es-CO"/>
              </w:rPr>
            </w:pPr>
            <w:r w:rsidRPr="0011752D">
              <w:rPr>
                <w:rFonts w:ascii="Calibri" w:hAnsi="Calibri"/>
                <w:b/>
                <w:bCs/>
                <w:color w:val="000000"/>
                <w:sz w:val="15"/>
                <w:szCs w:val="15"/>
                <w:lang w:val="es-CO" w:eastAsia="es-CO"/>
              </w:rPr>
              <w:t>759.272</w:t>
            </w:r>
          </w:p>
        </w:tc>
        <w:tc>
          <w:tcPr>
            <w:tcW w:w="445" w:type="pct"/>
            <w:tcBorders>
              <w:top w:val="nil"/>
              <w:left w:val="nil"/>
              <w:bottom w:val="single" w:sz="4" w:space="0" w:color="auto"/>
              <w:right w:val="nil"/>
            </w:tcBorders>
            <w:shd w:val="clear" w:color="000000" w:fill="E7E6E6"/>
            <w:noWrap/>
            <w:vAlign w:val="bottom"/>
            <w:hideMark/>
          </w:tcPr>
          <w:p w14:paraId="2341AC93" w14:textId="77777777" w:rsidR="0011752D" w:rsidRPr="0011752D" w:rsidRDefault="0011752D" w:rsidP="0011752D">
            <w:pPr>
              <w:jc w:val="right"/>
              <w:rPr>
                <w:rFonts w:ascii="Calibri" w:hAnsi="Calibri"/>
                <w:b/>
                <w:bCs/>
                <w:color w:val="000000"/>
                <w:sz w:val="15"/>
                <w:szCs w:val="15"/>
                <w:lang w:val="es-CO" w:eastAsia="es-CO"/>
              </w:rPr>
            </w:pPr>
            <w:r w:rsidRPr="0011752D">
              <w:rPr>
                <w:rFonts w:ascii="Calibri" w:hAnsi="Calibri"/>
                <w:b/>
                <w:bCs/>
                <w:color w:val="000000"/>
                <w:sz w:val="15"/>
                <w:szCs w:val="15"/>
                <w:lang w:val="es-CO" w:eastAsia="es-CO"/>
              </w:rPr>
              <w:t>759.272</w:t>
            </w:r>
          </w:p>
        </w:tc>
      </w:tr>
      <w:tr w:rsidR="0011752D" w:rsidRPr="0011752D" w14:paraId="2341AC9C" w14:textId="77777777" w:rsidTr="00390762">
        <w:trPr>
          <w:trHeight w:val="315"/>
        </w:trPr>
        <w:tc>
          <w:tcPr>
            <w:tcW w:w="2327" w:type="pct"/>
            <w:tcBorders>
              <w:top w:val="nil"/>
              <w:left w:val="nil"/>
              <w:bottom w:val="single" w:sz="8" w:space="0" w:color="auto"/>
              <w:right w:val="nil"/>
            </w:tcBorders>
            <w:shd w:val="clear" w:color="000000" w:fill="E7E6E6"/>
            <w:noWrap/>
            <w:vAlign w:val="bottom"/>
            <w:hideMark/>
          </w:tcPr>
          <w:p w14:paraId="2341AC95" w14:textId="77777777" w:rsidR="0011752D" w:rsidRPr="0011752D" w:rsidRDefault="0011752D" w:rsidP="0011752D">
            <w:pPr>
              <w:rPr>
                <w:rFonts w:ascii="Calibri" w:hAnsi="Calibri"/>
                <w:b/>
                <w:bCs/>
                <w:color w:val="000000"/>
                <w:sz w:val="16"/>
                <w:szCs w:val="16"/>
                <w:lang w:val="es-CO" w:eastAsia="es-CO"/>
              </w:rPr>
            </w:pPr>
            <w:r w:rsidRPr="0011752D">
              <w:rPr>
                <w:rFonts w:ascii="Calibri" w:hAnsi="Calibri"/>
                <w:b/>
                <w:bCs/>
                <w:color w:val="000000"/>
                <w:sz w:val="16"/>
                <w:szCs w:val="16"/>
                <w:lang w:val="es-CO" w:eastAsia="es-CO"/>
              </w:rPr>
              <w:t>Ahorro emisiones evitadas acumuladas (TonCO</w:t>
            </w:r>
            <w:r w:rsidRPr="0011752D">
              <w:rPr>
                <w:rFonts w:ascii="Calibri" w:hAnsi="Calibri"/>
                <w:b/>
                <w:bCs/>
                <w:color w:val="000000"/>
                <w:sz w:val="16"/>
                <w:szCs w:val="16"/>
                <w:vertAlign w:val="subscript"/>
                <w:lang w:val="es-CO" w:eastAsia="es-CO"/>
              </w:rPr>
              <w:t>2</w:t>
            </w:r>
            <w:r w:rsidRPr="0011752D">
              <w:rPr>
                <w:rFonts w:ascii="Calibri" w:hAnsi="Calibri"/>
                <w:b/>
                <w:bCs/>
                <w:color w:val="000000"/>
                <w:sz w:val="16"/>
                <w:szCs w:val="16"/>
                <w:lang w:val="es-CO" w:eastAsia="es-CO"/>
              </w:rPr>
              <w:t>)</w:t>
            </w:r>
          </w:p>
        </w:tc>
        <w:tc>
          <w:tcPr>
            <w:tcW w:w="445" w:type="pct"/>
            <w:tcBorders>
              <w:top w:val="nil"/>
              <w:left w:val="nil"/>
              <w:bottom w:val="single" w:sz="8" w:space="0" w:color="auto"/>
              <w:right w:val="nil"/>
            </w:tcBorders>
            <w:shd w:val="clear" w:color="000000" w:fill="E7E6E6"/>
            <w:noWrap/>
            <w:vAlign w:val="bottom"/>
            <w:hideMark/>
          </w:tcPr>
          <w:p w14:paraId="2341AC96" w14:textId="77777777" w:rsidR="0011752D" w:rsidRPr="0011752D" w:rsidRDefault="0011752D" w:rsidP="0011752D">
            <w:pPr>
              <w:jc w:val="right"/>
              <w:rPr>
                <w:rFonts w:ascii="Calibri" w:hAnsi="Calibri"/>
                <w:b/>
                <w:bCs/>
                <w:color w:val="000000"/>
                <w:sz w:val="15"/>
                <w:szCs w:val="15"/>
                <w:lang w:val="es-CO" w:eastAsia="es-CO"/>
              </w:rPr>
            </w:pPr>
            <w:r w:rsidRPr="0011752D">
              <w:rPr>
                <w:rFonts w:ascii="Calibri" w:hAnsi="Calibri"/>
                <w:b/>
                <w:bCs/>
                <w:color w:val="000000"/>
                <w:sz w:val="15"/>
                <w:szCs w:val="15"/>
                <w:lang w:val="es-CO" w:eastAsia="es-CO"/>
              </w:rPr>
              <w:t>154.724</w:t>
            </w:r>
          </w:p>
        </w:tc>
        <w:tc>
          <w:tcPr>
            <w:tcW w:w="445" w:type="pct"/>
            <w:tcBorders>
              <w:top w:val="nil"/>
              <w:left w:val="nil"/>
              <w:bottom w:val="single" w:sz="8" w:space="0" w:color="auto"/>
              <w:right w:val="nil"/>
            </w:tcBorders>
            <w:shd w:val="clear" w:color="000000" w:fill="E7E6E6"/>
            <w:noWrap/>
            <w:vAlign w:val="bottom"/>
            <w:hideMark/>
          </w:tcPr>
          <w:p w14:paraId="2341AC97" w14:textId="77777777" w:rsidR="0011752D" w:rsidRPr="0011752D" w:rsidRDefault="0011752D" w:rsidP="0011752D">
            <w:pPr>
              <w:jc w:val="right"/>
              <w:rPr>
                <w:rFonts w:ascii="Calibri" w:hAnsi="Calibri"/>
                <w:b/>
                <w:bCs/>
                <w:color w:val="000000"/>
                <w:sz w:val="15"/>
                <w:szCs w:val="15"/>
                <w:lang w:val="es-CO" w:eastAsia="es-CO"/>
              </w:rPr>
            </w:pPr>
            <w:r w:rsidRPr="0011752D">
              <w:rPr>
                <w:rFonts w:ascii="Calibri" w:hAnsi="Calibri"/>
                <w:b/>
                <w:bCs/>
                <w:color w:val="000000"/>
                <w:sz w:val="15"/>
                <w:szCs w:val="15"/>
                <w:lang w:val="es-CO" w:eastAsia="es-CO"/>
              </w:rPr>
              <w:t>462.824</w:t>
            </w:r>
          </w:p>
        </w:tc>
        <w:tc>
          <w:tcPr>
            <w:tcW w:w="445" w:type="pct"/>
            <w:tcBorders>
              <w:top w:val="nil"/>
              <w:left w:val="nil"/>
              <w:bottom w:val="single" w:sz="8" w:space="0" w:color="auto"/>
              <w:right w:val="nil"/>
            </w:tcBorders>
            <w:shd w:val="clear" w:color="000000" w:fill="E7E6E6"/>
            <w:noWrap/>
            <w:vAlign w:val="bottom"/>
            <w:hideMark/>
          </w:tcPr>
          <w:p w14:paraId="2341AC98" w14:textId="77777777" w:rsidR="0011752D" w:rsidRPr="0011752D" w:rsidRDefault="0011752D" w:rsidP="0011752D">
            <w:pPr>
              <w:jc w:val="right"/>
              <w:rPr>
                <w:rFonts w:ascii="Calibri" w:hAnsi="Calibri"/>
                <w:b/>
                <w:bCs/>
                <w:color w:val="000000"/>
                <w:sz w:val="15"/>
                <w:szCs w:val="15"/>
                <w:lang w:val="es-CO" w:eastAsia="es-CO"/>
              </w:rPr>
            </w:pPr>
            <w:r w:rsidRPr="0011752D">
              <w:rPr>
                <w:rFonts w:ascii="Calibri" w:hAnsi="Calibri"/>
                <w:b/>
                <w:bCs/>
                <w:color w:val="000000"/>
                <w:sz w:val="15"/>
                <w:szCs w:val="15"/>
                <w:lang w:val="es-CO" w:eastAsia="es-CO"/>
              </w:rPr>
              <w:t>924.299</w:t>
            </w:r>
          </w:p>
        </w:tc>
        <w:tc>
          <w:tcPr>
            <w:tcW w:w="445" w:type="pct"/>
            <w:tcBorders>
              <w:top w:val="nil"/>
              <w:left w:val="nil"/>
              <w:bottom w:val="single" w:sz="8" w:space="0" w:color="auto"/>
              <w:right w:val="nil"/>
            </w:tcBorders>
            <w:shd w:val="clear" w:color="000000" w:fill="E7E6E6"/>
            <w:noWrap/>
            <w:vAlign w:val="bottom"/>
            <w:hideMark/>
          </w:tcPr>
          <w:p w14:paraId="2341AC99" w14:textId="77777777" w:rsidR="0011752D" w:rsidRPr="0011752D" w:rsidRDefault="0011752D" w:rsidP="0011752D">
            <w:pPr>
              <w:jc w:val="right"/>
              <w:rPr>
                <w:rFonts w:ascii="Calibri" w:hAnsi="Calibri"/>
                <w:b/>
                <w:bCs/>
                <w:color w:val="000000"/>
                <w:sz w:val="15"/>
                <w:szCs w:val="15"/>
                <w:lang w:val="es-CO" w:eastAsia="es-CO"/>
              </w:rPr>
            </w:pPr>
            <w:r w:rsidRPr="0011752D">
              <w:rPr>
                <w:rFonts w:ascii="Calibri" w:hAnsi="Calibri"/>
                <w:b/>
                <w:bCs/>
                <w:color w:val="000000"/>
                <w:sz w:val="15"/>
                <w:szCs w:val="15"/>
                <w:lang w:val="es-CO" w:eastAsia="es-CO"/>
              </w:rPr>
              <w:t>1.539.150</w:t>
            </w:r>
          </w:p>
        </w:tc>
        <w:tc>
          <w:tcPr>
            <w:tcW w:w="445" w:type="pct"/>
            <w:tcBorders>
              <w:top w:val="nil"/>
              <w:left w:val="nil"/>
              <w:bottom w:val="single" w:sz="8" w:space="0" w:color="auto"/>
              <w:right w:val="nil"/>
            </w:tcBorders>
            <w:shd w:val="clear" w:color="000000" w:fill="E7E6E6"/>
            <w:noWrap/>
            <w:vAlign w:val="bottom"/>
            <w:hideMark/>
          </w:tcPr>
          <w:p w14:paraId="2341AC9A" w14:textId="77777777" w:rsidR="0011752D" w:rsidRPr="0011752D" w:rsidRDefault="0011752D" w:rsidP="0011752D">
            <w:pPr>
              <w:jc w:val="right"/>
              <w:rPr>
                <w:rFonts w:ascii="Calibri" w:hAnsi="Calibri"/>
                <w:b/>
                <w:bCs/>
                <w:color w:val="000000"/>
                <w:sz w:val="15"/>
                <w:szCs w:val="15"/>
                <w:lang w:val="es-CO" w:eastAsia="es-CO"/>
              </w:rPr>
            </w:pPr>
            <w:r w:rsidRPr="0011752D">
              <w:rPr>
                <w:rFonts w:ascii="Calibri" w:hAnsi="Calibri"/>
                <w:b/>
                <w:bCs/>
                <w:color w:val="000000"/>
                <w:sz w:val="15"/>
                <w:szCs w:val="15"/>
                <w:lang w:val="es-CO" w:eastAsia="es-CO"/>
              </w:rPr>
              <w:t>2.298.422</w:t>
            </w:r>
          </w:p>
        </w:tc>
        <w:tc>
          <w:tcPr>
            <w:tcW w:w="445" w:type="pct"/>
            <w:tcBorders>
              <w:top w:val="nil"/>
              <w:left w:val="nil"/>
              <w:bottom w:val="single" w:sz="8" w:space="0" w:color="auto"/>
              <w:right w:val="nil"/>
            </w:tcBorders>
            <w:shd w:val="clear" w:color="000000" w:fill="E7E6E6"/>
            <w:noWrap/>
            <w:vAlign w:val="bottom"/>
            <w:hideMark/>
          </w:tcPr>
          <w:p w14:paraId="2341AC9B" w14:textId="77777777" w:rsidR="0011752D" w:rsidRPr="0011752D" w:rsidRDefault="0011752D" w:rsidP="0011752D">
            <w:pPr>
              <w:jc w:val="right"/>
              <w:rPr>
                <w:rFonts w:ascii="Calibri" w:hAnsi="Calibri"/>
                <w:b/>
                <w:bCs/>
                <w:color w:val="000000"/>
                <w:sz w:val="15"/>
                <w:szCs w:val="15"/>
                <w:lang w:val="es-CO" w:eastAsia="es-CO"/>
              </w:rPr>
            </w:pPr>
            <w:r w:rsidRPr="0011752D">
              <w:rPr>
                <w:rFonts w:ascii="Calibri" w:hAnsi="Calibri"/>
                <w:b/>
                <w:bCs/>
                <w:color w:val="000000"/>
                <w:sz w:val="15"/>
                <w:szCs w:val="15"/>
                <w:lang w:val="es-CO" w:eastAsia="es-CO"/>
              </w:rPr>
              <w:t>3.057.695</w:t>
            </w:r>
          </w:p>
        </w:tc>
      </w:tr>
    </w:tbl>
    <w:p w14:paraId="2341AC9D"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La </w:t>
      </w:r>
      <w:r w:rsidRPr="0011752D">
        <w:rPr>
          <w:rFonts w:ascii="Arial" w:hAnsi="Arial"/>
          <w:sz w:val="22"/>
          <w:lang w:val="es-CO"/>
        </w:rPr>
        <w:fldChar w:fldCharType="begin"/>
      </w:r>
      <w:r w:rsidRPr="0011752D">
        <w:rPr>
          <w:rFonts w:ascii="Arial" w:hAnsi="Arial"/>
          <w:sz w:val="22"/>
          <w:lang w:val="es-CO"/>
        </w:rPr>
        <w:instrText xml:space="preserve"> REF _Ref473211985 \h </w:instrText>
      </w:r>
      <w:r w:rsidRPr="0011752D">
        <w:rPr>
          <w:rFonts w:ascii="Arial" w:hAnsi="Arial"/>
          <w:sz w:val="22"/>
          <w:lang w:val="es-CO"/>
        </w:rPr>
      </w:r>
      <w:r w:rsidRPr="0011752D">
        <w:rPr>
          <w:rFonts w:ascii="Arial" w:hAnsi="Arial"/>
          <w:sz w:val="22"/>
          <w:lang w:val="es-CO"/>
        </w:rPr>
        <w:fldChar w:fldCharType="separate"/>
      </w:r>
      <w:r w:rsidRPr="0011752D">
        <w:rPr>
          <w:rFonts w:ascii="Arial" w:hAnsi="Arial"/>
          <w:b/>
          <w:sz w:val="22"/>
          <w:lang w:val="es-CO"/>
        </w:rPr>
        <w:t xml:space="preserve">Tabla </w:t>
      </w:r>
      <w:r w:rsidRPr="0011752D">
        <w:rPr>
          <w:rFonts w:ascii="Arial" w:hAnsi="Arial"/>
          <w:b/>
          <w:noProof/>
          <w:sz w:val="22"/>
          <w:lang w:val="es-CO"/>
        </w:rPr>
        <w:t>11</w:t>
      </w:r>
      <w:r w:rsidRPr="0011752D">
        <w:rPr>
          <w:rFonts w:ascii="Arial" w:hAnsi="Arial"/>
          <w:sz w:val="22"/>
          <w:lang w:val="es-CO"/>
        </w:rPr>
        <w:fldChar w:fldCharType="end"/>
      </w:r>
      <w:r w:rsidRPr="0011752D">
        <w:rPr>
          <w:rFonts w:ascii="Arial" w:hAnsi="Arial"/>
          <w:sz w:val="22"/>
          <w:lang w:val="es-CO"/>
        </w:rPr>
        <w:t xml:space="preserve"> resume los beneficios, costos y flujos netos por sector a 2022 (la proyección completa a 2027 se encuentra en el Anexo). Los beneficios cuantificados corresponden al ahorro percibido por los usuarios en cada sector por el menor valor de la energía pagada, ahorro para el gobierno por menores recursos del Presupuesto General de la Nación destinado a subsidios (en el sector residencial), toneladas de CO</w:t>
      </w:r>
      <w:r w:rsidRPr="0011752D">
        <w:rPr>
          <w:rFonts w:ascii="Arial" w:hAnsi="Arial"/>
          <w:sz w:val="22"/>
          <w:vertAlign w:val="subscript"/>
          <w:lang w:val="es-CO"/>
        </w:rPr>
        <w:t>2</w:t>
      </w:r>
      <w:r w:rsidRPr="0011752D">
        <w:rPr>
          <w:rFonts w:ascii="Arial" w:hAnsi="Arial"/>
          <w:sz w:val="22"/>
          <w:lang w:val="es-CO"/>
        </w:rPr>
        <w:t xml:space="preserve"> evitadas y valoradas al  precio de los Certificado de Reducción de Emisiones (CRE), y al costo evitado de la capacidad instalada que se requeriría para atender la demanda energética de no ser ahorrada (CAPEX de una planta a carbón para atender la energía no ahorrada a partir de 2020). El detalle de los parámetros utilizados para la estimación de flujos de cada medida es presentado en el Anexo.</w:t>
      </w:r>
    </w:p>
    <w:p w14:paraId="2341AC9E" w14:textId="77777777" w:rsidR="0011752D" w:rsidRPr="0011752D" w:rsidRDefault="0011752D" w:rsidP="0011752D">
      <w:pPr>
        <w:spacing w:before="240" w:after="240"/>
        <w:jc w:val="both"/>
        <w:rPr>
          <w:rFonts w:ascii="Arial" w:hAnsi="Arial"/>
          <w:sz w:val="22"/>
          <w:lang w:val="es-CO"/>
        </w:rPr>
      </w:pPr>
    </w:p>
    <w:p w14:paraId="2341AC9F" w14:textId="77777777" w:rsidR="0011752D" w:rsidRPr="0011752D" w:rsidRDefault="0011752D" w:rsidP="0011752D">
      <w:pPr>
        <w:spacing w:before="240" w:after="240"/>
        <w:jc w:val="both"/>
        <w:rPr>
          <w:rFonts w:ascii="Arial" w:hAnsi="Arial"/>
          <w:sz w:val="22"/>
          <w:lang w:val="es-CO"/>
        </w:rPr>
      </w:pPr>
    </w:p>
    <w:p w14:paraId="2341ACA0" w14:textId="77777777" w:rsidR="0011752D" w:rsidRPr="0011752D" w:rsidRDefault="0011752D" w:rsidP="0011752D">
      <w:pPr>
        <w:spacing w:before="240" w:after="240"/>
        <w:jc w:val="both"/>
        <w:rPr>
          <w:rFonts w:ascii="Arial" w:hAnsi="Arial"/>
          <w:sz w:val="22"/>
          <w:lang w:val="es-CO"/>
        </w:rPr>
      </w:pPr>
    </w:p>
    <w:p w14:paraId="2341ACA1" w14:textId="77777777" w:rsidR="0011752D" w:rsidRPr="0011752D" w:rsidRDefault="0011752D" w:rsidP="0011752D">
      <w:pPr>
        <w:spacing w:before="240" w:after="240"/>
        <w:jc w:val="both"/>
        <w:rPr>
          <w:rFonts w:ascii="Arial" w:hAnsi="Arial"/>
          <w:sz w:val="22"/>
          <w:lang w:val="es-CO"/>
        </w:rPr>
      </w:pPr>
    </w:p>
    <w:p w14:paraId="2341ACA2" w14:textId="77777777" w:rsidR="0011752D" w:rsidRPr="0011752D" w:rsidRDefault="0011752D" w:rsidP="0011752D">
      <w:pPr>
        <w:spacing w:before="120"/>
        <w:jc w:val="center"/>
        <w:rPr>
          <w:rFonts w:ascii="Arial" w:hAnsi="Arial"/>
          <w:b/>
          <w:sz w:val="22"/>
          <w:lang w:val="es-CO"/>
        </w:rPr>
      </w:pPr>
      <w:bookmarkStart w:id="93" w:name="_Ref473211985"/>
      <w:bookmarkStart w:id="94" w:name="_Toc473268561"/>
      <w:bookmarkStart w:id="95" w:name="_Toc474797065"/>
      <w:r w:rsidRPr="0011752D">
        <w:rPr>
          <w:rFonts w:ascii="Arial" w:hAnsi="Arial"/>
          <w:b/>
          <w:sz w:val="22"/>
          <w:lang w:val="es-CO"/>
        </w:rPr>
        <w:t xml:space="preserve">Tabla </w:t>
      </w:r>
      <w:r w:rsidRPr="0011752D">
        <w:rPr>
          <w:rFonts w:ascii="Arial" w:hAnsi="Arial"/>
          <w:b/>
          <w:sz w:val="22"/>
          <w:lang w:val="es-CO"/>
        </w:rPr>
        <w:fldChar w:fldCharType="begin"/>
      </w:r>
      <w:r w:rsidRPr="0011752D">
        <w:rPr>
          <w:rFonts w:ascii="Arial" w:hAnsi="Arial"/>
          <w:b/>
          <w:sz w:val="22"/>
          <w:lang w:val="es-CO"/>
        </w:rPr>
        <w:instrText xml:space="preserve"> SEQ Tabla \* ARABIC </w:instrText>
      </w:r>
      <w:r w:rsidRPr="0011752D">
        <w:rPr>
          <w:rFonts w:ascii="Arial" w:hAnsi="Arial"/>
          <w:b/>
          <w:sz w:val="22"/>
          <w:lang w:val="es-CO"/>
        </w:rPr>
        <w:fldChar w:fldCharType="separate"/>
      </w:r>
      <w:r w:rsidRPr="0011752D">
        <w:rPr>
          <w:rFonts w:ascii="Arial" w:hAnsi="Arial"/>
          <w:b/>
          <w:noProof/>
          <w:sz w:val="22"/>
          <w:lang w:val="es-CO"/>
        </w:rPr>
        <w:t>11</w:t>
      </w:r>
      <w:r w:rsidRPr="0011752D">
        <w:rPr>
          <w:rFonts w:ascii="Arial" w:hAnsi="Arial"/>
          <w:b/>
          <w:sz w:val="22"/>
          <w:lang w:val="es-CO"/>
        </w:rPr>
        <w:fldChar w:fldCharType="end"/>
      </w:r>
      <w:bookmarkEnd w:id="93"/>
      <w:r w:rsidRPr="0011752D">
        <w:rPr>
          <w:rFonts w:ascii="Arial" w:hAnsi="Arial"/>
          <w:b/>
          <w:sz w:val="22"/>
          <w:lang w:val="es-CO"/>
        </w:rPr>
        <w:t xml:space="preserve"> – Resumen de beneficios y costos por la implementación de medidas de eficiencia energética en el sector eléctrico ($USD Millones)</w:t>
      </w:r>
      <w:bookmarkEnd w:id="94"/>
      <w:bookmarkEnd w:id="95"/>
    </w:p>
    <w:tbl>
      <w:tblPr>
        <w:tblW w:w="5000" w:type="pct"/>
        <w:tblCellMar>
          <w:left w:w="70" w:type="dxa"/>
          <w:right w:w="70" w:type="dxa"/>
        </w:tblCellMar>
        <w:tblLook w:val="04A0" w:firstRow="1" w:lastRow="0" w:firstColumn="1" w:lastColumn="0" w:noHBand="0" w:noVBand="1"/>
      </w:tblPr>
      <w:tblGrid>
        <w:gridCol w:w="3580"/>
        <w:gridCol w:w="951"/>
        <w:gridCol w:w="870"/>
        <w:gridCol w:w="870"/>
        <w:gridCol w:w="834"/>
        <w:gridCol w:w="764"/>
        <w:gridCol w:w="766"/>
      </w:tblGrid>
      <w:tr w:rsidR="0011752D" w:rsidRPr="0011752D" w14:paraId="2341ACAA" w14:textId="77777777" w:rsidTr="00390762">
        <w:trPr>
          <w:trHeight w:val="300"/>
        </w:trPr>
        <w:tc>
          <w:tcPr>
            <w:tcW w:w="2081" w:type="pct"/>
            <w:tcBorders>
              <w:top w:val="nil"/>
              <w:left w:val="nil"/>
              <w:bottom w:val="single" w:sz="4" w:space="0" w:color="auto"/>
              <w:right w:val="nil"/>
            </w:tcBorders>
            <w:shd w:val="clear" w:color="auto" w:fill="auto"/>
            <w:noWrap/>
            <w:vAlign w:val="bottom"/>
            <w:hideMark/>
          </w:tcPr>
          <w:p w14:paraId="2341ACA3"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 </w:t>
            </w:r>
          </w:p>
        </w:tc>
        <w:tc>
          <w:tcPr>
            <w:tcW w:w="538" w:type="pct"/>
            <w:tcBorders>
              <w:top w:val="single" w:sz="4" w:space="0" w:color="FFFFFF"/>
              <w:left w:val="nil"/>
              <w:bottom w:val="single" w:sz="4" w:space="0" w:color="auto"/>
              <w:right w:val="single" w:sz="4" w:space="0" w:color="FFFFFF"/>
            </w:tcBorders>
            <w:shd w:val="clear" w:color="000000" w:fill="203764"/>
            <w:noWrap/>
            <w:vAlign w:val="bottom"/>
            <w:hideMark/>
          </w:tcPr>
          <w:p w14:paraId="2341ACA4" w14:textId="77777777" w:rsidR="0011752D" w:rsidRPr="0011752D" w:rsidRDefault="0011752D" w:rsidP="0011752D">
            <w:pPr>
              <w:jc w:val="center"/>
              <w:rPr>
                <w:rFonts w:ascii="Calibri" w:hAnsi="Calibri"/>
                <w:color w:val="FFFFFF"/>
                <w:sz w:val="16"/>
                <w:szCs w:val="16"/>
                <w:lang w:val="es-CO" w:eastAsia="es-CO"/>
              </w:rPr>
            </w:pPr>
            <w:r w:rsidRPr="0011752D">
              <w:rPr>
                <w:rFonts w:ascii="Calibri" w:hAnsi="Calibri"/>
                <w:color w:val="FFFFFF"/>
                <w:sz w:val="16"/>
                <w:szCs w:val="16"/>
                <w:lang w:val="es-CO" w:eastAsia="es-CO"/>
              </w:rPr>
              <w:t>2017</w:t>
            </w:r>
          </w:p>
        </w:tc>
        <w:tc>
          <w:tcPr>
            <w:tcW w:w="492" w:type="pct"/>
            <w:tcBorders>
              <w:top w:val="single" w:sz="4" w:space="0" w:color="FFFFFF"/>
              <w:left w:val="nil"/>
              <w:bottom w:val="single" w:sz="4" w:space="0" w:color="auto"/>
              <w:right w:val="single" w:sz="4" w:space="0" w:color="FFFFFF"/>
            </w:tcBorders>
            <w:shd w:val="clear" w:color="000000" w:fill="203764"/>
            <w:noWrap/>
            <w:vAlign w:val="bottom"/>
            <w:hideMark/>
          </w:tcPr>
          <w:p w14:paraId="2341ACA5" w14:textId="77777777" w:rsidR="0011752D" w:rsidRPr="0011752D" w:rsidRDefault="0011752D" w:rsidP="0011752D">
            <w:pPr>
              <w:jc w:val="center"/>
              <w:rPr>
                <w:rFonts w:ascii="Calibri" w:hAnsi="Calibri"/>
                <w:color w:val="FFFFFF"/>
                <w:sz w:val="16"/>
                <w:szCs w:val="16"/>
                <w:lang w:val="es-CO" w:eastAsia="es-CO"/>
              </w:rPr>
            </w:pPr>
            <w:r w:rsidRPr="0011752D">
              <w:rPr>
                <w:rFonts w:ascii="Calibri" w:hAnsi="Calibri"/>
                <w:color w:val="FFFFFF"/>
                <w:sz w:val="16"/>
                <w:szCs w:val="16"/>
                <w:lang w:val="es-CO" w:eastAsia="es-CO"/>
              </w:rPr>
              <w:t>2018</w:t>
            </w:r>
          </w:p>
        </w:tc>
        <w:tc>
          <w:tcPr>
            <w:tcW w:w="492" w:type="pct"/>
            <w:tcBorders>
              <w:top w:val="single" w:sz="4" w:space="0" w:color="FFFFFF"/>
              <w:left w:val="nil"/>
              <w:bottom w:val="single" w:sz="4" w:space="0" w:color="auto"/>
              <w:right w:val="single" w:sz="4" w:space="0" w:color="FFFFFF"/>
            </w:tcBorders>
            <w:shd w:val="clear" w:color="000000" w:fill="203764"/>
            <w:noWrap/>
            <w:vAlign w:val="bottom"/>
            <w:hideMark/>
          </w:tcPr>
          <w:p w14:paraId="2341ACA6" w14:textId="77777777" w:rsidR="0011752D" w:rsidRPr="0011752D" w:rsidRDefault="0011752D" w:rsidP="0011752D">
            <w:pPr>
              <w:jc w:val="center"/>
              <w:rPr>
                <w:rFonts w:ascii="Calibri" w:hAnsi="Calibri"/>
                <w:color w:val="FFFFFF"/>
                <w:sz w:val="16"/>
                <w:szCs w:val="16"/>
                <w:lang w:val="es-CO" w:eastAsia="es-CO"/>
              </w:rPr>
            </w:pPr>
            <w:r w:rsidRPr="0011752D">
              <w:rPr>
                <w:rFonts w:ascii="Calibri" w:hAnsi="Calibri"/>
                <w:color w:val="FFFFFF"/>
                <w:sz w:val="16"/>
                <w:szCs w:val="16"/>
                <w:lang w:val="es-CO" w:eastAsia="es-CO"/>
              </w:rPr>
              <w:t>2019</w:t>
            </w:r>
          </w:p>
        </w:tc>
        <w:tc>
          <w:tcPr>
            <w:tcW w:w="492" w:type="pct"/>
            <w:tcBorders>
              <w:top w:val="single" w:sz="4" w:space="0" w:color="FFFFFF"/>
              <w:left w:val="nil"/>
              <w:bottom w:val="single" w:sz="4" w:space="0" w:color="auto"/>
              <w:right w:val="single" w:sz="4" w:space="0" w:color="FFFFFF"/>
            </w:tcBorders>
            <w:shd w:val="clear" w:color="000000" w:fill="203764"/>
            <w:noWrap/>
            <w:vAlign w:val="bottom"/>
            <w:hideMark/>
          </w:tcPr>
          <w:p w14:paraId="2341ACA7" w14:textId="77777777" w:rsidR="0011752D" w:rsidRPr="0011752D" w:rsidRDefault="0011752D" w:rsidP="0011752D">
            <w:pPr>
              <w:jc w:val="center"/>
              <w:rPr>
                <w:rFonts w:ascii="Calibri" w:hAnsi="Calibri"/>
                <w:color w:val="FFFFFF"/>
                <w:sz w:val="16"/>
                <w:szCs w:val="16"/>
                <w:lang w:val="es-CO" w:eastAsia="es-CO"/>
              </w:rPr>
            </w:pPr>
            <w:r w:rsidRPr="0011752D">
              <w:rPr>
                <w:rFonts w:ascii="Calibri" w:hAnsi="Calibri"/>
                <w:color w:val="FFFFFF"/>
                <w:sz w:val="16"/>
                <w:szCs w:val="16"/>
                <w:lang w:val="es-CO" w:eastAsia="es-CO"/>
              </w:rPr>
              <w:t>2020</w:t>
            </w:r>
          </w:p>
        </w:tc>
        <w:tc>
          <w:tcPr>
            <w:tcW w:w="451" w:type="pct"/>
            <w:tcBorders>
              <w:top w:val="single" w:sz="4" w:space="0" w:color="FFFFFF"/>
              <w:left w:val="nil"/>
              <w:bottom w:val="single" w:sz="4" w:space="0" w:color="auto"/>
              <w:right w:val="single" w:sz="4" w:space="0" w:color="FFFFFF"/>
            </w:tcBorders>
            <w:shd w:val="clear" w:color="000000" w:fill="203764"/>
            <w:noWrap/>
            <w:vAlign w:val="bottom"/>
            <w:hideMark/>
          </w:tcPr>
          <w:p w14:paraId="2341ACA8" w14:textId="77777777" w:rsidR="0011752D" w:rsidRPr="0011752D" w:rsidRDefault="0011752D" w:rsidP="0011752D">
            <w:pPr>
              <w:jc w:val="center"/>
              <w:rPr>
                <w:rFonts w:ascii="Calibri" w:hAnsi="Calibri"/>
                <w:color w:val="FFFFFF"/>
                <w:sz w:val="16"/>
                <w:szCs w:val="16"/>
                <w:lang w:val="es-CO" w:eastAsia="es-CO"/>
              </w:rPr>
            </w:pPr>
            <w:r w:rsidRPr="0011752D">
              <w:rPr>
                <w:rFonts w:ascii="Calibri" w:hAnsi="Calibri"/>
                <w:color w:val="FFFFFF"/>
                <w:sz w:val="16"/>
                <w:szCs w:val="16"/>
                <w:lang w:val="es-CO" w:eastAsia="es-CO"/>
              </w:rPr>
              <w:t>2021</w:t>
            </w:r>
          </w:p>
        </w:tc>
        <w:tc>
          <w:tcPr>
            <w:tcW w:w="452" w:type="pct"/>
            <w:tcBorders>
              <w:top w:val="single" w:sz="4" w:space="0" w:color="FFFFFF"/>
              <w:left w:val="nil"/>
              <w:bottom w:val="single" w:sz="4" w:space="0" w:color="auto"/>
              <w:right w:val="single" w:sz="4" w:space="0" w:color="FFFFFF"/>
            </w:tcBorders>
            <w:shd w:val="clear" w:color="000000" w:fill="203764"/>
            <w:noWrap/>
            <w:vAlign w:val="bottom"/>
            <w:hideMark/>
          </w:tcPr>
          <w:p w14:paraId="2341ACA9" w14:textId="77777777" w:rsidR="0011752D" w:rsidRPr="0011752D" w:rsidRDefault="0011752D" w:rsidP="0011752D">
            <w:pPr>
              <w:jc w:val="center"/>
              <w:rPr>
                <w:rFonts w:ascii="Calibri" w:hAnsi="Calibri"/>
                <w:color w:val="FFFFFF"/>
                <w:sz w:val="16"/>
                <w:szCs w:val="16"/>
                <w:lang w:val="es-CO" w:eastAsia="es-CO"/>
              </w:rPr>
            </w:pPr>
            <w:r w:rsidRPr="0011752D">
              <w:rPr>
                <w:rFonts w:ascii="Calibri" w:hAnsi="Calibri"/>
                <w:color w:val="FFFFFF"/>
                <w:sz w:val="16"/>
                <w:szCs w:val="16"/>
                <w:lang w:val="es-CO" w:eastAsia="es-CO"/>
              </w:rPr>
              <w:t>2022</w:t>
            </w:r>
          </w:p>
        </w:tc>
      </w:tr>
      <w:tr w:rsidR="0011752D" w:rsidRPr="0011752D" w14:paraId="2341ACB2" w14:textId="77777777" w:rsidTr="00390762">
        <w:trPr>
          <w:trHeight w:val="300"/>
        </w:trPr>
        <w:tc>
          <w:tcPr>
            <w:tcW w:w="2081" w:type="pct"/>
            <w:tcBorders>
              <w:top w:val="nil"/>
              <w:left w:val="nil"/>
              <w:bottom w:val="single" w:sz="4" w:space="0" w:color="auto"/>
              <w:right w:val="nil"/>
            </w:tcBorders>
            <w:shd w:val="clear" w:color="000000" w:fill="E7E6E6"/>
            <w:noWrap/>
            <w:vAlign w:val="bottom"/>
            <w:hideMark/>
          </w:tcPr>
          <w:p w14:paraId="2341ACAB" w14:textId="77777777" w:rsidR="0011752D" w:rsidRPr="0011752D" w:rsidRDefault="0011752D" w:rsidP="0011752D">
            <w:pPr>
              <w:rPr>
                <w:rFonts w:ascii="Calibri" w:hAnsi="Calibri"/>
                <w:b/>
                <w:bCs/>
                <w:color w:val="000000"/>
                <w:sz w:val="16"/>
                <w:szCs w:val="16"/>
                <w:lang w:val="es-CO" w:eastAsia="es-CO"/>
              </w:rPr>
            </w:pPr>
            <w:r w:rsidRPr="0011752D">
              <w:rPr>
                <w:rFonts w:ascii="Calibri" w:hAnsi="Calibri"/>
                <w:b/>
                <w:bCs/>
                <w:color w:val="000000"/>
                <w:sz w:val="16"/>
                <w:szCs w:val="16"/>
                <w:lang w:val="es-CO" w:eastAsia="es-CO"/>
              </w:rPr>
              <w:t>Sector Residencial</w:t>
            </w:r>
          </w:p>
        </w:tc>
        <w:tc>
          <w:tcPr>
            <w:tcW w:w="538" w:type="pct"/>
            <w:tcBorders>
              <w:top w:val="nil"/>
              <w:left w:val="nil"/>
              <w:bottom w:val="single" w:sz="4" w:space="0" w:color="auto"/>
              <w:right w:val="nil"/>
            </w:tcBorders>
            <w:shd w:val="clear" w:color="000000" w:fill="E7E6E6"/>
            <w:noWrap/>
            <w:vAlign w:val="bottom"/>
            <w:hideMark/>
          </w:tcPr>
          <w:p w14:paraId="2341ACAC"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 </w:t>
            </w:r>
          </w:p>
        </w:tc>
        <w:tc>
          <w:tcPr>
            <w:tcW w:w="492" w:type="pct"/>
            <w:tcBorders>
              <w:top w:val="nil"/>
              <w:left w:val="nil"/>
              <w:bottom w:val="single" w:sz="4" w:space="0" w:color="auto"/>
              <w:right w:val="nil"/>
            </w:tcBorders>
            <w:shd w:val="clear" w:color="000000" w:fill="E7E6E6"/>
            <w:noWrap/>
            <w:vAlign w:val="bottom"/>
            <w:hideMark/>
          </w:tcPr>
          <w:p w14:paraId="2341ACAD"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 </w:t>
            </w:r>
          </w:p>
        </w:tc>
        <w:tc>
          <w:tcPr>
            <w:tcW w:w="492" w:type="pct"/>
            <w:tcBorders>
              <w:top w:val="nil"/>
              <w:left w:val="nil"/>
              <w:bottom w:val="single" w:sz="4" w:space="0" w:color="auto"/>
              <w:right w:val="nil"/>
            </w:tcBorders>
            <w:shd w:val="clear" w:color="000000" w:fill="E7E6E6"/>
            <w:noWrap/>
            <w:vAlign w:val="bottom"/>
            <w:hideMark/>
          </w:tcPr>
          <w:p w14:paraId="2341ACAE"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 </w:t>
            </w:r>
          </w:p>
        </w:tc>
        <w:tc>
          <w:tcPr>
            <w:tcW w:w="492" w:type="pct"/>
            <w:tcBorders>
              <w:top w:val="nil"/>
              <w:left w:val="nil"/>
              <w:bottom w:val="single" w:sz="4" w:space="0" w:color="auto"/>
              <w:right w:val="nil"/>
            </w:tcBorders>
            <w:shd w:val="clear" w:color="000000" w:fill="E7E6E6"/>
            <w:noWrap/>
            <w:vAlign w:val="bottom"/>
            <w:hideMark/>
          </w:tcPr>
          <w:p w14:paraId="2341ACAF"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 </w:t>
            </w:r>
          </w:p>
        </w:tc>
        <w:tc>
          <w:tcPr>
            <w:tcW w:w="451" w:type="pct"/>
            <w:tcBorders>
              <w:top w:val="nil"/>
              <w:left w:val="nil"/>
              <w:bottom w:val="single" w:sz="4" w:space="0" w:color="auto"/>
              <w:right w:val="nil"/>
            </w:tcBorders>
            <w:shd w:val="clear" w:color="000000" w:fill="E7E6E6"/>
            <w:noWrap/>
            <w:vAlign w:val="bottom"/>
            <w:hideMark/>
          </w:tcPr>
          <w:p w14:paraId="2341ACB0"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 </w:t>
            </w:r>
          </w:p>
        </w:tc>
        <w:tc>
          <w:tcPr>
            <w:tcW w:w="452" w:type="pct"/>
            <w:tcBorders>
              <w:top w:val="nil"/>
              <w:left w:val="nil"/>
              <w:bottom w:val="single" w:sz="4" w:space="0" w:color="auto"/>
              <w:right w:val="nil"/>
            </w:tcBorders>
            <w:shd w:val="clear" w:color="000000" w:fill="E7E6E6"/>
            <w:noWrap/>
            <w:vAlign w:val="bottom"/>
            <w:hideMark/>
          </w:tcPr>
          <w:p w14:paraId="2341ACB1"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 </w:t>
            </w:r>
          </w:p>
        </w:tc>
      </w:tr>
      <w:tr w:rsidR="0011752D" w:rsidRPr="0011752D" w14:paraId="2341ACBA" w14:textId="77777777" w:rsidTr="00390762">
        <w:trPr>
          <w:trHeight w:val="300"/>
        </w:trPr>
        <w:tc>
          <w:tcPr>
            <w:tcW w:w="2081" w:type="pct"/>
            <w:tcBorders>
              <w:top w:val="nil"/>
              <w:left w:val="nil"/>
              <w:bottom w:val="nil"/>
              <w:right w:val="nil"/>
            </w:tcBorders>
            <w:shd w:val="clear" w:color="auto" w:fill="auto"/>
            <w:noWrap/>
            <w:vAlign w:val="bottom"/>
            <w:hideMark/>
          </w:tcPr>
          <w:p w14:paraId="2341ACB3"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Beneficios</w:t>
            </w:r>
          </w:p>
        </w:tc>
        <w:tc>
          <w:tcPr>
            <w:tcW w:w="538" w:type="pct"/>
            <w:tcBorders>
              <w:top w:val="nil"/>
              <w:left w:val="nil"/>
              <w:bottom w:val="nil"/>
              <w:right w:val="nil"/>
            </w:tcBorders>
            <w:shd w:val="clear" w:color="auto" w:fill="auto"/>
            <w:noWrap/>
            <w:vAlign w:val="bottom"/>
            <w:hideMark/>
          </w:tcPr>
          <w:p w14:paraId="2341ACB4"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38</w:t>
            </w:r>
          </w:p>
        </w:tc>
        <w:tc>
          <w:tcPr>
            <w:tcW w:w="492" w:type="pct"/>
            <w:tcBorders>
              <w:top w:val="nil"/>
              <w:left w:val="nil"/>
              <w:bottom w:val="nil"/>
              <w:right w:val="nil"/>
            </w:tcBorders>
            <w:shd w:val="clear" w:color="auto" w:fill="auto"/>
            <w:noWrap/>
            <w:vAlign w:val="bottom"/>
            <w:hideMark/>
          </w:tcPr>
          <w:p w14:paraId="2341ACB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106</w:t>
            </w:r>
          </w:p>
        </w:tc>
        <w:tc>
          <w:tcPr>
            <w:tcW w:w="492" w:type="pct"/>
            <w:tcBorders>
              <w:top w:val="nil"/>
              <w:left w:val="nil"/>
              <w:bottom w:val="nil"/>
              <w:right w:val="nil"/>
            </w:tcBorders>
            <w:shd w:val="clear" w:color="auto" w:fill="auto"/>
            <w:noWrap/>
            <w:vAlign w:val="bottom"/>
            <w:hideMark/>
          </w:tcPr>
          <w:p w14:paraId="2341ACB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174</w:t>
            </w:r>
          </w:p>
        </w:tc>
        <w:tc>
          <w:tcPr>
            <w:tcW w:w="492" w:type="pct"/>
            <w:tcBorders>
              <w:top w:val="nil"/>
              <w:left w:val="nil"/>
              <w:bottom w:val="nil"/>
              <w:right w:val="nil"/>
            </w:tcBorders>
            <w:shd w:val="clear" w:color="auto" w:fill="auto"/>
            <w:noWrap/>
            <w:vAlign w:val="bottom"/>
            <w:hideMark/>
          </w:tcPr>
          <w:p w14:paraId="2341ACB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1.871</w:t>
            </w:r>
          </w:p>
        </w:tc>
        <w:tc>
          <w:tcPr>
            <w:tcW w:w="451" w:type="pct"/>
            <w:tcBorders>
              <w:top w:val="nil"/>
              <w:left w:val="nil"/>
              <w:bottom w:val="nil"/>
              <w:right w:val="nil"/>
            </w:tcBorders>
            <w:shd w:val="clear" w:color="auto" w:fill="auto"/>
            <w:noWrap/>
            <w:vAlign w:val="bottom"/>
            <w:hideMark/>
          </w:tcPr>
          <w:p w14:paraId="2341ACB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310</w:t>
            </w:r>
          </w:p>
        </w:tc>
        <w:tc>
          <w:tcPr>
            <w:tcW w:w="452" w:type="pct"/>
            <w:tcBorders>
              <w:top w:val="nil"/>
              <w:left w:val="nil"/>
              <w:bottom w:val="nil"/>
              <w:right w:val="nil"/>
            </w:tcBorders>
            <w:shd w:val="clear" w:color="auto" w:fill="auto"/>
            <w:noWrap/>
            <w:vAlign w:val="bottom"/>
            <w:hideMark/>
          </w:tcPr>
          <w:p w14:paraId="2341ACB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340</w:t>
            </w:r>
          </w:p>
        </w:tc>
      </w:tr>
      <w:tr w:rsidR="0011752D" w:rsidRPr="0011752D" w14:paraId="2341ACC2" w14:textId="77777777" w:rsidTr="00390762">
        <w:trPr>
          <w:trHeight w:val="300"/>
        </w:trPr>
        <w:tc>
          <w:tcPr>
            <w:tcW w:w="2081" w:type="pct"/>
            <w:tcBorders>
              <w:top w:val="nil"/>
              <w:left w:val="nil"/>
              <w:bottom w:val="single" w:sz="4" w:space="0" w:color="auto"/>
              <w:right w:val="nil"/>
            </w:tcBorders>
            <w:shd w:val="clear" w:color="auto" w:fill="auto"/>
            <w:noWrap/>
            <w:vAlign w:val="bottom"/>
            <w:hideMark/>
          </w:tcPr>
          <w:p w14:paraId="2341ACBB"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Costos</w:t>
            </w:r>
          </w:p>
        </w:tc>
        <w:tc>
          <w:tcPr>
            <w:tcW w:w="538" w:type="pct"/>
            <w:tcBorders>
              <w:top w:val="nil"/>
              <w:left w:val="nil"/>
              <w:bottom w:val="single" w:sz="4" w:space="0" w:color="auto"/>
              <w:right w:val="nil"/>
            </w:tcBorders>
            <w:shd w:val="clear" w:color="auto" w:fill="auto"/>
            <w:noWrap/>
            <w:vAlign w:val="bottom"/>
            <w:hideMark/>
          </w:tcPr>
          <w:p w14:paraId="2341ACBC"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472</w:t>
            </w:r>
          </w:p>
        </w:tc>
        <w:tc>
          <w:tcPr>
            <w:tcW w:w="492" w:type="pct"/>
            <w:tcBorders>
              <w:top w:val="nil"/>
              <w:left w:val="nil"/>
              <w:bottom w:val="single" w:sz="4" w:space="0" w:color="auto"/>
              <w:right w:val="nil"/>
            </w:tcBorders>
            <w:shd w:val="clear" w:color="auto" w:fill="auto"/>
            <w:noWrap/>
            <w:vAlign w:val="bottom"/>
            <w:hideMark/>
          </w:tcPr>
          <w:p w14:paraId="2341ACBD"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472</w:t>
            </w:r>
          </w:p>
        </w:tc>
        <w:tc>
          <w:tcPr>
            <w:tcW w:w="492" w:type="pct"/>
            <w:tcBorders>
              <w:top w:val="nil"/>
              <w:left w:val="nil"/>
              <w:bottom w:val="single" w:sz="4" w:space="0" w:color="auto"/>
              <w:right w:val="nil"/>
            </w:tcBorders>
            <w:shd w:val="clear" w:color="auto" w:fill="auto"/>
            <w:noWrap/>
            <w:vAlign w:val="bottom"/>
            <w:hideMark/>
          </w:tcPr>
          <w:p w14:paraId="2341ACBE"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472</w:t>
            </w:r>
          </w:p>
        </w:tc>
        <w:tc>
          <w:tcPr>
            <w:tcW w:w="492" w:type="pct"/>
            <w:tcBorders>
              <w:top w:val="nil"/>
              <w:left w:val="nil"/>
              <w:bottom w:val="single" w:sz="4" w:space="0" w:color="auto"/>
              <w:right w:val="nil"/>
            </w:tcBorders>
            <w:shd w:val="clear" w:color="auto" w:fill="auto"/>
            <w:noWrap/>
            <w:vAlign w:val="bottom"/>
            <w:hideMark/>
          </w:tcPr>
          <w:p w14:paraId="2341ACBF"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472</w:t>
            </w:r>
          </w:p>
        </w:tc>
        <w:tc>
          <w:tcPr>
            <w:tcW w:w="451" w:type="pct"/>
            <w:tcBorders>
              <w:top w:val="nil"/>
              <w:left w:val="nil"/>
              <w:bottom w:val="single" w:sz="4" w:space="0" w:color="auto"/>
              <w:right w:val="nil"/>
            </w:tcBorders>
            <w:shd w:val="clear" w:color="auto" w:fill="auto"/>
            <w:noWrap/>
            <w:vAlign w:val="bottom"/>
            <w:hideMark/>
          </w:tcPr>
          <w:p w14:paraId="2341ACC0"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472</w:t>
            </w:r>
          </w:p>
        </w:tc>
        <w:tc>
          <w:tcPr>
            <w:tcW w:w="452" w:type="pct"/>
            <w:tcBorders>
              <w:top w:val="nil"/>
              <w:left w:val="nil"/>
              <w:bottom w:val="single" w:sz="4" w:space="0" w:color="auto"/>
              <w:right w:val="nil"/>
            </w:tcBorders>
            <w:shd w:val="clear" w:color="auto" w:fill="auto"/>
            <w:noWrap/>
            <w:vAlign w:val="bottom"/>
            <w:hideMark/>
          </w:tcPr>
          <w:p w14:paraId="2341ACC1"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0</w:t>
            </w:r>
          </w:p>
        </w:tc>
      </w:tr>
      <w:tr w:rsidR="0011752D" w:rsidRPr="0011752D" w14:paraId="2341ACCA" w14:textId="77777777" w:rsidTr="00390762">
        <w:trPr>
          <w:trHeight w:val="300"/>
        </w:trPr>
        <w:tc>
          <w:tcPr>
            <w:tcW w:w="2081" w:type="pct"/>
            <w:tcBorders>
              <w:top w:val="nil"/>
              <w:left w:val="nil"/>
              <w:bottom w:val="single" w:sz="4" w:space="0" w:color="auto"/>
              <w:right w:val="nil"/>
            </w:tcBorders>
            <w:shd w:val="clear" w:color="auto" w:fill="auto"/>
            <w:noWrap/>
            <w:vAlign w:val="bottom"/>
            <w:hideMark/>
          </w:tcPr>
          <w:p w14:paraId="2341ACC3"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Flujo Neto Sector Residencial ($USD Millones)</w:t>
            </w:r>
          </w:p>
        </w:tc>
        <w:tc>
          <w:tcPr>
            <w:tcW w:w="538" w:type="pct"/>
            <w:tcBorders>
              <w:top w:val="nil"/>
              <w:left w:val="nil"/>
              <w:bottom w:val="single" w:sz="4" w:space="0" w:color="auto"/>
              <w:right w:val="nil"/>
            </w:tcBorders>
            <w:shd w:val="clear" w:color="auto" w:fill="auto"/>
            <w:noWrap/>
            <w:vAlign w:val="bottom"/>
            <w:hideMark/>
          </w:tcPr>
          <w:p w14:paraId="2341ACC4"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-434</w:t>
            </w:r>
          </w:p>
        </w:tc>
        <w:tc>
          <w:tcPr>
            <w:tcW w:w="492" w:type="pct"/>
            <w:tcBorders>
              <w:top w:val="nil"/>
              <w:left w:val="nil"/>
              <w:bottom w:val="single" w:sz="4" w:space="0" w:color="auto"/>
              <w:right w:val="nil"/>
            </w:tcBorders>
            <w:shd w:val="clear" w:color="auto" w:fill="auto"/>
            <w:noWrap/>
            <w:vAlign w:val="bottom"/>
            <w:hideMark/>
          </w:tcPr>
          <w:p w14:paraId="2341ACC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-366</w:t>
            </w:r>
          </w:p>
        </w:tc>
        <w:tc>
          <w:tcPr>
            <w:tcW w:w="492" w:type="pct"/>
            <w:tcBorders>
              <w:top w:val="nil"/>
              <w:left w:val="nil"/>
              <w:bottom w:val="single" w:sz="4" w:space="0" w:color="auto"/>
              <w:right w:val="nil"/>
            </w:tcBorders>
            <w:shd w:val="clear" w:color="auto" w:fill="auto"/>
            <w:noWrap/>
            <w:vAlign w:val="bottom"/>
            <w:hideMark/>
          </w:tcPr>
          <w:p w14:paraId="2341ACC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-298</w:t>
            </w:r>
          </w:p>
        </w:tc>
        <w:tc>
          <w:tcPr>
            <w:tcW w:w="492" w:type="pct"/>
            <w:tcBorders>
              <w:top w:val="nil"/>
              <w:left w:val="nil"/>
              <w:bottom w:val="single" w:sz="4" w:space="0" w:color="auto"/>
              <w:right w:val="nil"/>
            </w:tcBorders>
            <w:shd w:val="clear" w:color="auto" w:fill="auto"/>
            <w:noWrap/>
            <w:vAlign w:val="bottom"/>
            <w:hideMark/>
          </w:tcPr>
          <w:p w14:paraId="2341ACC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1.399</w:t>
            </w:r>
          </w:p>
        </w:tc>
        <w:tc>
          <w:tcPr>
            <w:tcW w:w="451" w:type="pct"/>
            <w:tcBorders>
              <w:top w:val="nil"/>
              <w:left w:val="nil"/>
              <w:bottom w:val="single" w:sz="4" w:space="0" w:color="auto"/>
              <w:right w:val="nil"/>
            </w:tcBorders>
            <w:shd w:val="clear" w:color="auto" w:fill="auto"/>
            <w:noWrap/>
            <w:vAlign w:val="bottom"/>
            <w:hideMark/>
          </w:tcPr>
          <w:p w14:paraId="2341ACC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-162</w:t>
            </w:r>
          </w:p>
        </w:tc>
        <w:tc>
          <w:tcPr>
            <w:tcW w:w="452" w:type="pct"/>
            <w:tcBorders>
              <w:top w:val="nil"/>
              <w:left w:val="nil"/>
              <w:bottom w:val="single" w:sz="4" w:space="0" w:color="auto"/>
              <w:right w:val="nil"/>
            </w:tcBorders>
            <w:shd w:val="clear" w:color="auto" w:fill="auto"/>
            <w:noWrap/>
            <w:vAlign w:val="bottom"/>
            <w:hideMark/>
          </w:tcPr>
          <w:p w14:paraId="2341ACC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340</w:t>
            </w:r>
          </w:p>
        </w:tc>
      </w:tr>
      <w:tr w:rsidR="0011752D" w:rsidRPr="0011752D" w14:paraId="2341ACD2" w14:textId="77777777" w:rsidTr="00390762">
        <w:trPr>
          <w:trHeight w:val="300"/>
        </w:trPr>
        <w:tc>
          <w:tcPr>
            <w:tcW w:w="2081" w:type="pct"/>
            <w:tcBorders>
              <w:top w:val="nil"/>
              <w:left w:val="nil"/>
              <w:bottom w:val="single" w:sz="4" w:space="0" w:color="auto"/>
              <w:right w:val="nil"/>
            </w:tcBorders>
            <w:shd w:val="clear" w:color="000000" w:fill="E7E6E6"/>
            <w:noWrap/>
            <w:vAlign w:val="bottom"/>
            <w:hideMark/>
          </w:tcPr>
          <w:p w14:paraId="2341ACCB" w14:textId="77777777" w:rsidR="0011752D" w:rsidRPr="0011752D" w:rsidRDefault="0011752D" w:rsidP="0011752D">
            <w:pPr>
              <w:rPr>
                <w:rFonts w:ascii="Calibri" w:hAnsi="Calibri"/>
                <w:b/>
                <w:bCs/>
                <w:color w:val="000000"/>
                <w:sz w:val="16"/>
                <w:szCs w:val="16"/>
                <w:lang w:val="es-CO" w:eastAsia="es-CO"/>
              </w:rPr>
            </w:pPr>
            <w:r w:rsidRPr="0011752D">
              <w:rPr>
                <w:rFonts w:ascii="Calibri" w:hAnsi="Calibri"/>
                <w:b/>
                <w:bCs/>
                <w:color w:val="000000"/>
                <w:sz w:val="16"/>
                <w:szCs w:val="16"/>
                <w:lang w:val="es-CO" w:eastAsia="es-CO"/>
              </w:rPr>
              <w:t>Sector Comercial</w:t>
            </w:r>
          </w:p>
        </w:tc>
        <w:tc>
          <w:tcPr>
            <w:tcW w:w="538" w:type="pct"/>
            <w:tcBorders>
              <w:top w:val="nil"/>
              <w:left w:val="nil"/>
              <w:bottom w:val="single" w:sz="4" w:space="0" w:color="auto"/>
              <w:right w:val="nil"/>
            </w:tcBorders>
            <w:shd w:val="clear" w:color="000000" w:fill="E7E6E6"/>
            <w:noWrap/>
            <w:vAlign w:val="bottom"/>
            <w:hideMark/>
          </w:tcPr>
          <w:p w14:paraId="2341ACCC"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492" w:type="pct"/>
            <w:tcBorders>
              <w:top w:val="nil"/>
              <w:left w:val="nil"/>
              <w:bottom w:val="single" w:sz="4" w:space="0" w:color="auto"/>
              <w:right w:val="nil"/>
            </w:tcBorders>
            <w:shd w:val="clear" w:color="000000" w:fill="E7E6E6"/>
            <w:noWrap/>
            <w:vAlign w:val="bottom"/>
            <w:hideMark/>
          </w:tcPr>
          <w:p w14:paraId="2341ACCD"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492" w:type="pct"/>
            <w:tcBorders>
              <w:top w:val="nil"/>
              <w:left w:val="nil"/>
              <w:bottom w:val="single" w:sz="4" w:space="0" w:color="auto"/>
              <w:right w:val="nil"/>
            </w:tcBorders>
            <w:shd w:val="clear" w:color="000000" w:fill="E7E6E6"/>
            <w:noWrap/>
            <w:vAlign w:val="bottom"/>
            <w:hideMark/>
          </w:tcPr>
          <w:p w14:paraId="2341ACCE"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492" w:type="pct"/>
            <w:tcBorders>
              <w:top w:val="nil"/>
              <w:left w:val="nil"/>
              <w:bottom w:val="single" w:sz="4" w:space="0" w:color="auto"/>
              <w:right w:val="nil"/>
            </w:tcBorders>
            <w:shd w:val="clear" w:color="000000" w:fill="E7E6E6"/>
            <w:noWrap/>
            <w:vAlign w:val="bottom"/>
            <w:hideMark/>
          </w:tcPr>
          <w:p w14:paraId="2341ACCF"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451" w:type="pct"/>
            <w:tcBorders>
              <w:top w:val="nil"/>
              <w:left w:val="nil"/>
              <w:bottom w:val="single" w:sz="4" w:space="0" w:color="auto"/>
              <w:right w:val="nil"/>
            </w:tcBorders>
            <w:shd w:val="clear" w:color="000000" w:fill="E7E6E6"/>
            <w:noWrap/>
            <w:vAlign w:val="bottom"/>
            <w:hideMark/>
          </w:tcPr>
          <w:p w14:paraId="2341ACD0"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452" w:type="pct"/>
            <w:tcBorders>
              <w:top w:val="nil"/>
              <w:left w:val="nil"/>
              <w:bottom w:val="single" w:sz="4" w:space="0" w:color="auto"/>
              <w:right w:val="nil"/>
            </w:tcBorders>
            <w:shd w:val="clear" w:color="000000" w:fill="E7E6E6"/>
            <w:noWrap/>
            <w:vAlign w:val="bottom"/>
            <w:hideMark/>
          </w:tcPr>
          <w:p w14:paraId="2341ACD1"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r>
      <w:tr w:rsidR="0011752D" w:rsidRPr="0011752D" w14:paraId="2341ACDA" w14:textId="77777777" w:rsidTr="00390762">
        <w:trPr>
          <w:trHeight w:val="300"/>
        </w:trPr>
        <w:tc>
          <w:tcPr>
            <w:tcW w:w="2081" w:type="pct"/>
            <w:tcBorders>
              <w:top w:val="nil"/>
              <w:left w:val="nil"/>
              <w:bottom w:val="nil"/>
              <w:right w:val="nil"/>
            </w:tcBorders>
            <w:shd w:val="clear" w:color="auto" w:fill="auto"/>
            <w:noWrap/>
            <w:vAlign w:val="bottom"/>
            <w:hideMark/>
          </w:tcPr>
          <w:p w14:paraId="2341ACD3"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Beneficios</w:t>
            </w:r>
          </w:p>
        </w:tc>
        <w:tc>
          <w:tcPr>
            <w:tcW w:w="538" w:type="pct"/>
            <w:tcBorders>
              <w:top w:val="nil"/>
              <w:left w:val="nil"/>
              <w:bottom w:val="nil"/>
              <w:right w:val="nil"/>
            </w:tcBorders>
            <w:shd w:val="clear" w:color="auto" w:fill="auto"/>
            <w:noWrap/>
            <w:vAlign w:val="bottom"/>
            <w:hideMark/>
          </w:tcPr>
          <w:p w14:paraId="2341ACD4"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25</w:t>
            </w:r>
          </w:p>
        </w:tc>
        <w:tc>
          <w:tcPr>
            <w:tcW w:w="492" w:type="pct"/>
            <w:tcBorders>
              <w:top w:val="nil"/>
              <w:left w:val="nil"/>
              <w:bottom w:val="nil"/>
              <w:right w:val="nil"/>
            </w:tcBorders>
            <w:shd w:val="clear" w:color="auto" w:fill="auto"/>
            <w:noWrap/>
            <w:vAlign w:val="bottom"/>
            <w:hideMark/>
          </w:tcPr>
          <w:p w14:paraId="2341ACD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50</w:t>
            </w:r>
          </w:p>
        </w:tc>
        <w:tc>
          <w:tcPr>
            <w:tcW w:w="492" w:type="pct"/>
            <w:tcBorders>
              <w:top w:val="nil"/>
              <w:left w:val="nil"/>
              <w:bottom w:val="nil"/>
              <w:right w:val="nil"/>
            </w:tcBorders>
            <w:shd w:val="clear" w:color="auto" w:fill="auto"/>
            <w:noWrap/>
            <w:vAlign w:val="bottom"/>
            <w:hideMark/>
          </w:tcPr>
          <w:p w14:paraId="2341ACD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76</w:t>
            </w:r>
          </w:p>
        </w:tc>
        <w:tc>
          <w:tcPr>
            <w:tcW w:w="492" w:type="pct"/>
            <w:tcBorders>
              <w:top w:val="nil"/>
              <w:left w:val="nil"/>
              <w:bottom w:val="nil"/>
              <w:right w:val="nil"/>
            </w:tcBorders>
            <w:shd w:val="clear" w:color="auto" w:fill="auto"/>
            <w:noWrap/>
            <w:vAlign w:val="bottom"/>
            <w:hideMark/>
          </w:tcPr>
          <w:p w14:paraId="2341ACD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711</w:t>
            </w:r>
          </w:p>
        </w:tc>
        <w:tc>
          <w:tcPr>
            <w:tcW w:w="451" w:type="pct"/>
            <w:tcBorders>
              <w:top w:val="nil"/>
              <w:left w:val="nil"/>
              <w:bottom w:val="nil"/>
              <w:right w:val="nil"/>
            </w:tcBorders>
            <w:shd w:val="clear" w:color="auto" w:fill="auto"/>
            <w:noWrap/>
            <w:vAlign w:val="bottom"/>
            <w:hideMark/>
          </w:tcPr>
          <w:p w14:paraId="2341ACD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126</w:t>
            </w:r>
          </w:p>
        </w:tc>
        <w:tc>
          <w:tcPr>
            <w:tcW w:w="452" w:type="pct"/>
            <w:tcBorders>
              <w:top w:val="nil"/>
              <w:left w:val="nil"/>
              <w:bottom w:val="nil"/>
              <w:right w:val="nil"/>
            </w:tcBorders>
            <w:shd w:val="clear" w:color="auto" w:fill="auto"/>
            <w:noWrap/>
            <w:vAlign w:val="bottom"/>
            <w:hideMark/>
          </w:tcPr>
          <w:p w14:paraId="2341ACD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126</w:t>
            </w:r>
          </w:p>
        </w:tc>
      </w:tr>
      <w:tr w:rsidR="0011752D" w:rsidRPr="0011752D" w14:paraId="2341ACE2" w14:textId="77777777" w:rsidTr="00390762">
        <w:trPr>
          <w:trHeight w:val="300"/>
        </w:trPr>
        <w:tc>
          <w:tcPr>
            <w:tcW w:w="2081" w:type="pct"/>
            <w:tcBorders>
              <w:top w:val="nil"/>
              <w:left w:val="nil"/>
              <w:bottom w:val="single" w:sz="4" w:space="0" w:color="auto"/>
              <w:right w:val="nil"/>
            </w:tcBorders>
            <w:shd w:val="clear" w:color="auto" w:fill="auto"/>
            <w:noWrap/>
            <w:vAlign w:val="bottom"/>
            <w:hideMark/>
          </w:tcPr>
          <w:p w14:paraId="2341ACDB"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Costos</w:t>
            </w:r>
          </w:p>
        </w:tc>
        <w:tc>
          <w:tcPr>
            <w:tcW w:w="538" w:type="pct"/>
            <w:tcBorders>
              <w:top w:val="nil"/>
              <w:left w:val="nil"/>
              <w:bottom w:val="single" w:sz="4" w:space="0" w:color="auto"/>
              <w:right w:val="nil"/>
            </w:tcBorders>
            <w:shd w:val="clear" w:color="auto" w:fill="auto"/>
            <w:noWrap/>
            <w:vAlign w:val="bottom"/>
            <w:hideMark/>
          </w:tcPr>
          <w:p w14:paraId="2341ACDC"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138</w:t>
            </w:r>
          </w:p>
        </w:tc>
        <w:tc>
          <w:tcPr>
            <w:tcW w:w="492" w:type="pct"/>
            <w:tcBorders>
              <w:top w:val="nil"/>
              <w:left w:val="nil"/>
              <w:bottom w:val="single" w:sz="4" w:space="0" w:color="auto"/>
              <w:right w:val="nil"/>
            </w:tcBorders>
            <w:shd w:val="clear" w:color="auto" w:fill="auto"/>
            <w:noWrap/>
            <w:vAlign w:val="bottom"/>
            <w:hideMark/>
          </w:tcPr>
          <w:p w14:paraId="2341ACDD"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138</w:t>
            </w:r>
          </w:p>
        </w:tc>
        <w:tc>
          <w:tcPr>
            <w:tcW w:w="492" w:type="pct"/>
            <w:tcBorders>
              <w:top w:val="nil"/>
              <w:left w:val="nil"/>
              <w:bottom w:val="single" w:sz="4" w:space="0" w:color="auto"/>
              <w:right w:val="nil"/>
            </w:tcBorders>
            <w:shd w:val="clear" w:color="auto" w:fill="auto"/>
            <w:noWrap/>
            <w:vAlign w:val="bottom"/>
            <w:hideMark/>
          </w:tcPr>
          <w:p w14:paraId="2341ACDE"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138</w:t>
            </w:r>
          </w:p>
        </w:tc>
        <w:tc>
          <w:tcPr>
            <w:tcW w:w="492" w:type="pct"/>
            <w:tcBorders>
              <w:top w:val="nil"/>
              <w:left w:val="nil"/>
              <w:bottom w:val="single" w:sz="4" w:space="0" w:color="auto"/>
              <w:right w:val="nil"/>
            </w:tcBorders>
            <w:shd w:val="clear" w:color="auto" w:fill="auto"/>
            <w:noWrap/>
            <w:vAlign w:val="bottom"/>
            <w:hideMark/>
          </w:tcPr>
          <w:p w14:paraId="2341ACDF"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138</w:t>
            </w:r>
          </w:p>
        </w:tc>
        <w:tc>
          <w:tcPr>
            <w:tcW w:w="451" w:type="pct"/>
            <w:tcBorders>
              <w:top w:val="nil"/>
              <w:left w:val="nil"/>
              <w:bottom w:val="single" w:sz="4" w:space="0" w:color="auto"/>
              <w:right w:val="nil"/>
            </w:tcBorders>
            <w:shd w:val="clear" w:color="auto" w:fill="auto"/>
            <w:noWrap/>
            <w:vAlign w:val="bottom"/>
            <w:hideMark/>
          </w:tcPr>
          <w:p w14:paraId="2341ACE0"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138</w:t>
            </w:r>
          </w:p>
        </w:tc>
        <w:tc>
          <w:tcPr>
            <w:tcW w:w="452" w:type="pct"/>
            <w:tcBorders>
              <w:top w:val="nil"/>
              <w:left w:val="nil"/>
              <w:bottom w:val="single" w:sz="4" w:space="0" w:color="auto"/>
              <w:right w:val="nil"/>
            </w:tcBorders>
            <w:shd w:val="clear" w:color="auto" w:fill="auto"/>
            <w:noWrap/>
            <w:vAlign w:val="bottom"/>
            <w:hideMark/>
          </w:tcPr>
          <w:p w14:paraId="2341ACE1"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0</w:t>
            </w:r>
          </w:p>
        </w:tc>
      </w:tr>
      <w:tr w:rsidR="0011752D" w:rsidRPr="0011752D" w14:paraId="2341ACEA" w14:textId="77777777" w:rsidTr="00390762">
        <w:trPr>
          <w:trHeight w:val="300"/>
        </w:trPr>
        <w:tc>
          <w:tcPr>
            <w:tcW w:w="2081" w:type="pct"/>
            <w:tcBorders>
              <w:top w:val="nil"/>
              <w:left w:val="nil"/>
              <w:bottom w:val="single" w:sz="4" w:space="0" w:color="auto"/>
              <w:right w:val="nil"/>
            </w:tcBorders>
            <w:shd w:val="clear" w:color="auto" w:fill="auto"/>
            <w:noWrap/>
            <w:vAlign w:val="bottom"/>
            <w:hideMark/>
          </w:tcPr>
          <w:p w14:paraId="2341ACE3"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Flujo Neto Sector Comercial ($USD Millones)</w:t>
            </w:r>
          </w:p>
        </w:tc>
        <w:tc>
          <w:tcPr>
            <w:tcW w:w="538" w:type="pct"/>
            <w:tcBorders>
              <w:top w:val="nil"/>
              <w:left w:val="nil"/>
              <w:bottom w:val="single" w:sz="4" w:space="0" w:color="auto"/>
              <w:right w:val="nil"/>
            </w:tcBorders>
            <w:shd w:val="clear" w:color="auto" w:fill="auto"/>
            <w:noWrap/>
            <w:vAlign w:val="bottom"/>
            <w:hideMark/>
          </w:tcPr>
          <w:p w14:paraId="2341ACE4"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-113</w:t>
            </w:r>
          </w:p>
        </w:tc>
        <w:tc>
          <w:tcPr>
            <w:tcW w:w="492" w:type="pct"/>
            <w:tcBorders>
              <w:top w:val="nil"/>
              <w:left w:val="nil"/>
              <w:bottom w:val="single" w:sz="4" w:space="0" w:color="auto"/>
              <w:right w:val="nil"/>
            </w:tcBorders>
            <w:shd w:val="clear" w:color="auto" w:fill="auto"/>
            <w:noWrap/>
            <w:vAlign w:val="bottom"/>
            <w:hideMark/>
          </w:tcPr>
          <w:p w14:paraId="2341ACE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-87</w:t>
            </w:r>
          </w:p>
        </w:tc>
        <w:tc>
          <w:tcPr>
            <w:tcW w:w="492" w:type="pct"/>
            <w:tcBorders>
              <w:top w:val="nil"/>
              <w:left w:val="nil"/>
              <w:bottom w:val="single" w:sz="4" w:space="0" w:color="auto"/>
              <w:right w:val="nil"/>
            </w:tcBorders>
            <w:shd w:val="clear" w:color="auto" w:fill="auto"/>
            <w:noWrap/>
            <w:vAlign w:val="bottom"/>
            <w:hideMark/>
          </w:tcPr>
          <w:p w14:paraId="2341ACE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-62</w:t>
            </w:r>
          </w:p>
        </w:tc>
        <w:tc>
          <w:tcPr>
            <w:tcW w:w="492" w:type="pct"/>
            <w:tcBorders>
              <w:top w:val="nil"/>
              <w:left w:val="nil"/>
              <w:bottom w:val="single" w:sz="4" w:space="0" w:color="auto"/>
              <w:right w:val="nil"/>
            </w:tcBorders>
            <w:shd w:val="clear" w:color="auto" w:fill="auto"/>
            <w:noWrap/>
            <w:vAlign w:val="bottom"/>
            <w:hideMark/>
          </w:tcPr>
          <w:p w14:paraId="2341ACE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574</w:t>
            </w:r>
          </w:p>
        </w:tc>
        <w:tc>
          <w:tcPr>
            <w:tcW w:w="451" w:type="pct"/>
            <w:tcBorders>
              <w:top w:val="nil"/>
              <w:left w:val="nil"/>
              <w:bottom w:val="single" w:sz="4" w:space="0" w:color="auto"/>
              <w:right w:val="nil"/>
            </w:tcBorders>
            <w:shd w:val="clear" w:color="auto" w:fill="auto"/>
            <w:noWrap/>
            <w:vAlign w:val="bottom"/>
            <w:hideMark/>
          </w:tcPr>
          <w:p w14:paraId="2341ACE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-12</w:t>
            </w:r>
          </w:p>
        </w:tc>
        <w:tc>
          <w:tcPr>
            <w:tcW w:w="452" w:type="pct"/>
            <w:tcBorders>
              <w:top w:val="nil"/>
              <w:left w:val="nil"/>
              <w:bottom w:val="single" w:sz="4" w:space="0" w:color="auto"/>
              <w:right w:val="nil"/>
            </w:tcBorders>
            <w:shd w:val="clear" w:color="auto" w:fill="auto"/>
            <w:noWrap/>
            <w:vAlign w:val="bottom"/>
            <w:hideMark/>
          </w:tcPr>
          <w:p w14:paraId="2341ACE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126</w:t>
            </w:r>
          </w:p>
        </w:tc>
      </w:tr>
      <w:tr w:rsidR="0011752D" w:rsidRPr="0011752D" w14:paraId="2341ACF2" w14:textId="77777777" w:rsidTr="00390762">
        <w:trPr>
          <w:trHeight w:val="300"/>
        </w:trPr>
        <w:tc>
          <w:tcPr>
            <w:tcW w:w="2081" w:type="pct"/>
            <w:tcBorders>
              <w:top w:val="nil"/>
              <w:left w:val="nil"/>
              <w:bottom w:val="single" w:sz="4" w:space="0" w:color="auto"/>
              <w:right w:val="nil"/>
            </w:tcBorders>
            <w:shd w:val="clear" w:color="000000" w:fill="E7E6E6"/>
            <w:noWrap/>
            <w:vAlign w:val="bottom"/>
            <w:hideMark/>
          </w:tcPr>
          <w:p w14:paraId="2341ACEB" w14:textId="77777777" w:rsidR="0011752D" w:rsidRPr="0011752D" w:rsidRDefault="0011752D" w:rsidP="0011752D">
            <w:pPr>
              <w:rPr>
                <w:rFonts w:ascii="Calibri" w:hAnsi="Calibri"/>
                <w:b/>
                <w:bCs/>
                <w:color w:val="000000"/>
                <w:sz w:val="16"/>
                <w:szCs w:val="16"/>
                <w:lang w:val="es-CO" w:eastAsia="es-CO"/>
              </w:rPr>
            </w:pPr>
            <w:r w:rsidRPr="0011752D">
              <w:rPr>
                <w:rFonts w:ascii="Calibri" w:hAnsi="Calibri"/>
                <w:b/>
                <w:bCs/>
                <w:color w:val="000000"/>
                <w:sz w:val="16"/>
                <w:szCs w:val="16"/>
                <w:lang w:val="es-CO" w:eastAsia="es-CO"/>
              </w:rPr>
              <w:t>Sector Industrial</w:t>
            </w:r>
          </w:p>
        </w:tc>
        <w:tc>
          <w:tcPr>
            <w:tcW w:w="538" w:type="pct"/>
            <w:tcBorders>
              <w:top w:val="nil"/>
              <w:left w:val="nil"/>
              <w:bottom w:val="single" w:sz="4" w:space="0" w:color="auto"/>
              <w:right w:val="nil"/>
            </w:tcBorders>
            <w:shd w:val="clear" w:color="000000" w:fill="E7E6E6"/>
            <w:noWrap/>
            <w:vAlign w:val="bottom"/>
            <w:hideMark/>
          </w:tcPr>
          <w:p w14:paraId="2341ACEC"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492" w:type="pct"/>
            <w:tcBorders>
              <w:top w:val="nil"/>
              <w:left w:val="nil"/>
              <w:bottom w:val="single" w:sz="4" w:space="0" w:color="auto"/>
              <w:right w:val="nil"/>
            </w:tcBorders>
            <w:shd w:val="clear" w:color="000000" w:fill="E7E6E6"/>
            <w:noWrap/>
            <w:vAlign w:val="bottom"/>
            <w:hideMark/>
          </w:tcPr>
          <w:p w14:paraId="2341ACED"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492" w:type="pct"/>
            <w:tcBorders>
              <w:top w:val="nil"/>
              <w:left w:val="nil"/>
              <w:bottom w:val="single" w:sz="4" w:space="0" w:color="auto"/>
              <w:right w:val="nil"/>
            </w:tcBorders>
            <w:shd w:val="clear" w:color="000000" w:fill="E7E6E6"/>
            <w:noWrap/>
            <w:vAlign w:val="bottom"/>
            <w:hideMark/>
          </w:tcPr>
          <w:p w14:paraId="2341ACEE"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492" w:type="pct"/>
            <w:tcBorders>
              <w:top w:val="nil"/>
              <w:left w:val="nil"/>
              <w:bottom w:val="single" w:sz="4" w:space="0" w:color="auto"/>
              <w:right w:val="nil"/>
            </w:tcBorders>
            <w:shd w:val="clear" w:color="000000" w:fill="E7E6E6"/>
            <w:noWrap/>
            <w:vAlign w:val="bottom"/>
            <w:hideMark/>
          </w:tcPr>
          <w:p w14:paraId="2341ACEF"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451" w:type="pct"/>
            <w:tcBorders>
              <w:top w:val="nil"/>
              <w:left w:val="nil"/>
              <w:bottom w:val="single" w:sz="4" w:space="0" w:color="auto"/>
              <w:right w:val="nil"/>
            </w:tcBorders>
            <w:shd w:val="clear" w:color="000000" w:fill="E7E6E6"/>
            <w:noWrap/>
            <w:vAlign w:val="bottom"/>
            <w:hideMark/>
          </w:tcPr>
          <w:p w14:paraId="2341ACF0"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c>
          <w:tcPr>
            <w:tcW w:w="452" w:type="pct"/>
            <w:tcBorders>
              <w:top w:val="nil"/>
              <w:left w:val="nil"/>
              <w:bottom w:val="single" w:sz="4" w:space="0" w:color="auto"/>
              <w:right w:val="nil"/>
            </w:tcBorders>
            <w:shd w:val="clear" w:color="000000" w:fill="E7E6E6"/>
            <w:noWrap/>
            <w:vAlign w:val="bottom"/>
            <w:hideMark/>
          </w:tcPr>
          <w:p w14:paraId="2341ACF1" w14:textId="77777777" w:rsidR="0011752D" w:rsidRPr="0011752D" w:rsidRDefault="0011752D" w:rsidP="0011752D">
            <w:pPr>
              <w:rPr>
                <w:rFonts w:ascii="Calibri" w:hAnsi="Calibri"/>
                <w:color w:val="000000"/>
                <w:sz w:val="16"/>
                <w:szCs w:val="16"/>
                <w:lang w:val="es-CO" w:eastAsia="es-CO"/>
              </w:rPr>
            </w:pPr>
            <w:r w:rsidRPr="0011752D">
              <w:rPr>
                <w:rFonts w:ascii="Calibri" w:hAnsi="Calibri" w:cs="Calibri"/>
                <w:color w:val="000000"/>
                <w:sz w:val="16"/>
                <w:szCs w:val="16"/>
                <w:lang w:val="es-CO"/>
              </w:rPr>
              <w:t> </w:t>
            </w:r>
          </w:p>
        </w:tc>
      </w:tr>
      <w:tr w:rsidR="0011752D" w:rsidRPr="0011752D" w14:paraId="2341ACFA" w14:textId="77777777" w:rsidTr="00390762">
        <w:trPr>
          <w:trHeight w:val="300"/>
        </w:trPr>
        <w:tc>
          <w:tcPr>
            <w:tcW w:w="2081" w:type="pct"/>
            <w:tcBorders>
              <w:top w:val="nil"/>
              <w:left w:val="nil"/>
              <w:bottom w:val="nil"/>
              <w:right w:val="nil"/>
            </w:tcBorders>
            <w:shd w:val="clear" w:color="auto" w:fill="auto"/>
            <w:noWrap/>
            <w:vAlign w:val="bottom"/>
            <w:hideMark/>
          </w:tcPr>
          <w:p w14:paraId="2341ACF3"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Beneficios</w:t>
            </w:r>
          </w:p>
        </w:tc>
        <w:tc>
          <w:tcPr>
            <w:tcW w:w="538" w:type="pct"/>
            <w:tcBorders>
              <w:top w:val="nil"/>
              <w:left w:val="nil"/>
              <w:bottom w:val="nil"/>
              <w:right w:val="nil"/>
            </w:tcBorders>
            <w:shd w:val="clear" w:color="auto" w:fill="auto"/>
            <w:noWrap/>
            <w:vAlign w:val="bottom"/>
            <w:hideMark/>
          </w:tcPr>
          <w:p w14:paraId="2341ACF4"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7</w:t>
            </w:r>
          </w:p>
        </w:tc>
        <w:tc>
          <w:tcPr>
            <w:tcW w:w="492" w:type="pct"/>
            <w:tcBorders>
              <w:top w:val="nil"/>
              <w:left w:val="nil"/>
              <w:bottom w:val="nil"/>
              <w:right w:val="nil"/>
            </w:tcBorders>
            <w:shd w:val="clear" w:color="auto" w:fill="auto"/>
            <w:noWrap/>
            <w:vAlign w:val="bottom"/>
            <w:hideMark/>
          </w:tcPr>
          <w:p w14:paraId="2341ACF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12</w:t>
            </w:r>
          </w:p>
        </w:tc>
        <w:tc>
          <w:tcPr>
            <w:tcW w:w="492" w:type="pct"/>
            <w:tcBorders>
              <w:top w:val="nil"/>
              <w:left w:val="nil"/>
              <w:bottom w:val="nil"/>
              <w:right w:val="nil"/>
            </w:tcBorders>
            <w:shd w:val="clear" w:color="auto" w:fill="auto"/>
            <w:noWrap/>
            <w:vAlign w:val="bottom"/>
            <w:hideMark/>
          </w:tcPr>
          <w:p w14:paraId="2341ACF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18</w:t>
            </w:r>
          </w:p>
        </w:tc>
        <w:tc>
          <w:tcPr>
            <w:tcW w:w="492" w:type="pct"/>
            <w:tcBorders>
              <w:top w:val="nil"/>
              <w:left w:val="nil"/>
              <w:bottom w:val="nil"/>
              <w:right w:val="nil"/>
            </w:tcBorders>
            <w:shd w:val="clear" w:color="auto" w:fill="auto"/>
            <w:noWrap/>
            <w:vAlign w:val="bottom"/>
            <w:hideMark/>
          </w:tcPr>
          <w:p w14:paraId="2341ACF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139</w:t>
            </w:r>
          </w:p>
        </w:tc>
        <w:tc>
          <w:tcPr>
            <w:tcW w:w="451" w:type="pct"/>
            <w:tcBorders>
              <w:top w:val="nil"/>
              <w:left w:val="nil"/>
              <w:bottom w:val="nil"/>
              <w:right w:val="nil"/>
            </w:tcBorders>
            <w:shd w:val="clear" w:color="auto" w:fill="auto"/>
            <w:noWrap/>
            <w:vAlign w:val="bottom"/>
            <w:hideMark/>
          </w:tcPr>
          <w:p w14:paraId="2341ACF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24</w:t>
            </w:r>
          </w:p>
        </w:tc>
        <w:tc>
          <w:tcPr>
            <w:tcW w:w="452" w:type="pct"/>
            <w:tcBorders>
              <w:top w:val="nil"/>
              <w:left w:val="nil"/>
              <w:bottom w:val="nil"/>
              <w:right w:val="nil"/>
            </w:tcBorders>
            <w:shd w:val="clear" w:color="auto" w:fill="auto"/>
            <w:noWrap/>
            <w:vAlign w:val="bottom"/>
            <w:hideMark/>
          </w:tcPr>
          <w:p w14:paraId="2341ACF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24</w:t>
            </w:r>
          </w:p>
        </w:tc>
      </w:tr>
      <w:tr w:rsidR="0011752D" w:rsidRPr="0011752D" w14:paraId="2341AD02" w14:textId="77777777" w:rsidTr="00390762">
        <w:trPr>
          <w:trHeight w:val="300"/>
        </w:trPr>
        <w:tc>
          <w:tcPr>
            <w:tcW w:w="2081" w:type="pct"/>
            <w:tcBorders>
              <w:top w:val="nil"/>
              <w:left w:val="nil"/>
              <w:bottom w:val="single" w:sz="4" w:space="0" w:color="auto"/>
              <w:right w:val="nil"/>
            </w:tcBorders>
            <w:shd w:val="clear" w:color="auto" w:fill="auto"/>
            <w:noWrap/>
            <w:vAlign w:val="bottom"/>
            <w:hideMark/>
          </w:tcPr>
          <w:p w14:paraId="2341ACFB" w14:textId="77777777" w:rsidR="0011752D" w:rsidRPr="0011752D" w:rsidRDefault="0011752D" w:rsidP="0011752D">
            <w:pPr>
              <w:ind w:firstLineChars="100" w:firstLine="160"/>
              <w:rPr>
                <w:rFonts w:ascii="Calibri" w:hAnsi="Calibri"/>
                <w:color w:val="000000"/>
                <w:sz w:val="16"/>
                <w:szCs w:val="16"/>
                <w:lang w:val="es-CO" w:eastAsia="es-CO"/>
              </w:rPr>
            </w:pPr>
            <w:r w:rsidRPr="0011752D">
              <w:rPr>
                <w:rFonts w:ascii="Calibri" w:hAnsi="Calibri"/>
                <w:color w:val="000000"/>
                <w:sz w:val="16"/>
                <w:szCs w:val="16"/>
                <w:lang w:val="es-CO" w:eastAsia="es-CO"/>
              </w:rPr>
              <w:t>Costos</w:t>
            </w:r>
          </w:p>
        </w:tc>
        <w:tc>
          <w:tcPr>
            <w:tcW w:w="538" w:type="pct"/>
            <w:tcBorders>
              <w:top w:val="nil"/>
              <w:left w:val="nil"/>
              <w:bottom w:val="single" w:sz="4" w:space="0" w:color="auto"/>
              <w:right w:val="nil"/>
            </w:tcBorders>
            <w:shd w:val="clear" w:color="auto" w:fill="auto"/>
            <w:noWrap/>
            <w:vAlign w:val="bottom"/>
            <w:hideMark/>
          </w:tcPr>
          <w:p w14:paraId="2341ACFC"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28</w:t>
            </w:r>
          </w:p>
        </w:tc>
        <w:tc>
          <w:tcPr>
            <w:tcW w:w="492" w:type="pct"/>
            <w:tcBorders>
              <w:top w:val="nil"/>
              <w:left w:val="nil"/>
              <w:bottom w:val="single" w:sz="4" w:space="0" w:color="auto"/>
              <w:right w:val="nil"/>
            </w:tcBorders>
            <w:shd w:val="clear" w:color="auto" w:fill="auto"/>
            <w:noWrap/>
            <w:vAlign w:val="bottom"/>
            <w:hideMark/>
          </w:tcPr>
          <w:p w14:paraId="2341ACFD"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28</w:t>
            </w:r>
          </w:p>
        </w:tc>
        <w:tc>
          <w:tcPr>
            <w:tcW w:w="492" w:type="pct"/>
            <w:tcBorders>
              <w:top w:val="nil"/>
              <w:left w:val="nil"/>
              <w:bottom w:val="single" w:sz="4" w:space="0" w:color="auto"/>
              <w:right w:val="nil"/>
            </w:tcBorders>
            <w:shd w:val="clear" w:color="auto" w:fill="auto"/>
            <w:noWrap/>
            <w:vAlign w:val="bottom"/>
            <w:hideMark/>
          </w:tcPr>
          <w:p w14:paraId="2341ACFE"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28</w:t>
            </w:r>
          </w:p>
        </w:tc>
        <w:tc>
          <w:tcPr>
            <w:tcW w:w="492" w:type="pct"/>
            <w:tcBorders>
              <w:top w:val="nil"/>
              <w:left w:val="nil"/>
              <w:bottom w:val="single" w:sz="4" w:space="0" w:color="auto"/>
              <w:right w:val="nil"/>
            </w:tcBorders>
            <w:shd w:val="clear" w:color="auto" w:fill="auto"/>
            <w:noWrap/>
            <w:vAlign w:val="bottom"/>
            <w:hideMark/>
          </w:tcPr>
          <w:p w14:paraId="2341ACFF"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28</w:t>
            </w:r>
          </w:p>
        </w:tc>
        <w:tc>
          <w:tcPr>
            <w:tcW w:w="451" w:type="pct"/>
            <w:tcBorders>
              <w:top w:val="nil"/>
              <w:left w:val="nil"/>
              <w:bottom w:val="single" w:sz="4" w:space="0" w:color="auto"/>
              <w:right w:val="nil"/>
            </w:tcBorders>
            <w:shd w:val="clear" w:color="auto" w:fill="auto"/>
            <w:noWrap/>
            <w:vAlign w:val="bottom"/>
            <w:hideMark/>
          </w:tcPr>
          <w:p w14:paraId="2341AD00"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0</w:t>
            </w:r>
          </w:p>
        </w:tc>
        <w:tc>
          <w:tcPr>
            <w:tcW w:w="452" w:type="pct"/>
            <w:tcBorders>
              <w:top w:val="nil"/>
              <w:left w:val="nil"/>
              <w:bottom w:val="single" w:sz="4" w:space="0" w:color="auto"/>
              <w:right w:val="nil"/>
            </w:tcBorders>
            <w:shd w:val="clear" w:color="auto" w:fill="auto"/>
            <w:noWrap/>
            <w:vAlign w:val="bottom"/>
            <w:hideMark/>
          </w:tcPr>
          <w:p w14:paraId="2341AD01"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0</w:t>
            </w:r>
          </w:p>
        </w:tc>
      </w:tr>
      <w:tr w:rsidR="0011752D" w:rsidRPr="0011752D" w14:paraId="2341AD0A" w14:textId="77777777" w:rsidTr="00390762">
        <w:trPr>
          <w:trHeight w:val="315"/>
        </w:trPr>
        <w:tc>
          <w:tcPr>
            <w:tcW w:w="2081" w:type="pct"/>
            <w:tcBorders>
              <w:top w:val="nil"/>
              <w:left w:val="nil"/>
              <w:bottom w:val="single" w:sz="8" w:space="0" w:color="auto"/>
              <w:right w:val="nil"/>
            </w:tcBorders>
            <w:shd w:val="clear" w:color="auto" w:fill="auto"/>
            <w:noWrap/>
            <w:vAlign w:val="bottom"/>
            <w:hideMark/>
          </w:tcPr>
          <w:p w14:paraId="2341AD03"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Flujo Neto Sector Industrial ($USD Millones)</w:t>
            </w:r>
          </w:p>
        </w:tc>
        <w:tc>
          <w:tcPr>
            <w:tcW w:w="538" w:type="pct"/>
            <w:tcBorders>
              <w:top w:val="nil"/>
              <w:left w:val="nil"/>
              <w:bottom w:val="single" w:sz="8" w:space="0" w:color="auto"/>
              <w:right w:val="nil"/>
            </w:tcBorders>
            <w:shd w:val="clear" w:color="auto" w:fill="auto"/>
            <w:noWrap/>
            <w:vAlign w:val="bottom"/>
            <w:hideMark/>
          </w:tcPr>
          <w:p w14:paraId="2341AD04"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-21</w:t>
            </w:r>
          </w:p>
        </w:tc>
        <w:tc>
          <w:tcPr>
            <w:tcW w:w="492" w:type="pct"/>
            <w:tcBorders>
              <w:top w:val="nil"/>
              <w:left w:val="nil"/>
              <w:bottom w:val="single" w:sz="8" w:space="0" w:color="auto"/>
              <w:right w:val="nil"/>
            </w:tcBorders>
            <w:shd w:val="clear" w:color="auto" w:fill="auto"/>
            <w:noWrap/>
            <w:vAlign w:val="bottom"/>
            <w:hideMark/>
          </w:tcPr>
          <w:p w14:paraId="2341AD0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-15</w:t>
            </w:r>
          </w:p>
        </w:tc>
        <w:tc>
          <w:tcPr>
            <w:tcW w:w="492" w:type="pct"/>
            <w:tcBorders>
              <w:top w:val="nil"/>
              <w:left w:val="nil"/>
              <w:bottom w:val="single" w:sz="8" w:space="0" w:color="auto"/>
              <w:right w:val="nil"/>
            </w:tcBorders>
            <w:shd w:val="clear" w:color="auto" w:fill="auto"/>
            <w:noWrap/>
            <w:vAlign w:val="bottom"/>
            <w:hideMark/>
          </w:tcPr>
          <w:p w14:paraId="2341AD0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-10</w:t>
            </w:r>
          </w:p>
        </w:tc>
        <w:tc>
          <w:tcPr>
            <w:tcW w:w="492" w:type="pct"/>
            <w:tcBorders>
              <w:top w:val="nil"/>
              <w:left w:val="nil"/>
              <w:bottom w:val="single" w:sz="8" w:space="0" w:color="auto"/>
              <w:right w:val="nil"/>
            </w:tcBorders>
            <w:shd w:val="clear" w:color="auto" w:fill="auto"/>
            <w:noWrap/>
            <w:vAlign w:val="bottom"/>
            <w:hideMark/>
          </w:tcPr>
          <w:p w14:paraId="2341AD07"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111</w:t>
            </w:r>
          </w:p>
        </w:tc>
        <w:tc>
          <w:tcPr>
            <w:tcW w:w="451" w:type="pct"/>
            <w:tcBorders>
              <w:top w:val="nil"/>
              <w:left w:val="nil"/>
              <w:bottom w:val="single" w:sz="8" w:space="0" w:color="auto"/>
              <w:right w:val="nil"/>
            </w:tcBorders>
            <w:shd w:val="clear" w:color="auto" w:fill="auto"/>
            <w:noWrap/>
            <w:vAlign w:val="bottom"/>
            <w:hideMark/>
          </w:tcPr>
          <w:p w14:paraId="2341AD08"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24</w:t>
            </w:r>
          </w:p>
        </w:tc>
        <w:tc>
          <w:tcPr>
            <w:tcW w:w="452" w:type="pct"/>
            <w:tcBorders>
              <w:top w:val="nil"/>
              <w:left w:val="nil"/>
              <w:bottom w:val="single" w:sz="8" w:space="0" w:color="auto"/>
              <w:right w:val="nil"/>
            </w:tcBorders>
            <w:shd w:val="clear" w:color="auto" w:fill="auto"/>
            <w:noWrap/>
            <w:vAlign w:val="bottom"/>
            <w:hideMark/>
          </w:tcPr>
          <w:p w14:paraId="2341AD09"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24</w:t>
            </w:r>
          </w:p>
        </w:tc>
      </w:tr>
      <w:tr w:rsidR="0011752D" w:rsidRPr="0011752D" w14:paraId="2341AD12" w14:textId="77777777" w:rsidTr="00390762">
        <w:trPr>
          <w:trHeight w:val="300"/>
        </w:trPr>
        <w:tc>
          <w:tcPr>
            <w:tcW w:w="2081" w:type="pct"/>
            <w:tcBorders>
              <w:top w:val="nil"/>
              <w:left w:val="nil"/>
              <w:bottom w:val="single" w:sz="4" w:space="0" w:color="auto"/>
              <w:right w:val="nil"/>
            </w:tcBorders>
            <w:shd w:val="clear" w:color="000000" w:fill="E7E6E6"/>
            <w:noWrap/>
            <w:vAlign w:val="bottom"/>
            <w:hideMark/>
          </w:tcPr>
          <w:p w14:paraId="2341AD0B" w14:textId="77777777" w:rsidR="0011752D" w:rsidRPr="0011752D" w:rsidRDefault="0011752D" w:rsidP="0011752D">
            <w:pPr>
              <w:rPr>
                <w:rFonts w:ascii="Calibri" w:hAnsi="Calibri"/>
                <w:b/>
                <w:bCs/>
                <w:color w:val="000000"/>
                <w:sz w:val="16"/>
                <w:szCs w:val="16"/>
                <w:lang w:val="es-CO" w:eastAsia="es-CO"/>
              </w:rPr>
            </w:pPr>
            <w:r w:rsidRPr="0011752D">
              <w:rPr>
                <w:rFonts w:ascii="Calibri" w:hAnsi="Calibri"/>
                <w:b/>
                <w:bCs/>
                <w:color w:val="000000"/>
                <w:sz w:val="16"/>
                <w:szCs w:val="16"/>
                <w:lang w:val="es-CO" w:eastAsia="es-CO"/>
              </w:rPr>
              <w:t>Total Beneficios</w:t>
            </w:r>
          </w:p>
        </w:tc>
        <w:tc>
          <w:tcPr>
            <w:tcW w:w="538" w:type="pct"/>
            <w:tcBorders>
              <w:top w:val="nil"/>
              <w:left w:val="nil"/>
              <w:bottom w:val="single" w:sz="4" w:space="0" w:color="auto"/>
              <w:right w:val="nil"/>
            </w:tcBorders>
            <w:shd w:val="clear" w:color="000000" w:fill="E7E6E6"/>
            <w:noWrap/>
            <w:vAlign w:val="bottom"/>
            <w:hideMark/>
          </w:tcPr>
          <w:p w14:paraId="2341AD0C"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69</w:t>
            </w:r>
          </w:p>
        </w:tc>
        <w:tc>
          <w:tcPr>
            <w:tcW w:w="492" w:type="pct"/>
            <w:tcBorders>
              <w:top w:val="nil"/>
              <w:left w:val="nil"/>
              <w:bottom w:val="single" w:sz="4" w:space="0" w:color="auto"/>
              <w:right w:val="nil"/>
            </w:tcBorders>
            <w:shd w:val="clear" w:color="000000" w:fill="E7E6E6"/>
            <w:noWrap/>
            <w:vAlign w:val="bottom"/>
            <w:hideMark/>
          </w:tcPr>
          <w:p w14:paraId="2341AD0D"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168</w:t>
            </w:r>
          </w:p>
        </w:tc>
        <w:tc>
          <w:tcPr>
            <w:tcW w:w="492" w:type="pct"/>
            <w:tcBorders>
              <w:top w:val="nil"/>
              <w:left w:val="nil"/>
              <w:bottom w:val="single" w:sz="4" w:space="0" w:color="auto"/>
              <w:right w:val="nil"/>
            </w:tcBorders>
            <w:shd w:val="clear" w:color="000000" w:fill="E7E6E6"/>
            <w:noWrap/>
            <w:vAlign w:val="bottom"/>
            <w:hideMark/>
          </w:tcPr>
          <w:p w14:paraId="2341AD0E"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267</w:t>
            </w:r>
          </w:p>
        </w:tc>
        <w:tc>
          <w:tcPr>
            <w:tcW w:w="492" w:type="pct"/>
            <w:tcBorders>
              <w:top w:val="nil"/>
              <w:left w:val="nil"/>
              <w:bottom w:val="single" w:sz="4" w:space="0" w:color="auto"/>
              <w:right w:val="nil"/>
            </w:tcBorders>
            <w:shd w:val="clear" w:color="000000" w:fill="E7E6E6"/>
            <w:noWrap/>
            <w:vAlign w:val="bottom"/>
            <w:hideMark/>
          </w:tcPr>
          <w:p w14:paraId="2341AD0F"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2.721</w:t>
            </w:r>
          </w:p>
        </w:tc>
        <w:tc>
          <w:tcPr>
            <w:tcW w:w="451" w:type="pct"/>
            <w:tcBorders>
              <w:top w:val="nil"/>
              <w:left w:val="nil"/>
              <w:bottom w:val="single" w:sz="4" w:space="0" w:color="auto"/>
              <w:right w:val="nil"/>
            </w:tcBorders>
            <w:shd w:val="clear" w:color="000000" w:fill="E7E6E6"/>
            <w:noWrap/>
            <w:vAlign w:val="bottom"/>
            <w:hideMark/>
          </w:tcPr>
          <w:p w14:paraId="2341AD10"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460</w:t>
            </w:r>
          </w:p>
        </w:tc>
        <w:tc>
          <w:tcPr>
            <w:tcW w:w="452" w:type="pct"/>
            <w:tcBorders>
              <w:top w:val="nil"/>
              <w:left w:val="nil"/>
              <w:bottom w:val="single" w:sz="4" w:space="0" w:color="auto"/>
              <w:right w:val="nil"/>
            </w:tcBorders>
            <w:shd w:val="clear" w:color="000000" w:fill="E7E6E6"/>
            <w:noWrap/>
            <w:vAlign w:val="bottom"/>
            <w:hideMark/>
          </w:tcPr>
          <w:p w14:paraId="2341AD11"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490</w:t>
            </w:r>
          </w:p>
        </w:tc>
      </w:tr>
      <w:tr w:rsidR="0011752D" w:rsidRPr="0011752D" w14:paraId="2341AD1A" w14:textId="77777777" w:rsidTr="00390762">
        <w:trPr>
          <w:trHeight w:val="300"/>
        </w:trPr>
        <w:tc>
          <w:tcPr>
            <w:tcW w:w="2081" w:type="pct"/>
            <w:tcBorders>
              <w:top w:val="nil"/>
              <w:left w:val="nil"/>
              <w:bottom w:val="nil"/>
              <w:right w:val="nil"/>
            </w:tcBorders>
            <w:shd w:val="clear" w:color="000000" w:fill="E7E6E6"/>
            <w:noWrap/>
            <w:vAlign w:val="bottom"/>
            <w:hideMark/>
          </w:tcPr>
          <w:p w14:paraId="2341AD13" w14:textId="77777777" w:rsidR="0011752D" w:rsidRPr="0011752D" w:rsidRDefault="0011752D" w:rsidP="0011752D">
            <w:pPr>
              <w:rPr>
                <w:rFonts w:ascii="Calibri" w:hAnsi="Calibri"/>
                <w:b/>
                <w:bCs/>
                <w:color w:val="000000"/>
                <w:sz w:val="16"/>
                <w:szCs w:val="16"/>
                <w:lang w:val="es-CO" w:eastAsia="es-CO"/>
              </w:rPr>
            </w:pPr>
            <w:r w:rsidRPr="0011752D">
              <w:rPr>
                <w:rFonts w:ascii="Calibri" w:hAnsi="Calibri"/>
                <w:b/>
                <w:bCs/>
                <w:color w:val="000000"/>
                <w:sz w:val="16"/>
                <w:szCs w:val="16"/>
                <w:lang w:val="es-CO" w:eastAsia="es-CO"/>
              </w:rPr>
              <w:t>Total Costos</w:t>
            </w:r>
          </w:p>
        </w:tc>
        <w:tc>
          <w:tcPr>
            <w:tcW w:w="538" w:type="pct"/>
            <w:tcBorders>
              <w:top w:val="nil"/>
              <w:left w:val="nil"/>
              <w:bottom w:val="nil"/>
              <w:right w:val="nil"/>
            </w:tcBorders>
            <w:shd w:val="clear" w:color="000000" w:fill="E7E6E6"/>
            <w:noWrap/>
            <w:vAlign w:val="bottom"/>
            <w:hideMark/>
          </w:tcPr>
          <w:p w14:paraId="2341AD14"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638</w:t>
            </w:r>
          </w:p>
        </w:tc>
        <w:tc>
          <w:tcPr>
            <w:tcW w:w="492" w:type="pct"/>
            <w:tcBorders>
              <w:top w:val="nil"/>
              <w:left w:val="nil"/>
              <w:bottom w:val="nil"/>
              <w:right w:val="nil"/>
            </w:tcBorders>
            <w:shd w:val="clear" w:color="000000" w:fill="E7E6E6"/>
            <w:noWrap/>
            <w:vAlign w:val="bottom"/>
            <w:hideMark/>
          </w:tcPr>
          <w:p w14:paraId="2341AD15"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638</w:t>
            </w:r>
          </w:p>
        </w:tc>
        <w:tc>
          <w:tcPr>
            <w:tcW w:w="492" w:type="pct"/>
            <w:tcBorders>
              <w:top w:val="nil"/>
              <w:left w:val="nil"/>
              <w:bottom w:val="nil"/>
              <w:right w:val="nil"/>
            </w:tcBorders>
            <w:shd w:val="clear" w:color="000000" w:fill="E7E6E6"/>
            <w:noWrap/>
            <w:vAlign w:val="bottom"/>
            <w:hideMark/>
          </w:tcPr>
          <w:p w14:paraId="2341AD16"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638</w:t>
            </w:r>
          </w:p>
        </w:tc>
        <w:tc>
          <w:tcPr>
            <w:tcW w:w="492" w:type="pct"/>
            <w:tcBorders>
              <w:top w:val="nil"/>
              <w:left w:val="nil"/>
              <w:bottom w:val="nil"/>
              <w:right w:val="nil"/>
            </w:tcBorders>
            <w:shd w:val="clear" w:color="000000" w:fill="E7E6E6"/>
            <w:noWrap/>
            <w:vAlign w:val="bottom"/>
            <w:hideMark/>
          </w:tcPr>
          <w:p w14:paraId="2341AD17"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638</w:t>
            </w:r>
          </w:p>
        </w:tc>
        <w:tc>
          <w:tcPr>
            <w:tcW w:w="451" w:type="pct"/>
            <w:tcBorders>
              <w:top w:val="nil"/>
              <w:left w:val="nil"/>
              <w:bottom w:val="nil"/>
              <w:right w:val="nil"/>
            </w:tcBorders>
            <w:shd w:val="clear" w:color="000000" w:fill="E7E6E6"/>
            <w:noWrap/>
            <w:vAlign w:val="bottom"/>
            <w:hideMark/>
          </w:tcPr>
          <w:p w14:paraId="2341AD18"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610</w:t>
            </w:r>
          </w:p>
        </w:tc>
        <w:tc>
          <w:tcPr>
            <w:tcW w:w="452" w:type="pct"/>
            <w:tcBorders>
              <w:top w:val="nil"/>
              <w:left w:val="nil"/>
              <w:bottom w:val="nil"/>
              <w:right w:val="nil"/>
            </w:tcBorders>
            <w:shd w:val="clear" w:color="000000" w:fill="E7E6E6"/>
            <w:noWrap/>
            <w:vAlign w:val="bottom"/>
            <w:hideMark/>
          </w:tcPr>
          <w:p w14:paraId="2341AD19"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0</w:t>
            </w:r>
          </w:p>
        </w:tc>
      </w:tr>
      <w:tr w:rsidR="0011752D" w:rsidRPr="0011752D" w14:paraId="2341AD22" w14:textId="77777777" w:rsidTr="00390762">
        <w:trPr>
          <w:trHeight w:val="315"/>
        </w:trPr>
        <w:tc>
          <w:tcPr>
            <w:tcW w:w="2081" w:type="pct"/>
            <w:tcBorders>
              <w:top w:val="single" w:sz="4" w:space="0" w:color="auto"/>
              <w:left w:val="nil"/>
              <w:bottom w:val="single" w:sz="8" w:space="0" w:color="auto"/>
              <w:right w:val="nil"/>
            </w:tcBorders>
            <w:shd w:val="clear" w:color="000000" w:fill="E7E6E6"/>
            <w:noWrap/>
            <w:vAlign w:val="bottom"/>
            <w:hideMark/>
          </w:tcPr>
          <w:p w14:paraId="2341AD1B" w14:textId="77777777" w:rsidR="0011752D" w:rsidRPr="0011752D" w:rsidRDefault="0011752D" w:rsidP="0011752D">
            <w:pPr>
              <w:rPr>
                <w:rFonts w:ascii="Calibri" w:hAnsi="Calibri"/>
                <w:b/>
                <w:bCs/>
                <w:color w:val="000000"/>
                <w:sz w:val="16"/>
                <w:szCs w:val="16"/>
                <w:lang w:val="es-CO" w:eastAsia="es-CO"/>
              </w:rPr>
            </w:pPr>
            <w:r w:rsidRPr="0011752D">
              <w:rPr>
                <w:rFonts w:ascii="Calibri" w:hAnsi="Calibri"/>
                <w:b/>
                <w:bCs/>
                <w:color w:val="000000"/>
                <w:sz w:val="16"/>
                <w:szCs w:val="16"/>
                <w:lang w:val="es-CO" w:eastAsia="es-CO"/>
              </w:rPr>
              <w:lastRenderedPageBreak/>
              <w:t>Flujo Neto Agregado ($USD Millones)</w:t>
            </w:r>
          </w:p>
        </w:tc>
        <w:tc>
          <w:tcPr>
            <w:tcW w:w="538" w:type="pct"/>
            <w:tcBorders>
              <w:top w:val="single" w:sz="4" w:space="0" w:color="auto"/>
              <w:left w:val="nil"/>
              <w:bottom w:val="single" w:sz="8" w:space="0" w:color="auto"/>
              <w:right w:val="nil"/>
            </w:tcBorders>
            <w:shd w:val="clear" w:color="000000" w:fill="E7E6E6"/>
            <w:noWrap/>
            <w:vAlign w:val="bottom"/>
            <w:hideMark/>
          </w:tcPr>
          <w:p w14:paraId="2341AD1C"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-568</w:t>
            </w:r>
          </w:p>
        </w:tc>
        <w:tc>
          <w:tcPr>
            <w:tcW w:w="492" w:type="pct"/>
            <w:tcBorders>
              <w:top w:val="single" w:sz="4" w:space="0" w:color="auto"/>
              <w:left w:val="nil"/>
              <w:bottom w:val="single" w:sz="8" w:space="0" w:color="auto"/>
              <w:right w:val="nil"/>
            </w:tcBorders>
            <w:shd w:val="clear" w:color="000000" w:fill="E7E6E6"/>
            <w:noWrap/>
            <w:vAlign w:val="bottom"/>
            <w:hideMark/>
          </w:tcPr>
          <w:p w14:paraId="2341AD1D"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-469</w:t>
            </w:r>
          </w:p>
        </w:tc>
        <w:tc>
          <w:tcPr>
            <w:tcW w:w="492" w:type="pct"/>
            <w:tcBorders>
              <w:top w:val="single" w:sz="4" w:space="0" w:color="auto"/>
              <w:left w:val="nil"/>
              <w:bottom w:val="single" w:sz="8" w:space="0" w:color="auto"/>
              <w:right w:val="nil"/>
            </w:tcBorders>
            <w:shd w:val="clear" w:color="000000" w:fill="E7E6E6"/>
            <w:noWrap/>
            <w:vAlign w:val="bottom"/>
            <w:hideMark/>
          </w:tcPr>
          <w:p w14:paraId="2341AD1E"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-370</w:t>
            </w:r>
          </w:p>
        </w:tc>
        <w:tc>
          <w:tcPr>
            <w:tcW w:w="492" w:type="pct"/>
            <w:tcBorders>
              <w:top w:val="single" w:sz="4" w:space="0" w:color="auto"/>
              <w:left w:val="nil"/>
              <w:bottom w:val="single" w:sz="8" w:space="0" w:color="auto"/>
              <w:right w:val="nil"/>
            </w:tcBorders>
            <w:shd w:val="clear" w:color="000000" w:fill="E7E6E6"/>
            <w:noWrap/>
            <w:vAlign w:val="bottom"/>
            <w:hideMark/>
          </w:tcPr>
          <w:p w14:paraId="2341AD1F"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2.083</w:t>
            </w:r>
          </w:p>
        </w:tc>
        <w:tc>
          <w:tcPr>
            <w:tcW w:w="451" w:type="pct"/>
            <w:tcBorders>
              <w:top w:val="single" w:sz="4" w:space="0" w:color="auto"/>
              <w:left w:val="nil"/>
              <w:bottom w:val="single" w:sz="8" w:space="0" w:color="auto"/>
              <w:right w:val="nil"/>
            </w:tcBorders>
            <w:shd w:val="clear" w:color="000000" w:fill="E7E6E6"/>
            <w:noWrap/>
            <w:vAlign w:val="bottom"/>
            <w:hideMark/>
          </w:tcPr>
          <w:p w14:paraId="2341AD20"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-150</w:t>
            </w:r>
          </w:p>
        </w:tc>
        <w:tc>
          <w:tcPr>
            <w:tcW w:w="452" w:type="pct"/>
            <w:tcBorders>
              <w:top w:val="single" w:sz="4" w:space="0" w:color="auto"/>
              <w:left w:val="nil"/>
              <w:bottom w:val="single" w:sz="8" w:space="0" w:color="auto"/>
              <w:right w:val="nil"/>
            </w:tcBorders>
            <w:shd w:val="clear" w:color="000000" w:fill="E7E6E6"/>
            <w:noWrap/>
            <w:vAlign w:val="bottom"/>
            <w:hideMark/>
          </w:tcPr>
          <w:p w14:paraId="2341AD21" w14:textId="77777777" w:rsidR="0011752D" w:rsidRPr="0011752D" w:rsidRDefault="0011752D" w:rsidP="0011752D">
            <w:pPr>
              <w:jc w:val="right"/>
              <w:rPr>
                <w:rFonts w:ascii="Calibri" w:hAnsi="Calibri"/>
                <w:b/>
                <w:bCs/>
                <w:color w:val="000000"/>
                <w:sz w:val="16"/>
                <w:szCs w:val="16"/>
                <w:lang w:val="es-CO" w:eastAsia="es-CO"/>
              </w:rPr>
            </w:pPr>
            <w:r w:rsidRPr="0011752D">
              <w:rPr>
                <w:rFonts w:ascii="Calibri" w:hAnsi="Calibri" w:cs="Calibri"/>
                <w:b/>
                <w:bCs/>
                <w:color w:val="000000"/>
                <w:sz w:val="16"/>
                <w:szCs w:val="16"/>
                <w:lang w:val="es-CO"/>
              </w:rPr>
              <w:t>490</w:t>
            </w:r>
          </w:p>
        </w:tc>
      </w:tr>
      <w:tr w:rsidR="0011752D" w:rsidRPr="0011752D" w14:paraId="2341AD2A" w14:textId="77777777" w:rsidTr="00390762">
        <w:trPr>
          <w:trHeight w:val="300"/>
        </w:trPr>
        <w:tc>
          <w:tcPr>
            <w:tcW w:w="2081" w:type="pct"/>
            <w:tcBorders>
              <w:top w:val="nil"/>
              <w:left w:val="nil"/>
              <w:bottom w:val="nil"/>
              <w:right w:val="nil"/>
            </w:tcBorders>
            <w:shd w:val="clear" w:color="auto" w:fill="auto"/>
            <w:noWrap/>
            <w:vAlign w:val="bottom"/>
            <w:hideMark/>
          </w:tcPr>
          <w:p w14:paraId="2341AD23" w14:textId="77777777" w:rsidR="0011752D" w:rsidRPr="0011752D" w:rsidRDefault="0011752D" w:rsidP="0011752D">
            <w:pPr>
              <w:jc w:val="right"/>
              <w:rPr>
                <w:rFonts w:ascii="Calibri" w:hAnsi="Calibri"/>
                <w:b/>
                <w:bCs/>
                <w:color w:val="000000"/>
                <w:sz w:val="16"/>
                <w:szCs w:val="16"/>
                <w:lang w:val="es-CO" w:eastAsia="es-CO"/>
              </w:rPr>
            </w:pPr>
          </w:p>
        </w:tc>
        <w:tc>
          <w:tcPr>
            <w:tcW w:w="538" w:type="pct"/>
            <w:tcBorders>
              <w:top w:val="nil"/>
              <w:left w:val="nil"/>
              <w:bottom w:val="nil"/>
              <w:right w:val="nil"/>
            </w:tcBorders>
            <w:shd w:val="clear" w:color="auto" w:fill="auto"/>
            <w:noWrap/>
            <w:vAlign w:val="bottom"/>
            <w:hideMark/>
          </w:tcPr>
          <w:p w14:paraId="2341AD24" w14:textId="77777777" w:rsidR="0011752D" w:rsidRPr="0011752D" w:rsidRDefault="0011752D" w:rsidP="0011752D">
            <w:pPr>
              <w:rPr>
                <w:sz w:val="16"/>
                <w:szCs w:val="16"/>
                <w:lang w:val="es-CO" w:eastAsia="es-CO"/>
              </w:rPr>
            </w:pPr>
          </w:p>
        </w:tc>
        <w:tc>
          <w:tcPr>
            <w:tcW w:w="492" w:type="pct"/>
            <w:tcBorders>
              <w:top w:val="nil"/>
              <w:left w:val="nil"/>
              <w:bottom w:val="nil"/>
              <w:right w:val="nil"/>
            </w:tcBorders>
            <w:shd w:val="clear" w:color="auto" w:fill="auto"/>
            <w:noWrap/>
            <w:vAlign w:val="bottom"/>
            <w:hideMark/>
          </w:tcPr>
          <w:p w14:paraId="2341AD25" w14:textId="77777777" w:rsidR="0011752D" w:rsidRPr="0011752D" w:rsidRDefault="0011752D" w:rsidP="0011752D">
            <w:pPr>
              <w:rPr>
                <w:sz w:val="16"/>
                <w:szCs w:val="16"/>
                <w:lang w:val="es-CO" w:eastAsia="es-CO"/>
              </w:rPr>
            </w:pPr>
          </w:p>
        </w:tc>
        <w:tc>
          <w:tcPr>
            <w:tcW w:w="492" w:type="pct"/>
            <w:tcBorders>
              <w:top w:val="nil"/>
              <w:left w:val="nil"/>
              <w:bottom w:val="nil"/>
              <w:right w:val="nil"/>
            </w:tcBorders>
            <w:shd w:val="clear" w:color="auto" w:fill="auto"/>
            <w:noWrap/>
            <w:vAlign w:val="bottom"/>
            <w:hideMark/>
          </w:tcPr>
          <w:p w14:paraId="2341AD26" w14:textId="77777777" w:rsidR="0011752D" w:rsidRPr="0011752D" w:rsidRDefault="0011752D" w:rsidP="0011752D">
            <w:pPr>
              <w:rPr>
                <w:sz w:val="16"/>
                <w:szCs w:val="16"/>
                <w:lang w:val="es-CO" w:eastAsia="es-CO"/>
              </w:rPr>
            </w:pPr>
          </w:p>
        </w:tc>
        <w:tc>
          <w:tcPr>
            <w:tcW w:w="492" w:type="pct"/>
            <w:tcBorders>
              <w:top w:val="nil"/>
              <w:left w:val="nil"/>
              <w:bottom w:val="nil"/>
              <w:right w:val="nil"/>
            </w:tcBorders>
            <w:shd w:val="clear" w:color="auto" w:fill="auto"/>
            <w:noWrap/>
            <w:vAlign w:val="bottom"/>
            <w:hideMark/>
          </w:tcPr>
          <w:p w14:paraId="2341AD27" w14:textId="77777777" w:rsidR="0011752D" w:rsidRPr="0011752D" w:rsidRDefault="0011752D" w:rsidP="0011752D">
            <w:pPr>
              <w:rPr>
                <w:sz w:val="16"/>
                <w:szCs w:val="16"/>
                <w:lang w:val="es-CO" w:eastAsia="es-CO"/>
              </w:rPr>
            </w:pPr>
          </w:p>
        </w:tc>
        <w:tc>
          <w:tcPr>
            <w:tcW w:w="451" w:type="pct"/>
            <w:tcBorders>
              <w:top w:val="nil"/>
              <w:left w:val="nil"/>
              <w:bottom w:val="nil"/>
              <w:right w:val="nil"/>
            </w:tcBorders>
            <w:shd w:val="clear" w:color="auto" w:fill="auto"/>
            <w:noWrap/>
            <w:vAlign w:val="bottom"/>
            <w:hideMark/>
          </w:tcPr>
          <w:p w14:paraId="2341AD28" w14:textId="77777777" w:rsidR="0011752D" w:rsidRPr="0011752D" w:rsidRDefault="0011752D" w:rsidP="0011752D">
            <w:pPr>
              <w:rPr>
                <w:sz w:val="16"/>
                <w:szCs w:val="16"/>
                <w:lang w:val="es-CO" w:eastAsia="es-CO"/>
              </w:rPr>
            </w:pPr>
          </w:p>
        </w:tc>
        <w:tc>
          <w:tcPr>
            <w:tcW w:w="452" w:type="pct"/>
            <w:tcBorders>
              <w:top w:val="nil"/>
              <w:left w:val="nil"/>
              <w:bottom w:val="nil"/>
              <w:right w:val="nil"/>
            </w:tcBorders>
            <w:shd w:val="clear" w:color="auto" w:fill="auto"/>
            <w:noWrap/>
            <w:vAlign w:val="bottom"/>
            <w:hideMark/>
          </w:tcPr>
          <w:p w14:paraId="2341AD29" w14:textId="77777777" w:rsidR="0011752D" w:rsidRPr="0011752D" w:rsidRDefault="0011752D" w:rsidP="0011752D">
            <w:pPr>
              <w:rPr>
                <w:sz w:val="16"/>
                <w:szCs w:val="16"/>
                <w:lang w:val="es-CO" w:eastAsia="es-CO"/>
              </w:rPr>
            </w:pPr>
          </w:p>
        </w:tc>
      </w:tr>
      <w:tr w:rsidR="0011752D" w:rsidRPr="0011752D" w14:paraId="2341AD32" w14:textId="77777777" w:rsidTr="00390762">
        <w:trPr>
          <w:trHeight w:val="300"/>
        </w:trPr>
        <w:tc>
          <w:tcPr>
            <w:tcW w:w="2081" w:type="pct"/>
            <w:tcBorders>
              <w:top w:val="nil"/>
              <w:left w:val="nil"/>
              <w:bottom w:val="nil"/>
              <w:right w:val="nil"/>
            </w:tcBorders>
            <w:shd w:val="clear" w:color="auto" w:fill="auto"/>
            <w:noWrap/>
            <w:vAlign w:val="bottom"/>
            <w:hideMark/>
          </w:tcPr>
          <w:p w14:paraId="2341AD2B" w14:textId="77777777" w:rsidR="0011752D" w:rsidRPr="0011752D" w:rsidRDefault="0011752D" w:rsidP="0011752D">
            <w:pPr>
              <w:rPr>
                <w:sz w:val="16"/>
                <w:szCs w:val="16"/>
                <w:lang w:val="es-CO" w:eastAsia="es-CO"/>
              </w:rPr>
            </w:pPr>
          </w:p>
        </w:tc>
        <w:tc>
          <w:tcPr>
            <w:tcW w:w="538" w:type="pct"/>
            <w:tcBorders>
              <w:top w:val="single" w:sz="4" w:space="0" w:color="FFFFFF"/>
              <w:left w:val="nil"/>
              <w:bottom w:val="single" w:sz="4" w:space="0" w:color="auto"/>
              <w:right w:val="single" w:sz="4" w:space="0" w:color="FFFFFF"/>
            </w:tcBorders>
            <w:shd w:val="clear" w:color="000000" w:fill="203764"/>
            <w:noWrap/>
            <w:vAlign w:val="bottom"/>
            <w:hideMark/>
          </w:tcPr>
          <w:p w14:paraId="2341AD2C" w14:textId="77777777" w:rsidR="0011752D" w:rsidRPr="0011752D" w:rsidRDefault="0011752D" w:rsidP="0011752D">
            <w:pPr>
              <w:jc w:val="center"/>
              <w:rPr>
                <w:rFonts w:ascii="Calibri" w:hAnsi="Calibri"/>
                <w:color w:val="FFFFFF"/>
                <w:sz w:val="16"/>
                <w:szCs w:val="16"/>
                <w:lang w:val="es-CO" w:eastAsia="es-CO"/>
              </w:rPr>
            </w:pPr>
            <w:r w:rsidRPr="0011752D">
              <w:rPr>
                <w:rFonts w:ascii="Calibri" w:hAnsi="Calibri"/>
                <w:color w:val="FFFFFF"/>
                <w:sz w:val="16"/>
                <w:szCs w:val="16"/>
                <w:lang w:val="es-CO" w:eastAsia="es-CO"/>
              </w:rPr>
              <w:t>Beneficios</w:t>
            </w:r>
          </w:p>
        </w:tc>
        <w:tc>
          <w:tcPr>
            <w:tcW w:w="492" w:type="pct"/>
            <w:tcBorders>
              <w:top w:val="single" w:sz="4" w:space="0" w:color="FFFFFF"/>
              <w:left w:val="nil"/>
              <w:bottom w:val="single" w:sz="4" w:space="0" w:color="auto"/>
              <w:right w:val="single" w:sz="4" w:space="0" w:color="FFFFFF"/>
            </w:tcBorders>
            <w:shd w:val="clear" w:color="000000" w:fill="203764"/>
            <w:noWrap/>
            <w:vAlign w:val="bottom"/>
            <w:hideMark/>
          </w:tcPr>
          <w:p w14:paraId="2341AD2D" w14:textId="77777777" w:rsidR="0011752D" w:rsidRPr="0011752D" w:rsidRDefault="0011752D" w:rsidP="0011752D">
            <w:pPr>
              <w:jc w:val="center"/>
              <w:rPr>
                <w:rFonts w:ascii="Calibri" w:hAnsi="Calibri"/>
                <w:color w:val="FFFFFF"/>
                <w:sz w:val="16"/>
                <w:szCs w:val="16"/>
                <w:lang w:val="es-CO" w:eastAsia="es-CO"/>
              </w:rPr>
            </w:pPr>
            <w:r w:rsidRPr="0011752D">
              <w:rPr>
                <w:rFonts w:ascii="Calibri" w:hAnsi="Calibri"/>
                <w:color w:val="FFFFFF"/>
                <w:sz w:val="16"/>
                <w:szCs w:val="16"/>
                <w:lang w:val="es-CO" w:eastAsia="es-CO"/>
              </w:rPr>
              <w:t>Costos</w:t>
            </w:r>
          </w:p>
        </w:tc>
        <w:tc>
          <w:tcPr>
            <w:tcW w:w="492" w:type="pct"/>
            <w:tcBorders>
              <w:top w:val="single" w:sz="4" w:space="0" w:color="FFFFFF"/>
              <w:left w:val="nil"/>
              <w:bottom w:val="single" w:sz="4" w:space="0" w:color="auto"/>
              <w:right w:val="single" w:sz="4" w:space="0" w:color="FFFFFF"/>
            </w:tcBorders>
            <w:shd w:val="clear" w:color="000000" w:fill="203764"/>
            <w:noWrap/>
            <w:vAlign w:val="bottom"/>
            <w:hideMark/>
          </w:tcPr>
          <w:p w14:paraId="2341AD2E" w14:textId="77777777" w:rsidR="0011752D" w:rsidRPr="0011752D" w:rsidRDefault="0011752D" w:rsidP="0011752D">
            <w:pPr>
              <w:jc w:val="center"/>
              <w:rPr>
                <w:rFonts w:ascii="Calibri" w:hAnsi="Calibri"/>
                <w:color w:val="FFFFFF"/>
                <w:sz w:val="16"/>
                <w:szCs w:val="16"/>
                <w:lang w:val="es-CO" w:eastAsia="es-CO"/>
              </w:rPr>
            </w:pPr>
            <w:r w:rsidRPr="0011752D">
              <w:rPr>
                <w:rFonts w:ascii="Calibri" w:hAnsi="Calibri"/>
                <w:color w:val="FFFFFF"/>
                <w:sz w:val="16"/>
                <w:szCs w:val="16"/>
                <w:lang w:val="es-CO" w:eastAsia="es-CO"/>
              </w:rPr>
              <w:t>Neto</w:t>
            </w:r>
          </w:p>
        </w:tc>
        <w:tc>
          <w:tcPr>
            <w:tcW w:w="492" w:type="pct"/>
            <w:tcBorders>
              <w:top w:val="nil"/>
              <w:left w:val="nil"/>
              <w:bottom w:val="nil"/>
              <w:right w:val="nil"/>
            </w:tcBorders>
            <w:shd w:val="clear" w:color="auto" w:fill="auto"/>
            <w:noWrap/>
            <w:vAlign w:val="bottom"/>
            <w:hideMark/>
          </w:tcPr>
          <w:p w14:paraId="2341AD2F" w14:textId="77777777" w:rsidR="0011752D" w:rsidRPr="0011752D" w:rsidRDefault="0011752D" w:rsidP="0011752D">
            <w:pPr>
              <w:jc w:val="center"/>
              <w:rPr>
                <w:rFonts w:ascii="Calibri" w:hAnsi="Calibri"/>
                <w:color w:val="FFFFFF"/>
                <w:sz w:val="16"/>
                <w:szCs w:val="16"/>
                <w:lang w:val="es-CO" w:eastAsia="es-CO"/>
              </w:rPr>
            </w:pPr>
            <w:r w:rsidRPr="0011752D">
              <w:rPr>
                <w:rFonts w:ascii="Calibri" w:hAnsi="Calibri" w:cs="Calibri"/>
                <w:color w:val="FFFFFF"/>
                <w:sz w:val="22"/>
                <w:szCs w:val="22"/>
                <w:lang w:val="es-CO"/>
              </w:rPr>
              <w:t>TIR</w:t>
            </w:r>
          </w:p>
        </w:tc>
        <w:tc>
          <w:tcPr>
            <w:tcW w:w="451" w:type="pct"/>
            <w:tcBorders>
              <w:top w:val="nil"/>
              <w:left w:val="nil"/>
              <w:bottom w:val="nil"/>
              <w:right w:val="nil"/>
            </w:tcBorders>
            <w:shd w:val="clear" w:color="auto" w:fill="auto"/>
            <w:noWrap/>
            <w:vAlign w:val="bottom"/>
            <w:hideMark/>
          </w:tcPr>
          <w:p w14:paraId="2341AD30" w14:textId="77777777" w:rsidR="0011752D" w:rsidRPr="0011752D" w:rsidRDefault="0011752D" w:rsidP="0011752D">
            <w:pPr>
              <w:rPr>
                <w:sz w:val="16"/>
                <w:szCs w:val="16"/>
                <w:lang w:val="es-CO" w:eastAsia="es-CO"/>
              </w:rPr>
            </w:pPr>
          </w:p>
        </w:tc>
        <w:tc>
          <w:tcPr>
            <w:tcW w:w="452" w:type="pct"/>
            <w:tcBorders>
              <w:top w:val="nil"/>
              <w:left w:val="nil"/>
              <w:bottom w:val="nil"/>
              <w:right w:val="nil"/>
            </w:tcBorders>
            <w:shd w:val="clear" w:color="auto" w:fill="auto"/>
            <w:noWrap/>
            <w:vAlign w:val="bottom"/>
            <w:hideMark/>
          </w:tcPr>
          <w:p w14:paraId="2341AD31" w14:textId="77777777" w:rsidR="0011752D" w:rsidRPr="0011752D" w:rsidRDefault="0011752D" w:rsidP="0011752D">
            <w:pPr>
              <w:rPr>
                <w:sz w:val="16"/>
                <w:szCs w:val="16"/>
                <w:lang w:val="es-CO" w:eastAsia="es-CO"/>
              </w:rPr>
            </w:pPr>
          </w:p>
        </w:tc>
      </w:tr>
      <w:tr w:rsidR="0011752D" w:rsidRPr="0011752D" w14:paraId="2341AD3A" w14:textId="77777777" w:rsidTr="00390762">
        <w:trPr>
          <w:trHeight w:val="300"/>
        </w:trPr>
        <w:tc>
          <w:tcPr>
            <w:tcW w:w="2081" w:type="pct"/>
            <w:tcBorders>
              <w:top w:val="single" w:sz="4" w:space="0" w:color="auto"/>
              <w:left w:val="single" w:sz="4" w:space="0" w:color="auto"/>
              <w:bottom w:val="single" w:sz="4" w:space="0" w:color="auto"/>
              <w:right w:val="nil"/>
            </w:tcBorders>
            <w:shd w:val="clear" w:color="000000" w:fill="E2EFDA"/>
            <w:noWrap/>
            <w:vAlign w:val="bottom"/>
            <w:hideMark/>
          </w:tcPr>
          <w:p w14:paraId="2341AD33"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VPN dic 2016 ($USD Millones)</w:t>
            </w:r>
          </w:p>
        </w:tc>
        <w:tc>
          <w:tcPr>
            <w:tcW w:w="538" w:type="pct"/>
            <w:tcBorders>
              <w:top w:val="nil"/>
              <w:left w:val="nil"/>
              <w:bottom w:val="single" w:sz="4" w:space="0" w:color="auto"/>
              <w:right w:val="single" w:sz="4" w:space="0" w:color="auto"/>
            </w:tcBorders>
            <w:shd w:val="clear" w:color="000000" w:fill="E2EFDA"/>
            <w:noWrap/>
            <w:vAlign w:val="bottom"/>
            <w:hideMark/>
          </w:tcPr>
          <w:p w14:paraId="2341AD34"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$3.521</w:t>
            </w:r>
          </w:p>
        </w:tc>
        <w:tc>
          <w:tcPr>
            <w:tcW w:w="492" w:type="pct"/>
            <w:tcBorders>
              <w:top w:val="nil"/>
              <w:left w:val="nil"/>
              <w:bottom w:val="single" w:sz="4" w:space="0" w:color="auto"/>
              <w:right w:val="single" w:sz="4" w:space="0" w:color="auto"/>
            </w:tcBorders>
            <w:shd w:val="clear" w:color="000000" w:fill="E2EFDA"/>
            <w:noWrap/>
            <w:vAlign w:val="bottom"/>
            <w:hideMark/>
          </w:tcPr>
          <w:p w14:paraId="2341AD35"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$2.283</w:t>
            </w:r>
          </w:p>
        </w:tc>
        <w:tc>
          <w:tcPr>
            <w:tcW w:w="492" w:type="pct"/>
            <w:tcBorders>
              <w:top w:val="nil"/>
              <w:left w:val="nil"/>
              <w:bottom w:val="single" w:sz="4" w:space="0" w:color="auto"/>
              <w:right w:val="single" w:sz="4" w:space="0" w:color="auto"/>
            </w:tcBorders>
            <w:shd w:val="clear" w:color="000000" w:fill="E2EFDA"/>
            <w:noWrap/>
            <w:vAlign w:val="bottom"/>
            <w:hideMark/>
          </w:tcPr>
          <w:p w14:paraId="2341AD36"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$1.237</w:t>
            </w:r>
          </w:p>
        </w:tc>
        <w:tc>
          <w:tcPr>
            <w:tcW w:w="492" w:type="pct"/>
            <w:tcBorders>
              <w:top w:val="nil"/>
              <w:left w:val="nil"/>
              <w:bottom w:val="nil"/>
              <w:right w:val="nil"/>
            </w:tcBorders>
            <w:shd w:val="clear" w:color="auto" w:fill="auto"/>
            <w:noWrap/>
            <w:vAlign w:val="bottom"/>
          </w:tcPr>
          <w:p w14:paraId="2341AD37" w14:textId="77777777" w:rsidR="0011752D" w:rsidRPr="0011752D" w:rsidRDefault="0011752D" w:rsidP="0011752D">
            <w:pPr>
              <w:jc w:val="right"/>
              <w:rPr>
                <w:rFonts w:ascii="Calibri" w:hAnsi="Calibri"/>
                <w:color w:val="000000"/>
                <w:sz w:val="16"/>
                <w:szCs w:val="16"/>
                <w:lang w:val="es-CO" w:eastAsia="es-CO"/>
              </w:rPr>
            </w:pPr>
          </w:p>
        </w:tc>
        <w:tc>
          <w:tcPr>
            <w:tcW w:w="451" w:type="pct"/>
            <w:tcBorders>
              <w:top w:val="nil"/>
              <w:left w:val="nil"/>
              <w:bottom w:val="nil"/>
              <w:right w:val="nil"/>
            </w:tcBorders>
            <w:shd w:val="clear" w:color="auto" w:fill="auto"/>
            <w:noWrap/>
            <w:vAlign w:val="bottom"/>
            <w:hideMark/>
          </w:tcPr>
          <w:p w14:paraId="2341AD38" w14:textId="77777777" w:rsidR="0011752D" w:rsidRPr="0011752D" w:rsidRDefault="0011752D" w:rsidP="0011752D">
            <w:pPr>
              <w:rPr>
                <w:sz w:val="16"/>
                <w:szCs w:val="16"/>
                <w:lang w:val="es-CO" w:eastAsia="es-CO"/>
              </w:rPr>
            </w:pPr>
          </w:p>
        </w:tc>
        <w:tc>
          <w:tcPr>
            <w:tcW w:w="452" w:type="pct"/>
            <w:tcBorders>
              <w:top w:val="nil"/>
              <w:left w:val="nil"/>
              <w:bottom w:val="nil"/>
              <w:right w:val="nil"/>
            </w:tcBorders>
            <w:shd w:val="clear" w:color="auto" w:fill="auto"/>
            <w:noWrap/>
            <w:vAlign w:val="bottom"/>
            <w:hideMark/>
          </w:tcPr>
          <w:p w14:paraId="2341AD39" w14:textId="77777777" w:rsidR="0011752D" w:rsidRPr="0011752D" w:rsidRDefault="0011752D" w:rsidP="0011752D">
            <w:pPr>
              <w:rPr>
                <w:sz w:val="16"/>
                <w:szCs w:val="16"/>
                <w:lang w:val="es-CO" w:eastAsia="es-CO"/>
              </w:rPr>
            </w:pPr>
          </w:p>
        </w:tc>
      </w:tr>
      <w:tr w:rsidR="0011752D" w:rsidRPr="0011752D" w14:paraId="2341AD42" w14:textId="77777777" w:rsidTr="00390762">
        <w:trPr>
          <w:trHeight w:val="300"/>
        </w:trPr>
        <w:tc>
          <w:tcPr>
            <w:tcW w:w="2081" w:type="pct"/>
            <w:tcBorders>
              <w:top w:val="nil"/>
              <w:left w:val="single" w:sz="4" w:space="0" w:color="auto"/>
              <w:bottom w:val="single" w:sz="4" w:space="0" w:color="auto"/>
              <w:right w:val="nil"/>
            </w:tcBorders>
            <w:shd w:val="clear" w:color="000000" w:fill="E2EFDA"/>
            <w:noWrap/>
            <w:vAlign w:val="bottom"/>
            <w:hideMark/>
          </w:tcPr>
          <w:p w14:paraId="2341AD3B" w14:textId="77777777" w:rsidR="0011752D" w:rsidRPr="0011752D" w:rsidRDefault="0011752D" w:rsidP="0011752D">
            <w:pPr>
              <w:rPr>
                <w:rFonts w:ascii="Calibri" w:hAnsi="Calibri"/>
                <w:color w:val="000000"/>
                <w:sz w:val="16"/>
                <w:szCs w:val="16"/>
                <w:lang w:val="es-CO" w:eastAsia="es-CO"/>
              </w:rPr>
            </w:pPr>
            <w:r w:rsidRPr="0011752D">
              <w:rPr>
                <w:rFonts w:ascii="Calibri" w:hAnsi="Calibri"/>
                <w:color w:val="000000"/>
                <w:sz w:val="16"/>
                <w:szCs w:val="16"/>
                <w:lang w:val="es-CO" w:eastAsia="es-CO"/>
              </w:rPr>
              <w:t>VPN dic 2016 ($COP Millones)</w:t>
            </w:r>
          </w:p>
        </w:tc>
        <w:tc>
          <w:tcPr>
            <w:tcW w:w="538" w:type="pct"/>
            <w:tcBorders>
              <w:top w:val="nil"/>
              <w:left w:val="nil"/>
              <w:bottom w:val="single" w:sz="4" w:space="0" w:color="auto"/>
              <w:right w:val="single" w:sz="4" w:space="0" w:color="auto"/>
            </w:tcBorders>
            <w:shd w:val="clear" w:color="000000" w:fill="E2EFDA"/>
            <w:noWrap/>
            <w:vAlign w:val="bottom"/>
            <w:hideMark/>
          </w:tcPr>
          <w:p w14:paraId="2341AD3C"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$10.564.170</w:t>
            </w:r>
          </w:p>
        </w:tc>
        <w:tc>
          <w:tcPr>
            <w:tcW w:w="492" w:type="pct"/>
            <w:tcBorders>
              <w:top w:val="nil"/>
              <w:left w:val="nil"/>
              <w:bottom w:val="single" w:sz="4" w:space="0" w:color="auto"/>
              <w:right w:val="single" w:sz="4" w:space="0" w:color="auto"/>
            </w:tcBorders>
            <w:shd w:val="clear" w:color="000000" w:fill="E2EFDA"/>
            <w:noWrap/>
            <w:vAlign w:val="bottom"/>
            <w:hideMark/>
          </w:tcPr>
          <w:p w14:paraId="2341AD3D"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$6.851.416</w:t>
            </w:r>
          </w:p>
        </w:tc>
        <w:tc>
          <w:tcPr>
            <w:tcW w:w="492" w:type="pct"/>
            <w:tcBorders>
              <w:top w:val="nil"/>
              <w:left w:val="nil"/>
              <w:bottom w:val="single" w:sz="4" w:space="0" w:color="auto"/>
              <w:right w:val="single" w:sz="4" w:space="0" w:color="auto"/>
            </w:tcBorders>
            <w:shd w:val="clear" w:color="000000" w:fill="E2EFDA"/>
            <w:noWrap/>
            <w:vAlign w:val="bottom"/>
            <w:hideMark/>
          </w:tcPr>
          <w:p w14:paraId="2341AD3E" w14:textId="77777777" w:rsidR="0011752D" w:rsidRPr="0011752D" w:rsidRDefault="0011752D" w:rsidP="0011752D">
            <w:pPr>
              <w:jc w:val="right"/>
              <w:rPr>
                <w:rFonts w:ascii="Calibri" w:hAnsi="Calibri"/>
                <w:color w:val="000000"/>
                <w:sz w:val="16"/>
                <w:szCs w:val="16"/>
                <w:lang w:val="es-CO" w:eastAsia="es-CO"/>
              </w:rPr>
            </w:pPr>
            <w:r w:rsidRPr="0011752D">
              <w:rPr>
                <w:rFonts w:ascii="Calibri" w:hAnsi="Calibri" w:cs="Calibri"/>
                <w:color w:val="000000"/>
                <w:sz w:val="16"/>
                <w:szCs w:val="16"/>
                <w:lang w:val="es-CO"/>
              </w:rPr>
              <w:t>$3.712.754</w:t>
            </w:r>
          </w:p>
        </w:tc>
        <w:tc>
          <w:tcPr>
            <w:tcW w:w="492" w:type="pct"/>
            <w:tcBorders>
              <w:top w:val="nil"/>
              <w:left w:val="nil"/>
              <w:bottom w:val="nil"/>
              <w:right w:val="nil"/>
            </w:tcBorders>
            <w:shd w:val="clear" w:color="auto" w:fill="auto"/>
            <w:noWrap/>
            <w:vAlign w:val="bottom"/>
          </w:tcPr>
          <w:p w14:paraId="2341AD3F" w14:textId="77777777" w:rsidR="0011752D" w:rsidRPr="0011752D" w:rsidRDefault="0011752D" w:rsidP="0011752D">
            <w:pPr>
              <w:jc w:val="right"/>
              <w:rPr>
                <w:rFonts w:ascii="Calibri" w:hAnsi="Calibri"/>
                <w:color w:val="000000"/>
                <w:sz w:val="16"/>
                <w:szCs w:val="16"/>
                <w:lang w:val="es-CO" w:eastAsia="es-CO"/>
              </w:rPr>
            </w:pPr>
          </w:p>
        </w:tc>
        <w:tc>
          <w:tcPr>
            <w:tcW w:w="451" w:type="pct"/>
            <w:tcBorders>
              <w:top w:val="nil"/>
              <w:left w:val="nil"/>
              <w:bottom w:val="nil"/>
              <w:right w:val="nil"/>
            </w:tcBorders>
            <w:shd w:val="clear" w:color="auto" w:fill="auto"/>
            <w:noWrap/>
            <w:vAlign w:val="bottom"/>
            <w:hideMark/>
          </w:tcPr>
          <w:p w14:paraId="2341AD40" w14:textId="77777777" w:rsidR="0011752D" w:rsidRPr="0011752D" w:rsidRDefault="0011752D" w:rsidP="0011752D">
            <w:pPr>
              <w:rPr>
                <w:sz w:val="16"/>
                <w:szCs w:val="16"/>
                <w:lang w:val="es-CO" w:eastAsia="es-CO"/>
              </w:rPr>
            </w:pPr>
          </w:p>
        </w:tc>
        <w:tc>
          <w:tcPr>
            <w:tcW w:w="452" w:type="pct"/>
            <w:tcBorders>
              <w:top w:val="nil"/>
              <w:left w:val="nil"/>
              <w:bottom w:val="nil"/>
              <w:right w:val="nil"/>
            </w:tcBorders>
            <w:shd w:val="clear" w:color="auto" w:fill="auto"/>
            <w:noWrap/>
            <w:vAlign w:val="bottom"/>
            <w:hideMark/>
          </w:tcPr>
          <w:p w14:paraId="2341AD41" w14:textId="77777777" w:rsidR="0011752D" w:rsidRPr="0011752D" w:rsidRDefault="0011752D" w:rsidP="0011752D">
            <w:pPr>
              <w:rPr>
                <w:sz w:val="16"/>
                <w:szCs w:val="16"/>
                <w:lang w:val="es-CO" w:eastAsia="es-CO"/>
              </w:rPr>
            </w:pPr>
          </w:p>
        </w:tc>
      </w:tr>
    </w:tbl>
    <w:p w14:paraId="2341AD43" w14:textId="77777777" w:rsidR="0011752D" w:rsidRPr="0011752D" w:rsidRDefault="0011752D" w:rsidP="0011752D">
      <w:pPr>
        <w:spacing w:before="240" w:after="240"/>
        <w:jc w:val="center"/>
        <w:rPr>
          <w:rFonts w:ascii="Arial" w:hAnsi="Arial"/>
          <w:sz w:val="22"/>
          <w:lang w:val="es-CO"/>
        </w:rPr>
      </w:pPr>
    </w:p>
    <w:p w14:paraId="2341AD44" w14:textId="77777777" w:rsidR="0011752D" w:rsidRPr="0011752D" w:rsidRDefault="0011752D" w:rsidP="0011752D">
      <w:pPr>
        <w:spacing w:before="240" w:after="240"/>
        <w:jc w:val="center"/>
        <w:rPr>
          <w:rFonts w:ascii="Arial" w:hAnsi="Arial"/>
          <w:sz w:val="22"/>
          <w:lang w:val="es-CO"/>
        </w:rPr>
      </w:pPr>
      <w:r w:rsidRPr="0011752D">
        <w:rPr>
          <w:rFonts w:ascii="Arial" w:hAnsi="Arial"/>
          <w:sz w:val="22"/>
          <w:lang w:val="es-CO"/>
        </w:rPr>
        <w:t>Evaluadas en conjunto las medidas para los tres sectores, se obtiene una TIR del 36%, la cual incorpora los efectos positivos percibidos por externalidades (como lo son menores emisiones de CO</w:t>
      </w:r>
      <w:r w:rsidRPr="0011752D">
        <w:rPr>
          <w:rFonts w:ascii="Arial" w:hAnsi="Arial"/>
          <w:sz w:val="22"/>
          <w:vertAlign w:val="subscript"/>
          <w:lang w:val="es-CO"/>
        </w:rPr>
        <w:t>2</w:t>
      </w:r>
      <w:r w:rsidRPr="0011752D">
        <w:rPr>
          <w:rFonts w:ascii="Arial" w:hAnsi="Arial"/>
          <w:sz w:val="22"/>
          <w:lang w:val="es-CO"/>
        </w:rPr>
        <w:t xml:space="preserve"> o el costo de inversión evitado de una planta de generación a carbón).</w:t>
      </w:r>
    </w:p>
    <w:p w14:paraId="2341AD45"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De las tablas anteriores se evidencia una relación costo-beneficio positiva (especialmente a partir de 2020), indicando la conveniencia de adelantar las medidas de eficiencia energética. </w:t>
      </w:r>
    </w:p>
    <w:p w14:paraId="2341AD46" w14:textId="77777777" w:rsidR="0011752D" w:rsidRPr="0011752D" w:rsidRDefault="0011752D" w:rsidP="0011752D">
      <w:pPr>
        <w:keepNext/>
        <w:keepLines/>
        <w:numPr>
          <w:ilvl w:val="2"/>
          <w:numId w:val="0"/>
        </w:numPr>
        <w:spacing w:before="240"/>
        <w:ind w:left="720" w:hanging="720"/>
        <w:jc w:val="both"/>
        <w:outlineLvl w:val="2"/>
        <w:rPr>
          <w:rFonts w:ascii="Arial" w:hAnsi="Arial"/>
          <w:b/>
          <w:color w:val="1F4D78"/>
          <w:sz w:val="22"/>
          <w:szCs w:val="24"/>
          <w:lang w:val="es-ES"/>
        </w:rPr>
      </w:pPr>
      <w:bookmarkStart w:id="96" w:name="_Toc474797034"/>
      <w:r w:rsidRPr="0011752D">
        <w:rPr>
          <w:rFonts w:ascii="Arial" w:hAnsi="Arial"/>
          <w:b/>
          <w:color w:val="1F4D78"/>
          <w:sz w:val="22"/>
          <w:szCs w:val="24"/>
          <w:lang w:val="es-ES"/>
        </w:rPr>
        <w:t>Beneficiarios</w:t>
      </w:r>
      <w:bookmarkEnd w:id="96"/>
    </w:p>
    <w:p w14:paraId="2341AD47" w14:textId="77777777" w:rsidR="0011752D" w:rsidRPr="0011752D" w:rsidRDefault="0011752D" w:rsidP="0011752D">
      <w:pPr>
        <w:spacing w:before="120"/>
        <w:jc w:val="both"/>
        <w:rPr>
          <w:rFonts w:ascii="Arial" w:hAnsi="Arial"/>
          <w:sz w:val="22"/>
          <w:lang w:val="es-CO"/>
        </w:rPr>
      </w:pPr>
      <w:r w:rsidRPr="0011752D">
        <w:rPr>
          <w:rFonts w:ascii="Arial" w:hAnsi="Arial"/>
          <w:sz w:val="22"/>
          <w:lang w:val="es-CO"/>
        </w:rPr>
        <w:t>Los beneficiarios de las medidas de EE son los usuarios residenciales (estratos 1 y 2 principalmente) y empresas del sector primario y secundario donde las medidas son aplicables. También es beneficiaria la Nación al requerirse un menor esfuerzo fiscal en subsidios.</w:t>
      </w:r>
    </w:p>
    <w:p w14:paraId="2341AD48" w14:textId="77777777" w:rsidR="0011752D" w:rsidRPr="0011752D" w:rsidRDefault="0011752D" w:rsidP="0011752D">
      <w:pPr>
        <w:keepNext/>
        <w:keepLines/>
        <w:numPr>
          <w:ilvl w:val="2"/>
          <w:numId w:val="0"/>
        </w:numPr>
        <w:spacing w:before="240"/>
        <w:ind w:left="720" w:hanging="720"/>
        <w:jc w:val="both"/>
        <w:outlineLvl w:val="2"/>
        <w:rPr>
          <w:rFonts w:ascii="Arial" w:hAnsi="Arial"/>
          <w:b/>
          <w:color w:val="1F4D78"/>
          <w:sz w:val="22"/>
          <w:szCs w:val="24"/>
          <w:lang w:val="es-CO"/>
        </w:rPr>
      </w:pPr>
      <w:bookmarkStart w:id="97" w:name="_Toc474797035"/>
      <w:r w:rsidRPr="0011752D">
        <w:rPr>
          <w:rFonts w:ascii="Arial" w:hAnsi="Arial"/>
          <w:b/>
          <w:color w:val="1F4D78"/>
          <w:sz w:val="22"/>
          <w:szCs w:val="24"/>
          <w:lang w:val="es-ES"/>
        </w:rPr>
        <w:t>Análisis</w:t>
      </w:r>
      <w:r w:rsidRPr="0011752D">
        <w:rPr>
          <w:rFonts w:ascii="Arial" w:hAnsi="Arial"/>
          <w:b/>
          <w:color w:val="1F4D78"/>
          <w:sz w:val="22"/>
          <w:szCs w:val="24"/>
          <w:lang w:val="es-CO"/>
        </w:rPr>
        <w:t xml:space="preserve"> de sensibilidad</w:t>
      </w:r>
      <w:bookmarkEnd w:id="97"/>
    </w:p>
    <w:p w14:paraId="2341AD49" w14:textId="77777777" w:rsidR="0011752D" w:rsidRPr="0011752D" w:rsidRDefault="0011752D" w:rsidP="0011752D">
      <w:pPr>
        <w:spacing w:before="120"/>
        <w:jc w:val="both"/>
        <w:rPr>
          <w:rFonts w:ascii="Arial" w:hAnsi="Arial"/>
          <w:sz w:val="22"/>
          <w:lang w:val="es-CO"/>
        </w:rPr>
      </w:pPr>
      <w:r w:rsidRPr="0011752D">
        <w:rPr>
          <w:rFonts w:ascii="Arial" w:hAnsi="Arial"/>
          <w:sz w:val="22"/>
          <w:lang w:val="es-CO"/>
        </w:rPr>
        <w:t>El incentivo a ahorros en energía como respuesta de la demanda, depende del valor de la tarifa que el usuario paga. Se ha elaborado la sensibilidad a la reducción en la tarifa del Estrato 4 (igual al costo unitario del servicio por kWh o CU) en el 10%, 20% y 30%, con el fin de evaluar el impacto en los beneficios por un posible menor ahorro al usuario, debido a un menor costo del servicio. Se usa la tarifa del Estrato 4</w:t>
      </w:r>
      <w:r w:rsidRPr="0011752D">
        <w:rPr>
          <w:rFonts w:ascii="Arial" w:hAnsi="Arial"/>
          <w:sz w:val="22"/>
          <w:vertAlign w:val="superscript"/>
          <w:lang w:val="es-CO"/>
        </w:rPr>
        <w:footnoteReference w:id="38"/>
      </w:r>
      <w:r w:rsidRPr="0011752D">
        <w:rPr>
          <w:rFonts w:ascii="Arial" w:hAnsi="Arial"/>
          <w:sz w:val="22"/>
          <w:lang w:val="es-CO"/>
        </w:rPr>
        <w:t xml:space="preserve">,  por ser la que refleja el costo unitario real, sin subsidio ni contribuciones adicionales. Los otros estratos tendrán un impacto proporcional al nivel de subsidios o contribuciones que van adjuntos a su respectiva tarifa. Los resultados se muestran en la </w:t>
      </w:r>
      <w:r w:rsidRPr="0011752D">
        <w:rPr>
          <w:rFonts w:ascii="Arial" w:hAnsi="Arial"/>
          <w:sz w:val="22"/>
          <w:lang w:val="es-CO"/>
        </w:rPr>
        <w:fldChar w:fldCharType="begin"/>
      </w:r>
      <w:r w:rsidRPr="0011752D">
        <w:rPr>
          <w:rFonts w:ascii="Arial" w:hAnsi="Arial"/>
          <w:sz w:val="22"/>
          <w:lang w:val="es-CO"/>
        </w:rPr>
        <w:instrText xml:space="preserve"> REF _Ref473312060 \h </w:instrText>
      </w:r>
      <w:r w:rsidRPr="0011752D">
        <w:rPr>
          <w:rFonts w:ascii="Arial" w:hAnsi="Arial"/>
          <w:sz w:val="22"/>
          <w:lang w:val="es-CO"/>
        </w:rPr>
      </w:r>
      <w:r w:rsidRPr="0011752D">
        <w:rPr>
          <w:rFonts w:ascii="Arial" w:hAnsi="Arial"/>
          <w:sz w:val="22"/>
          <w:lang w:val="es-CO"/>
        </w:rPr>
        <w:fldChar w:fldCharType="separate"/>
      </w:r>
      <w:r w:rsidRPr="0011752D">
        <w:rPr>
          <w:rFonts w:ascii="Arial" w:hAnsi="Arial"/>
          <w:b/>
          <w:sz w:val="22"/>
          <w:lang w:val="es-CO"/>
        </w:rPr>
        <w:t xml:space="preserve">Tabla </w:t>
      </w:r>
      <w:r w:rsidRPr="0011752D">
        <w:rPr>
          <w:rFonts w:ascii="Arial" w:hAnsi="Arial"/>
          <w:b/>
          <w:noProof/>
          <w:sz w:val="22"/>
          <w:lang w:val="es-CO"/>
        </w:rPr>
        <w:t>12</w:t>
      </w:r>
      <w:r w:rsidRPr="0011752D">
        <w:rPr>
          <w:rFonts w:ascii="Arial" w:hAnsi="Arial"/>
          <w:sz w:val="22"/>
          <w:lang w:val="es-CO"/>
        </w:rPr>
        <w:fldChar w:fldCharType="end"/>
      </w:r>
      <w:r w:rsidRPr="0011752D">
        <w:rPr>
          <w:rFonts w:ascii="Arial" w:hAnsi="Arial"/>
          <w:sz w:val="22"/>
          <w:lang w:val="es-CO"/>
        </w:rPr>
        <w:t>. Como se puede observar, aún con una reducción de la tarifa en un 30%, la relación B/C pasa de 1,54 a 1,42, manteniéndose significativamente positiva, lo que permite inferir una alta elasticidad de la demanda eléctrica a su precio.</w:t>
      </w:r>
    </w:p>
    <w:p w14:paraId="2341AD4A" w14:textId="77777777" w:rsidR="0011752D" w:rsidRPr="0011752D" w:rsidRDefault="0011752D" w:rsidP="0011752D">
      <w:pPr>
        <w:spacing w:before="240" w:after="240"/>
        <w:jc w:val="center"/>
        <w:rPr>
          <w:rFonts w:ascii="Arial" w:hAnsi="Arial"/>
          <w:b/>
          <w:sz w:val="22"/>
          <w:lang w:val="es-CO"/>
        </w:rPr>
      </w:pPr>
      <w:bookmarkStart w:id="98" w:name="_Ref473312060"/>
      <w:bookmarkStart w:id="99" w:name="_Toc474797066"/>
      <w:r w:rsidRPr="0011752D">
        <w:rPr>
          <w:rFonts w:ascii="Arial" w:hAnsi="Arial"/>
          <w:b/>
          <w:sz w:val="22"/>
          <w:lang w:val="es-CO"/>
        </w:rPr>
        <w:t xml:space="preserve">Tabla </w:t>
      </w:r>
      <w:r w:rsidRPr="0011752D">
        <w:rPr>
          <w:rFonts w:ascii="Arial" w:hAnsi="Arial"/>
          <w:b/>
          <w:sz w:val="22"/>
          <w:lang w:val="es-CO"/>
        </w:rPr>
        <w:fldChar w:fldCharType="begin"/>
      </w:r>
      <w:r w:rsidRPr="0011752D">
        <w:rPr>
          <w:rFonts w:ascii="Arial" w:hAnsi="Arial"/>
          <w:b/>
          <w:sz w:val="22"/>
          <w:lang w:val="es-CO"/>
        </w:rPr>
        <w:instrText xml:space="preserve"> SEQ Tabla \* ARABIC </w:instrText>
      </w:r>
      <w:r w:rsidRPr="0011752D">
        <w:rPr>
          <w:rFonts w:ascii="Arial" w:hAnsi="Arial"/>
          <w:b/>
          <w:sz w:val="22"/>
          <w:lang w:val="es-CO"/>
        </w:rPr>
        <w:fldChar w:fldCharType="separate"/>
      </w:r>
      <w:r w:rsidRPr="0011752D">
        <w:rPr>
          <w:rFonts w:ascii="Arial" w:hAnsi="Arial"/>
          <w:b/>
          <w:noProof/>
          <w:sz w:val="22"/>
          <w:lang w:val="es-CO"/>
        </w:rPr>
        <w:t>12</w:t>
      </w:r>
      <w:r w:rsidRPr="0011752D">
        <w:rPr>
          <w:rFonts w:ascii="Arial" w:hAnsi="Arial"/>
          <w:b/>
          <w:sz w:val="22"/>
          <w:lang w:val="es-CO"/>
        </w:rPr>
        <w:fldChar w:fldCharType="end"/>
      </w:r>
      <w:bookmarkEnd w:id="98"/>
      <w:r w:rsidRPr="0011752D">
        <w:rPr>
          <w:rFonts w:ascii="Arial" w:hAnsi="Arial"/>
          <w:b/>
          <w:sz w:val="22"/>
          <w:lang w:val="es-CO"/>
        </w:rPr>
        <w:t xml:space="preserve"> – Sensibilidad del beneficio neto de las medidas de GED a reducción de la tarifa de electricidad</w:t>
      </w:r>
      <w:bookmarkEnd w:id="99"/>
    </w:p>
    <w:tbl>
      <w:tblPr>
        <w:tblW w:w="5000" w:type="pct"/>
        <w:tblCellMar>
          <w:left w:w="70" w:type="dxa"/>
          <w:right w:w="70" w:type="dxa"/>
        </w:tblCellMar>
        <w:tblLook w:val="04A0" w:firstRow="1" w:lastRow="0" w:firstColumn="1" w:lastColumn="0" w:noHBand="0" w:noVBand="1"/>
      </w:tblPr>
      <w:tblGrid>
        <w:gridCol w:w="2901"/>
        <w:gridCol w:w="1143"/>
        <w:gridCol w:w="1143"/>
        <w:gridCol w:w="1145"/>
        <w:gridCol w:w="1143"/>
        <w:gridCol w:w="1145"/>
      </w:tblGrid>
      <w:tr w:rsidR="0011752D" w:rsidRPr="0011752D" w14:paraId="2341AD51" w14:textId="77777777" w:rsidTr="00390762">
        <w:trPr>
          <w:trHeight w:val="300"/>
        </w:trPr>
        <w:tc>
          <w:tcPr>
            <w:tcW w:w="1682"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341AD4B"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 </w:t>
            </w:r>
          </w:p>
        </w:tc>
        <w:tc>
          <w:tcPr>
            <w:tcW w:w="663" w:type="pct"/>
            <w:tcBorders>
              <w:top w:val="single" w:sz="8" w:space="0" w:color="auto"/>
              <w:left w:val="nil"/>
              <w:bottom w:val="single" w:sz="4" w:space="0" w:color="auto"/>
              <w:right w:val="single" w:sz="4" w:space="0" w:color="auto"/>
            </w:tcBorders>
            <w:shd w:val="clear" w:color="000000" w:fill="203764"/>
            <w:noWrap/>
            <w:vAlign w:val="bottom"/>
            <w:hideMark/>
          </w:tcPr>
          <w:p w14:paraId="2341AD4C"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Beneficios</w:t>
            </w:r>
          </w:p>
        </w:tc>
        <w:tc>
          <w:tcPr>
            <w:tcW w:w="663" w:type="pct"/>
            <w:tcBorders>
              <w:top w:val="single" w:sz="8" w:space="0" w:color="auto"/>
              <w:left w:val="nil"/>
              <w:bottom w:val="single" w:sz="4" w:space="0" w:color="auto"/>
              <w:right w:val="single" w:sz="4" w:space="0" w:color="auto"/>
            </w:tcBorders>
            <w:shd w:val="clear" w:color="000000" w:fill="203764"/>
            <w:noWrap/>
            <w:vAlign w:val="bottom"/>
            <w:hideMark/>
          </w:tcPr>
          <w:p w14:paraId="2341AD4D"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Costos</w:t>
            </w:r>
          </w:p>
        </w:tc>
        <w:tc>
          <w:tcPr>
            <w:tcW w:w="664" w:type="pct"/>
            <w:tcBorders>
              <w:top w:val="single" w:sz="8" w:space="0" w:color="auto"/>
              <w:left w:val="nil"/>
              <w:bottom w:val="single" w:sz="4" w:space="0" w:color="auto"/>
              <w:right w:val="single" w:sz="4" w:space="0" w:color="auto"/>
            </w:tcBorders>
            <w:shd w:val="clear" w:color="000000" w:fill="203764"/>
            <w:noWrap/>
            <w:vAlign w:val="bottom"/>
            <w:hideMark/>
          </w:tcPr>
          <w:p w14:paraId="2341AD4E"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Neto</w:t>
            </w:r>
          </w:p>
        </w:tc>
        <w:tc>
          <w:tcPr>
            <w:tcW w:w="663" w:type="pct"/>
            <w:tcBorders>
              <w:top w:val="single" w:sz="8" w:space="0" w:color="auto"/>
              <w:left w:val="nil"/>
              <w:bottom w:val="single" w:sz="4" w:space="0" w:color="auto"/>
              <w:right w:val="single" w:sz="4" w:space="0" w:color="auto"/>
            </w:tcBorders>
            <w:shd w:val="clear" w:color="000000" w:fill="203764"/>
            <w:noWrap/>
            <w:vAlign w:val="bottom"/>
            <w:hideMark/>
          </w:tcPr>
          <w:p w14:paraId="2341AD4F"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TIR</w:t>
            </w:r>
          </w:p>
        </w:tc>
        <w:tc>
          <w:tcPr>
            <w:tcW w:w="664" w:type="pct"/>
            <w:tcBorders>
              <w:top w:val="single" w:sz="8" w:space="0" w:color="auto"/>
              <w:left w:val="nil"/>
              <w:bottom w:val="single" w:sz="4" w:space="0" w:color="auto"/>
              <w:right w:val="single" w:sz="8" w:space="0" w:color="auto"/>
            </w:tcBorders>
            <w:shd w:val="clear" w:color="000000" w:fill="203764"/>
            <w:noWrap/>
            <w:vAlign w:val="bottom"/>
            <w:hideMark/>
          </w:tcPr>
          <w:p w14:paraId="2341AD50"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Relación B/C</w:t>
            </w:r>
          </w:p>
        </w:tc>
      </w:tr>
      <w:tr w:rsidR="0011752D" w:rsidRPr="0011752D" w14:paraId="2341AD58" w14:textId="77777777" w:rsidTr="00390762">
        <w:trPr>
          <w:trHeight w:val="300"/>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2341AD52"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VPN dic 2016 ($USD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2341AD53"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$3.521</w:t>
            </w:r>
          </w:p>
        </w:tc>
        <w:tc>
          <w:tcPr>
            <w:tcW w:w="663" w:type="pct"/>
            <w:tcBorders>
              <w:top w:val="nil"/>
              <w:left w:val="nil"/>
              <w:bottom w:val="single" w:sz="4" w:space="0" w:color="auto"/>
              <w:right w:val="single" w:sz="4" w:space="0" w:color="auto"/>
            </w:tcBorders>
            <w:shd w:val="clear" w:color="000000" w:fill="E2EFDA"/>
            <w:noWrap/>
            <w:vAlign w:val="bottom"/>
            <w:hideMark/>
          </w:tcPr>
          <w:p w14:paraId="2341AD54"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$2.283</w:t>
            </w:r>
          </w:p>
        </w:tc>
        <w:tc>
          <w:tcPr>
            <w:tcW w:w="664" w:type="pct"/>
            <w:tcBorders>
              <w:top w:val="nil"/>
              <w:left w:val="nil"/>
              <w:bottom w:val="single" w:sz="4" w:space="0" w:color="auto"/>
              <w:right w:val="single" w:sz="4" w:space="0" w:color="auto"/>
            </w:tcBorders>
            <w:shd w:val="clear" w:color="000000" w:fill="E2EFDA"/>
            <w:noWrap/>
            <w:vAlign w:val="bottom"/>
            <w:hideMark/>
          </w:tcPr>
          <w:p w14:paraId="2341AD55"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$1.237</w:t>
            </w:r>
          </w:p>
        </w:tc>
        <w:tc>
          <w:tcPr>
            <w:tcW w:w="663" w:type="pct"/>
            <w:tcBorders>
              <w:top w:val="nil"/>
              <w:left w:val="nil"/>
              <w:bottom w:val="nil"/>
              <w:right w:val="single" w:sz="4" w:space="0" w:color="auto"/>
            </w:tcBorders>
            <w:shd w:val="clear" w:color="000000" w:fill="E2EFDA"/>
            <w:noWrap/>
            <w:vAlign w:val="bottom"/>
            <w:hideMark/>
          </w:tcPr>
          <w:p w14:paraId="2341AD56"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36%</w:t>
            </w:r>
          </w:p>
        </w:tc>
        <w:tc>
          <w:tcPr>
            <w:tcW w:w="664" w:type="pct"/>
            <w:tcBorders>
              <w:top w:val="nil"/>
              <w:left w:val="nil"/>
              <w:bottom w:val="nil"/>
              <w:right w:val="single" w:sz="8" w:space="0" w:color="auto"/>
            </w:tcBorders>
            <w:shd w:val="clear" w:color="000000" w:fill="E2EFDA"/>
            <w:noWrap/>
            <w:vAlign w:val="bottom"/>
            <w:hideMark/>
          </w:tcPr>
          <w:p w14:paraId="2341AD57"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 xml:space="preserve">1,54 </w:t>
            </w:r>
          </w:p>
        </w:tc>
      </w:tr>
      <w:tr w:rsidR="0011752D" w:rsidRPr="0011752D" w14:paraId="2341AD5F" w14:textId="77777777" w:rsidTr="00390762">
        <w:trPr>
          <w:trHeight w:val="315"/>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2341AD59"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VPN dic 2016 ($COP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2341AD5A"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$10.564.170</w:t>
            </w:r>
          </w:p>
        </w:tc>
        <w:tc>
          <w:tcPr>
            <w:tcW w:w="663" w:type="pct"/>
            <w:tcBorders>
              <w:top w:val="nil"/>
              <w:left w:val="nil"/>
              <w:bottom w:val="single" w:sz="4" w:space="0" w:color="auto"/>
              <w:right w:val="single" w:sz="4" w:space="0" w:color="auto"/>
            </w:tcBorders>
            <w:shd w:val="clear" w:color="000000" w:fill="E2EFDA"/>
            <w:noWrap/>
            <w:vAlign w:val="bottom"/>
            <w:hideMark/>
          </w:tcPr>
          <w:p w14:paraId="2341AD5B"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$6.851.416</w:t>
            </w:r>
          </w:p>
        </w:tc>
        <w:tc>
          <w:tcPr>
            <w:tcW w:w="664" w:type="pct"/>
            <w:tcBorders>
              <w:top w:val="nil"/>
              <w:left w:val="nil"/>
              <w:bottom w:val="single" w:sz="4" w:space="0" w:color="auto"/>
              <w:right w:val="single" w:sz="4" w:space="0" w:color="auto"/>
            </w:tcBorders>
            <w:shd w:val="clear" w:color="000000" w:fill="E2EFDA"/>
            <w:noWrap/>
            <w:vAlign w:val="bottom"/>
            <w:hideMark/>
          </w:tcPr>
          <w:p w14:paraId="2341AD5C"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$3.712.754</w:t>
            </w:r>
          </w:p>
        </w:tc>
        <w:tc>
          <w:tcPr>
            <w:tcW w:w="663" w:type="pct"/>
            <w:tcBorders>
              <w:top w:val="nil"/>
              <w:left w:val="nil"/>
              <w:bottom w:val="single" w:sz="4" w:space="0" w:color="auto"/>
              <w:right w:val="single" w:sz="4" w:space="0" w:color="auto"/>
            </w:tcBorders>
            <w:shd w:val="clear" w:color="000000" w:fill="E2EFDA"/>
            <w:noWrap/>
            <w:vAlign w:val="bottom"/>
            <w:hideMark/>
          </w:tcPr>
          <w:p w14:paraId="2341AD5D"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 </w:t>
            </w:r>
          </w:p>
        </w:tc>
        <w:tc>
          <w:tcPr>
            <w:tcW w:w="664" w:type="pct"/>
            <w:tcBorders>
              <w:top w:val="nil"/>
              <w:left w:val="nil"/>
              <w:bottom w:val="single" w:sz="4" w:space="0" w:color="auto"/>
              <w:right w:val="single" w:sz="8" w:space="0" w:color="auto"/>
            </w:tcBorders>
            <w:shd w:val="clear" w:color="000000" w:fill="E2EFDA"/>
            <w:noWrap/>
            <w:vAlign w:val="bottom"/>
            <w:hideMark/>
          </w:tcPr>
          <w:p w14:paraId="2341AD5E"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 </w:t>
            </w:r>
          </w:p>
        </w:tc>
      </w:tr>
      <w:tr w:rsidR="0011752D" w:rsidRPr="0011752D" w14:paraId="2341AD66" w14:textId="77777777" w:rsidTr="00390762">
        <w:trPr>
          <w:trHeight w:val="315"/>
        </w:trPr>
        <w:tc>
          <w:tcPr>
            <w:tcW w:w="1682" w:type="pct"/>
            <w:tcBorders>
              <w:top w:val="nil"/>
              <w:left w:val="single" w:sz="8" w:space="0" w:color="auto"/>
              <w:bottom w:val="single" w:sz="4" w:space="0" w:color="auto"/>
              <w:right w:val="single" w:sz="4" w:space="0" w:color="auto"/>
            </w:tcBorders>
            <w:shd w:val="clear" w:color="auto" w:fill="auto"/>
            <w:noWrap/>
            <w:vAlign w:val="bottom"/>
            <w:hideMark/>
          </w:tcPr>
          <w:p w14:paraId="2341AD60"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Tarifa - 10%</w:t>
            </w:r>
          </w:p>
        </w:tc>
        <w:tc>
          <w:tcPr>
            <w:tcW w:w="663" w:type="pct"/>
            <w:tcBorders>
              <w:top w:val="nil"/>
              <w:left w:val="nil"/>
              <w:bottom w:val="single" w:sz="4" w:space="0" w:color="auto"/>
              <w:right w:val="single" w:sz="4" w:space="0" w:color="auto"/>
            </w:tcBorders>
            <w:shd w:val="clear" w:color="000000" w:fill="203764"/>
            <w:noWrap/>
            <w:vAlign w:val="bottom"/>
            <w:hideMark/>
          </w:tcPr>
          <w:p w14:paraId="2341AD61"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Beneficios</w:t>
            </w:r>
          </w:p>
        </w:tc>
        <w:tc>
          <w:tcPr>
            <w:tcW w:w="663" w:type="pct"/>
            <w:tcBorders>
              <w:top w:val="nil"/>
              <w:left w:val="nil"/>
              <w:bottom w:val="single" w:sz="4" w:space="0" w:color="auto"/>
              <w:right w:val="single" w:sz="4" w:space="0" w:color="auto"/>
            </w:tcBorders>
            <w:shd w:val="clear" w:color="000000" w:fill="203764"/>
            <w:noWrap/>
            <w:vAlign w:val="bottom"/>
            <w:hideMark/>
          </w:tcPr>
          <w:p w14:paraId="2341AD62"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Costos</w:t>
            </w:r>
          </w:p>
        </w:tc>
        <w:tc>
          <w:tcPr>
            <w:tcW w:w="664" w:type="pct"/>
            <w:tcBorders>
              <w:top w:val="nil"/>
              <w:left w:val="nil"/>
              <w:bottom w:val="single" w:sz="4" w:space="0" w:color="auto"/>
              <w:right w:val="single" w:sz="4" w:space="0" w:color="auto"/>
            </w:tcBorders>
            <w:shd w:val="clear" w:color="000000" w:fill="203764"/>
            <w:noWrap/>
            <w:vAlign w:val="bottom"/>
            <w:hideMark/>
          </w:tcPr>
          <w:p w14:paraId="2341AD63"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Neto</w:t>
            </w:r>
          </w:p>
        </w:tc>
        <w:tc>
          <w:tcPr>
            <w:tcW w:w="663" w:type="pct"/>
            <w:tcBorders>
              <w:top w:val="nil"/>
              <w:left w:val="nil"/>
              <w:bottom w:val="single" w:sz="4" w:space="0" w:color="auto"/>
              <w:right w:val="single" w:sz="4" w:space="0" w:color="auto"/>
            </w:tcBorders>
            <w:shd w:val="clear" w:color="000000" w:fill="203764"/>
            <w:noWrap/>
            <w:vAlign w:val="bottom"/>
            <w:hideMark/>
          </w:tcPr>
          <w:p w14:paraId="2341AD64"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TIR</w:t>
            </w:r>
          </w:p>
        </w:tc>
        <w:tc>
          <w:tcPr>
            <w:tcW w:w="664" w:type="pct"/>
            <w:tcBorders>
              <w:top w:val="nil"/>
              <w:left w:val="nil"/>
              <w:bottom w:val="single" w:sz="4" w:space="0" w:color="auto"/>
              <w:right w:val="single" w:sz="8" w:space="0" w:color="auto"/>
            </w:tcBorders>
            <w:shd w:val="clear" w:color="000000" w:fill="203764"/>
            <w:noWrap/>
            <w:vAlign w:val="bottom"/>
            <w:hideMark/>
          </w:tcPr>
          <w:p w14:paraId="2341AD65"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Relación B/C</w:t>
            </w:r>
          </w:p>
        </w:tc>
      </w:tr>
      <w:tr w:rsidR="0011752D" w:rsidRPr="0011752D" w14:paraId="2341AD6D" w14:textId="77777777" w:rsidTr="00390762">
        <w:trPr>
          <w:trHeight w:val="315"/>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2341AD67"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lastRenderedPageBreak/>
              <w:t>VPN dic 2016 ($USD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2341AD68"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$3.386</w:t>
            </w:r>
          </w:p>
        </w:tc>
        <w:tc>
          <w:tcPr>
            <w:tcW w:w="663" w:type="pct"/>
            <w:tcBorders>
              <w:top w:val="nil"/>
              <w:left w:val="nil"/>
              <w:bottom w:val="single" w:sz="4" w:space="0" w:color="auto"/>
              <w:right w:val="single" w:sz="4" w:space="0" w:color="auto"/>
            </w:tcBorders>
            <w:shd w:val="clear" w:color="000000" w:fill="E2EFDA"/>
            <w:noWrap/>
            <w:vAlign w:val="bottom"/>
            <w:hideMark/>
          </w:tcPr>
          <w:p w14:paraId="2341AD69"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$2.283</w:t>
            </w:r>
          </w:p>
        </w:tc>
        <w:tc>
          <w:tcPr>
            <w:tcW w:w="664" w:type="pct"/>
            <w:tcBorders>
              <w:top w:val="nil"/>
              <w:left w:val="nil"/>
              <w:bottom w:val="single" w:sz="4" w:space="0" w:color="auto"/>
              <w:right w:val="single" w:sz="4" w:space="0" w:color="auto"/>
            </w:tcBorders>
            <w:shd w:val="clear" w:color="000000" w:fill="E2EFDA"/>
            <w:noWrap/>
            <w:vAlign w:val="bottom"/>
            <w:hideMark/>
          </w:tcPr>
          <w:p w14:paraId="2341AD6A"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$1.102</w:t>
            </w:r>
          </w:p>
        </w:tc>
        <w:tc>
          <w:tcPr>
            <w:tcW w:w="663" w:type="pct"/>
            <w:tcBorders>
              <w:top w:val="nil"/>
              <w:left w:val="nil"/>
              <w:bottom w:val="nil"/>
              <w:right w:val="single" w:sz="4" w:space="0" w:color="auto"/>
            </w:tcBorders>
            <w:shd w:val="clear" w:color="000000" w:fill="E2EFDA"/>
            <w:noWrap/>
            <w:vAlign w:val="bottom"/>
            <w:hideMark/>
          </w:tcPr>
          <w:p w14:paraId="2341AD6B"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34%</w:t>
            </w:r>
          </w:p>
        </w:tc>
        <w:tc>
          <w:tcPr>
            <w:tcW w:w="664" w:type="pct"/>
            <w:tcBorders>
              <w:top w:val="nil"/>
              <w:left w:val="nil"/>
              <w:bottom w:val="nil"/>
              <w:right w:val="single" w:sz="8" w:space="0" w:color="auto"/>
            </w:tcBorders>
            <w:shd w:val="clear" w:color="000000" w:fill="E2EFDA"/>
            <w:noWrap/>
            <w:vAlign w:val="bottom"/>
            <w:hideMark/>
          </w:tcPr>
          <w:p w14:paraId="2341AD6C"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 xml:space="preserve">1,48 </w:t>
            </w:r>
          </w:p>
        </w:tc>
      </w:tr>
      <w:tr w:rsidR="0011752D" w:rsidRPr="0011752D" w14:paraId="2341AD74" w14:textId="77777777" w:rsidTr="00390762">
        <w:trPr>
          <w:trHeight w:val="315"/>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2341AD6E"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VPN dic 2016 ($COP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2341AD6F"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$10.158.921</w:t>
            </w:r>
          </w:p>
        </w:tc>
        <w:tc>
          <w:tcPr>
            <w:tcW w:w="663" w:type="pct"/>
            <w:tcBorders>
              <w:top w:val="nil"/>
              <w:left w:val="nil"/>
              <w:bottom w:val="single" w:sz="4" w:space="0" w:color="auto"/>
              <w:right w:val="single" w:sz="4" w:space="0" w:color="auto"/>
            </w:tcBorders>
            <w:shd w:val="clear" w:color="000000" w:fill="E2EFDA"/>
            <w:noWrap/>
            <w:vAlign w:val="bottom"/>
            <w:hideMark/>
          </w:tcPr>
          <w:p w14:paraId="2341AD70"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$6.851.416</w:t>
            </w:r>
          </w:p>
        </w:tc>
        <w:tc>
          <w:tcPr>
            <w:tcW w:w="664" w:type="pct"/>
            <w:tcBorders>
              <w:top w:val="nil"/>
              <w:left w:val="nil"/>
              <w:bottom w:val="single" w:sz="4" w:space="0" w:color="auto"/>
              <w:right w:val="single" w:sz="4" w:space="0" w:color="auto"/>
            </w:tcBorders>
            <w:shd w:val="clear" w:color="000000" w:fill="E2EFDA"/>
            <w:noWrap/>
            <w:vAlign w:val="bottom"/>
            <w:hideMark/>
          </w:tcPr>
          <w:p w14:paraId="2341AD71"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$3.307.505</w:t>
            </w:r>
          </w:p>
        </w:tc>
        <w:tc>
          <w:tcPr>
            <w:tcW w:w="663" w:type="pct"/>
            <w:tcBorders>
              <w:top w:val="nil"/>
              <w:left w:val="nil"/>
              <w:bottom w:val="single" w:sz="4" w:space="0" w:color="auto"/>
              <w:right w:val="single" w:sz="4" w:space="0" w:color="auto"/>
            </w:tcBorders>
            <w:shd w:val="clear" w:color="000000" w:fill="E2EFDA"/>
            <w:noWrap/>
            <w:vAlign w:val="bottom"/>
            <w:hideMark/>
          </w:tcPr>
          <w:p w14:paraId="2341AD72"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 </w:t>
            </w:r>
          </w:p>
        </w:tc>
        <w:tc>
          <w:tcPr>
            <w:tcW w:w="664" w:type="pct"/>
            <w:tcBorders>
              <w:top w:val="nil"/>
              <w:left w:val="nil"/>
              <w:bottom w:val="single" w:sz="4" w:space="0" w:color="auto"/>
              <w:right w:val="single" w:sz="8" w:space="0" w:color="auto"/>
            </w:tcBorders>
            <w:shd w:val="clear" w:color="000000" w:fill="E2EFDA"/>
            <w:noWrap/>
            <w:vAlign w:val="bottom"/>
            <w:hideMark/>
          </w:tcPr>
          <w:p w14:paraId="2341AD73"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 </w:t>
            </w:r>
          </w:p>
        </w:tc>
      </w:tr>
      <w:tr w:rsidR="0011752D" w:rsidRPr="0011752D" w14:paraId="2341AD7B" w14:textId="77777777" w:rsidTr="00390762">
        <w:trPr>
          <w:trHeight w:val="315"/>
        </w:trPr>
        <w:tc>
          <w:tcPr>
            <w:tcW w:w="1682" w:type="pct"/>
            <w:tcBorders>
              <w:top w:val="nil"/>
              <w:left w:val="single" w:sz="8" w:space="0" w:color="auto"/>
              <w:bottom w:val="single" w:sz="4" w:space="0" w:color="auto"/>
              <w:right w:val="single" w:sz="4" w:space="0" w:color="auto"/>
            </w:tcBorders>
            <w:shd w:val="clear" w:color="auto" w:fill="auto"/>
            <w:noWrap/>
            <w:vAlign w:val="bottom"/>
            <w:hideMark/>
          </w:tcPr>
          <w:p w14:paraId="2341AD75"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Tarifa - 20%</w:t>
            </w:r>
          </w:p>
        </w:tc>
        <w:tc>
          <w:tcPr>
            <w:tcW w:w="663" w:type="pct"/>
            <w:tcBorders>
              <w:top w:val="nil"/>
              <w:left w:val="nil"/>
              <w:bottom w:val="single" w:sz="4" w:space="0" w:color="auto"/>
              <w:right w:val="single" w:sz="4" w:space="0" w:color="auto"/>
            </w:tcBorders>
            <w:shd w:val="clear" w:color="000000" w:fill="203764"/>
            <w:noWrap/>
            <w:vAlign w:val="bottom"/>
            <w:hideMark/>
          </w:tcPr>
          <w:p w14:paraId="2341AD76"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Beneficios</w:t>
            </w:r>
          </w:p>
        </w:tc>
        <w:tc>
          <w:tcPr>
            <w:tcW w:w="663" w:type="pct"/>
            <w:tcBorders>
              <w:top w:val="nil"/>
              <w:left w:val="nil"/>
              <w:bottom w:val="single" w:sz="4" w:space="0" w:color="auto"/>
              <w:right w:val="single" w:sz="4" w:space="0" w:color="auto"/>
            </w:tcBorders>
            <w:shd w:val="clear" w:color="000000" w:fill="203764"/>
            <w:noWrap/>
            <w:vAlign w:val="bottom"/>
            <w:hideMark/>
          </w:tcPr>
          <w:p w14:paraId="2341AD77"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Costos</w:t>
            </w:r>
          </w:p>
        </w:tc>
        <w:tc>
          <w:tcPr>
            <w:tcW w:w="664" w:type="pct"/>
            <w:tcBorders>
              <w:top w:val="nil"/>
              <w:left w:val="nil"/>
              <w:bottom w:val="single" w:sz="4" w:space="0" w:color="auto"/>
              <w:right w:val="single" w:sz="4" w:space="0" w:color="auto"/>
            </w:tcBorders>
            <w:shd w:val="clear" w:color="000000" w:fill="203764"/>
            <w:noWrap/>
            <w:vAlign w:val="bottom"/>
            <w:hideMark/>
          </w:tcPr>
          <w:p w14:paraId="2341AD78"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Neto</w:t>
            </w:r>
          </w:p>
        </w:tc>
        <w:tc>
          <w:tcPr>
            <w:tcW w:w="663" w:type="pct"/>
            <w:tcBorders>
              <w:top w:val="nil"/>
              <w:left w:val="nil"/>
              <w:bottom w:val="single" w:sz="4" w:space="0" w:color="auto"/>
              <w:right w:val="single" w:sz="4" w:space="0" w:color="auto"/>
            </w:tcBorders>
            <w:shd w:val="clear" w:color="000000" w:fill="203764"/>
            <w:noWrap/>
            <w:vAlign w:val="bottom"/>
            <w:hideMark/>
          </w:tcPr>
          <w:p w14:paraId="2341AD79"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TIR</w:t>
            </w:r>
          </w:p>
        </w:tc>
        <w:tc>
          <w:tcPr>
            <w:tcW w:w="664" w:type="pct"/>
            <w:tcBorders>
              <w:top w:val="nil"/>
              <w:left w:val="nil"/>
              <w:bottom w:val="single" w:sz="4" w:space="0" w:color="auto"/>
              <w:right w:val="single" w:sz="8" w:space="0" w:color="auto"/>
            </w:tcBorders>
            <w:shd w:val="clear" w:color="000000" w:fill="203764"/>
            <w:noWrap/>
            <w:vAlign w:val="bottom"/>
            <w:hideMark/>
          </w:tcPr>
          <w:p w14:paraId="2341AD7A"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Relación B/C</w:t>
            </w:r>
          </w:p>
        </w:tc>
      </w:tr>
      <w:tr w:rsidR="0011752D" w:rsidRPr="0011752D" w14:paraId="2341AD82" w14:textId="77777777" w:rsidTr="00390762">
        <w:trPr>
          <w:trHeight w:val="315"/>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2341AD7C"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VPN dic 2016 ($USD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2341AD7D"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$3.250</w:t>
            </w:r>
          </w:p>
        </w:tc>
        <w:tc>
          <w:tcPr>
            <w:tcW w:w="663" w:type="pct"/>
            <w:tcBorders>
              <w:top w:val="nil"/>
              <w:left w:val="nil"/>
              <w:bottom w:val="single" w:sz="4" w:space="0" w:color="auto"/>
              <w:right w:val="single" w:sz="4" w:space="0" w:color="auto"/>
            </w:tcBorders>
            <w:shd w:val="clear" w:color="000000" w:fill="E2EFDA"/>
            <w:noWrap/>
            <w:vAlign w:val="bottom"/>
            <w:hideMark/>
          </w:tcPr>
          <w:p w14:paraId="2341AD7E"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$2.283</w:t>
            </w:r>
          </w:p>
        </w:tc>
        <w:tc>
          <w:tcPr>
            <w:tcW w:w="664" w:type="pct"/>
            <w:tcBorders>
              <w:top w:val="nil"/>
              <w:left w:val="nil"/>
              <w:bottom w:val="single" w:sz="4" w:space="0" w:color="auto"/>
              <w:right w:val="single" w:sz="4" w:space="0" w:color="auto"/>
            </w:tcBorders>
            <w:shd w:val="clear" w:color="000000" w:fill="E2EFDA"/>
            <w:noWrap/>
            <w:vAlign w:val="bottom"/>
            <w:hideMark/>
          </w:tcPr>
          <w:p w14:paraId="2341AD7F"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$967</w:t>
            </w:r>
          </w:p>
        </w:tc>
        <w:tc>
          <w:tcPr>
            <w:tcW w:w="663" w:type="pct"/>
            <w:tcBorders>
              <w:top w:val="nil"/>
              <w:left w:val="nil"/>
              <w:bottom w:val="nil"/>
              <w:right w:val="single" w:sz="4" w:space="0" w:color="auto"/>
            </w:tcBorders>
            <w:shd w:val="clear" w:color="000000" w:fill="E2EFDA"/>
            <w:noWrap/>
            <w:vAlign w:val="bottom"/>
            <w:hideMark/>
          </w:tcPr>
          <w:p w14:paraId="2341AD80"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32%</w:t>
            </w:r>
          </w:p>
        </w:tc>
        <w:tc>
          <w:tcPr>
            <w:tcW w:w="664" w:type="pct"/>
            <w:tcBorders>
              <w:top w:val="nil"/>
              <w:left w:val="nil"/>
              <w:bottom w:val="nil"/>
              <w:right w:val="single" w:sz="8" w:space="0" w:color="auto"/>
            </w:tcBorders>
            <w:shd w:val="clear" w:color="000000" w:fill="E2EFDA"/>
            <w:noWrap/>
            <w:vAlign w:val="bottom"/>
            <w:hideMark/>
          </w:tcPr>
          <w:p w14:paraId="2341AD81"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 xml:space="preserve">1,42 </w:t>
            </w:r>
          </w:p>
        </w:tc>
      </w:tr>
      <w:tr w:rsidR="0011752D" w:rsidRPr="0011752D" w14:paraId="2341AD89" w14:textId="77777777" w:rsidTr="00390762">
        <w:trPr>
          <w:trHeight w:val="315"/>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2341AD83"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VPN dic 2016 ($COP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2341AD84"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$9.753.672</w:t>
            </w:r>
          </w:p>
        </w:tc>
        <w:tc>
          <w:tcPr>
            <w:tcW w:w="663" w:type="pct"/>
            <w:tcBorders>
              <w:top w:val="nil"/>
              <w:left w:val="nil"/>
              <w:bottom w:val="single" w:sz="4" w:space="0" w:color="auto"/>
              <w:right w:val="single" w:sz="4" w:space="0" w:color="auto"/>
            </w:tcBorders>
            <w:shd w:val="clear" w:color="000000" w:fill="E2EFDA"/>
            <w:noWrap/>
            <w:vAlign w:val="bottom"/>
            <w:hideMark/>
          </w:tcPr>
          <w:p w14:paraId="2341AD85"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$6.851.416</w:t>
            </w:r>
          </w:p>
        </w:tc>
        <w:tc>
          <w:tcPr>
            <w:tcW w:w="664" w:type="pct"/>
            <w:tcBorders>
              <w:top w:val="nil"/>
              <w:left w:val="nil"/>
              <w:bottom w:val="single" w:sz="4" w:space="0" w:color="auto"/>
              <w:right w:val="single" w:sz="4" w:space="0" w:color="auto"/>
            </w:tcBorders>
            <w:shd w:val="clear" w:color="000000" w:fill="E2EFDA"/>
            <w:noWrap/>
            <w:vAlign w:val="bottom"/>
            <w:hideMark/>
          </w:tcPr>
          <w:p w14:paraId="2341AD86"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$2.902.256</w:t>
            </w:r>
          </w:p>
        </w:tc>
        <w:tc>
          <w:tcPr>
            <w:tcW w:w="663" w:type="pct"/>
            <w:tcBorders>
              <w:top w:val="nil"/>
              <w:left w:val="nil"/>
              <w:bottom w:val="single" w:sz="4" w:space="0" w:color="auto"/>
              <w:right w:val="single" w:sz="4" w:space="0" w:color="auto"/>
            </w:tcBorders>
            <w:shd w:val="clear" w:color="000000" w:fill="E2EFDA"/>
            <w:noWrap/>
            <w:vAlign w:val="bottom"/>
            <w:hideMark/>
          </w:tcPr>
          <w:p w14:paraId="2341AD87"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 </w:t>
            </w:r>
          </w:p>
        </w:tc>
        <w:tc>
          <w:tcPr>
            <w:tcW w:w="664" w:type="pct"/>
            <w:tcBorders>
              <w:top w:val="nil"/>
              <w:left w:val="nil"/>
              <w:bottom w:val="single" w:sz="4" w:space="0" w:color="auto"/>
              <w:right w:val="single" w:sz="8" w:space="0" w:color="auto"/>
            </w:tcBorders>
            <w:shd w:val="clear" w:color="000000" w:fill="E2EFDA"/>
            <w:noWrap/>
            <w:vAlign w:val="bottom"/>
            <w:hideMark/>
          </w:tcPr>
          <w:p w14:paraId="2341AD88"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 </w:t>
            </w:r>
          </w:p>
        </w:tc>
      </w:tr>
      <w:tr w:rsidR="0011752D" w:rsidRPr="0011752D" w14:paraId="2341AD90" w14:textId="77777777" w:rsidTr="00390762">
        <w:trPr>
          <w:trHeight w:val="315"/>
        </w:trPr>
        <w:tc>
          <w:tcPr>
            <w:tcW w:w="1682" w:type="pct"/>
            <w:tcBorders>
              <w:top w:val="nil"/>
              <w:left w:val="single" w:sz="8" w:space="0" w:color="auto"/>
              <w:bottom w:val="single" w:sz="4" w:space="0" w:color="auto"/>
              <w:right w:val="single" w:sz="4" w:space="0" w:color="auto"/>
            </w:tcBorders>
            <w:shd w:val="clear" w:color="auto" w:fill="auto"/>
            <w:noWrap/>
            <w:vAlign w:val="bottom"/>
            <w:hideMark/>
          </w:tcPr>
          <w:p w14:paraId="2341AD8A"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Tarifa - 30%</w:t>
            </w:r>
          </w:p>
        </w:tc>
        <w:tc>
          <w:tcPr>
            <w:tcW w:w="663" w:type="pct"/>
            <w:tcBorders>
              <w:top w:val="nil"/>
              <w:left w:val="nil"/>
              <w:bottom w:val="single" w:sz="4" w:space="0" w:color="auto"/>
              <w:right w:val="single" w:sz="4" w:space="0" w:color="auto"/>
            </w:tcBorders>
            <w:shd w:val="clear" w:color="000000" w:fill="203764"/>
            <w:noWrap/>
            <w:vAlign w:val="bottom"/>
            <w:hideMark/>
          </w:tcPr>
          <w:p w14:paraId="2341AD8B"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Beneficios</w:t>
            </w:r>
          </w:p>
        </w:tc>
        <w:tc>
          <w:tcPr>
            <w:tcW w:w="663" w:type="pct"/>
            <w:tcBorders>
              <w:top w:val="nil"/>
              <w:left w:val="nil"/>
              <w:bottom w:val="single" w:sz="4" w:space="0" w:color="auto"/>
              <w:right w:val="single" w:sz="4" w:space="0" w:color="auto"/>
            </w:tcBorders>
            <w:shd w:val="clear" w:color="000000" w:fill="203764"/>
            <w:noWrap/>
            <w:vAlign w:val="bottom"/>
            <w:hideMark/>
          </w:tcPr>
          <w:p w14:paraId="2341AD8C"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Costos</w:t>
            </w:r>
          </w:p>
        </w:tc>
        <w:tc>
          <w:tcPr>
            <w:tcW w:w="664" w:type="pct"/>
            <w:tcBorders>
              <w:top w:val="nil"/>
              <w:left w:val="nil"/>
              <w:bottom w:val="single" w:sz="4" w:space="0" w:color="auto"/>
              <w:right w:val="single" w:sz="4" w:space="0" w:color="auto"/>
            </w:tcBorders>
            <w:shd w:val="clear" w:color="000000" w:fill="203764"/>
            <w:noWrap/>
            <w:vAlign w:val="bottom"/>
            <w:hideMark/>
          </w:tcPr>
          <w:p w14:paraId="2341AD8D"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Neto</w:t>
            </w:r>
          </w:p>
        </w:tc>
        <w:tc>
          <w:tcPr>
            <w:tcW w:w="663" w:type="pct"/>
            <w:tcBorders>
              <w:top w:val="nil"/>
              <w:left w:val="nil"/>
              <w:bottom w:val="single" w:sz="4" w:space="0" w:color="auto"/>
              <w:right w:val="single" w:sz="4" w:space="0" w:color="auto"/>
            </w:tcBorders>
            <w:shd w:val="clear" w:color="000000" w:fill="203764"/>
            <w:noWrap/>
            <w:vAlign w:val="bottom"/>
            <w:hideMark/>
          </w:tcPr>
          <w:p w14:paraId="2341AD8E"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TIR</w:t>
            </w:r>
          </w:p>
        </w:tc>
        <w:tc>
          <w:tcPr>
            <w:tcW w:w="664" w:type="pct"/>
            <w:tcBorders>
              <w:top w:val="nil"/>
              <w:left w:val="nil"/>
              <w:bottom w:val="single" w:sz="4" w:space="0" w:color="auto"/>
              <w:right w:val="single" w:sz="8" w:space="0" w:color="auto"/>
            </w:tcBorders>
            <w:shd w:val="clear" w:color="000000" w:fill="203764"/>
            <w:noWrap/>
            <w:vAlign w:val="bottom"/>
            <w:hideMark/>
          </w:tcPr>
          <w:p w14:paraId="2341AD8F" w14:textId="77777777" w:rsidR="0011752D" w:rsidRPr="0011752D" w:rsidRDefault="0011752D" w:rsidP="0011752D">
            <w:pPr>
              <w:jc w:val="center"/>
              <w:rPr>
                <w:rFonts w:ascii="Calibri" w:hAnsi="Calibri" w:cs="Calibri"/>
                <w:color w:val="FFFFFF"/>
                <w:sz w:val="18"/>
                <w:szCs w:val="18"/>
                <w:lang w:val="es-CO" w:eastAsia="es-CO"/>
              </w:rPr>
            </w:pPr>
            <w:r w:rsidRPr="0011752D">
              <w:rPr>
                <w:rFonts w:ascii="Calibri" w:hAnsi="Calibri" w:cs="Calibri"/>
                <w:color w:val="FFFFFF"/>
                <w:sz w:val="18"/>
                <w:szCs w:val="18"/>
                <w:lang w:val="es-CO" w:eastAsia="es-CO"/>
              </w:rPr>
              <w:t>Relación B/C</w:t>
            </w:r>
          </w:p>
        </w:tc>
      </w:tr>
      <w:tr w:rsidR="0011752D" w:rsidRPr="0011752D" w14:paraId="2341AD97" w14:textId="77777777" w:rsidTr="00390762">
        <w:trPr>
          <w:trHeight w:val="315"/>
        </w:trPr>
        <w:tc>
          <w:tcPr>
            <w:tcW w:w="1682" w:type="pct"/>
            <w:tcBorders>
              <w:top w:val="nil"/>
              <w:left w:val="single" w:sz="8" w:space="0" w:color="auto"/>
              <w:bottom w:val="single" w:sz="4" w:space="0" w:color="auto"/>
              <w:right w:val="single" w:sz="4" w:space="0" w:color="auto"/>
            </w:tcBorders>
            <w:shd w:val="clear" w:color="000000" w:fill="E2EFDA"/>
            <w:noWrap/>
            <w:vAlign w:val="bottom"/>
            <w:hideMark/>
          </w:tcPr>
          <w:p w14:paraId="2341AD91"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VPN dic 2016 ($USD Millones)</w:t>
            </w:r>
          </w:p>
        </w:tc>
        <w:tc>
          <w:tcPr>
            <w:tcW w:w="663" w:type="pct"/>
            <w:tcBorders>
              <w:top w:val="nil"/>
              <w:left w:val="nil"/>
              <w:bottom w:val="single" w:sz="4" w:space="0" w:color="auto"/>
              <w:right w:val="single" w:sz="4" w:space="0" w:color="auto"/>
            </w:tcBorders>
            <w:shd w:val="clear" w:color="000000" w:fill="E2EFDA"/>
            <w:noWrap/>
            <w:vAlign w:val="bottom"/>
            <w:hideMark/>
          </w:tcPr>
          <w:p w14:paraId="2341AD92"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$3.115</w:t>
            </w:r>
          </w:p>
        </w:tc>
        <w:tc>
          <w:tcPr>
            <w:tcW w:w="663" w:type="pct"/>
            <w:tcBorders>
              <w:top w:val="nil"/>
              <w:left w:val="nil"/>
              <w:bottom w:val="single" w:sz="4" w:space="0" w:color="auto"/>
              <w:right w:val="single" w:sz="4" w:space="0" w:color="auto"/>
            </w:tcBorders>
            <w:shd w:val="clear" w:color="000000" w:fill="E2EFDA"/>
            <w:noWrap/>
            <w:vAlign w:val="bottom"/>
            <w:hideMark/>
          </w:tcPr>
          <w:p w14:paraId="2341AD93"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$2.283</w:t>
            </w:r>
          </w:p>
        </w:tc>
        <w:tc>
          <w:tcPr>
            <w:tcW w:w="664" w:type="pct"/>
            <w:tcBorders>
              <w:top w:val="nil"/>
              <w:left w:val="nil"/>
              <w:bottom w:val="single" w:sz="4" w:space="0" w:color="auto"/>
              <w:right w:val="single" w:sz="4" w:space="0" w:color="auto"/>
            </w:tcBorders>
            <w:shd w:val="clear" w:color="000000" w:fill="E2EFDA"/>
            <w:noWrap/>
            <w:vAlign w:val="bottom"/>
            <w:hideMark/>
          </w:tcPr>
          <w:p w14:paraId="2341AD94"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$832</w:t>
            </w:r>
          </w:p>
        </w:tc>
        <w:tc>
          <w:tcPr>
            <w:tcW w:w="663" w:type="pct"/>
            <w:tcBorders>
              <w:top w:val="nil"/>
              <w:left w:val="nil"/>
              <w:bottom w:val="nil"/>
              <w:right w:val="single" w:sz="4" w:space="0" w:color="auto"/>
            </w:tcBorders>
            <w:shd w:val="clear" w:color="000000" w:fill="E2EFDA"/>
            <w:noWrap/>
            <w:vAlign w:val="bottom"/>
            <w:hideMark/>
          </w:tcPr>
          <w:p w14:paraId="2341AD95"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29%</w:t>
            </w:r>
          </w:p>
        </w:tc>
        <w:tc>
          <w:tcPr>
            <w:tcW w:w="664" w:type="pct"/>
            <w:tcBorders>
              <w:top w:val="nil"/>
              <w:left w:val="nil"/>
              <w:bottom w:val="nil"/>
              <w:right w:val="single" w:sz="8" w:space="0" w:color="auto"/>
            </w:tcBorders>
            <w:shd w:val="clear" w:color="000000" w:fill="E2EFDA"/>
            <w:noWrap/>
            <w:vAlign w:val="bottom"/>
            <w:hideMark/>
          </w:tcPr>
          <w:p w14:paraId="2341AD96" w14:textId="77777777" w:rsidR="0011752D" w:rsidRPr="0011752D" w:rsidRDefault="0011752D" w:rsidP="0011752D">
            <w:pPr>
              <w:jc w:val="cente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 xml:space="preserve">1,36 </w:t>
            </w:r>
          </w:p>
        </w:tc>
      </w:tr>
      <w:tr w:rsidR="0011752D" w:rsidRPr="0011752D" w14:paraId="2341AD9E" w14:textId="77777777" w:rsidTr="00390762">
        <w:trPr>
          <w:trHeight w:val="315"/>
        </w:trPr>
        <w:tc>
          <w:tcPr>
            <w:tcW w:w="1682" w:type="pct"/>
            <w:tcBorders>
              <w:top w:val="nil"/>
              <w:left w:val="single" w:sz="8" w:space="0" w:color="auto"/>
              <w:bottom w:val="single" w:sz="8" w:space="0" w:color="auto"/>
              <w:right w:val="single" w:sz="4" w:space="0" w:color="auto"/>
            </w:tcBorders>
            <w:shd w:val="clear" w:color="000000" w:fill="E2EFDA"/>
            <w:noWrap/>
            <w:vAlign w:val="bottom"/>
            <w:hideMark/>
          </w:tcPr>
          <w:p w14:paraId="2341AD98"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VPN dic 2016 ($COP Millones)</w:t>
            </w:r>
          </w:p>
        </w:tc>
        <w:tc>
          <w:tcPr>
            <w:tcW w:w="663" w:type="pct"/>
            <w:tcBorders>
              <w:top w:val="nil"/>
              <w:left w:val="nil"/>
              <w:bottom w:val="single" w:sz="8" w:space="0" w:color="auto"/>
              <w:right w:val="single" w:sz="4" w:space="0" w:color="auto"/>
            </w:tcBorders>
            <w:shd w:val="clear" w:color="000000" w:fill="E2EFDA"/>
            <w:noWrap/>
            <w:vAlign w:val="bottom"/>
            <w:hideMark/>
          </w:tcPr>
          <w:p w14:paraId="2341AD99"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$9.348.423</w:t>
            </w:r>
          </w:p>
        </w:tc>
        <w:tc>
          <w:tcPr>
            <w:tcW w:w="663" w:type="pct"/>
            <w:tcBorders>
              <w:top w:val="nil"/>
              <w:left w:val="nil"/>
              <w:bottom w:val="single" w:sz="8" w:space="0" w:color="auto"/>
              <w:right w:val="single" w:sz="4" w:space="0" w:color="auto"/>
            </w:tcBorders>
            <w:shd w:val="clear" w:color="000000" w:fill="E2EFDA"/>
            <w:noWrap/>
            <w:vAlign w:val="bottom"/>
            <w:hideMark/>
          </w:tcPr>
          <w:p w14:paraId="2341AD9A"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$6.851.416</w:t>
            </w:r>
          </w:p>
        </w:tc>
        <w:tc>
          <w:tcPr>
            <w:tcW w:w="664" w:type="pct"/>
            <w:tcBorders>
              <w:top w:val="nil"/>
              <w:left w:val="nil"/>
              <w:bottom w:val="single" w:sz="8" w:space="0" w:color="auto"/>
              <w:right w:val="single" w:sz="4" w:space="0" w:color="auto"/>
            </w:tcBorders>
            <w:shd w:val="clear" w:color="000000" w:fill="E2EFDA"/>
            <w:noWrap/>
            <w:vAlign w:val="bottom"/>
            <w:hideMark/>
          </w:tcPr>
          <w:p w14:paraId="2341AD9B" w14:textId="77777777" w:rsidR="0011752D" w:rsidRPr="0011752D" w:rsidRDefault="0011752D" w:rsidP="0011752D">
            <w:pPr>
              <w:jc w:val="right"/>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$2.497.007</w:t>
            </w:r>
          </w:p>
        </w:tc>
        <w:tc>
          <w:tcPr>
            <w:tcW w:w="663" w:type="pct"/>
            <w:tcBorders>
              <w:top w:val="nil"/>
              <w:left w:val="nil"/>
              <w:bottom w:val="single" w:sz="8" w:space="0" w:color="auto"/>
              <w:right w:val="single" w:sz="4" w:space="0" w:color="auto"/>
            </w:tcBorders>
            <w:shd w:val="clear" w:color="000000" w:fill="E2EFDA"/>
            <w:noWrap/>
            <w:vAlign w:val="bottom"/>
            <w:hideMark/>
          </w:tcPr>
          <w:p w14:paraId="2341AD9C"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 </w:t>
            </w:r>
          </w:p>
        </w:tc>
        <w:tc>
          <w:tcPr>
            <w:tcW w:w="664" w:type="pct"/>
            <w:tcBorders>
              <w:top w:val="nil"/>
              <w:left w:val="nil"/>
              <w:bottom w:val="single" w:sz="4" w:space="0" w:color="auto"/>
              <w:right w:val="single" w:sz="8" w:space="0" w:color="auto"/>
            </w:tcBorders>
            <w:shd w:val="clear" w:color="000000" w:fill="E2EFDA"/>
            <w:noWrap/>
            <w:vAlign w:val="bottom"/>
            <w:hideMark/>
          </w:tcPr>
          <w:p w14:paraId="2341AD9D" w14:textId="77777777" w:rsidR="0011752D" w:rsidRPr="0011752D" w:rsidRDefault="0011752D" w:rsidP="0011752D">
            <w:pPr>
              <w:rPr>
                <w:rFonts w:ascii="Calibri" w:hAnsi="Calibri" w:cs="Calibri"/>
                <w:color w:val="000000"/>
                <w:sz w:val="18"/>
                <w:szCs w:val="18"/>
                <w:lang w:val="es-CO" w:eastAsia="es-CO"/>
              </w:rPr>
            </w:pPr>
            <w:r w:rsidRPr="0011752D">
              <w:rPr>
                <w:rFonts w:ascii="Calibri" w:hAnsi="Calibri" w:cs="Calibri"/>
                <w:color w:val="000000"/>
                <w:sz w:val="18"/>
                <w:szCs w:val="18"/>
                <w:lang w:val="es-CO" w:eastAsia="es-CO"/>
              </w:rPr>
              <w:t> </w:t>
            </w:r>
          </w:p>
        </w:tc>
      </w:tr>
    </w:tbl>
    <w:p w14:paraId="2341AD9F" w14:textId="77777777" w:rsidR="0011752D" w:rsidRPr="0011752D" w:rsidRDefault="0011752D" w:rsidP="0011752D">
      <w:pPr>
        <w:spacing w:before="240" w:after="240"/>
        <w:jc w:val="both"/>
        <w:rPr>
          <w:rFonts w:ascii="Arial" w:hAnsi="Arial"/>
          <w:color w:val="FF0000"/>
          <w:sz w:val="22"/>
          <w:lang w:val="es-CO"/>
        </w:rPr>
      </w:pPr>
    </w:p>
    <w:p w14:paraId="2341ADA0"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CO"/>
        </w:rPr>
      </w:pPr>
      <w:bookmarkStart w:id="100" w:name="_Toc474797036"/>
      <w:r w:rsidRPr="0011752D">
        <w:rPr>
          <w:rFonts w:ascii="Arial" w:hAnsi="Arial"/>
          <w:b/>
          <w:color w:val="1F3864"/>
          <w:szCs w:val="26"/>
          <w:lang w:val="es-CO"/>
        </w:rPr>
        <w:t>Conclusiones de la evaluación económica del Componente 2</w:t>
      </w:r>
      <w:bookmarkEnd w:id="100"/>
    </w:p>
    <w:p w14:paraId="2341ADA1"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El </w:t>
      </w:r>
      <w:r w:rsidRPr="0011752D">
        <w:rPr>
          <w:rFonts w:ascii="Arial" w:hAnsi="Arial"/>
          <w:b/>
          <w:sz w:val="22"/>
          <w:lang w:val="es-CO"/>
        </w:rPr>
        <w:t xml:space="preserve">Componente 2. Apoyo a la confiabilidad del abastecimiento eléctrico del SIN, </w:t>
      </w:r>
      <w:r w:rsidRPr="0011752D">
        <w:rPr>
          <w:rFonts w:ascii="Arial" w:hAnsi="Arial"/>
          <w:sz w:val="22"/>
          <w:lang w:val="es-CO"/>
        </w:rPr>
        <w:t xml:space="preserve">conformado por dos subcomponentes, el </w:t>
      </w:r>
      <w:r w:rsidRPr="0011752D">
        <w:rPr>
          <w:rFonts w:ascii="Arial" w:hAnsi="Arial" w:cs="Arial"/>
          <w:b/>
          <w:sz w:val="22"/>
          <w:szCs w:val="22"/>
          <w:lang w:val="es-CO"/>
        </w:rPr>
        <w:t xml:space="preserve">Subcomponente 2.1. Apoyo a la diversificación de la matriz energética </w:t>
      </w:r>
      <w:r w:rsidRPr="0011752D">
        <w:rPr>
          <w:rFonts w:ascii="Arial" w:hAnsi="Arial" w:cs="Arial"/>
          <w:b/>
          <w:sz w:val="22"/>
          <w:szCs w:val="22"/>
          <w:lang w:val="es-ES_tradnl"/>
        </w:rPr>
        <w:t>y a la integración eléctrica regional</w:t>
      </w:r>
      <w:r w:rsidRPr="0011752D">
        <w:rPr>
          <w:rFonts w:ascii="Arial" w:hAnsi="Arial" w:cs="Arial"/>
          <w:b/>
          <w:sz w:val="22"/>
          <w:szCs w:val="22"/>
          <w:lang w:val="es-CO"/>
        </w:rPr>
        <w:t>,</w:t>
      </w:r>
      <w:r w:rsidRPr="0011752D">
        <w:rPr>
          <w:rFonts w:ascii="Arial" w:hAnsi="Arial" w:cs="Arial"/>
          <w:sz w:val="22"/>
          <w:szCs w:val="22"/>
          <w:lang w:val="es-CO"/>
        </w:rPr>
        <w:t xml:space="preserve"> dirigido a apoyar </w:t>
      </w:r>
      <w:r w:rsidRPr="0011752D">
        <w:rPr>
          <w:rFonts w:ascii="Arial" w:hAnsi="Arial" w:cs="Arial"/>
          <w:bCs/>
          <w:sz w:val="22"/>
          <w:szCs w:val="22"/>
          <w:lang w:val="es-CO"/>
        </w:rPr>
        <w:t xml:space="preserve">la adopción de políticas enfocadas a la diversificación de la matriz energética mediante la promoción e incorporación de las </w:t>
      </w:r>
      <w:r w:rsidRPr="0011752D">
        <w:rPr>
          <w:rFonts w:ascii="Arial" w:hAnsi="Arial" w:cs="Arial"/>
          <w:sz w:val="22"/>
          <w:szCs w:val="22"/>
          <w:lang w:val="es-CO"/>
        </w:rPr>
        <w:t>FNCER</w:t>
      </w:r>
      <w:r w:rsidRPr="0011752D">
        <w:rPr>
          <w:rFonts w:ascii="Arial" w:hAnsi="Arial" w:cs="Arial"/>
          <w:bCs/>
          <w:sz w:val="22"/>
          <w:szCs w:val="22"/>
          <w:lang w:val="es-CO"/>
        </w:rPr>
        <w:t xml:space="preserve"> al SIN y la promoción de las interconexiones eléctricas regionales, con el objetivo de asegurar el abastecimiento eléctrico eficiente del SIN; y el </w:t>
      </w:r>
      <w:r w:rsidRPr="0011752D">
        <w:rPr>
          <w:rFonts w:ascii="Arial" w:hAnsi="Arial"/>
          <w:b/>
          <w:sz w:val="22"/>
          <w:lang w:val="es-CO"/>
        </w:rPr>
        <w:t>Subcomponente 2.2. Fortalecimiento del mercado eléctrico</w:t>
      </w:r>
      <w:r w:rsidRPr="0011752D">
        <w:rPr>
          <w:rFonts w:ascii="Arial" w:hAnsi="Arial"/>
          <w:sz w:val="22"/>
          <w:lang w:val="es-CO"/>
        </w:rPr>
        <w:t xml:space="preserve">, dirigido a apoyará </w:t>
      </w:r>
      <w:r w:rsidRPr="0011752D">
        <w:rPr>
          <w:rFonts w:ascii="Arial" w:hAnsi="Arial"/>
          <w:bCs/>
          <w:sz w:val="22"/>
          <w:lang w:val="es-ES"/>
        </w:rPr>
        <w:t xml:space="preserve">la adopción de reformas y políticas para el fortalecimiento del MEM, incluyendo </w:t>
      </w:r>
      <w:r w:rsidRPr="0011752D">
        <w:rPr>
          <w:rFonts w:ascii="Arial" w:hAnsi="Arial"/>
          <w:bCs/>
          <w:sz w:val="22"/>
          <w:lang w:val="es-CO"/>
        </w:rPr>
        <w:t>medidas que permitan: (i) garantizar la oferta de GN para generación eléctrica;</w:t>
      </w:r>
      <w:r w:rsidRPr="0011752D">
        <w:rPr>
          <w:rFonts w:ascii="Arial" w:hAnsi="Arial"/>
          <w:bCs/>
          <w:sz w:val="22"/>
          <w:lang w:val="es-ES"/>
        </w:rPr>
        <w:t xml:space="preserve"> y (ii) promover la gestión eficiente de la demanda de energía eléctrica (GEDE); producen beneficios importantes a la sociedad en términos del excedente del consumidor, de reducción de emisiones de CO</w:t>
      </w:r>
      <w:r w:rsidRPr="0011752D">
        <w:rPr>
          <w:rFonts w:ascii="Arial" w:hAnsi="Arial"/>
          <w:bCs/>
          <w:sz w:val="22"/>
          <w:vertAlign w:val="subscript"/>
          <w:lang w:val="es-ES"/>
        </w:rPr>
        <w:t>2</w:t>
      </w:r>
      <w:r w:rsidRPr="0011752D">
        <w:rPr>
          <w:rFonts w:ascii="Arial" w:hAnsi="Arial"/>
          <w:bCs/>
          <w:sz w:val="22"/>
          <w:lang w:val="es-ES"/>
        </w:rPr>
        <w:t xml:space="preserve"> y de indicadores económicos.</w:t>
      </w:r>
    </w:p>
    <w:p w14:paraId="2341ADA2"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En cuanto a la diversificación de la matriz de generación en el SIN mediante FNCE se refiere, el Componente 2.1. contribuye a la </w:t>
      </w:r>
      <w:r w:rsidRPr="0011752D">
        <w:rPr>
          <w:rFonts w:ascii="Arial" w:hAnsi="Arial"/>
          <w:b/>
          <w:i/>
          <w:sz w:val="22"/>
          <w:lang w:val="es-CO"/>
        </w:rPr>
        <w:t>confiabilidad del abastecimiento e eficiente y sostenible</w:t>
      </w:r>
      <w:r w:rsidRPr="0011752D">
        <w:rPr>
          <w:rFonts w:ascii="Arial" w:hAnsi="Arial"/>
          <w:sz w:val="22"/>
          <w:lang w:val="es-CO"/>
        </w:rPr>
        <w:t xml:space="preserve">. El aseguramiento del abastecimiento confiable eficiente porque, aunque el marco regulatorio está diseñado para asegurar una confiabilidad alta del sistema, la incorporación en la matriz de generación de FNCER conduce a que sea más eficiente, esto es, </w:t>
      </w:r>
      <w:r w:rsidRPr="0011752D">
        <w:rPr>
          <w:rFonts w:ascii="Arial" w:hAnsi="Arial"/>
          <w:sz w:val="22"/>
          <w:u w:val="single"/>
          <w:lang w:val="es-CO"/>
        </w:rPr>
        <w:t>se genere a menores precios</w:t>
      </w:r>
      <w:r w:rsidRPr="0011752D">
        <w:rPr>
          <w:rFonts w:ascii="Arial" w:hAnsi="Arial"/>
          <w:sz w:val="22"/>
          <w:lang w:val="es-CO"/>
        </w:rPr>
        <w:t>, lo cual  representa un potencial significativo de beneficios, tanto para el consumidor de electricidad (residencias, industrias) como resultado de menores precios esperados que producen un mayor excedente del consumidor, así como en las emisiones de CO</w:t>
      </w:r>
      <w:r w:rsidRPr="0011752D">
        <w:rPr>
          <w:rFonts w:ascii="Arial" w:hAnsi="Arial"/>
          <w:sz w:val="22"/>
          <w:vertAlign w:val="subscript"/>
          <w:lang w:val="es-CO"/>
        </w:rPr>
        <w:t>2</w:t>
      </w:r>
      <w:r w:rsidRPr="0011752D">
        <w:rPr>
          <w:rFonts w:ascii="Arial" w:hAnsi="Arial"/>
          <w:sz w:val="22"/>
          <w:lang w:val="es-CO"/>
        </w:rPr>
        <w:t xml:space="preserve"> evitadas frente a escenarios donde las FNCER participan en forma modesta. Los análisis de sensibilidad que los beneficios siguen siendo significativos aún en escenarios donde la reducción de los precios y las emisiones por menor penetración de las FNCER sean menores al escenario de evaluación.</w:t>
      </w:r>
    </w:p>
    <w:p w14:paraId="2341ADA3" w14:textId="77777777" w:rsidR="0011752D" w:rsidRPr="0011752D" w:rsidRDefault="0011752D" w:rsidP="0011752D">
      <w:pPr>
        <w:spacing w:before="240" w:after="240"/>
        <w:jc w:val="both"/>
        <w:rPr>
          <w:rFonts w:ascii="Arial" w:hAnsi="Arial"/>
          <w:bCs/>
          <w:sz w:val="22"/>
          <w:lang w:val="es-ES"/>
        </w:rPr>
      </w:pPr>
      <w:r w:rsidRPr="0011752D">
        <w:rPr>
          <w:rFonts w:ascii="Arial" w:hAnsi="Arial"/>
          <w:sz w:val="22"/>
          <w:lang w:val="es-CO"/>
        </w:rPr>
        <w:t xml:space="preserve">Por otro lado, El Componente 2.2, en lo relacionado con el apoyo á </w:t>
      </w:r>
      <w:r w:rsidRPr="0011752D">
        <w:rPr>
          <w:rFonts w:ascii="Arial" w:hAnsi="Arial"/>
          <w:bCs/>
          <w:sz w:val="22"/>
          <w:lang w:val="es-ES"/>
        </w:rPr>
        <w:t xml:space="preserve">la adopción de reformas y políticas para el fortalecimiento del MEM, incluyendo </w:t>
      </w:r>
      <w:r w:rsidRPr="0011752D">
        <w:rPr>
          <w:rFonts w:ascii="Arial" w:hAnsi="Arial"/>
          <w:bCs/>
          <w:sz w:val="22"/>
          <w:lang w:val="es-CO"/>
        </w:rPr>
        <w:t>medidas que permitan</w:t>
      </w:r>
      <w:r w:rsidRPr="0011752D">
        <w:rPr>
          <w:rFonts w:ascii="Arial" w:hAnsi="Arial"/>
          <w:bCs/>
          <w:sz w:val="22"/>
          <w:lang w:val="es-ES"/>
        </w:rPr>
        <w:t> promover la gestión eficiente de la demanda de energía eléctrica (GEDE); también produce beneficios importantes a la sociedad en términos del excedente del consumidor.</w:t>
      </w:r>
    </w:p>
    <w:p w14:paraId="2341ADA4" w14:textId="77777777" w:rsidR="0011752D" w:rsidRPr="0011752D" w:rsidRDefault="0011752D" w:rsidP="0011752D">
      <w:pPr>
        <w:spacing w:before="240" w:after="240"/>
        <w:jc w:val="both"/>
        <w:rPr>
          <w:rFonts w:ascii="Arial" w:hAnsi="Arial"/>
          <w:bCs/>
          <w:sz w:val="22"/>
          <w:lang w:val="es-ES"/>
        </w:rPr>
      </w:pPr>
      <w:r w:rsidRPr="0011752D">
        <w:rPr>
          <w:rFonts w:ascii="Arial" w:hAnsi="Arial"/>
          <w:bCs/>
          <w:sz w:val="22"/>
          <w:lang w:val="es-ES"/>
        </w:rPr>
        <w:t>A continuación, se resumen los resultados obtenidos de la evaluación económica para ambos componentes.</w:t>
      </w:r>
    </w:p>
    <w:tbl>
      <w:tblPr>
        <w:tblStyle w:val="TableGrid"/>
        <w:tblW w:w="8860" w:type="dxa"/>
        <w:tblLook w:val="04A0" w:firstRow="1" w:lastRow="0" w:firstColumn="1" w:lastColumn="0" w:noHBand="0" w:noVBand="1"/>
      </w:tblPr>
      <w:tblGrid>
        <w:gridCol w:w="4430"/>
        <w:gridCol w:w="4430"/>
      </w:tblGrid>
      <w:tr w:rsidR="0011752D" w:rsidRPr="005E03D2" w14:paraId="2341ADA6" w14:textId="77777777" w:rsidTr="00390762">
        <w:trPr>
          <w:trHeight w:val="195"/>
        </w:trPr>
        <w:tc>
          <w:tcPr>
            <w:tcW w:w="8860" w:type="dxa"/>
            <w:gridSpan w:val="2"/>
            <w:shd w:val="clear" w:color="auto" w:fill="auto"/>
          </w:tcPr>
          <w:p w14:paraId="2341ADA5" w14:textId="77777777" w:rsidR="0011752D" w:rsidRPr="0011752D" w:rsidRDefault="0011752D" w:rsidP="0011752D">
            <w:pPr>
              <w:spacing w:before="120" w:after="120"/>
              <w:jc w:val="center"/>
              <w:rPr>
                <w:rFonts w:ascii="Arial" w:hAnsi="Arial"/>
                <w:b/>
                <w:bCs/>
                <w:sz w:val="20"/>
                <w:lang w:val="es-ES"/>
              </w:rPr>
            </w:pPr>
            <w:r w:rsidRPr="0011752D">
              <w:rPr>
                <w:rFonts w:ascii="Arial" w:hAnsi="Arial"/>
                <w:b/>
                <w:bCs/>
                <w:sz w:val="20"/>
                <w:lang w:val="es-ES"/>
              </w:rPr>
              <w:lastRenderedPageBreak/>
              <w:t>Resumen los resultados para ambos componentes.</w:t>
            </w:r>
          </w:p>
        </w:tc>
      </w:tr>
      <w:tr w:rsidR="0011752D" w:rsidRPr="0011752D" w14:paraId="2341ADA9" w14:textId="77777777" w:rsidTr="00390762">
        <w:trPr>
          <w:trHeight w:val="195"/>
        </w:trPr>
        <w:tc>
          <w:tcPr>
            <w:tcW w:w="4430" w:type="dxa"/>
            <w:tcBorders>
              <w:right w:val="single" w:sz="4" w:space="0" w:color="FFFFFF" w:themeColor="background1"/>
            </w:tcBorders>
            <w:shd w:val="clear" w:color="auto" w:fill="002060"/>
          </w:tcPr>
          <w:p w14:paraId="2341ADA7" w14:textId="77777777" w:rsidR="0011752D" w:rsidRPr="0011752D" w:rsidRDefault="0011752D" w:rsidP="0011752D">
            <w:pPr>
              <w:spacing w:before="120" w:after="120"/>
              <w:jc w:val="both"/>
              <w:rPr>
                <w:rFonts w:ascii="Arial" w:hAnsi="Arial"/>
                <w:bCs/>
                <w:sz w:val="20"/>
                <w:lang w:val="es-ES"/>
              </w:rPr>
            </w:pPr>
          </w:p>
        </w:tc>
        <w:tc>
          <w:tcPr>
            <w:tcW w:w="4430" w:type="dxa"/>
            <w:tcBorders>
              <w:left w:val="single" w:sz="4" w:space="0" w:color="FFFFFF" w:themeColor="background1"/>
            </w:tcBorders>
            <w:shd w:val="clear" w:color="auto" w:fill="002060"/>
          </w:tcPr>
          <w:p w14:paraId="2341ADA8" w14:textId="77777777" w:rsidR="0011752D" w:rsidRPr="0011752D" w:rsidRDefault="0011752D" w:rsidP="0011752D">
            <w:pPr>
              <w:spacing w:before="120" w:after="120"/>
              <w:jc w:val="center"/>
              <w:rPr>
                <w:rFonts w:ascii="Arial" w:hAnsi="Arial"/>
                <w:bCs/>
                <w:sz w:val="20"/>
                <w:lang w:val="es-ES"/>
              </w:rPr>
            </w:pPr>
            <w:r w:rsidRPr="0011752D">
              <w:rPr>
                <w:rFonts w:ascii="Arial" w:hAnsi="Arial"/>
                <w:bCs/>
                <w:sz w:val="20"/>
                <w:lang w:val="es-ES"/>
              </w:rPr>
              <w:t>VPN USD/MM/2016</w:t>
            </w:r>
          </w:p>
        </w:tc>
      </w:tr>
      <w:tr w:rsidR="0011752D" w:rsidRPr="0011752D" w14:paraId="2341ADAC" w14:textId="77777777" w:rsidTr="00390762">
        <w:trPr>
          <w:trHeight w:val="403"/>
        </w:trPr>
        <w:tc>
          <w:tcPr>
            <w:tcW w:w="4430" w:type="dxa"/>
          </w:tcPr>
          <w:p w14:paraId="2341ADAA" w14:textId="77777777" w:rsidR="0011752D" w:rsidRPr="0011752D" w:rsidRDefault="0011752D" w:rsidP="0011752D">
            <w:pPr>
              <w:spacing w:before="120" w:after="120"/>
              <w:jc w:val="both"/>
              <w:rPr>
                <w:rFonts w:ascii="Arial" w:hAnsi="Arial"/>
                <w:bCs/>
                <w:sz w:val="20"/>
                <w:lang w:val="es-ES"/>
              </w:rPr>
            </w:pPr>
            <w:r w:rsidRPr="0011752D">
              <w:rPr>
                <w:rFonts w:ascii="Arial" w:hAnsi="Arial"/>
                <w:bCs/>
                <w:sz w:val="20"/>
                <w:lang w:val="es-ES"/>
              </w:rPr>
              <w:t>Componente 2.1. Beneficio neto por menores precios de la energía</w:t>
            </w:r>
          </w:p>
        </w:tc>
        <w:tc>
          <w:tcPr>
            <w:tcW w:w="4430" w:type="dxa"/>
          </w:tcPr>
          <w:p w14:paraId="2341ADAB" w14:textId="77777777" w:rsidR="0011752D" w:rsidRPr="0011752D" w:rsidRDefault="0011752D" w:rsidP="0011752D">
            <w:pPr>
              <w:spacing w:before="120" w:after="120"/>
              <w:jc w:val="center"/>
              <w:rPr>
                <w:rFonts w:ascii="Arial" w:hAnsi="Arial"/>
                <w:bCs/>
                <w:sz w:val="20"/>
                <w:lang w:val="es-ES"/>
              </w:rPr>
            </w:pPr>
            <w:r w:rsidRPr="0011752D">
              <w:rPr>
                <w:rFonts w:ascii="Arial" w:hAnsi="Arial"/>
                <w:bCs/>
                <w:sz w:val="20"/>
                <w:lang w:val="es-ES"/>
              </w:rPr>
              <w:t>5.748</w:t>
            </w:r>
          </w:p>
        </w:tc>
      </w:tr>
      <w:tr w:rsidR="0011752D" w:rsidRPr="0011752D" w14:paraId="2341ADAF" w14:textId="77777777" w:rsidTr="00390762">
        <w:trPr>
          <w:trHeight w:val="400"/>
        </w:trPr>
        <w:tc>
          <w:tcPr>
            <w:tcW w:w="4430" w:type="dxa"/>
          </w:tcPr>
          <w:p w14:paraId="2341ADAD" w14:textId="77777777" w:rsidR="0011752D" w:rsidRPr="0011752D" w:rsidRDefault="0011752D" w:rsidP="0011752D">
            <w:pPr>
              <w:spacing w:before="120" w:after="120"/>
              <w:jc w:val="both"/>
              <w:rPr>
                <w:rFonts w:ascii="Arial" w:hAnsi="Arial"/>
                <w:bCs/>
                <w:sz w:val="20"/>
                <w:lang w:val="es-ES"/>
              </w:rPr>
            </w:pPr>
            <w:r w:rsidRPr="0011752D">
              <w:rPr>
                <w:rFonts w:ascii="Arial" w:hAnsi="Arial"/>
                <w:bCs/>
                <w:sz w:val="20"/>
                <w:lang w:val="es-ES"/>
              </w:rPr>
              <w:t>Componente 2.1. Beneficio neto por emisiones evitadas de CO2</w:t>
            </w:r>
          </w:p>
        </w:tc>
        <w:tc>
          <w:tcPr>
            <w:tcW w:w="4430" w:type="dxa"/>
          </w:tcPr>
          <w:p w14:paraId="2341ADAE" w14:textId="77777777" w:rsidR="0011752D" w:rsidRPr="0011752D" w:rsidRDefault="0011752D" w:rsidP="0011752D">
            <w:pPr>
              <w:spacing w:before="120" w:after="120"/>
              <w:jc w:val="center"/>
              <w:rPr>
                <w:rFonts w:ascii="Arial" w:hAnsi="Arial"/>
                <w:bCs/>
                <w:sz w:val="20"/>
                <w:lang w:val="es-ES"/>
              </w:rPr>
            </w:pPr>
            <w:r w:rsidRPr="0011752D">
              <w:rPr>
                <w:rFonts w:ascii="Arial" w:hAnsi="Arial"/>
                <w:bCs/>
                <w:sz w:val="20"/>
                <w:lang w:val="es-ES"/>
              </w:rPr>
              <w:t>213</w:t>
            </w:r>
          </w:p>
        </w:tc>
      </w:tr>
      <w:tr w:rsidR="0011752D" w:rsidRPr="0011752D" w14:paraId="2341ADB2" w14:textId="77777777" w:rsidTr="00390762">
        <w:trPr>
          <w:trHeight w:val="335"/>
        </w:trPr>
        <w:tc>
          <w:tcPr>
            <w:tcW w:w="4430" w:type="dxa"/>
            <w:vMerge w:val="restart"/>
            <w:vAlign w:val="center"/>
          </w:tcPr>
          <w:p w14:paraId="2341ADB0" w14:textId="77777777" w:rsidR="0011752D" w:rsidRPr="0011752D" w:rsidRDefault="0011752D" w:rsidP="0011752D">
            <w:pPr>
              <w:spacing w:before="120" w:after="120"/>
              <w:rPr>
                <w:rFonts w:ascii="Arial" w:hAnsi="Arial"/>
                <w:bCs/>
                <w:sz w:val="20"/>
                <w:lang w:val="es-ES"/>
              </w:rPr>
            </w:pPr>
            <w:r w:rsidRPr="0011752D">
              <w:rPr>
                <w:rFonts w:ascii="Arial" w:hAnsi="Arial"/>
                <w:bCs/>
                <w:sz w:val="20"/>
                <w:lang w:val="es-ES"/>
              </w:rPr>
              <w:t>Componente 2.2 Beneficio neto por GEDE</w:t>
            </w:r>
          </w:p>
        </w:tc>
        <w:tc>
          <w:tcPr>
            <w:tcW w:w="4430" w:type="dxa"/>
          </w:tcPr>
          <w:p w14:paraId="2341ADB1" w14:textId="77777777" w:rsidR="0011752D" w:rsidRPr="0011752D" w:rsidRDefault="0011752D" w:rsidP="0011752D">
            <w:pPr>
              <w:spacing w:before="120" w:after="120"/>
              <w:jc w:val="center"/>
              <w:rPr>
                <w:rFonts w:ascii="Arial" w:hAnsi="Arial"/>
                <w:bCs/>
                <w:sz w:val="20"/>
                <w:lang w:val="es-ES"/>
              </w:rPr>
            </w:pPr>
            <w:r w:rsidRPr="0011752D">
              <w:rPr>
                <w:rFonts w:ascii="Arial" w:hAnsi="Arial"/>
                <w:bCs/>
                <w:sz w:val="20"/>
                <w:lang w:val="es-ES"/>
              </w:rPr>
              <w:t>1.237</w:t>
            </w:r>
          </w:p>
        </w:tc>
      </w:tr>
      <w:tr w:rsidR="0011752D" w:rsidRPr="0011752D" w14:paraId="2341ADB5" w14:textId="77777777" w:rsidTr="00390762">
        <w:trPr>
          <w:trHeight w:val="331"/>
        </w:trPr>
        <w:tc>
          <w:tcPr>
            <w:tcW w:w="4430" w:type="dxa"/>
            <w:vMerge/>
          </w:tcPr>
          <w:p w14:paraId="2341ADB3" w14:textId="77777777" w:rsidR="0011752D" w:rsidRPr="0011752D" w:rsidRDefault="0011752D" w:rsidP="0011752D">
            <w:pPr>
              <w:spacing w:before="120" w:after="120"/>
              <w:jc w:val="both"/>
              <w:rPr>
                <w:rFonts w:ascii="Arial" w:hAnsi="Arial"/>
                <w:bCs/>
                <w:sz w:val="20"/>
                <w:lang w:val="es-ES"/>
              </w:rPr>
            </w:pPr>
          </w:p>
        </w:tc>
        <w:tc>
          <w:tcPr>
            <w:tcW w:w="4430" w:type="dxa"/>
          </w:tcPr>
          <w:p w14:paraId="2341ADB4" w14:textId="77777777" w:rsidR="0011752D" w:rsidRPr="0011752D" w:rsidRDefault="0011752D" w:rsidP="0011752D">
            <w:pPr>
              <w:spacing w:before="120" w:after="120"/>
              <w:jc w:val="center"/>
              <w:rPr>
                <w:rFonts w:ascii="Arial" w:hAnsi="Arial"/>
                <w:bCs/>
                <w:sz w:val="20"/>
                <w:lang w:val="es-ES"/>
              </w:rPr>
            </w:pPr>
            <w:r w:rsidRPr="0011752D">
              <w:rPr>
                <w:rFonts w:ascii="Arial" w:hAnsi="Arial"/>
                <w:bCs/>
                <w:sz w:val="20"/>
                <w:lang w:val="es-ES"/>
              </w:rPr>
              <w:t>TIR 36%</w:t>
            </w:r>
          </w:p>
        </w:tc>
      </w:tr>
      <w:tr w:rsidR="0011752D" w:rsidRPr="0011752D" w14:paraId="2341ADB8" w14:textId="77777777" w:rsidTr="00390762">
        <w:trPr>
          <w:trHeight w:val="331"/>
        </w:trPr>
        <w:tc>
          <w:tcPr>
            <w:tcW w:w="4430" w:type="dxa"/>
          </w:tcPr>
          <w:p w14:paraId="2341ADB6" w14:textId="77777777" w:rsidR="0011752D" w:rsidRPr="0011752D" w:rsidRDefault="0011752D" w:rsidP="0011752D">
            <w:pPr>
              <w:spacing w:before="120" w:after="120"/>
              <w:jc w:val="both"/>
              <w:rPr>
                <w:rFonts w:ascii="Arial" w:hAnsi="Arial"/>
                <w:bCs/>
                <w:sz w:val="20"/>
                <w:lang w:val="es-ES"/>
              </w:rPr>
            </w:pPr>
            <w:r w:rsidRPr="0011752D">
              <w:rPr>
                <w:rFonts w:ascii="Arial" w:hAnsi="Arial"/>
                <w:bCs/>
                <w:sz w:val="20"/>
                <w:lang w:val="es-ES"/>
              </w:rPr>
              <w:t>VPN Agregado</w:t>
            </w:r>
          </w:p>
        </w:tc>
        <w:tc>
          <w:tcPr>
            <w:tcW w:w="4430" w:type="dxa"/>
          </w:tcPr>
          <w:p w14:paraId="2341ADB7" w14:textId="77777777" w:rsidR="0011752D" w:rsidRPr="0011752D" w:rsidRDefault="0011752D" w:rsidP="0011752D">
            <w:pPr>
              <w:spacing w:before="120" w:after="120"/>
              <w:jc w:val="center"/>
              <w:rPr>
                <w:rFonts w:ascii="Arial" w:hAnsi="Arial"/>
                <w:bCs/>
                <w:sz w:val="20"/>
                <w:lang w:val="es-ES"/>
              </w:rPr>
            </w:pPr>
            <w:r w:rsidRPr="0011752D">
              <w:rPr>
                <w:rFonts w:ascii="Arial" w:hAnsi="Arial"/>
                <w:bCs/>
                <w:sz w:val="20"/>
                <w:lang w:val="es-ES"/>
              </w:rPr>
              <w:t>6.084</w:t>
            </w:r>
          </w:p>
        </w:tc>
      </w:tr>
    </w:tbl>
    <w:p w14:paraId="2341ADB9"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Los análisis de sensibilidad realizados muestran que los resultados siguen siendo importantes ante cambios en las variables principales que afectan los beneficios netos.</w:t>
      </w:r>
    </w:p>
    <w:p w14:paraId="2341ADBA" w14:textId="77777777" w:rsidR="0011752D" w:rsidRPr="0011752D" w:rsidRDefault="0011752D" w:rsidP="0011752D">
      <w:pPr>
        <w:spacing w:before="240" w:after="240"/>
        <w:jc w:val="both"/>
        <w:rPr>
          <w:rFonts w:ascii="Arial" w:hAnsi="Arial"/>
          <w:sz w:val="22"/>
          <w:lang w:val="es-CO"/>
        </w:rPr>
      </w:pPr>
    </w:p>
    <w:p w14:paraId="2341ADBB" w14:textId="77777777" w:rsidR="0011752D" w:rsidRPr="0011752D" w:rsidRDefault="0011752D" w:rsidP="0011752D">
      <w:pPr>
        <w:keepNext/>
        <w:keepLines/>
        <w:spacing w:before="240" w:after="240"/>
        <w:ind w:left="432" w:hanging="432"/>
        <w:jc w:val="both"/>
        <w:outlineLvl w:val="0"/>
        <w:rPr>
          <w:rFonts w:ascii="Arial" w:hAnsi="Arial"/>
          <w:b/>
          <w:color w:val="002060"/>
          <w:sz w:val="28"/>
          <w:szCs w:val="32"/>
          <w:lang w:val="es-CO"/>
        </w:rPr>
      </w:pPr>
      <w:bookmarkStart w:id="101" w:name="_Toc474797037"/>
      <w:r w:rsidRPr="0011752D">
        <w:rPr>
          <w:rFonts w:ascii="Arial" w:hAnsi="Arial"/>
          <w:b/>
          <w:color w:val="002060"/>
          <w:sz w:val="28"/>
          <w:szCs w:val="32"/>
          <w:lang w:val="es-CO"/>
        </w:rPr>
        <w:t>Evaluación económica del Componente 3 relacionado con la promoción del acceso a la energía en ZNI</w:t>
      </w:r>
      <w:bookmarkEnd w:id="101"/>
    </w:p>
    <w:p w14:paraId="2341ADBC"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ES"/>
        </w:rPr>
      </w:pPr>
      <w:bookmarkStart w:id="102" w:name="_Toc474797038"/>
      <w:r w:rsidRPr="0011752D">
        <w:rPr>
          <w:rFonts w:ascii="Arial" w:hAnsi="Arial"/>
          <w:b/>
          <w:color w:val="1F3864"/>
          <w:szCs w:val="26"/>
          <w:lang w:val="es-ES"/>
        </w:rPr>
        <w:t>Supuestos y metodología</w:t>
      </w:r>
      <w:bookmarkEnd w:id="102"/>
    </w:p>
    <w:p w14:paraId="2341ADBD"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El objetivo del Componente 3 es promover el acceso a la energía en las ZNI mediante el uso de FNCER, a través de la adopción y aplicación por parte del MME de los lineamientos de políticas para la expansión de la cobertura del servicio de energía eléctrica en las Zonas No Interconectadas (ZNI) relacionados principalmente con la estructuración de soluciones empresariales y la implementación del esquema de incentivos a prestadores del servicio de energía eléctrica en ZNI por reemplazo de plantas térmicas con FNCER así como el Plan Indicativo de Expansión de Cobertura de Energía Eléctrica -  PIEC.</w:t>
      </w:r>
      <w:r w:rsidRPr="0011752D">
        <w:rPr>
          <w:rFonts w:ascii="Arial" w:hAnsi="Arial"/>
          <w:sz w:val="22"/>
          <w:vertAlign w:val="superscript"/>
          <w:lang w:val="es-CO"/>
        </w:rPr>
        <w:footnoteReference w:id="39"/>
      </w:r>
    </w:p>
    <w:p w14:paraId="2341ADBE" w14:textId="77777777" w:rsidR="0011752D" w:rsidRPr="0011752D" w:rsidRDefault="0011752D" w:rsidP="0011752D">
      <w:pPr>
        <w:spacing w:before="240" w:after="240"/>
        <w:jc w:val="both"/>
        <w:rPr>
          <w:rFonts w:ascii="Arial" w:hAnsi="Arial"/>
          <w:i/>
          <w:szCs w:val="24"/>
          <w:lang w:val="es-CO"/>
        </w:rPr>
      </w:pPr>
      <w:r w:rsidRPr="0011752D">
        <w:rPr>
          <w:rFonts w:ascii="Arial" w:hAnsi="Arial"/>
          <w:sz w:val="22"/>
          <w:lang w:val="es-CO"/>
        </w:rPr>
        <w:t>Por política establecida en el artículo 48 de la Ley 143 de 1994, a 2014 se debería tener una cobertura semejante en todas las regiones del país.</w:t>
      </w:r>
      <w:r w:rsidRPr="0011752D">
        <w:rPr>
          <w:rFonts w:ascii="Arial" w:hAnsi="Arial"/>
          <w:sz w:val="22"/>
          <w:vertAlign w:val="superscript"/>
          <w:lang w:val="es-CO"/>
        </w:rPr>
        <w:footnoteReference w:id="40"/>
      </w:r>
      <w:r w:rsidRPr="0011752D">
        <w:rPr>
          <w:rFonts w:ascii="Arial" w:hAnsi="Arial"/>
          <w:sz w:val="22"/>
          <w:lang w:val="es-CO"/>
        </w:rPr>
        <w:t xml:space="preserve"> Dado lo anterior, y </w:t>
      </w:r>
      <w:r w:rsidRPr="0011752D">
        <w:rPr>
          <w:rFonts w:ascii="Arial" w:hAnsi="Arial"/>
          <w:sz w:val="22"/>
          <w:lang w:val="es-CO"/>
        </w:rPr>
        <w:lastRenderedPageBreak/>
        <w:t>considerando que la prestación del servicio en ZNI busca contar con las mejores soluciones costo-eficientes, se propone que la metodología de evaluación siga la opción del ACE, el cual se basará en la información disponible sobre costos de suministro por kWh en las áreas delimitadas arrojados en el Plan Indicativo de Expansión de Cobertura de Energía Eléctrica PIEC 2016 – 2020 elaborado por la UPME, instrumento principal de planeación del Gobierno.</w:t>
      </w:r>
      <w:r w:rsidRPr="0011752D">
        <w:rPr>
          <w:rFonts w:ascii="Arial" w:hAnsi="Arial"/>
          <w:sz w:val="22"/>
          <w:vertAlign w:val="superscript"/>
          <w:lang w:val="es-CO"/>
        </w:rPr>
        <w:footnoteReference w:id="41"/>
      </w:r>
      <w:r w:rsidRPr="0011752D">
        <w:rPr>
          <w:rFonts w:ascii="Arial" w:hAnsi="Arial"/>
          <w:sz w:val="22"/>
          <w:lang w:val="es-CO"/>
        </w:rPr>
        <w:t xml:space="preserve"> </w:t>
      </w:r>
    </w:p>
    <w:p w14:paraId="2341ADBF"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El PIEC compara varias alternativas de prestación del servicio de energía eléctrica que incluyen la interconexión al SIN, la generación aislada con plantas diésel, solución solar fotovoltaica, solución eólica y soluciones híbridas, para encontrar la solución de mínimo costo unitario a 425.212 viviendas que a 2015 no contaban con servicio.</w:t>
      </w:r>
      <w:r w:rsidRPr="0011752D">
        <w:rPr>
          <w:rFonts w:ascii="Arial" w:hAnsi="Arial"/>
          <w:sz w:val="22"/>
          <w:vertAlign w:val="superscript"/>
          <w:lang w:val="es-CO"/>
        </w:rPr>
        <w:footnoteReference w:id="42"/>
      </w:r>
      <w:r w:rsidRPr="0011752D">
        <w:rPr>
          <w:rFonts w:ascii="Arial" w:hAnsi="Arial"/>
          <w:sz w:val="22"/>
          <w:lang w:val="es-CO"/>
        </w:rPr>
        <w:t xml:space="preserve"> </w:t>
      </w:r>
    </w:p>
    <w:p w14:paraId="2341ADC0"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La metodología del PIEC 2016 – 2020 para el cálculo de costos de las soluciones, parte de las siguientes consideraciones generales: i) se cuenta con recursos de fondos (FAER y FAZNI) por $1,4 billones para el período; ii) se utilizan curvas de carga para algunos departamentos según el resultado de encuestas y del estudio de la banca de inversión contratada por la UPME (más adelante se hace referencia a este estudio el cual estaba orientado a estructurar soluciones empresariales) para consumos básicos; y iii) distancias de redes de baja tensión según dispersión de la población por departamento.</w:t>
      </w:r>
    </w:p>
    <w:p w14:paraId="2341ADC1"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La metodología general del PIEC, a partir de la cual se obtienen los costos que permiten el ACE, se resume así:</w:t>
      </w:r>
    </w:p>
    <w:p w14:paraId="2341ADC2" w14:textId="77777777" w:rsidR="0011752D" w:rsidRPr="0011752D" w:rsidRDefault="0011752D" w:rsidP="0011752D">
      <w:pPr>
        <w:numPr>
          <w:ilvl w:val="0"/>
          <w:numId w:val="31"/>
        </w:numPr>
        <w:spacing w:before="240" w:after="240"/>
        <w:jc w:val="both"/>
        <w:rPr>
          <w:rFonts w:ascii="Arial" w:hAnsi="Arial"/>
          <w:sz w:val="22"/>
          <w:lang w:val="es-CO"/>
        </w:rPr>
      </w:pPr>
      <w:r w:rsidRPr="0011752D">
        <w:rPr>
          <w:rFonts w:ascii="Arial" w:hAnsi="Arial"/>
          <w:b/>
          <w:sz w:val="22"/>
          <w:lang w:val="es-CO"/>
        </w:rPr>
        <w:t>Evaluación de interconexión al SIN.</w:t>
      </w:r>
      <w:r w:rsidRPr="0011752D">
        <w:rPr>
          <w:rFonts w:ascii="Arial" w:hAnsi="Arial"/>
          <w:sz w:val="22"/>
          <w:lang w:val="es-CO"/>
        </w:rPr>
        <w:t xml:space="preserve"> Consiste en modelar hipotéticamente las redes de nivel de tensión 2 a partir de 1.169 subestaciones, calculando las rutas óptimas tomando en cuenta una gran cantidad de información sobre restricciones geográficas.</w:t>
      </w:r>
      <w:r w:rsidRPr="0011752D">
        <w:rPr>
          <w:rFonts w:ascii="Arial" w:hAnsi="Arial"/>
          <w:sz w:val="22"/>
          <w:vertAlign w:val="superscript"/>
          <w:lang w:val="es-CO"/>
        </w:rPr>
        <w:footnoteReference w:id="43"/>
      </w:r>
    </w:p>
    <w:p w14:paraId="2341ADC3" w14:textId="77777777" w:rsidR="0011752D" w:rsidRPr="0011752D" w:rsidRDefault="0011752D" w:rsidP="0011752D">
      <w:pPr>
        <w:numPr>
          <w:ilvl w:val="0"/>
          <w:numId w:val="31"/>
        </w:numPr>
        <w:spacing w:before="240" w:after="240"/>
        <w:jc w:val="both"/>
        <w:rPr>
          <w:rFonts w:ascii="Arial" w:hAnsi="Arial"/>
          <w:sz w:val="22"/>
          <w:lang w:val="es-CO"/>
        </w:rPr>
      </w:pPr>
      <w:r w:rsidRPr="0011752D">
        <w:rPr>
          <w:rFonts w:ascii="Arial" w:hAnsi="Arial"/>
          <w:b/>
          <w:sz w:val="22"/>
          <w:lang w:val="es-CO"/>
        </w:rPr>
        <w:t>Soluciones aisladas.</w:t>
      </w:r>
      <w:r w:rsidRPr="0011752D">
        <w:rPr>
          <w:rFonts w:ascii="Arial" w:hAnsi="Arial"/>
          <w:sz w:val="22"/>
          <w:lang w:val="es-CO"/>
        </w:rPr>
        <w:t xml:space="preserve"> Se evalúan las siguientes soluciones:</w:t>
      </w:r>
    </w:p>
    <w:p w14:paraId="2341ADC4" w14:textId="77777777" w:rsidR="0011752D" w:rsidRPr="0011752D" w:rsidRDefault="0011752D" w:rsidP="0011752D">
      <w:pPr>
        <w:spacing w:before="240" w:after="240"/>
        <w:ind w:left="360"/>
        <w:jc w:val="both"/>
        <w:rPr>
          <w:rFonts w:ascii="Arial" w:hAnsi="Arial"/>
          <w:sz w:val="22"/>
          <w:lang w:val="es-CO"/>
        </w:rPr>
      </w:pPr>
      <w:r w:rsidRPr="0011752D">
        <w:rPr>
          <w:rFonts w:ascii="Arial" w:hAnsi="Arial"/>
          <w:b/>
          <w:sz w:val="22"/>
          <w:lang w:val="es-CO"/>
        </w:rPr>
        <w:t>Generación Diésel.</w:t>
      </w:r>
      <w:r w:rsidRPr="0011752D">
        <w:rPr>
          <w:rFonts w:ascii="Arial" w:hAnsi="Arial"/>
          <w:sz w:val="22"/>
          <w:lang w:val="es-CO"/>
        </w:rPr>
        <w:t xml:space="preserve"> Se considera el valor de la inversión de una planta para la atención de la demanda de cada sitio, incluyendo las redes de nivel 1 con sus correspondientes gastos de operación y mantenimiento y el costo y transporte de combustible a partir de la estructura de precios en las principales ciudades.</w:t>
      </w:r>
    </w:p>
    <w:p w14:paraId="2341ADC5" w14:textId="77777777" w:rsidR="0011752D" w:rsidRPr="0011752D" w:rsidRDefault="0011752D" w:rsidP="0011752D">
      <w:pPr>
        <w:spacing w:before="240" w:after="240"/>
        <w:ind w:left="360"/>
        <w:jc w:val="both"/>
        <w:rPr>
          <w:rFonts w:ascii="Arial" w:hAnsi="Arial"/>
          <w:sz w:val="22"/>
          <w:lang w:val="es-CO"/>
        </w:rPr>
      </w:pPr>
      <w:r w:rsidRPr="0011752D">
        <w:rPr>
          <w:rFonts w:ascii="Arial" w:hAnsi="Arial"/>
          <w:b/>
          <w:sz w:val="22"/>
          <w:lang w:val="es-CO"/>
        </w:rPr>
        <w:lastRenderedPageBreak/>
        <w:t>Otras fuentes.</w:t>
      </w:r>
      <w:r w:rsidRPr="0011752D">
        <w:rPr>
          <w:rFonts w:ascii="Arial" w:hAnsi="Arial"/>
          <w:sz w:val="22"/>
          <w:lang w:val="es-CO"/>
        </w:rPr>
        <w:t xml:space="preserve"> Aunque se advierte que la solución de energización necesita detalle de ingeniería local, se partió de tipificar ciertas soluciones tomando en cuenta parámetros como radiación solar y la velocidad del viento del lugar, la cantidad de viviendas, el consumo base rural, y un porcentaje de costo adicional por dificultad de acceso. Las soluciones incluyeron el suministro de corriente alterna para facilitar el acceso a electrodomésticos y autonomía de baterías para dos días. Las soluciones propuestas buscan satisfacer necesidades básicas de iluminación, comunicación y refrigeración. Las soluciones básicas contemplan las siguientes tecnologías: i) solar FV, ii) solar FV / diésel, iii) solar FV / eólico y iv) solar FV / eólico / diésel.</w:t>
      </w:r>
    </w:p>
    <w:p w14:paraId="2341ADC6"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A partir de costos estimados para la inversión y los combustibles, el software de simulación de la UPME determina la solución óptima.</w:t>
      </w:r>
      <w:r w:rsidRPr="0011752D">
        <w:rPr>
          <w:rFonts w:ascii="Arial" w:hAnsi="Arial"/>
          <w:sz w:val="22"/>
          <w:vertAlign w:val="superscript"/>
          <w:lang w:val="es-CO"/>
        </w:rPr>
        <w:footnoteReference w:id="44"/>
      </w:r>
    </w:p>
    <w:p w14:paraId="2341ADC7"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El costo unitario por kWh de cada solución (CU), incluyendo todos los costos de caso (por ejemplo, el costo de comercialización) se calcula como:</w:t>
      </w:r>
    </w:p>
    <w:p w14:paraId="2341ADC8" w14:textId="77777777" w:rsidR="0011752D" w:rsidRPr="0011752D" w:rsidRDefault="0011752D" w:rsidP="0011752D">
      <w:pPr>
        <w:spacing w:before="240" w:after="240"/>
        <w:jc w:val="both"/>
        <w:rPr>
          <w:rFonts w:ascii="Arial" w:hAnsi="Arial"/>
          <w:sz w:val="22"/>
          <w:lang w:val="es-CO"/>
        </w:rPr>
      </w:pPr>
      <m:oMathPara>
        <m:oMath>
          <m:r>
            <w:rPr>
              <w:rFonts w:ascii="Cambria Math" w:hAnsi="Cambria Math"/>
              <w:sz w:val="22"/>
              <w:lang w:val="es-CO"/>
            </w:rPr>
            <m:t>CU=</m:t>
          </m:r>
          <m:f>
            <m:fPr>
              <m:ctrlPr>
                <w:rPr>
                  <w:rFonts w:ascii="Cambria Math" w:hAnsi="Cambria Math"/>
                  <w:i/>
                  <w:sz w:val="22"/>
                  <w:lang w:val="es-CO"/>
                </w:rPr>
              </m:ctrlPr>
            </m:fPr>
            <m:num>
              <m:r>
                <w:rPr>
                  <w:rFonts w:ascii="Cambria Math" w:hAnsi="Cambria Math"/>
                  <w:sz w:val="22"/>
                  <w:lang w:val="es-CO"/>
                </w:rPr>
                <m:t>CAE</m:t>
              </m:r>
              <m:d>
                <m:dPr>
                  <m:ctrlPr>
                    <w:rPr>
                      <w:rFonts w:ascii="Cambria Math" w:hAnsi="Cambria Math"/>
                      <w:i/>
                      <w:sz w:val="22"/>
                      <w:lang w:val="es-CO"/>
                    </w:rPr>
                  </m:ctrlPr>
                </m:dPr>
                <m:e>
                  <m:r>
                    <w:rPr>
                      <w:rFonts w:ascii="Cambria Math" w:hAnsi="Cambria Math"/>
                      <w:sz w:val="22"/>
                      <w:lang w:val="es-CO"/>
                    </w:rPr>
                    <m:t>Inversión</m:t>
                  </m:r>
                </m:e>
              </m:d>
              <m:r>
                <w:rPr>
                  <w:rFonts w:ascii="Cambria Math" w:hAnsi="Cambria Math"/>
                  <w:sz w:val="22"/>
                  <w:lang w:val="es-CO"/>
                </w:rPr>
                <m:t>+AOM</m:t>
              </m:r>
            </m:num>
            <m:den>
              <m:r>
                <w:rPr>
                  <w:rFonts w:ascii="Cambria Math" w:hAnsi="Cambria Math"/>
                  <w:sz w:val="22"/>
                  <w:lang w:val="es-CO"/>
                </w:rPr>
                <m:t>Demanda Anual</m:t>
              </m:r>
            </m:den>
          </m:f>
        </m:oMath>
      </m:oMathPara>
    </w:p>
    <w:p w14:paraId="2341ADC9"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Donde CAE es el costo anual equivalente de la inversión y AOM es el costo anual de administración, operación y mantenimiento.</w:t>
      </w:r>
    </w:p>
    <w:p w14:paraId="2341ADCA"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Se compara el CU del Operador de Red modificado tomando en cuenta la expansión de la cobertura con el de la alternativa de la solución aislada más económica, es decir, se escoge la solución más costo efectiva.</w:t>
      </w:r>
      <w:r w:rsidRPr="0011752D">
        <w:rPr>
          <w:rFonts w:ascii="Arial" w:hAnsi="Arial"/>
          <w:sz w:val="22"/>
          <w:vertAlign w:val="superscript"/>
          <w:lang w:val="es-CO"/>
        </w:rPr>
        <w:footnoteReference w:id="45"/>
      </w:r>
    </w:p>
    <w:p w14:paraId="2341ADCB"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Resalta el PIEC la importancia de la expedición de la Ley 1715 de 2014 que promueve la inclusión de fuentes no convencionales de energía (FNCE) como mecanismo para la diversificación de las tecnologías destinadas a la electrificación de las ZNI. Esta Ley establece que se debe dar “prioridad a los proyectos que estén incorporados dentro de los Planes de Energización Rural Sostenible a nivel departamental y/o regional (PERS)” y crea incentivos generales aplicables indistintamente para SIN y ZNI para el desarrollo de proyectos con FNCE y FNCER.</w:t>
      </w:r>
    </w:p>
    <w:p w14:paraId="2341ADCC"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ES"/>
        </w:rPr>
      </w:pPr>
      <w:bookmarkStart w:id="103" w:name="_Toc474797039"/>
      <w:r w:rsidRPr="0011752D">
        <w:rPr>
          <w:rFonts w:ascii="Arial" w:hAnsi="Arial"/>
          <w:b/>
          <w:color w:val="1F3864"/>
          <w:szCs w:val="26"/>
          <w:lang w:val="es-ES"/>
        </w:rPr>
        <w:t>Análisis costo efectividad</w:t>
      </w:r>
      <w:bookmarkEnd w:id="103"/>
    </w:p>
    <w:p w14:paraId="2341ADCD"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Los resultados del PIEC permiten realizar el siguiente análisis costo efectividad (ACE) respecto a las soluciones con FNCER en las ZNI.</w:t>
      </w:r>
    </w:p>
    <w:p w14:paraId="2341ADCE"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Señala este documento que “</w:t>
      </w:r>
      <w:r w:rsidRPr="0011752D">
        <w:rPr>
          <w:rFonts w:ascii="Arial" w:hAnsi="Arial"/>
          <w:i/>
          <w:sz w:val="22"/>
          <w:lang w:val="es-CO"/>
        </w:rPr>
        <w:t xml:space="preserve">la esencia del PIEC, es decir la metodología que la UPME ha venido revaluando con el fin de hacer cada vez, una mejor planeación de la expansión de cobertura, en la cual se ha incluido el análisis de alternativas energéticas de energías </w:t>
      </w:r>
      <w:r w:rsidRPr="0011752D">
        <w:rPr>
          <w:rFonts w:ascii="Arial" w:hAnsi="Arial"/>
          <w:i/>
          <w:sz w:val="22"/>
          <w:u w:val="single"/>
          <w:lang w:val="es-CO"/>
        </w:rPr>
        <w:t>renovables lo cual ha incidido en que los resultados del presente plan arrojan una mayor proporción de soluciones aisladas con FNCER</w:t>
      </w:r>
      <w:r w:rsidRPr="0011752D">
        <w:rPr>
          <w:rFonts w:ascii="Arial" w:hAnsi="Arial"/>
          <w:i/>
          <w:sz w:val="22"/>
          <w:lang w:val="es-CO"/>
        </w:rPr>
        <w:t>…”</w:t>
      </w:r>
    </w:p>
    <w:p w14:paraId="2341ADCF"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lastRenderedPageBreak/>
        <w:t xml:space="preserve">En efecto, mientras que en el PIEC 2013 – 2017 no se consideraban soluciones con FNCER para ampliar la cobertura con soluciones aisladas, en el PIEC 2016 – 2020 se estiman, para la universalización del servicio, 168.800 soluciones con renovables y 38.569 con Diésel (total soluciones aisladas 207.369). Es decir, las renovables representan el 81,4% de las soluciones aisladas. El 51,9% del total de viviendas sin servicio serían interconectadas al SIN (ver </w:t>
      </w:r>
      <w:r w:rsidRPr="0011752D">
        <w:rPr>
          <w:rFonts w:ascii="Arial" w:hAnsi="Arial"/>
          <w:sz w:val="22"/>
          <w:lang w:val="es-CO"/>
        </w:rPr>
        <w:fldChar w:fldCharType="begin"/>
      </w:r>
      <w:r w:rsidRPr="0011752D">
        <w:rPr>
          <w:rFonts w:ascii="Arial" w:hAnsi="Arial"/>
          <w:sz w:val="22"/>
          <w:lang w:val="es-CO"/>
        </w:rPr>
        <w:instrText xml:space="preserve"> REF _Ref473118480 \h </w:instrText>
      </w:r>
      <w:r w:rsidRPr="0011752D">
        <w:rPr>
          <w:rFonts w:ascii="Arial" w:hAnsi="Arial"/>
          <w:sz w:val="22"/>
          <w:lang w:val="es-CO"/>
        </w:rPr>
      </w:r>
      <w:r w:rsidRPr="0011752D">
        <w:rPr>
          <w:rFonts w:ascii="Arial" w:hAnsi="Arial"/>
          <w:sz w:val="22"/>
          <w:lang w:val="es-CO"/>
        </w:rPr>
        <w:fldChar w:fldCharType="separate"/>
      </w:r>
      <w:r w:rsidRPr="0011752D">
        <w:rPr>
          <w:rFonts w:ascii="Arial" w:hAnsi="Arial"/>
          <w:b/>
          <w:sz w:val="22"/>
          <w:lang w:val="es-CO"/>
        </w:rPr>
        <w:t xml:space="preserve">Ilustración </w:t>
      </w:r>
      <w:r w:rsidRPr="0011752D">
        <w:rPr>
          <w:rFonts w:ascii="Arial" w:hAnsi="Arial"/>
          <w:b/>
          <w:bCs/>
          <w:noProof/>
          <w:sz w:val="22"/>
          <w:lang w:val="es-CO"/>
        </w:rPr>
        <w:t>10</w:t>
      </w:r>
      <w:r w:rsidRPr="0011752D">
        <w:rPr>
          <w:rFonts w:ascii="Arial" w:hAnsi="Arial"/>
          <w:sz w:val="22"/>
          <w:lang w:val="es-CO"/>
        </w:rPr>
        <w:fldChar w:fldCharType="end"/>
      </w:r>
      <w:r w:rsidRPr="0011752D">
        <w:rPr>
          <w:rFonts w:ascii="Arial" w:hAnsi="Arial"/>
          <w:sz w:val="22"/>
          <w:lang w:val="es-CO"/>
        </w:rPr>
        <w:t>).</w:t>
      </w:r>
    </w:p>
    <w:p w14:paraId="2341ADD0" w14:textId="77777777" w:rsidR="0011752D" w:rsidRPr="0011752D" w:rsidRDefault="0011752D" w:rsidP="0011752D">
      <w:pPr>
        <w:spacing w:before="240" w:after="240"/>
        <w:jc w:val="both"/>
        <w:rPr>
          <w:rFonts w:ascii="Arial" w:hAnsi="Arial"/>
          <w:sz w:val="22"/>
          <w:lang w:val="es-CO"/>
        </w:rPr>
      </w:pPr>
    </w:p>
    <w:p w14:paraId="2341ADD1" w14:textId="77777777" w:rsidR="0011752D" w:rsidRPr="0011752D" w:rsidRDefault="0011752D" w:rsidP="0011752D">
      <w:pPr>
        <w:spacing w:before="240" w:after="240"/>
        <w:ind w:left="720"/>
        <w:jc w:val="center"/>
        <w:rPr>
          <w:rFonts w:ascii="Arial" w:hAnsi="Arial"/>
          <w:b/>
          <w:sz w:val="22"/>
          <w:lang w:val="es-CO"/>
        </w:rPr>
      </w:pPr>
      <w:bookmarkStart w:id="104" w:name="_Ref473118480"/>
      <w:bookmarkStart w:id="105" w:name="_Toc474797054"/>
      <w:r w:rsidRPr="0011752D">
        <w:rPr>
          <w:rFonts w:ascii="Arial" w:hAnsi="Arial"/>
          <w:b/>
          <w:sz w:val="22"/>
          <w:lang w:val="es-CO"/>
        </w:rPr>
        <w:t xml:space="preserve">Ilustración </w:t>
      </w:r>
      <w:r w:rsidRPr="0011752D">
        <w:rPr>
          <w:rFonts w:ascii="Arial" w:hAnsi="Arial"/>
          <w:b/>
          <w:bCs/>
          <w:sz w:val="22"/>
          <w:lang w:val="es-CO"/>
        </w:rPr>
        <w:fldChar w:fldCharType="begin"/>
      </w:r>
      <w:r w:rsidRPr="0011752D">
        <w:rPr>
          <w:rFonts w:ascii="Arial" w:hAnsi="Arial"/>
          <w:b/>
          <w:bCs/>
          <w:sz w:val="22"/>
          <w:lang w:val="es-CO"/>
        </w:rPr>
        <w:instrText xml:space="preserve"> SEQ Ilustración \* ARABIC </w:instrText>
      </w:r>
      <w:r w:rsidRPr="0011752D">
        <w:rPr>
          <w:rFonts w:ascii="Arial" w:hAnsi="Arial"/>
          <w:b/>
          <w:bCs/>
          <w:sz w:val="22"/>
          <w:lang w:val="es-CO"/>
        </w:rPr>
        <w:fldChar w:fldCharType="separate"/>
      </w:r>
      <w:r w:rsidRPr="0011752D">
        <w:rPr>
          <w:rFonts w:ascii="Arial" w:hAnsi="Arial"/>
          <w:b/>
          <w:bCs/>
          <w:noProof/>
          <w:sz w:val="22"/>
          <w:lang w:val="es-CO"/>
        </w:rPr>
        <w:t>10</w:t>
      </w:r>
      <w:r w:rsidRPr="0011752D">
        <w:rPr>
          <w:rFonts w:ascii="Arial" w:hAnsi="Arial"/>
          <w:b/>
          <w:bCs/>
          <w:sz w:val="22"/>
          <w:lang w:val="es-CO"/>
        </w:rPr>
        <w:fldChar w:fldCharType="end"/>
      </w:r>
      <w:bookmarkEnd w:id="104"/>
      <w:r w:rsidRPr="0011752D">
        <w:rPr>
          <w:rFonts w:ascii="Arial" w:hAnsi="Arial"/>
          <w:b/>
          <w:sz w:val="22"/>
          <w:lang w:val="es-CO"/>
        </w:rPr>
        <w:t xml:space="preserve"> – Resultados generales PIEC 2016 - 2020</w:t>
      </w:r>
      <w:r w:rsidRPr="0011752D">
        <w:rPr>
          <w:rFonts w:ascii="Arial" w:hAnsi="Arial"/>
          <w:b/>
          <w:sz w:val="22"/>
          <w:vertAlign w:val="superscript"/>
          <w:lang w:val="es-CO"/>
        </w:rPr>
        <w:footnoteReference w:id="46"/>
      </w:r>
      <w:bookmarkEnd w:id="105"/>
    </w:p>
    <w:p w14:paraId="2341ADD2" w14:textId="77777777" w:rsidR="0011752D" w:rsidRPr="0011752D" w:rsidRDefault="0011752D" w:rsidP="0011752D">
      <w:pPr>
        <w:spacing w:before="240" w:after="240"/>
        <w:jc w:val="center"/>
        <w:rPr>
          <w:rFonts w:ascii="Arial" w:hAnsi="Arial"/>
          <w:sz w:val="22"/>
          <w:lang w:val="es-CO"/>
        </w:rPr>
      </w:pPr>
      <w:r w:rsidRPr="0011752D">
        <w:rPr>
          <w:rFonts w:ascii="Arial" w:hAnsi="Arial"/>
          <w:noProof/>
          <w:sz w:val="22"/>
          <w:lang w:val="es-US" w:eastAsia="zh-CN"/>
        </w:rPr>
        <w:drawing>
          <wp:inline distT="0" distB="0" distL="0" distR="0" wp14:anchorId="2341BDC4" wp14:editId="2341BDC5">
            <wp:extent cx="5136038" cy="1610315"/>
            <wp:effectExtent l="0" t="0" r="7620" b="9525"/>
            <wp:docPr id="8353"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5140444" cy="1611697"/>
                    </a:xfrm>
                    <a:prstGeom prst="rect">
                      <a:avLst/>
                    </a:prstGeom>
                  </pic:spPr>
                </pic:pic>
              </a:graphicData>
            </a:graphic>
          </wp:inline>
        </w:drawing>
      </w:r>
    </w:p>
    <w:p w14:paraId="2341ADD3"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Con base en los resultados del modelo de optimización del PIEC 2016 – 2017 para 12.574 localidades (información suministrada por la UPME al consultor para el presente estudio), se realizó el ACE, consistente en comparar el CU promedio de las soluciones totalmente fotovoltaicas identificadas como solución óptima respecto a la solución con diésel (lo cual se observó en soluciones en 2.552 localidades), y las soluciones híbridas FV/diésel identificadas como óptimas respecto a la solución totalmente diésel (se observó en 3.185 localidades). En todas estas soluciones, la interconexión al SIN no es viable.</w:t>
      </w:r>
    </w:p>
    <w:p w14:paraId="2341ADD4"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Los resultados obtenidos se presentan en la </w:t>
      </w:r>
      <w:r w:rsidRPr="0011752D">
        <w:rPr>
          <w:rFonts w:ascii="Arial" w:hAnsi="Arial"/>
          <w:sz w:val="22"/>
          <w:lang w:val="es-CO"/>
        </w:rPr>
        <w:fldChar w:fldCharType="begin"/>
      </w:r>
      <w:r w:rsidRPr="0011752D">
        <w:rPr>
          <w:rFonts w:ascii="Arial" w:hAnsi="Arial"/>
          <w:sz w:val="22"/>
          <w:lang w:val="es-CO"/>
        </w:rPr>
        <w:instrText xml:space="preserve"> REF _Ref473309934 \h </w:instrText>
      </w:r>
      <w:r w:rsidRPr="0011752D">
        <w:rPr>
          <w:rFonts w:ascii="Arial" w:hAnsi="Arial"/>
          <w:sz w:val="22"/>
          <w:lang w:val="es-CO"/>
        </w:rPr>
      </w:r>
      <w:r w:rsidRPr="0011752D">
        <w:rPr>
          <w:rFonts w:ascii="Arial" w:hAnsi="Arial"/>
          <w:sz w:val="22"/>
          <w:lang w:val="es-CO"/>
        </w:rPr>
        <w:fldChar w:fldCharType="separate"/>
      </w:r>
      <w:r w:rsidRPr="0011752D">
        <w:rPr>
          <w:rFonts w:ascii="Arial" w:hAnsi="Arial"/>
          <w:b/>
          <w:sz w:val="22"/>
          <w:lang w:val="es-CO"/>
        </w:rPr>
        <w:t xml:space="preserve">Tabla </w:t>
      </w:r>
      <w:r w:rsidRPr="0011752D">
        <w:rPr>
          <w:rFonts w:ascii="Arial" w:hAnsi="Arial"/>
          <w:b/>
          <w:noProof/>
          <w:sz w:val="22"/>
          <w:lang w:val="es-CO"/>
        </w:rPr>
        <w:t>13</w:t>
      </w:r>
      <w:r w:rsidRPr="0011752D">
        <w:rPr>
          <w:rFonts w:ascii="Arial" w:hAnsi="Arial"/>
          <w:sz w:val="22"/>
          <w:lang w:val="es-CO"/>
        </w:rPr>
        <w:fldChar w:fldCharType="end"/>
      </w:r>
      <w:r w:rsidRPr="0011752D">
        <w:rPr>
          <w:rFonts w:ascii="Arial" w:hAnsi="Arial"/>
          <w:sz w:val="22"/>
          <w:lang w:val="es-CO"/>
        </w:rPr>
        <w:t xml:space="preserve"> donde se puede observar que las soluciones con FNCER (solar e híbrida) son más costo efectivas entre un 40% y 42% que las soluciones solamente con diésel en un total de 5.737 localidades.</w:t>
      </w:r>
    </w:p>
    <w:p w14:paraId="2341ADD5" w14:textId="77777777" w:rsidR="0011752D" w:rsidRPr="0011752D" w:rsidRDefault="0011752D" w:rsidP="0011752D">
      <w:pPr>
        <w:spacing w:before="240" w:after="240"/>
        <w:jc w:val="both"/>
        <w:rPr>
          <w:rFonts w:ascii="Arial" w:hAnsi="Arial"/>
          <w:sz w:val="22"/>
          <w:lang w:val="es-CO"/>
        </w:rPr>
      </w:pPr>
    </w:p>
    <w:p w14:paraId="2341ADD6" w14:textId="77777777" w:rsidR="0011752D" w:rsidRPr="0011752D" w:rsidRDefault="0011752D" w:rsidP="0011752D">
      <w:pPr>
        <w:spacing w:before="240" w:after="240"/>
        <w:jc w:val="center"/>
        <w:rPr>
          <w:rFonts w:ascii="Arial" w:hAnsi="Arial"/>
          <w:b/>
          <w:sz w:val="22"/>
          <w:lang w:val="es-CO"/>
        </w:rPr>
      </w:pPr>
      <w:bookmarkStart w:id="106" w:name="_Ref473309934"/>
      <w:bookmarkStart w:id="107" w:name="_Toc474797067"/>
      <w:r w:rsidRPr="0011752D">
        <w:rPr>
          <w:rFonts w:ascii="Arial" w:hAnsi="Arial"/>
          <w:b/>
          <w:sz w:val="22"/>
          <w:lang w:val="es-CO"/>
        </w:rPr>
        <w:t xml:space="preserve">Tabla </w:t>
      </w:r>
      <w:r w:rsidRPr="0011752D">
        <w:rPr>
          <w:rFonts w:ascii="Arial" w:hAnsi="Arial"/>
          <w:b/>
          <w:sz w:val="22"/>
          <w:lang w:val="es-CO"/>
        </w:rPr>
        <w:fldChar w:fldCharType="begin"/>
      </w:r>
      <w:r w:rsidRPr="0011752D">
        <w:rPr>
          <w:rFonts w:ascii="Arial" w:hAnsi="Arial"/>
          <w:b/>
          <w:sz w:val="22"/>
          <w:lang w:val="es-CO"/>
        </w:rPr>
        <w:instrText xml:space="preserve"> SEQ Tabla \* ARABIC </w:instrText>
      </w:r>
      <w:r w:rsidRPr="0011752D">
        <w:rPr>
          <w:rFonts w:ascii="Arial" w:hAnsi="Arial"/>
          <w:b/>
          <w:sz w:val="22"/>
          <w:lang w:val="es-CO"/>
        </w:rPr>
        <w:fldChar w:fldCharType="separate"/>
      </w:r>
      <w:r w:rsidRPr="0011752D">
        <w:rPr>
          <w:rFonts w:ascii="Arial" w:hAnsi="Arial"/>
          <w:b/>
          <w:noProof/>
          <w:sz w:val="22"/>
          <w:lang w:val="es-CO"/>
        </w:rPr>
        <w:t>13</w:t>
      </w:r>
      <w:r w:rsidRPr="0011752D">
        <w:rPr>
          <w:rFonts w:ascii="Arial" w:hAnsi="Arial"/>
          <w:b/>
          <w:sz w:val="22"/>
          <w:lang w:val="es-CO"/>
        </w:rPr>
        <w:fldChar w:fldCharType="end"/>
      </w:r>
      <w:bookmarkEnd w:id="106"/>
      <w:r w:rsidRPr="0011752D">
        <w:rPr>
          <w:rFonts w:ascii="Arial" w:hAnsi="Arial"/>
          <w:b/>
          <w:sz w:val="22"/>
          <w:lang w:val="es-CO"/>
        </w:rPr>
        <w:t xml:space="preserve"> – Costo efectividad de soluciones con FNCER respecto a solución con diésel</w:t>
      </w:r>
      <w:bookmarkEnd w:id="107"/>
    </w:p>
    <w:tbl>
      <w:tblPr>
        <w:tblW w:w="7700" w:type="dxa"/>
        <w:jc w:val="center"/>
        <w:tblCellMar>
          <w:left w:w="70" w:type="dxa"/>
          <w:right w:w="70" w:type="dxa"/>
        </w:tblCellMar>
        <w:tblLook w:val="04A0" w:firstRow="1" w:lastRow="0" w:firstColumn="1" w:lastColumn="0" w:noHBand="0" w:noVBand="1"/>
      </w:tblPr>
      <w:tblGrid>
        <w:gridCol w:w="3060"/>
        <w:gridCol w:w="641"/>
        <w:gridCol w:w="3680"/>
        <w:gridCol w:w="641"/>
      </w:tblGrid>
      <w:tr w:rsidR="0011752D" w:rsidRPr="0011752D" w14:paraId="2341ADD9" w14:textId="77777777" w:rsidTr="00390762">
        <w:trPr>
          <w:trHeight w:val="615"/>
          <w:jc w:val="center"/>
        </w:trPr>
        <w:tc>
          <w:tcPr>
            <w:tcW w:w="3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41ADD7" w14:textId="77777777" w:rsidR="0011752D" w:rsidRPr="0011752D" w:rsidRDefault="0011752D" w:rsidP="0011752D">
            <w:pPr>
              <w:jc w:val="center"/>
              <w:rPr>
                <w:rFonts w:ascii="Arial" w:hAnsi="Arial" w:cs="Arial"/>
                <w:b/>
                <w:color w:val="000000"/>
                <w:sz w:val="20"/>
                <w:lang w:val="es-CO" w:eastAsia="es-CO"/>
              </w:rPr>
            </w:pPr>
            <w:r w:rsidRPr="0011752D">
              <w:rPr>
                <w:rFonts w:ascii="Arial" w:hAnsi="Arial" w:cs="Arial"/>
                <w:b/>
                <w:color w:val="000000"/>
                <w:sz w:val="20"/>
                <w:lang w:val="es-CO" w:eastAsia="es-CO"/>
              </w:rPr>
              <w:t>Promedio CU $/kWh soluciones óptimas FV</w:t>
            </w:r>
          </w:p>
        </w:tc>
        <w:tc>
          <w:tcPr>
            <w:tcW w:w="4160" w:type="dxa"/>
            <w:gridSpan w:val="2"/>
            <w:tcBorders>
              <w:top w:val="single" w:sz="4" w:space="0" w:color="auto"/>
              <w:left w:val="nil"/>
              <w:bottom w:val="single" w:sz="4" w:space="0" w:color="auto"/>
              <w:right w:val="single" w:sz="4" w:space="0" w:color="auto"/>
            </w:tcBorders>
            <w:shd w:val="clear" w:color="auto" w:fill="auto"/>
            <w:vAlign w:val="center"/>
            <w:hideMark/>
          </w:tcPr>
          <w:p w14:paraId="2341ADD8" w14:textId="77777777" w:rsidR="0011752D" w:rsidRPr="0011752D" w:rsidRDefault="0011752D" w:rsidP="0011752D">
            <w:pPr>
              <w:jc w:val="center"/>
              <w:rPr>
                <w:rFonts w:ascii="Arial" w:hAnsi="Arial" w:cs="Arial"/>
                <w:b/>
                <w:color w:val="000000"/>
                <w:sz w:val="20"/>
                <w:lang w:val="es-CO" w:eastAsia="es-CO"/>
              </w:rPr>
            </w:pPr>
            <w:r w:rsidRPr="0011752D">
              <w:rPr>
                <w:rFonts w:ascii="Arial" w:hAnsi="Arial" w:cs="Arial"/>
                <w:b/>
                <w:color w:val="000000"/>
                <w:sz w:val="20"/>
                <w:lang w:val="es-CO" w:eastAsia="es-CO"/>
              </w:rPr>
              <w:t>Promedio CU $/kWh soluciones óptimas híbridas FV/Diésel</w:t>
            </w:r>
          </w:p>
        </w:tc>
      </w:tr>
      <w:tr w:rsidR="0011752D" w:rsidRPr="0011752D" w14:paraId="2341ADDE" w14:textId="77777777" w:rsidTr="00390762">
        <w:trPr>
          <w:trHeight w:val="315"/>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341ADDA" w14:textId="77777777" w:rsidR="0011752D" w:rsidRPr="0011752D" w:rsidRDefault="0011752D" w:rsidP="0011752D">
            <w:pPr>
              <w:rPr>
                <w:rFonts w:ascii="Arial" w:hAnsi="Arial" w:cs="Arial"/>
                <w:color w:val="000000"/>
                <w:sz w:val="20"/>
                <w:lang w:val="es-CO" w:eastAsia="es-CO"/>
              </w:rPr>
            </w:pPr>
            <w:r w:rsidRPr="0011752D">
              <w:rPr>
                <w:rFonts w:ascii="Arial" w:hAnsi="Arial" w:cs="Arial"/>
                <w:color w:val="000000"/>
                <w:sz w:val="20"/>
                <w:lang w:val="es-CO" w:eastAsia="es-CO"/>
              </w:rPr>
              <w:t>Diésel</w:t>
            </w:r>
          </w:p>
        </w:tc>
        <w:tc>
          <w:tcPr>
            <w:tcW w:w="480" w:type="dxa"/>
            <w:tcBorders>
              <w:top w:val="nil"/>
              <w:left w:val="nil"/>
              <w:bottom w:val="single" w:sz="4" w:space="0" w:color="auto"/>
              <w:right w:val="single" w:sz="4" w:space="0" w:color="auto"/>
            </w:tcBorders>
            <w:shd w:val="clear" w:color="auto" w:fill="auto"/>
            <w:noWrap/>
            <w:vAlign w:val="bottom"/>
            <w:hideMark/>
          </w:tcPr>
          <w:p w14:paraId="2341ADDB" w14:textId="77777777" w:rsidR="0011752D" w:rsidRPr="0011752D" w:rsidRDefault="0011752D" w:rsidP="0011752D">
            <w:pPr>
              <w:jc w:val="right"/>
              <w:rPr>
                <w:rFonts w:ascii="Arial" w:hAnsi="Arial" w:cs="Arial"/>
                <w:color w:val="000000"/>
                <w:sz w:val="20"/>
                <w:lang w:val="es-CO" w:eastAsia="es-CO"/>
              </w:rPr>
            </w:pPr>
            <w:r w:rsidRPr="0011752D">
              <w:rPr>
                <w:rFonts w:ascii="Arial" w:hAnsi="Arial" w:cs="Arial"/>
                <w:color w:val="000000"/>
                <w:sz w:val="20"/>
                <w:lang w:val="es-CO" w:eastAsia="es-CO"/>
              </w:rPr>
              <w:t>5.811</w:t>
            </w:r>
          </w:p>
        </w:tc>
        <w:tc>
          <w:tcPr>
            <w:tcW w:w="3680" w:type="dxa"/>
            <w:tcBorders>
              <w:top w:val="nil"/>
              <w:left w:val="nil"/>
              <w:bottom w:val="single" w:sz="4" w:space="0" w:color="auto"/>
              <w:right w:val="single" w:sz="4" w:space="0" w:color="auto"/>
            </w:tcBorders>
            <w:shd w:val="clear" w:color="auto" w:fill="auto"/>
            <w:noWrap/>
            <w:vAlign w:val="bottom"/>
            <w:hideMark/>
          </w:tcPr>
          <w:p w14:paraId="2341ADDC" w14:textId="77777777" w:rsidR="0011752D" w:rsidRPr="0011752D" w:rsidRDefault="0011752D" w:rsidP="0011752D">
            <w:pPr>
              <w:rPr>
                <w:rFonts w:ascii="Arial" w:hAnsi="Arial" w:cs="Arial"/>
                <w:color w:val="000000"/>
                <w:sz w:val="20"/>
                <w:lang w:val="es-CO" w:eastAsia="es-CO"/>
              </w:rPr>
            </w:pPr>
            <w:r w:rsidRPr="0011752D">
              <w:rPr>
                <w:rFonts w:ascii="Arial" w:hAnsi="Arial" w:cs="Arial"/>
                <w:color w:val="000000"/>
                <w:sz w:val="20"/>
                <w:lang w:val="es-CO" w:eastAsia="es-CO"/>
              </w:rPr>
              <w:t>Diésel</w:t>
            </w:r>
          </w:p>
        </w:tc>
        <w:tc>
          <w:tcPr>
            <w:tcW w:w="480" w:type="dxa"/>
            <w:tcBorders>
              <w:top w:val="nil"/>
              <w:left w:val="nil"/>
              <w:bottom w:val="single" w:sz="4" w:space="0" w:color="auto"/>
              <w:right w:val="single" w:sz="4" w:space="0" w:color="auto"/>
            </w:tcBorders>
            <w:shd w:val="clear" w:color="auto" w:fill="auto"/>
            <w:noWrap/>
            <w:vAlign w:val="bottom"/>
            <w:hideMark/>
          </w:tcPr>
          <w:p w14:paraId="2341ADDD" w14:textId="77777777" w:rsidR="0011752D" w:rsidRPr="0011752D" w:rsidRDefault="0011752D" w:rsidP="0011752D">
            <w:pPr>
              <w:jc w:val="right"/>
              <w:rPr>
                <w:rFonts w:ascii="Arial" w:hAnsi="Arial" w:cs="Arial"/>
                <w:color w:val="000000"/>
                <w:sz w:val="20"/>
                <w:lang w:val="es-CO" w:eastAsia="es-CO"/>
              </w:rPr>
            </w:pPr>
            <w:r w:rsidRPr="0011752D">
              <w:rPr>
                <w:rFonts w:ascii="Arial" w:hAnsi="Arial" w:cs="Arial"/>
                <w:color w:val="000000"/>
                <w:sz w:val="20"/>
                <w:lang w:val="es-CO" w:eastAsia="es-CO"/>
              </w:rPr>
              <w:t>6.262</w:t>
            </w:r>
          </w:p>
        </w:tc>
      </w:tr>
      <w:tr w:rsidR="0011752D" w:rsidRPr="0011752D" w14:paraId="2341ADE3" w14:textId="77777777" w:rsidTr="00390762">
        <w:trPr>
          <w:trHeight w:val="315"/>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341ADDF" w14:textId="77777777" w:rsidR="0011752D" w:rsidRPr="0011752D" w:rsidRDefault="0011752D" w:rsidP="0011752D">
            <w:pPr>
              <w:rPr>
                <w:rFonts w:ascii="Arial" w:hAnsi="Arial" w:cs="Arial"/>
                <w:color w:val="000000"/>
                <w:sz w:val="20"/>
                <w:lang w:val="es-CO" w:eastAsia="es-CO"/>
              </w:rPr>
            </w:pPr>
            <w:r w:rsidRPr="0011752D">
              <w:rPr>
                <w:rFonts w:ascii="Arial" w:hAnsi="Arial" w:cs="Arial"/>
                <w:color w:val="000000"/>
                <w:sz w:val="20"/>
                <w:lang w:val="es-CO" w:eastAsia="es-CO"/>
              </w:rPr>
              <w:t>FV</w:t>
            </w:r>
          </w:p>
        </w:tc>
        <w:tc>
          <w:tcPr>
            <w:tcW w:w="480" w:type="dxa"/>
            <w:tcBorders>
              <w:top w:val="nil"/>
              <w:left w:val="nil"/>
              <w:bottom w:val="single" w:sz="4" w:space="0" w:color="auto"/>
              <w:right w:val="single" w:sz="4" w:space="0" w:color="auto"/>
            </w:tcBorders>
            <w:shd w:val="clear" w:color="auto" w:fill="auto"/>
            <w:noWrap/>
            <w:vAlign w:val="bottom"/>
            <w:hideMark/>
          </w:tcPr>
          <w:p w14:paraId="2341ADE0" w14:textId="77777777" w:rsidR="0011752D" w:rsidRPr="0011752D" w:rsidRDefault="0011752D" w:rsidP="0011752D">
            <w:pPr>
              <w:jc w:val="right"/>
              <w:rPr>
                <w:rFonts w:ascii="Arial" w:hAnsi="Arial" w:cs="Arial"/>
                <w:color w:val="000000"/>
                <w:sz w:val="20"/>
                <w:lang w:val="es-CO" w:eastAsia="es-CO"/>
              </w:rPr>
            </w:pPr>
            <w:r w:rsidRPr="0011752D">
              <w:rPr>
                <w:rFonts w:ascii="Arial" w:hAnsi="Arial" w:cs="Arial"/>
                <w:color w:val="000000"/>
                <w:sz w:val="20"/>
                <w:lang w:val="es-CO" w:eastAsia="es-CO"/>
              </w:rPr>
              <w:t>2.440</w:t>
            </w:r>
          </w:p>
        </w:tc>
        <w:tc>
          <w:tcPr>
            <w:tcW w:w="3680" w:type="dxa"/>
            <w:tcBorders>
              <w:top w:val="nil"/>
              <w:left w:val="nil"/>
              <w:bottom w:val="single" w:sz="4" w:space="0" w:color="auto"/>
              <w:right w:val="single" w:sz="4" w:space="0" w:color="auto"/>
            </w:tcBorders>
            <w:shd w:val="clear" w:color="auto" w:fill="auto"/>
            <w:noWrap/>
            <w:vAlign w:val="bottom"/>
            <w:hideMark/>
          </w:tcPr>
          <w:p w14:paraId="2341ADE1" w14:textId="77777777" w:rsidR="0011752D" w:rsidRPr="0011752D" w:rsidRDefault="0011752D" w:rsidP="0011752D">
            <w:pPr>
              <w:rPr>
                <w:rFonts w:ascii="Arial" w:hAnsi="Arial" w:cs="Arial"/>
                <w:color w:val="000000"/>
                <w:sz w:val="20"/>
                <w:lang w:val="es-CO" w:eastAsia="es-CO"/>
              </w:rPr>
            </w:pPr>
            <w:r w:rsidRPr="0011752D">
              <w:rPr>
                <w:rFonts w:ascii="Arial" w:hAnsi="Arial" w:cs="Arial"/>
                <w:color w:val="000000"/>
                <w:sz w:val="20"/>
                <w:lang w:val="es-CO" w:eastAsia="es-CO"/>
              </w:rPr>
              <w:t>FV+D</w:t>
            </w:r>
          </w:p>
        </w:tc>
        <w:tc>
          <w:tcPr>
            <w:tcW w:w="480" w:type="dxa"/>
            <w:tcBorders>
              <w:top w:val="nil"/>
              <w:left w:val="nil"/>
              <w:bottom w:val="single" w:sz="4" w:space="0" w:color="auto"/>
              <w:right w:val="single" w:sz="4" w:space="0" w:color="auto"/>
            </w:tcBorders>
            <w:shd w:val="clear" w:color="auto" w:fill="auto"/>
            <w:noWrap/>
            <w:vAlign w:val="bottom"/>
            <w:hideMark/>
          </w:tcPr>
          <w:p w14:paraId="2341ADE2" w14:textId="77777777" w:rsidR="0011752D" w:rsidRPr="0011752D" w:rsidRDefault="0011752D" w:rsidP="0011752D">
            <w:pPr>
              <w:jc w:val="right"/>
              <w:rPr>
                <w:rFonts w:ascii="Arial" w:hAnsi="Arial" w:cs="Arial"/>
                <w:color w:val="000000"/>
                <w:sz w:val="20"/>
                <w:lang w:val="es-CO" w:eastAsia="es-CO"/>
              </w:rPr>
            </w:pPr>
            <w:r w:rsidRPr="0011752D">
              <w:rPr>
                <w:rFonts w:ascii="Arial" w:hAnsi="Arial" w:cs="Arial"/>
                <w:color w:val="000000"/>
                <w:sz w:val="20"/>
                <w:lang w:val="es-CO" w:eastAsia="es-CO"/>
              </w:rPr>
              <w:t>2.508</w:t>
            </w:r>
          </w:p>
        </w:tc>
      </w:tr>
      <w:tr w:rsidR="0011752D" w:rsidRPr="0011752D" w14:paraId="2341ADE8" w14:textId="77777777" w:rsidTr="00390762">
        <w:trPr>
          <w:trHeight w:val="315"/>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341ADE4" w14:textId="77777777" w:rsidR="0011752D" w:rsidRPr="0011752D" w:rsidRDefault="0011752D" w:rsidP="0011752D">
            <w:pPr>
              <w:rPr>
                <w:rFonts w:ascii="Arial" w:hAnsi="Arial" w:cs="Arial"/>
                <w:color w:val="000000"/>
                <w:sz w:val="20"/>
                <w:lang w:val="es-CO" w:eastAsia="es-CO"/>
              </w:rPr>
            </w:pPr>
            <w:r w:rsidRPr="0011752D">
              <w:rPr>
                <w:rFonts w:ascii="Arial" w:hAnsi="Arial" w:cs="Arial"/>
                <w:color w:val="000000"/>
                <w:sz w:val="20"/>
                <w:lang w:val="es-CO" w:eastAsia="es-CO"/>
              </w:rPr>
              <w:t xml:space="preserve">FV </w:t>
            </w:r>
            <w:r w:rsidRPr="0011752D">
              <w:rPr>
                <w:rFonts w:ascii="Arial" w:hAnsi="Arial" w:cs="Arial"/>
                <w:b/>
                <w:color w:val="000000"/>
                <w:szCs w:val="24"/>
                <w:lang w:val="es-CO" w:eastAsia="es-CO"/>
              </w:rPr>
              <w:t xml:space="preserve">/ </w:t>
            </w:r>
            <w:r w:rsidRPr="0011752D">
              <w:rPr>
                <w:rFonts w:ascii="Arial" w:hAnsi="Arial" w:cs="Arial"/>
                <w:color w:val="000000"/>
                <w:sz w:val="20"/>
                <w:lang w:val="es-CO" w:eastAsia="es-CO"/>
              </w:rPr>
              <w:t>Diésel</w:t>
            </w:r>
          </w:p>
        </w:tc>
        <w:tc>
          <w:tcPr>
            <w:tcW w:w="480" w:type="dxa"/>
            <w:tcBorders>
              <w:top w:val="nil"/>
              <w:left w:val="nil"/>
              <w:bottom w:val="single" w:sz="4" w:space="0" w:color="auto"/>
              <w:right w:val="single" w:sz="4" w:space="0" w:color="auto"/>
            </w:tcBorders>
            <w:shd w:val="clear" w:color="auto" w:fill="auto"/>
            <w:noWrap/>
            <w:vAlign w:val="bottom"/>
            <w:hideMark/>
          </w:tcPr>
          <w:p w14:paraId="2341ADE5" w14:textId="77777777" w:rsidR="0011752D" w:rsidRPr="0011752D" w:rsidRDefault="0011752D" w:rsidP="0011752D">
            <w:pPr>
              <w:jc w:val="right"/>
              <w:rPr>
                <w:rFonts w:ascii="Arial" w:hAnsi="Arial" w:cs="Arial"/>
                <w:color w:val="000000"/>
                <w:sz w:val="20"/>
                <w:lang w:val="es-CO" w:eastAsia="es-CO"/>
              </w:rPr>
            </w:pPr>
            <w:r w:rsidRPr="0011752D">
              <w:rPr>
                <w:rFonts w:ascii="Arial" w:hAnsi="Arial" w:cs="Arial"/>
                <w:color w:val="000000"/>
                <w:sz w:val="20"/>
                <w:lang w:val="es-CO" w:eastAsia="es-CO"/>
              </w:rPr>
              <w:t>42%</w:t>
            </w:r>
          </w:p>
        </w:tc>
        <w:tc>
          <w:tcPr>
            <w:tcW w:w="3680" w:type="dxa"/>
            <w:tcBorders>
              <w:top w:val="nil"/>
              <w:left w:val="nil"/>
              <w:bottom w:val="single" w:sz="4" w:space="0" w:color="auto"/>
              <w:right w:val="single" w:sz="4" w:space="0" w:color="auto"/>
            </w:tcBorders>
            <w:shd w:val="clear" w:color="auto" w:fill="auto"/>
            <w:noWrap/>
            <w:vAlign w:val="bottom"/>
            <w:hideMark/>
          </w:tcPr>
          <w:p w14:paraId="2341ADE6" w14:textId="77777777" w:rsidR="0011752D" w:rsidRPr="0011752D" w:rsidRDefault="0011752D" w:rsidP="0011752D">
            <w:pPr>
              <w:rPr>
                <w:rFonts w:ascii="Arial" w:hAnsi="Arial" w:cs="Arial"/>
                <w:color w:val="000000"/>
                <w:sz w:val="20"/>
                <w:lang w:val="es-CO" w:eastAsia="es-CO"/>
              </w:rPr>
            </w:pPr>
            <w:r w:rsidRPr="0011752D">
              <w:rPr>
                <w:rFonts w:ascii="Arial" w:hAnsi="Arial" w:cs="Arial"/>
                <w:color w:val="000000"/>
                <w:sz w:val="20"/>
                <w:lang w:val="es-CO" w:eastAsia="es-CO"/>
              </w:rPr>
              <w:t xml:space="preserve">(FV+D) </w:t>
            </w:r>
            <w:r w:rsidRPr="0011752D">
              <w:rPr>
                <w:rFonts w:ascii="Arial" w:hAnsi="Arial" w:cs="Arial"/>
                <w:b/>
                <w:color w:val="000000"/>
                <w:szCs w:val="24"/>
                <w:lang w:val="es-CO" w:eastAsia="es-CO"/>
              </w:rPr>
              <w:t>/</w:t>
            </w:r>
            <w:r w:rsidRPr="0011752D">
              <w:rPr>
                <w:rFonts w:ascii="Arial" w:hAnsi="Arial" w:cs="Arial"/>
                <w:color w:val="000000"/>
                <w:sz w:val="20"/>
                <w:lang w:val="es-CO" w:eastAsia="es-CO"/>
              </w:rPr>
              <w:t xml:space="preserve"> Diésel</w:t>
            </w:r>
          </w:p>
        </w:tc>
        <w:tc>
          <w:tcPr>
            <w:tcW w:w="480" w:type="dxa"/>
            <w:tcBorders>
              <w:top w:val="nil"/>
              <w:left w:val="nil"/>
              <w:bottom w:val="single" w:sz="4" w:space="0" w:color="auto"/>
              <w:right w:val="single" w:sz="4" w:space="0" w:color="auto"/>
            </w:tcBorders>
            <w:shd w:val="clear" w:color="auto" w:fill="auto"/>
            <w:noWrap/>
            <w:vAlign w:val="bottom"/>
            <w:hideMark/>
          </w:tcPr>
          <w:p w14:paraId="2341ADE7" w14:textId="77777777" w:rsidR="0011752D" w:rsidRPr="0011752D" w:rsidRDefault="0011752D" w:rsidP="0011752D">
            <w:pPr>
              <w:jc w:val="right"/>
              <w:rPr>
                <w:rFonts w:ascii="Arial" w:hAnsi="Arial" w:cs="Arial"/>
                <w:color w:val="000000"/>
                <w:sz w:val="20"/>
                <w:lang w:val="es-CO" w:eastAsia="es-CO"/>
              </w:rPr>
            </w:pPr>
            <w:r w:rsidRPr="0011752D">
              <w:rPr>
                <w:rFonts w:ascii="Arial" w:hAnsi="Arial" w:cs="Arial"/>
                <w:color w:val="000000"/>
                <w:sz w:val="20"/>
                <w:lang w:val="es-CO" w:eastAsia="es-CO"/>
              </w:rPr>
              <w:t>40%</w:t>
            </w:r>
          </w:p>
        </w:tc>
      </w:tr>
    </w:tbl>
    <w:p w14:paraId="2341ADE9" w14:textId="77777777" w:rsidR="0011752D" w:rsidRPr="0011752D" w:rsidRDefault="0011752D" w:rsidP="0011752D">
      <w:pPr>
        <w:spacing w:before="240" w:after="240"/>
        <w:jc w:val="center"/>
        <w:rPr>
          <w:rFonts w:ascii="Arial" w:hAnsi="Arial"/>
          <w:sz w:val="20"/>
          <w:lang w:val="es-CO"/>
        </w:rPr>
      </w:pPr>
      <w:r w:rsidRPr="0011752D">
        <w:rPr>
          <w:rFonts w:ascii="Arial" w:hAnsi="Arial"/>
          <w:sz w:val="20"/>
          <w:lang w:val="es-CO"/>
        </w:rPr>
        <w:lastRenderedPageBreak/>
        <w:t>Fuente: Elaborado por el consultor con base en información del PIEC suministrada por la UPME al Consultor y según metodología descrita en párrafo anterior a esta tabla</w:t>
      </w:r>
    </w:p>
    <w:p w14:paraId="2341ADEA"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Como ya se ha señalado, se trata de costos de referencia estimados por la UPME e información incompleta de la georreferenciación de las viviendas, variable que incide de manera significativa en los resultados del modelo de optimización de esa entidad.</w:t>
      </w:r>
    </w:p>
    <w:p w14:paraId="2341ADEB"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También es relevante anotar que las soluciones tipificadas corresponden a necesidades del orden de 60 kWh/mes por usuario, que en el caso de soluciones individuales se ha concluido que no es viable presupuestalmente. Se espera a futuro que dicho dimensionamiento se revise, sin embargo, la relación costo efectividad muestra una amplia ventaja para las FNCER en muchas localidades.</w:t>
      </w:r>
    </w:p>
    <w:p w14:paraId="2341ADEC"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ES"/>
        </w:rPr>
      </w:pPr>
      <w:bookmarkStart w:id="108" w:name="_Toc474797040"/>
      <w:r w:rsidRPr="0011752D">
        <w:rPr>
          <w:rFonts w:ascii="Arial" w:hAnsi="Arial"/>
          <w:b/>
          <w:color w:val="1F3864"/>
          <w:szCs w:val="26"/>
          <w:lang w:val="es-ES"/>
        </w:rPr>
        <w:t>Beneficiarios</w:t>
      </w:r>
      <w:bookmarkEnd w:id="108"/>
    </w:p>
    <w:p w14:paraId="2341ADED" w14:textId="77777777" w:rsidR="0011752D" w:rsidRPr="0011752D" w:rsidRDefault="0011752D" w:rsidP="0011752D">
      <w:pPr>
        <w:spacing w:before="240" w:after="240"/>
        <w:jc w:val="both"/>
        <w:rPr>
          <w:rFonts w:ascii="Arial" w:hAnsi="Arial"/>
          <w:sz w:val="22"/>
          <w:lang w:val="es-ES"/>
        </w:rPr>
      </w:pPr>
      <w:r w:rsidRPr="0011752D">
        <w:rPr>
          <w:rFonts w:ascii="Arial" w:hAnsi="Arial"/>
          <w:sz w:val="22"/>
          <w:lang w:val="es-ES"/>
        </w:rPr>
        <w:t>Los beneficiarios del incremento en la cobertura del servicio de energía eléctrica son todas las familias que actualmente se encuentran sin servicio y que lo recibirán como resultado de la ejecución de los planes adoptados.</w:t>
      </w:r>
    </w:p>
    <w:p w14:paraId="2341ADEE"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ES"/>
        </w:rPr>
      </w:pPr>
      <w:bookmarkStart w:id="109" w:name="_Toc474797041"/>
      <w:r w:rsidRPr="0011752D">
        <w:rPr>
          <w:rFonts w:ascii="Arial" w:hAnsi="Arial"/>
          <w:b/>
          <w:color w:val="1F3864"/>
          <w:szCs w:val="26"/>
          <w:lang w:val="es-ES"/>
        </w:rPr>
        <w:t>Análisis de sensibilidad</w:t>
      </w:r>
      <w:bookmarkEnd w:id="109"/>
    </w:p>
    <w:p w14:paraId="2341ADEF"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El análisis de sensibilidad consiste en la determinación del margen de incremento en el costo del servicio CU que existe entre la solución costo efectiva aislada con FNCER (así sea híbrida con diésel) y la solución diésel.</w:t>
      </w:r>
    </w:p>
    <w:p w14:paraId="2341ADF0"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 xml:space="preserve">De acuerdo con los valores de la </w:t>
      </w:r>
      <w:r w:rsidRPr="0011752D">
        <w:rPr>
          <w:rFonts w:ascii="Arial" w:hAnsi="Arial"/>
          <w:sz w:val="22"/>
          <w:lang w:val="es-CO"/>
        </w:rPr>
        <w:fldChar w:fldCharType="begin"/>
      </w:r>
      <w:r w:rsidRPr="0011752D">
        <w:rPr>
          <w:rFonts w:ascii="Arial" w:hAnsi="Arial"/>
          <w:sz w:val="22"/>
          <w:lang w:val="es-CO"/>
        </w:rPr>
        <w:instrText xml:space="preserve"> REF _Ref473309934 \h </w:instrText>
      </w:r>
      <w:r w:rsidRPr="0011752D">
        <w:rPr>
          <w:rFonts w:ascii="Arial" w:hAnsi="Arial"/>
          <w:sz w:val="22"/>
          <w:lang w:val="es-CO"/>
        </w:rPr>
      </w:r>
      <w:r w:rsidRPr="0011752D">
        <w:rPr>
          <w:rFonts w:ascii="Arial" w:hAnsi="Arial"/>
          <w:sz w:val="22"/>
          <w:lang w:val="es-CO"/>
        </w:rPr>
        <w:fldChar w:fldCharType="separate"/>
      </w:r>
      <w:r w:rsidRPr="0011752D">
        <w:rPr>
          <w:rFonts w:ascii="Arial" w:hAnsi="Arial"/>
          <w:b/>
          <w:sz w:val="22"/>
          <w:lang w:val="es-CO"/>
        </w:rPr>
        <w:t xml:space="preserve">Tabla </w:t>
      </w:r>
      <w:r w:rsidRPr="0011752D">
        <w:rPr>
          <w:rFonts w:ascii="Arial" w:hAnsi="Arial"/>
          <w:b/>
          <w:noProof/>
          <w:sz w:val="22"/>
          <w:lang w:val="es-CO"/>
        </w:rPr>
        <w:t>13</w:t>
      </w:r>
      <w:r w:rsidRPr="0011752D">
        <w:rPr>
          <w:rFonts w:ascii="Arial" w:hAnsi="Arial"/>
          <w:sz w:val="22"/>
          <w:lang w:val="es-CO"/>
        </w:rPr>
        <w:fldChar w:fldCharType="end"/>
      </w:r>
      <w:r w:rsidRPr="0011752D">
        <w:rPr>
          <w:rFonts w:ascii="Arial" w:hAnsi="Arial"/>
          <w:sz w:val="22"/>
          <w:lang w:val="es-CO"/>
        </w:rPr>
        <w:t>, existe un amplio margen, del orden del 100% de costo unitario de servicio con fuente renovable o híbrida, respecto a la solución con diésel.</w:t>
      </w:r>
    </w:p>
    <w:p w14:paraId="2341ADF1"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CO"/>
        </w:rPr>
      </w:pPr>
      <w:bookmarkStart w:id="110" w:name="_Toc474797042"/>
      <w:r w:rsidRPr="0011752D">
        <w:rPr>
          <w:rFonts w:ascii="Arial" w:hAnsi="Arial"/>
          <w:b/>
          <w:color w:val="1F3864"/>
          <w:szCs w:val="26"/>
          <w:lang w:val="es-CO"/>
        </w:rPr>
        <w:t>Conclusiones y Recomendaciones</w:t>
      </w:r>
      <w:bookmarkEnd w:id="110"/>
    </w:p>
    <w:p w14:paraId="2341ADF2"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Se señala en el documento del PIEC 2016 – 2020, que este Plan es clave porque los lineamientos de política dejan a la planeación un papel determinante dado que es este plan el que define las necesidades y prioridades del desarrollo de la infraestructura para extender la cobertura. Además del PIEC, se cuenta con los siguientes planes:</w:t>
      </w:r>
    </w:p>
    <w:p w14:paraId="2341ADF3" w14:textId="77777777" w:rsidR="0011752D" w:rsidRPr="0011752D" w:rsidRDefault="0011752D" w:rsidP="0011752D">
      <w:pPr>
        <w:numPr>
          <w:ilvl w:val="0"/>
          <w:numId w:val="32"/>
        </w:numPr>
        <w:autoSpaceDE w:val="0"/>
        <w:autoSpaceDN w:val="0"/>
        <w:adjustRightInd w:val="0"/>
        <w:spacing w:before="240" w:after="39"/>
        <w:jc w:val="both"/>
        <w:rPr>
          <w:rFonts w:ascii="Arial" w:eastAsia="Calibri" w:hAnsi="Arial"/>
          <w:sz w:val="22"/>
          <w:szCs w:val="22"/>
        </w:rPr>
      </w:pPr>
      <w:r w:rsidRPr="0011752D">
        <w:rPr>
          <w:rFonts w:ascii="Arial" w:eastAsia="Calibri" w:hAnsi="Arial"/>
          <w:sz w:val="22"/>
          <w:szCs w:val="22"/>
        </w:rPr>
        <w:t xml:space="preserve">Plan Energético Nacional -PEN- </w:t>
      </w:r>
    </w:p>
    <w:p w14:paraId="2341ADF4" w14:textId="77777777" w:rsidR="0011752D" w:rsidRPr="0011752D" w:rsidRDefault="0011752D" w:rsidP="0011752D">
      <w:pPr>
        <w:numPr>
          <w:ilvl w:val="0"/>
          <w:numId w:val="32"/>
        </w:numPr>
        <w:autoSpaceDE w:val="0"/>
        <w:autoSpaceDN w:val="0"/>
        <w:adjustRightInd w:val="0"/>
        <w:spacing w:before="240" w:after="39"/>
        <w:jc w:val="both"/>
        <w:rPr>
          <w:rFonts w:ascii="Arial" w:eastAsia="Calibri" w:hAnsi="Arial"/>
          <w:sz w:val="22"/>
          <w:szCs w:val="22"/>
          <w:lang w:val="es-ES_tradnl"/>
        </w:rPr>
      </w:pPr>
      <w:r w:rsidRPr="0011752D">
        <w:rPr>
          <w:rFonts w:ascii="Arial" w:eastAsia="Calibri" w:hAnsi="Arial"/>
          <w:sz w:val="22"/>
          <w:szCs w:val="22"/>
          <w:lang w:val="es-ES_tradnl"/>
        </w:rPr>
        <w:t>Planes de Energización Rural Sostenible -PERS</w:t>
      </w:r>
    </w:p>
    <w:p w14:paraId="2341ADF5" w14:textId="77777777" w:rsidR="0011752D" w:rsidRPr="0011752D" w:rsidRDefault="0011752D" w:rsidP="0011752D">
      <w:pPr>
        <w:numPr>
          <w:ilvl w:val="0"/>
          <w:numId w:val="32"/>
        </w:numPr>
        <w:autoSpaceDE w:val="0"/>
        <w:autoSpaceDN w:val="0"/>
        <w:adjustRightInd w:val="0"/>
        <w:spacing w:before="240" w:after="39"/>
        <w:jc w:val="both"/>
        <w:rPr>
          <w:rFonts w:ascii="Arial" w:eastAsia="Calibri" w:hAnsi="Arial"/>
          <w:sz w:val="22"/>
          <w:szCs w:val="22"/>
        </w:rPr>
      </w:pPr>
      <w:r w:rsidRPr="0011752D">
        <w:rPr>
          <w:rFonts w:ascii="Arial" w:eastAsia="Calibri" w:hAnsi="Arial"/>
          <w:sz w:val="22"/>
          <w:szCs w:val="22"/>
        </w:rPr>
        <w:t>Plan Todos Somos PAZcífico -PTSP</w:t>
      </w:r>
    </w:p>
    <w:p w14:paraId="2341ADF6" w14:textId="77777777" w:rsidR="0011752D" w:rsidRPr="0011752D" w:rsidRDefault="0011752D" w:rsidP="0011752D">
      <w:pPr>
        <w:numPr>
          <w:ilvl w:val="0"/>
          <w:numId w:val="32"/>
        </w:numPr>
        <w:autoSpaceDE w:val="0"/>
        <w:autoSpaceDN w:val="0"/>
        <w:adjustRightInd w:val="0"/>
        <w:spacing w:before="240" w:after="240"/>
        <w:jc w:val="both"/>
        <w:rPr>
          <w:rFonts w:ascii="Arial" w:eastAsia="Calibri" w:hAnsi="Arial"/>
          <w:sz w:val="22"/>
          <w:szCs w:val="22"/>
          <w:lang w:val="es-ES_tradnl"/>
        </w:rPr>
      </w:pPr>
      <w:r w:rsidRPr="0011752D">
        <w:rPr>
          <w:rFonts w:ascii="Arial" w:eastAsia="Calibri" w:hAnsi="Arial"/>
          <w:sz w:val="22"/>
          <w:szCs w:val="22"/>
          <w:lang w:val="es-ES_tradnl"/>
        </w:rPr>
        <w:t>Plan de Electrificación rural (Plan de Posconflicto)</w:t>
      </w:r>
    </w:p>
    <w:p w14:paraId="2341ADF7"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El PIEC relaciona otros instrumentos que tiene actualmente el Estado para lograr la Universalización del servicio de energía eléctrica como son los fondos de apoyo financiero para proyectos de electrificación rural (Fondo de Apoyo Financiero para Energización Rural del SIN -FAER, Fondo de Apoyo Financiero para las Zonas no Interconectadas -FAZNI y el Sistema General de Regalías -SGR).</w:t>
      </w:r>
    </w:p>
    <w:p w14:paraId="2341ADF8" w14:textId="77777777" w:rsidR="0011752D" w:rsidRPr="0011752D" w:rsidRDefault="0011752D" w:rsidP="0011752D">
      <w:pPr>
        <w:spacing w:before="240" w:after="240"/>
        <w:jc w:val="both"/>
        <w:rPr>
          <w:rFonts w:ascii="Arial" w:hAnsi="Arial"/>
          <w:sz w:val="22"/>
          <w:lang w:val="es-CO"/>
        </w:rPr>
      </w:pPr>
      <w:r w:rsidRPr="0011752D">
        <w:rPr>
          <w:rFonts w:ascii="Arial" w:hAnsi="Arial"/>
          <w:noProof/>
          <w:sz w:val="22"/>
          <w:lang w:val="es-US" w:eastAsia="zh-CN"/>
        </w:rPr>
        <w:lastRenderedPageBreak/>
        <w:drawing>
          <wp:inline distT="0" distB="0" distL="0" distR="0" wp14:anchorId="2341BDC6" wp14:editId="2341BDC7">
            <wp:extent cx="5612130" cy="1483828"/>
            <wp:effectExtent l="0" t="0" r="7620" b="2540"/>
            <wp:docPr id="8354"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12130" cy="1483828"/>
                    </a:xfrm>
                    <a:prstGeom prst="rect">
                      <a:avLst/>
                    </a:prstGeom>
                    <a:noFill/>
                    <a:ln>
                      <a:noFill/>
                    </a:ln>
                  </pic:spPr>
                </pic:pic>
              </a:graphicData>
            </a:graphic>
          </wp:inline>
        </w:drawing>
      </w:r>
    </w:p>
    <w:p w14:paraId="2341ADF9" w14:textId="77777777" w:rsidR="0011752D" w:rsidRPr="0011752D" w:rsidRDefault="0011752D" w:rsidP="0011752D">
      <w:pPr>
        <w:jc w:val="both"/>
        <w:rPr>
          <w:rFonts w:ascii="Arial" w:hAnsi="Arial"/>
          <w:sz w:val="18"/>
          <w:szCs w:val="18"/>
          <w:lang w:val="es-CO"/>
        </w:rPr>
      </w:pPr>
      <w:r w:rsidRPr="0011752D">
        <w:rPr>
          <w:rFonts w:ascii="Arial" w:hAnsi="Arial"/>
          <w:sz w:val="18"/>
          <w:szCs w:val="18"/>
          <w:lang w:val="es-CO"/>
        </w:rPr>
        <w:t>Fuente: PIEC 2016-2020 UPME</w:t>
      </w:r>
    </w:p>
    <w:p w14:paraId="2341ADFA"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Aunque mediante el PIEC y el proceso adelantado con una banca de inversión desarrollado durante 2015 y 2016, se ha venido estudiando la factibilidad de diseñar soluciones empresariales, en el marco de la Ley 1715 de 2014</w:t>
      </w:r>
      <w:r w:rsidRPr="0011752D">
        <w:rPr>
          <w:rFonts w:ascii="Arial" w:hAnsi="Arial"/>
          <w:sz w:val="22"/>
          <w:vertAlign w:val="superscript"/>
          <w:lang w:val="es-CO"/>
        </w:rPr>
        <w:footnoteReference w:id="47"/>
      </w:r>
      <w:r w:rsidRPr="0011752D">
        <w:rPr>
          <w:rFonts w:ascii="Arial" w:hAnsi="Arial"/>
          <w:sz w:val="22"/>
          <w:lang w:val="es-CO"/>
        </w:rPr>
        <w:t xml:space="preserve"> se ha logrado un avance importante en el conocimiento de las complejas y heterogéneas condiciones de las ZN, así como de las posibles soluciones de ampliación de la cobertura. Se requiere avanzar aún más en la profundización y estructuración de las posibles alternativas de prestación del servicio y de soluciones técnicas concretas a cada caso, con base en los avances logrados para el Departamento de la Guajira y Chocó.</w:t>
      </w:r>
    </w:p>
    <w:p w14:paraId="2341ADFB" w14:textId="77777777" w:rsidR="0011752D" w:rsidRPr="0011752D" w:rsidRDefault="0011752D" w:rsidP="0011752D">
      <w:pPr>
        <w:spacing w:before="240" w:after="240"/>
        <w:jc w:val="both"/>
        <w:rPr>
          <w:rFonts w:ascii="Arial" w:hAnsi="Arial"/>
          <w:sz w:val="22"/>
          <w:lang w:val="es-CO"/>
        </w:rPr>
      </w:pPr>
      <w:r w:rsidRPr="0011752D">
        <w:rPr>
          <w:rFonts w:ascii="Arial" w:hAnsi="Arial"/>
          <w:sz w:val="22"/>
          <w:lang w:val="es-CO"/>
        </w:rPr>
        <w:t>En este sentido, el Gobierno podría definir campos de acción prioritarios relacionados con la expansión de la cobertura que se base en FNCER, en el marco del PIEC y demás planes enunciados. Durante la elaboración del presente estudio se identificó un creciente interés y necesidad en la UPME por recursos para continuar avanzando en este campo.</w:t>
      </w:r>
    </w:p>
    <w:p w14:paraId="2341ADFC" w14:textId="77777777" w:rsidR="0011752D" w:rsidRPr="0011752D" w:rsidRDefault="0011752D" w:rsidP="0011752D">
      <w:pPr>
        <w:spacing w:after="160" w:line="259" w:lineRule="auto"/>
        <w:rPr>
          <w:rFonts w:ascii="Arial" w:hAnsi="Arial"/>
          <w:sz w:val="22"/>
          <w:lang w:val="es-CO"/>
        </w:rPr>
      </w:pPr>
      <w:r w:rsidRPr="0011752D">
        <w:rPr>
          <w:rFonts w:ascii="Arial" w:hAnsi="Arial"/>
          <w:sz w:val="22"/>
          <w:lang w:val="es-CO"/>
        </w:rPr>
        <w:br w:type="page"/>
      </w:r>
    </w:p>
    <w:p w14:paraId="2341ADFD" w14:textId="77777777" w:rsidR="0011752D" w:rsidRPr="0011752D" w:rsidRDefault="0011752D" w:rsidP="0011752D">
      <w:pPr>
        <w:keepNext/>
        <w:keepLines/>
        <w:spacing w:before="240" w:after="240"/>
        <w:ind w:left="432" w:hanging="432"/>
        <w:jc w:val="both"/>
        <w:outlineLvl w:val="0"/>
        <w:rPr>
          <w:rFonts w:ascii="Arial" w:hAnsi="Arial"/>
          <w:b/>
          <w:color w:val="002060"/>
          <w:sz w:val="28"/>
          <w:szCs w:val="32"/>
          <w:lang w:val="es-CO"/>
        </w:rPr>
      </w:pPr>
      <w:bookmarkStart w:id="111" w:name="_Toc473268542"/>
      <w:bookmarkStart w:id="112" w:name="_Toc474797043"/>
      <w:r w:rsidRPr="0011752D">
        <w:rPr>
          <w:rFonts w:ascii="Arial" w:hAnsi="Arial"/>
          <w:b/>
          <w:color w:val="002060"/>
          <w:sz w:val="28"/>
          <w:szCs w:val="32"/>
          <w:lang w:val="es-CO"/>
        </w:rPr>
        <w:lastRenderedPageBreak/>
        <w:t>Anexos</w:t>
      </w:r>
      <w:bookmarkEnd w:id="111"/>
      <w:bookmarkEnd w:id="112"/>
    </w:p>
    <w:p w14:paraId="2341ADFE" w14:textId="77777777" w:rsidR="0011752D" w:rsidRPr="0011752D" w:rsidRDefault="0011752D" w:rsidP="0011752D">
      <w:pPr>
        <w:keepNext/>
        <w:keepLines/>
        <w:numPr>
          <w:ilvl w:val="1"/>
          <w:numId w:val="0"/>
        </w:numPr>
        <w:spacing w:before="280" w:after="240"/>
        <w:ind w:left="576" w:hanging="576"/>
        <w:jc w:val="both"/>
        <w:outlineLvl w:val="1"/>
        <w:rPr>
          <w:rFonts w:ascii="Arial" w:hAnsi="Arial"/>
          <w:b/>
          <w:color w:val="1F3864"/>
          <w:szCs w:val="26"/>
          <w:lang w:val="es-CO"/>
        </w:rPr>
      </w:pPr>
      <w:bookmarkStart w:id="113" w:name="_Toc473268543"/>
      <w:bookmarkStart w:id="114" w:name="_Toc474797044"/>
      <w:r w:rsidRPr="0011752D">
        <w:rPr>
          <w:rFonts w:ascii="Arial" w:hAnsi="Arial"/>
          <w:b/>
          <w:color w:val="1F3864"/>
          <w:szCs w:val="26"/>
          <w:lang w:val="es-CO"/>
        </w:rPr>
        <w:t>Parámetros y cálculos para la estimación de beneficios y costos de medidas de eficiencia energética</w:t>
      </w:r>
      <w:bookmarkEnd w:id="113"/>
      <w:bookmarkEnd w:id="114"/>
    </w:p>
    <w:p w14:paraId="2341ADFF" w14:textId="77777777" w:rsidR="0011752D" w:rsidRPr="0011752D" w:rsidRDefault="0011752D" w:rsidP="0011752D">
      <w:pPr>
        <w:spacing w:before="240" w:after="240"/>
        <w:jc w:val="both"/>
        <w:rPr>
          <w:rFonts w:ascii="Arial" w:hAnsi="Arial" w:cs="Arial"/>
          <w:bCs/>
          <w:sz w:val="22"/>
          <w:szCs w:val="22"/>
          <w:lang w:val="es-ES"/>
        </w:rPr>
      </w:pPr>
      <w:r w:rsidRPr="0011752D">
        <w:rPr>
          <w:rFonts w:ascii="Arial" w:hAnsi="Arial" w:cs="Arial"/>
          <w:bCs/>
          <w:sz w:val="22"/>
          <w:szCs w:val="22"/>
          <w:lang w:val="es-ES"/>
        </w:rPr>
        <w:t>A continuación se presentan los principales parámetros y supuestos utilizados para la estimación de los impactos, beneficios y costos asociadas con las medidas de eficiencia energética, seguido por los resultados individuales de cada una de las medidas.</w:t>
      </w:r>
    </w:p>
    <w:p w14:paraId="2341AE00" w14:textId="77777777" w:rsidR="0011752D" w:rsidRPr="0011752D" w:rsidRDefault="0011752D" w:rsidP="0011752D">
      <w:pPr>
        <w:spacing w:before="240" w:after="240"/>
        <w:jc w:val="both"/>
        <w:rPr>
          <w:rFonts w:ascii="Arial" w:hAnsi="Arial" w:cs="Arial"/>
          <w:bCs/>
          <w:sz w:val="22"/>
          <w:szCs w:val="22"/>
          <w:lang w:val="es-ES"/>
        </w:rPr>
      </w:pPr>
      <w:r w:rsidRPr="0011752D">
        <w:rPr>
          <w:rFonts w:ascii="Arial" w:hAnsi="Arial" w:cs="Arial"/>
          <w:bCs/>
          <w:sz w:val="22"/>
          <w:szCs w:val="22"/>
          <w:lang w:val="es-ES"/>
        </w:rPr>
        <w:t xml:space="preserve">Los parámetros y cálculos el presente análisis están basados en los parámetros y metodologías del estudio “Política de Eficiencia Energética para Colombia” realizado por E&amp;Y para el Ministerio de Minas y Energía en 2015. Se han realizado ajustes incluyendo: </w:t>
      </w:r>
    </w:p>
    <w:p w14:paraId="2341AE01" w14:textId="77777777" w:rsidR="0011752D" w:rsidRPr="0011752D" w:rsidRDefault="0011752D" w:rsidP="0011752D">
      <w:pPr>
        <w:numPr>
          <w:ilvl w:val="0"/>
          <w:numId w:val="33"/>
        </w:numPr>
        <w:spacing w:before="120" w:after="120"/>
        <w:ind w:left="714" w:hanging="357"/>
        <w:jc w:val="both"/>
        <w:rPr>
          <w:rFonts w:ascii="Arial" w:hAnsi="Arial" w:cs="Arial"/>
          <w:bCs/>
          <w:sz w:val="22"/>
          <w:szCs w:val="22"/>
          <w:lang w:val="es-ES"/>
        </w:rPr>
      </w:pPr>
      <w:r w:rsidRPr="0011752D">
        <w:rPr>
          <w:rFonts w:ascii="Arial" w:hAnsi="Arial" w:cs="Arial"/>
          <w:bCs/>
          <w:sz w:val="22"/>
          <w:szCs w:val="22"/>
          <w:lang w:val="es-ES"/>
        </w:rPr>
        <w:t>Tasa de descuento del 12% en línea con la metodología de evaluación económica del BID;</w:t>
      </w:r>
    </w:p>
    <w:p w14:paraId="2341AE02" w14:textId="77777777" w:rsidR="0011752D" w:rsidRPr="0011752D" w:rsidRDefault="0011752D" w:rsidP="0011752D">
      <w:pPr>
        <w:numPr>
          <w:ilvl w:val="0"/>
          <w:numId w:val="33"/>
        </w:numPr>
        <w:spacing w:before="120" w:after="120"/>
        <w:ind w:left="714" w:hanging="357"/>
        <w:jc w:val="both"/>
        <w:rPr>
          <w:rFonts w:ascii="Arial" w:hAnsi="Arial" w:cs="Arial"/>
          <w:bCs/>
          <w:sz w:val="22"/>
          <w:szCs w:val="22"/>
          <w:lang w:val="es-ES"/>
        </w:rPr>
      </w:pPr>
      <w:r w:rsidRPr="0011752D">
        <w:rPr>
          <w:rFonts w:ascii="Arial" w:hAnsi="Arial" w:cs="Arial"/>
          <w:bCs/>
          <w:sz w:val="22"/>
          <w:szCs w:val="22"/>
          <w:lang w:val="es-ES"/>
        </w:rPr>
        <w:t xml:space="preserve">actualización de precios a diciembre de 2016 (precios originales utilizaban 2015 como referente); </w:t>
      </w:r>
    </w:p>
    <w:p w14:paraId="2341AE03" w14:textId="77777777" w:rsidR="0011752D" w:rsidRPr="0011752D" w:rsidRDefault="0011752D" w:rsidP="0011752D">
      <w:pPr>
        <w:numPr>
          <w:ilvl w:val="0"/>
          <w:numId w:val="33"/>
        </w:numPr>
        <w:spacing w:before="120" w:after="120"/>
        <w:ind w:left="714" w:hanging="357"/>
        <w:jc w:val="both"/>
        <w:rPr>
          <w:rFonts w:ascii="Arial" w:hAnsi="Arial" w:cs="Arial"/>
          <w:bCs/>
          <w:sz w:val="22"/>
          <w:szCs w:val="22"/>
          <w:lang w:val="es-ES"/>
        </w:rPr>
      </w:pPr>
      <w:r w:rsidRPr="0011752D">
        <w:rPr>
          <w:rFonts w:ascii="Arial" w:hAnsi="Arial" w:cs="Arial"/>
          <w:bCs/>
          <w:sz w:val="22"/>
          <w:szCs w:val="22"/>
          <w:lang w:val="es-ES"/>
        </w:rPr>
        <w:t>un factor de emisiones equivalente al factor de emisiones promedio del SIN (TonCO</w:t>
      </w:r>
      <w:r w:rsidRPr="0011752D">
        <w:rPr>
          <w:rFonts w:ascii="Arial" w:hAnsi="Arial" w:cs="Arial"/>
          <w:bCs/>
          <w:sz w:val="22"/>
          <w:szCs w:val="22"/>
          <w:vertAlign w:val="subscript"/>
          <w:lang w:val="es-ES"/>
        </w:rPr>
        <w:t>2</w:t>
      </w:r>
      <w:r w:rsidRPr="0011752D">
        <w:rPr>
          <w:rFonts w:ascii="Arial" w:hAnsi="Arial" w:cs="Arial"/>
          <w:bCs/>
          <w:sz w:val="22"/>
          <w:szCs w:val="22"/>
          <w:lang w:val="es-ES"/>
        </w:rPr>
        <w:t>/MW/h) utilizado por la UPME en su Plan de Expansión de Referencia Generación Transmisión 2015 – 2029 para el año 2016;</w:t>
      </w:r>
    </w:p>
    <w:p w14:paraId="2341AE04" w14:textId="77777777" w:rsidR="0011752D" w:rsidRPr="0011752D" w:rsidRDefault="0011752D" w:rsidP="0011752D">
      <w:pPr>
        <w:numPr>
          <w:ilvl w:val="0"/>
          <w:numId w:val="33"/>
        </w:numPr>
        <w:spacing w:before="240" w:after="240"/>
        <w:jc w:val="both"/>
        <w:rPr>
          <w:rFonts w:ascii="Arial" w:hAnsi="Arial" w:cs="Arial"/>
          <w:bCs/>
          <w:sz w:val="22"/>
          <w:szCs w:val="22"/>
          <w:lang w:val="es-ES"/>
        </w:rPr>
      </w:pPr>
      <w:r w:rsidRPr="0011752D">
        <w:rPr>
          <w:rFonts w:ascii="Arial" w:hAnsi="Arial" w:cs="Arial"/>
          <w:bCs/>
          <w:sz w:val="22"/>
          <w:szCs w:val="22"/>
          <w:lang w:val="es-ES"/>
        </w:rPr>
        <w:t>valoración del CO</w:t>
      </w:r>
      <w:r w:rsidRPr="0011752D">
        <w:rPr>
          <w:rFonts w:ascii="Arial" w:hAnsi="Arial" w:cs="Arial"/>
          <w:bCs/>
          <w:sz w:val="22"/>
          <w:szCs w:val="22"/>
          <w:vertAlign w:val="subscript"/>
          <w:lang w:val="es-ES"/>
        </w:rPr>
        <w:t>2</w:t>
      </w:r>
      <w:r w:rsidRPr="0011752D">
        <w:rPr>
          <w:rFonts w:ascii="Arial" w:hAnsi="Arial" w:cs="Arial"/>
          <w:bCs/>
          <w:sz w:val="22"/>
          <w:szCs w:val="22"/>
          <w:lang w:val="es-ES"/>
        </w:rPr>
        <w:t xml:space="preserve"> al precio de los CER del mercado europeo y según proyección de Reuters realizada durante el último trimestre de 2016 (proyección a 2018);</w:t>
      </w:r>
    </w:p>
    <w:p w14:paraId="2341AE05" w14:textId="77777777" w:rsidR="0011752D" w:rsidRPr="0011752D" w:rsidRDefault="0011752D" w:rsidP="0011752D">
      <w:pPr>
        <w:numPr>
          <w:ilvl w:val="0"/>
          <w:numId w:val="33"/>
        </w:numPr>
        <w:spacing w:before="240" w:after="240"/>
        <w:jc w:val="both"/>
        <w:rPr>
          <w:rFonts w:ascii="Arial" w:hAnsi="Arial" w:cs="Arial"/>
          <w:bCs/>
          <w:sz w:val="22"/>
          <w:szCs w:val="22"/>
          <w:lang w:val="es-ES"/>
        </w:rPr>
      </w:pPr>
      <w:r w:rsidRPr="0011752D">
        <w:rPr>
          <w:rFonts w:ascii="Arial" w:hAnsi="Arial" w:cs="Arial"/>
          <w:bCs/>
          <w:sz w:val="22"/>
          <w:szCs w:val="22"/>
          <w:lang w:val="es-ES"/>
        </w:rPr>
        <w:t>en los casos en que aplica valores originales en GBTU convertidos a GWh/año utilizando los siguientes factores de conversión: TJ/kWh = 277.778 , TJ/BTU = 9,48x10</w:t>
      </w:r>
      <w:r w:rsidRPr="0011752D">
        <w:rPr>
          <w:rFonts w:ascii="Arial" w:hAnsi="Arial" w:cs="Arial"/>
          <w:bCs/>
          <w:sz w:val="22"/>
          <w:szCs w:val="22"/>
          <w:vertAlign w:val="superscript"/>
          <w:lang w:val="es-ES"/>
        </w:rPr>
        <w:t>8</w:t>
      </w:r>
      <w:r w:rsidRPr="0011752D">
        <w:rPr>
          <w:rFonts w:ascii="Arial" w:hAnsi="Arial" w:cs="Arial"/>
          <w:bCs/>
          <w:sz w:val="22"/>
          <w:szCs w:val="22"/>
          <w:lang w:val="es-ES"/>
        </w:rPr>
        <w:t>.</w:t>
      </w:r>
    </w:p>
    <w:p w14:paraId="2341AE06" w14:textId="77777777" w:rsidR="0011752D" w:rsidRPr="0011752D" w:rsidRDefault="0011752D" w:rsidP="0011752D">
      <w:pPr>
        <w:spacing w:before="240" w:after="240"/>
        <w:jc w:val="both"/>
        <w:rPr>
          <w:rFonts w:ascii="Arial" w:hAnsi="Arial" w:cs="Arial"/>
          <w:bCs/>
          <w:sz w:val="22"/>
          <w:szCs w:val="22"/>
          <w:lang w:val="es-ES"/>
        </w:rPr>
      </w:pPr>
      <w:r w:rsidRPr="0011752D">
        <w:rPr>
          <w:rFonts w:ascii="Arial" w:hAnsi="Arial" w:cs="Arial"/>
          <w:bCs/>
          <w:sz w:val="22"/>
          <w:szCs w:val="22"/>
          <w:lang w:val="es-ES"/>
        </w:rPr>
        <w:t>Todas las medidas consideran el ahorro equivalente al costo de inversión en una planta de generación a carbón dimensionada para atender el consumo eléctrico evitado a partir de 2020, siguiendo la metodología del estudio de E&amp;Y. Los costos de la planta a carbón están en línea con los costos de una planta de tecnología supercrítica según información del World Energy Outlook (WEO).</w:t>
      </w:r>
    </w:p>
    <w:p w14:paraId="2341AE07" w14:textId="77777777" w:rsidR="0011752D" w:rsidRPr="0011752D" w:rsidRDefault="0011752D" w:rsidP="0011752D">
      <w:pPr>
        <w:spacing w:after="160" w:line="259" w:lineRule="auto"/>
        <w:rPr>
          <w:rFonts w:ascii="Arial" w:hAnsi="Arial" w:cs="Arial"/>
          <w:bCs/>
          <w:sz w:val="22"/>
          <w:szCs w:val="22"/>
          <w:lang w:val="es-ES"/>
        </w:rPr>
      </w:pPr>
      <w:r w:rsidRPr="0011752D">
        <w:rPr>
          <w:rFonts w:ascii="Arial" w:hAnsi="Arial" w:cs="Arial"/>
          <w:bCs/>
          <w:sz w:val="22"/>
          <w:szCs w:val="22"/>
          <w:lang w:val="es-ES"/>
        </w:rPr>
        <w:br w:type="page"/>
      </w:r>
    </w:p>
    <w:p w14:paraId="2341AE08" w14:textId="77777777" w:rsidR="00CD529B" w:rsidRPr="00564572" w:rsidRDefault="00CD529B" w:rsidP="00564572">
      <w:pPr>
        <w:rPr>
          <w:rFonts w:ascii="Arial" w:hAnsi="Arial" w:cs="Arial"/>
          <w:bCs/>
          <w:szCs w:val="22"/>
          <w:lang w:val="es-ES"/>
        </w:rPr>
        <w:sectPr w:rsidR="00CD529B" w:rsidRPr="00564572" w:rsidSect="00564572">
          <w:footerReference w:type="default" r:id="rId55"/>
          <w:pgSz w:w="12240" w:h="15840"/>
          <w:pgMar w:top="1440" w:right="1800" w:bottom="907" w:left="1800" w:header="706" w:footer="706" w:gutter="0"/>
          <w:cols w:space="720"/>
          <w:formProt w:val="0"/>
          <w:titlePg/>
        </w:sectPr>
      </w:pPr>
    </w:p>
    <w:p w14:paraId="2341AE09" w14:textId="77777777" w:rsidR="00CD529B" w:rsidRPr="006C4E72" w:rsidRDefault="00CD529B" w:rsidP="00564572">
      <w:pPr>
        <w:jc w:val="center"/>
        <w:rPr>
          <w:b/>
        </w:rPr>
      </w:pPr>
      <w:bookmarkStart w:id="115" w:name="_Toc473268562"/>
      <w:bookmarkStart w:id="116" w:name="_Toc474797068"/>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14</w:t>
      </w:r>
      <w:r w:rsidRPr="008C12BC">
        <w:rPr>
          <w:b/>
        </w:rPr>
        <w:fldChar w:fldCharType="end"/>
      </w:r>
      <w:r>
        <w:rPr>
          <w:b/>
        </w:rPr>
        <w:t xml:space="preserve"> – Parámetros generales</w:t>
      </w:r>
      <w:bookmarkEnd w:id="115"/>
      <w:bookmarkEnd w:id="116"/>
    </w:p>
    <w:tbl>
      <w:tblPr>
        <w:tblW w:w="4938" w:type="pct"/>
        <w:tblCellMar>
          <w:left w:w="70" w:type="dxa"/>
          <w:right w:w="70" w:type="dxa"/>
        </w:tblCellMar>
        <w:tblLook w:val="04A0" w:firstRow="1" w:lastRow="0" w:firstColumn="1" w:lastColumn="0" w:noHBand="0" w:noVBand="1"/>
      </w:tblPr>
      <w:tblGrid>
        <w:gridCol w:w="10369"/>
        <w:gridCol w:w="2464"/>
      </w:tblGrid>
      <w:tr w:rsidR="00CD529B" w:rsidRPr="006E1878" w14:paraId="2341AE0C" w14:textId="77777777" w:rsidTr="00564572">
        <w:trPr>
          <w:trHeight w:val="222"/>
        </w:trPr>
        <w:tc>
          <w:tcPr>
            <w:tcW w:w="4040" w:type="pct"/>
            <w:tcBorders>
              <w:top w:val="single" w:sz="4" w:space="0" w:color="auto"/>
              <w:left w:val="single" w:sz="4" w:space="0" w:color="auto"/>
              <w:bottom w:val="single" w:sz="4" w:space="0" w:color="BFBFBF"/>
              <w:right w:val="nil"/>
            </w:tcBorders>
            <w:shd w:val="clear" w:color="auto" w:fill="auto"/>
            <w:noWrap/>
            <w:vAlign w:val="bottom"/>
            <w:hideMark/>
          </w:tcPr>
          <w:p w14:paraId="2341AE0A"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Tarifa promedio estratos 1 y 2  ($COP/kWh) (2015)</w:t>
            </w:r>
          </w:p>
        </w:tc>
        <w:tc>
          <w:tcPr>
            <w:tcW w:w="960" w:type="pct"/>
            <w:tcBorders>
              <w:top w:val="single" w:sz="4" w:space="0" w:color="auto"/>
              <w:left w:val="nil"/>
              <w:bottom w:val="single" w:sz="4" w:space="0" w:color="BFBFBF"/>
              <w:right w:val="single" w:sz="4" w:space="0" w:color="auto"/>
            </w:tcBorders>
            <w:shd w:val="clear" w:color="auto" w:fill="auto"/>
            <w:noWrap/>
            <w:vAlign w:val="bottom"/>
            <w:hideMark/>
          </w:tcPr>
          <w:p w14:paraId="2341AE0B" w14:textId="77777777" w:rsidR="00CD529B" w:rsidRPr="006E1878" w:rsidRDefault="00CD529B" w:rsidP="00564572">
            <w:pPr>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167,36</w:t>
            </w:r>
          </w:p>
        </w:tc>
      </w:tr>
      <w:tr w:rsidR="00CD529B" w:rsidRPr="006E1878" w14:paraId="2341AE0F" w14:textId="77777777" w:rsidTr="00564572">
        <w:trPr>
          <w:trHeight w:val="222"/>
        </w:trPr>
        <w:tc>
          <w:tcPr>
            <w:tcW w:w="4040" w:type="pct"/>
            <w:tcBorders>
              <w:top w:val="nil"/>
              <w:left w:val="single" w:sz="4" w:space="0" w:color="auto"/>
              <w:bottom w:val="single" w:sz="4" w:space="0" w:color="auto"/>
              <w:right w:val="nil"/>
            </w:tcBorders>
            <w:shd w:val="clear" w:color="auto" w:fill="auto"/>
            <w:noWrap/>
            <w:vAlign w:val="bottom"/>
            <w:hideMark/>
          </w:tcPr>
          <w:p w14:paraId="2341AE0D" w14:textId="77777777" w:rsidR="00CD529B" w:rsidRPr="006E1878" w:rsidRDefault="00CD529B" w:rsidP="00564572">
            <w:pPr>
              <w:rPr>
                <w:rFonts w:ascii="Calibri" w:hAnsi="Calibri" w:cs="Calibri"/>
                <w:color w:val="000000"/>
                <w:sz w:val="15"/>
                <w:szCs w:val="15"/>
                <w:lang w:eastAsia="es-CO"/>
              </w:rPr>
            </w:pPr>
            <w:r w:rsidRPr="006E1878">
              <w:rPr>
                <w:rFonts w:ascii="Calibri" w:hAnsi="Calibri" w:cs="Calibri"/>
                <w:color w:val="000000"/>
                <w:sz w:val="15"/>
                <w:szCs w:val="15"/>
                <w:lang w:eastAsia="es-CO"/>
              </w:rPr>
              <w:t>Tarifa plena estrato 4   ($COP/kWh) (2015)</w:t>
            </w:r>
          </w:p>
        </w:tc>
        <w:tc>
          <w:tcPr>
            <w:tcW w:w="960" w:type="pct"/>
            <w:tcBorders>
              <w:top w:val="nil"/>
              <w:left w:val="nil"/>
              <w:bottom w:val="single" w:sz="4" w:space="0" w:color="auto"/>
              <w:right w:val="single" w:sz="4" w:space="0" w:color="auto"/>
            </w:tcBorders>
            <w:shd w:val="clear" w:color="auto" w:fill="auto"/>
            <w:noWrap/>
            <w:vAlign w:val="bottom"/>
            <w:hideMark/>
          </w:tcPr>
          <w:p w14:paraId="2341AE0E" w14:textId="77777777" w:rsidR="00CD529B" w:rsidRPr="006E1878" w:rsidRDefault="00CD529B" w:rsidP="00564572">
            <w:pPr>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363,00</w:t>
            </w:r>
          </w:p>
        </w:tc>
      </w:tr>
      <w:tr w:rsidR="00CD529B" w:rsidRPr="006E1878" w14:paraId="2341AE12" w14:textId="77777777" w:rsidTr="00564572">
        <w:trPr>
          <w:trHeight w:val="222"/>
        </w:trPr>
        <w:tc>
          <w:tcPr>
            <w:tcW w:w="4040" w:type="pct"/>
            <w:tcBorders>
              <w:top w:val="nil"/>
              <w:left w:val="nil"/>
              <w:bottom w:val="nil"/>
              <w:right w:val="nil"/>
            </w:tcBorders>
            <w:shd w:val="clear" w:color="auto" w:fill="auto"/>
            <w:noWrap/>
            <w:vAlign w:val="bottom"/>
            <w:hideMark/>
          </w:tcPr>
          <w:p w14:paraId="2341AE10" w14:textId="77777777" w:rsidR="00CD529B" w:rsidRPr="006E1878" w:rsidRDefault="00CD529B" w:rsidP="00564572">
            <w:pPr>
              <w:jc w:val="right"/>
              <w:rPr>
                <w:rFonts w:ascii="Calibri" w:hAnsi="Calibri" w:cs="Calibri"/>
                <w:color w:val="0000FF"/>
                <w:sz w:val="15"/>
                <w:szCs w:val="15"/>
                <w:lang w:eastAsia="es-CO"/>
              </w:rPr>
            </w:pPr>
          </w:p>
        </w:tc>
        <w:tc>
          <w:tcPr>
            <w:tcW w:w="960" w:type="pct"/>
            <w:tcBorders>
              <w:top w:val="nil"/>
              <w:left w:val="nil"/>
              <w:bottom w:val="nil"/>
              <w:right w:val="nil"/>
            </w:tcBorders>
            <w:shd w:val="clear" w:color="auto" w:fill="auto"/>
            <w:noWrap/>
            <w:vAlign w:val="bottom"/>
            <w:hideMark/>
          </w:tcPr>
          <w:p w14:paraId="2341AE11" w14:textId="77777777" w:rsidR="00CD529B" w:rsidRPr="006E1878" w:rsidRDefault="00CD529B" w:rsidP="00564572">
            <w:pPr>
              <w:rPr>
                <w:sz w:val="15"/>
                <w:szCs w:val="15"/>
                <w:lang w:eastAsia="es-CO"/>
              </w:rPr>
            </w:pPr>
          </w:p>
        </w:tc>
      </w:tr>
      <w:tr w:rsidR="00CD529B" w:rsidRPr="006E1878" w14:paraId="2341AE15" w14:textId="77777777" w:rsidTr="00564572">
        <w:trPr>
          <w:trHeight w:val="222"/>
        </w:trPr>
        <w:tc>
          <w:tcPr>
            <w:tcW w:w="4040" w:type="pct"/>
            <w:tcBorders>
              <w:top w:val="single" w:sz="4" w:space="0" w:color="auto"/>
              <w:left w:val="single" w:sz="4" w:space="0" w:color="auto"/>
              <w:bottom w:val="single" w:sz="4" w:space="0" w:color="auto"/>
              <w:right w:val="nil"/>
            </w:tcBorders>
            <w:shd w:val="clear" w:color="auto" w:fill="auto"/>
            <w:noWrap/>
            <w:vAlign w:val="bottom"/>
            <w:hideMark/>
          </w:tcPr>
          <w:p w14:paraId="2341AE13"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Contribución del PGN a los subsidios del sector eléctrico</w:t>
            </w:r>
          </w:p>
        </w:tc>
        <w:tc>
          <w:tcPr>
            <w:tcW w:w="960" w:type="pct"/>
            <w:tcBorders>
              <w:top w:val="single" w:sz="4" w:space="0" w:color="auto"/>
              <w:left w:val="nil"/>
              <w:bottom w:val="single" w:sz="4" w:space="0" w:color="auto"/>
              <w:right w:val="single" w:sz="4" w:space="0" w:color="auto"/>
            </w:tcBorders>
            <w:shd w:val="clear" w:color="auto" w:fill="auto"/>
            <w:noWrap/>
            <w:vAlign w:val="bottom"/>
            <w:hideMark/>
          </w:tcPr>
          <w:p w14:paraId="2341AE14" w14:textId="77777777" w:rsidR="00CD529B" w:rsidRPr="006E1878" w:rsidRDefault="00CD529B" w:rsidP="00564572">
            <w:pPr>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45%</w:t>
            </w:r>
          </w:p>
        </w:tc>
      </w:tr>
      <w:tr w:rsidR="00CD529B" w:rsidRPr="006E1878" w14:paraId="2341AE18" w14:textId="77777777" w:rsidTr="00564572">
        <w:trPr>
          <w:trHeight w:val="222"/>
        </w:trPr>
        <w:tc>
          <w:tcPr>
            <w:tcW w:w="4040" w:type="pct"/>
            <w:tcBorders>
              <w:top w:val="nil"/>
              <w:left w:val="nil"/>
              <w:bottom w:val="nil"/>
              <w:right w:val="nil"/>
            </w:tcBorders>
            <w:shd w:val="clear" w:color="auto" w:fill="auto"/>
            <w:noWrap/>
            <w:vAlign w:val="bottom"/>
            <w:hideMark/>
          </w:tcPr>
          <w:p w14:paraId="2341AE16" w14:textId="77777777" w:rsidR="00CD529B" w:rsidRPr="006E1878" w:rsidRDefault="00CD529B" w:rsidP="00564572">
            <w:pPr>
              <w:jc w:val="right"/>
              <w:rPr>
                <w:rFonts w:ascii="Calibri" w:hAnsi="Calibri" w:cs="Calibri"/>
                <w:color w:val="0000FF"/>
                <w:sz w:val="15"/>
                <w:szCs w:val="15"/>
                <w:lang w:eastAsia="es-CO"/>
              </w:rPr>
            </w:pPr>
          </w:p>
        </w:tc>
        <w:tc>
          <w:tcPr>
            <w:tcW w:w="960" w:type="pct"/>
            <w:tcBorders>
              <w:top w:val="nil"/>
              <w:left w:val="nil"/>
              <w:bottom w:val="nil"/>
              <w:right w:val="nil"/>
            </w:tcBorders>
            <w:shd w:val="clear" w:color="auto" w:fill="auto"/>
            <w:noWrap/>
            <w:vAlign w:val="bottom"/>
            <w:hideMark/>
          </w:tcPr>
          <w:p w14:paraId="2341AE17" w14:textId="77777777" w:rsidR="00CD529B" w:rsidRPr="006E1878" w:rsidRDefault="00CD529B" w:rsidP="00564572">
            <w:pPr>
              <w:rPr>
                <w:sz w:val="15"/>
                <w:szCs w:val="15"/>
                <w:lang w:eastAsia="es-CO"/>
              </w:rPr>
            </w:pPr>
          </w:p>
        </w:tc>
      </w:tr>
      <w:tr w:rsidR="00CD529B" w:rsidRPr="006E1878" w14:paraId="2341AE1B" w14:textId="77777777" w:rsidTr="00564572">
        <w:trPr>
          <w:trHeight w:val="222"/>
        </w:trPr>
        <w:tc>
          <w:tcPr>
            <w:tcW w:w="4040" w:type="pct"/>
            <w:tcBorders>
              <w:top w:val="single" w:sz="4" w:space="0" w:color="auto"/>
              <w:left w:val="single" w:sz="4" w:space="0" w:color="auto"/>
              <w:bottom w:val="single" w:sz="4" w:space="0" w:color="auto"/>
              <w:right w:val="nil"/>
            </w:tcBorders>
            <w:shd w:val="clear" w:color="auto" w:fill="auto"/>
            <w:noWrap/>
            <w:vAlign w:val="bottom"/>
            <w:hideMark/>
          </w:tcPr>
          <w:p w14:paraId="2341AE19"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Tarifa total NT3 - NT4 (base  + contribución) ($COP/KWh)</w:t>
            </w:r>
          </w:p>
        </w:tc>
        <w:tc>
          <w:tcPr>
            <w:tcW w:w="960" w:type="pct"/>
            <w:tcBorders>
              <w:top w:val="single" w:sz="4" w:space="0" w:color="auto"/>
              <w:left w:val="nil"/>
              <w:bottom w:val="single" w:sz="4" w:space="0" w:color="auto"/>
              <w:right w:val="single" w:sz="4" w:space="0" w:color="auto"/>
            </w:tcBorders>
            <w:shd w:val="clear" w:color="auto" w:fill="auto"/>
            <w:noWrap/>
            <w:vAlign w:val="bottom"/>
            <w:hideMark/>
          </w:tcPr>
          <w:p w14:paraId="2341AE1A" w14:textId="77777777" w:rsidR="00CD529B" w:rsidRPr="006E1878" w:rsidRDefault="00CD529B" w:rsidP="00564572">
            <w:pPr>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303,4</w:t>
            </w:r>
          </w:p>
        </w:tc>
      </w:tr>
      <w:tr w:rsidR="00CD529B" w:rsidRPr="006E1878" w14:paraId="2341AE1E" w14:textId="77777777" w:rsidTr="00564572">
        <w:trPr>
          <w:trHeight w:val="222"/>
        </w:trPr>
        <w:tc>
          <w:tcPr>
            <w:tcW w:w="4040" w:type="pct"/>
            <w:tcBorders>
              <w:top w:val="nil"/>
              <w:left w:val="nil"/>
              <w:bottom w:val="nil"/>
              <w:right w:val="nil"/>
            </w:tcBorders>
            <w:shd w:val="clear" w:color="auto" w:fill="auto"/>
            <w:noWrap/>
            <w:vAlign w:val="bottom"/>
            <w:hideMark/>
          </w:tcPr>
          <w:p w14:paraId="2341AE1C" w14:textId="77777777" w:rsidR="00CD529B" w:rsidRPr="006E1878" w:rsidRDefault="00CD529B" w:rsidP="00564572">
            <w:pPr>
              <w:jc w:val="right"/>
              <w:rPr>
                <w:rFonts w:ascii="Calibri" w:hAnsi="Calibri" w:cs="Calibri"/>
                <w:color w:val="0000FF"/>
                <w:sz w:val="15"/>
                <w:szCs w:val="15"/>
                <w:lang w:eastAsia="es-CO"/>
              </w:rPr>
            </w:pPr>
          </w:p>
        </w:tc>
        <w:tc>
          <w:tcPr>
            <w:tcW w:w="960" w:type="pct"/>
            <w:tcBorders>
              <w:top w:val="nil"/>
              <w:left w:val="nil"/>
              <w:bottom w:val="nil"/>
              <w:right w:val="nil"/>
            </w:tcBorders>
            <w:shd w:val="clear" w:color="auto" w:fill="auto"/>
            <w:noWrap/>
            <w:vAlign w:val="bottom"/>
            <w:hideMark/>
          </w:tcPr>
          <w:p w14:paraId="2341AE1D" w14:textId="77777777" w:rsidR="00CD529B" w:rsidRPr="006E1878" w:rsidRDefault="00CD529B" w:rsidP="00564572">
            <w:pPr>
              <w:rPr>
                <w:sz w:val="15"/>
                <w:szCs w:val="15"/>
                <w:lang w:eastAsia="es-CO"/>
              </w:rPr>
            </w:pPr>
          </w:p>
        </w:tc>
      </w:tr>
      <w:tr w:rsidR="00CD529B" w:rsidRPr="006E1878" w14:paraId="2341AE21" w14:textId="77777777" w:rsidTr="00564572">
        <w:trPr>
          <w:trHeight w:val="222"/>
        </w:trPr>
        <w:tc>
          <w:tcPr>
            <w:tcW w:w="4040" w:type="pct"/>
            <w:tcBorders>
              <w:top w:val="single" w:sz="4" w:space="0" w:color="auto"/>
              <w:left w:val="single" w:sz="4" w:space="0" w:color="auto"/>
              <w:bottom w:val="single" w:sz="4" w:space="0" w:color="auto"/>
              <w:right w:val="nil"/>
            </w:tcBorders>
            <w:shd w:val="clear" w:color="auto" w:fill="auto"/>
            <w:noWrap/>
            <w:vAlign w:val="bottom"/>
            <w:hideMark/>
          </w:tcPr>
          <w:p w14:paraId="2341AE1F"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Tarifa total NT3 - NT4 (Sin contribución) ($COP/KWh)</w:t>
            </w:r>
          </w:p>
        </w:tc>
        <w:tc>
          <w:tcPr>
            <w:tcW w:w="960" w:type="pct"/>
            <w:tcBorders>
              <w:top w:val="single" w:sz="4" w:space="0" w:color="auto"/>
              <w:left w:val="nil"/>
              <w:bottom w:val="single" w:sz="4" w:space="0" w:color="auto"/>
              <w:right w:val="single" w:sz="4" w:space="0" w:color="auto"/>
            </w:tcBorders>
            <w:shd w:val="clear" w:color="auto" w:fill="auto"/>
            <w:noWrap/>
            <w:vAlign w:val="bottom"/>
            <w:hideMark/>
          </w:tcPr>
          <w:p w14:paraId="2341AE20" w14:textId="77777777" w:rsidR="00CD529B" w:rsidRPr="006E1878" w:rsidRDefault="00CD529B" w:rsidP="00564572">
            <w:pPr>
              <w:jc w:val="right"/>
              <w:rPr>
                <w:rFonts w:ascii="Calibri" w:hAnsi="Calibri" w:cs="Calibri"/>
                <w:color w:val="000000"/>
                <w:sz w:val="15"/>
                <w:szCs w:val="15"/>
                <w:lang w:eastAsia="es-CO"/>
              </w:rPr>
            </w:pPr>
            <w:r w:rsidRPr="006E1878">
              <w:rPr>
                <w:rFonts w:ascii="Calibri" w:hAnsi="Calibri" w:cs="Calibri"/>
                <w:color w:val="000000"/>
                <w:sz w:val="15"/>
                <w:szCs w:val="15"/>
                <w:lang w:eastAsia="es-CO"/>
              </w:rPr>
              <w:t>252,9</w:t>
            </w:r>
          </w:p>
        </w:tc>
      </w:tr>
      <w:tr w:rsidR="00CD529B" w:rsidRPr="006E1878" w14:paraId="2341AE24" w14:textId="77777777" w:rsidTr="00564572">
        <w:trPr>
          <w:trHeight w:val="222"/>
        </w:trPr>
        <w:tc>
          <w:tcPr>
            <w:tcW w:w="4040" w:type="pct"/>
            <w:tcBorders>
              <w:top w:val="nil"/>
              <w:left w:val="nil"/>
              <w:bottom w:val="nil"/>
              <w:right w:val="nil"/>
            </w:tcBorders>
            <w:shd w:val="clear" w:color="auto" w:fill="auto"/>
            <w:noWrap/>
            <w:vAlign w:val="bottom"/>
            <w:hideMark/>
          </w:tcPr>
          <w:p w14:paraId="2341AE22" w14:textId="77777777" w:rsidR="00CD529B" w:rsidRPr="006E1878" w:rsidRDefault="00CD529B" w:rsidP="00564572">
            <w:pPr>
              <w:jc w:val="right"/>
              <w:rPr>
                <w:rFonts w:ascii="Calibri" w:hAnsi="Calibri" w:cs="Calibri"/>
                <w:color w:val="000000"/>
                <w:sz w:val="15"/>
                <w:szCs w:val="15"/>
                <w:lang w:eastAsia="es-CO"/>
              </w:rPr>
            </w:pPr>
          </w:p>
        </w:tc>
        <w:tc>
          <w:tcPr>
            <w:tcW w:w="960" w:type="pct"/>
            <w:tcBorders>
              <w:top w:val="nil"/>
              <w:left w:val="nil"/>
              <w:bottom w:val="nil"/>
              <w:right w:val="nil"/>
            </w:tcBorders>
            <w:shd w:val="clear" w:color="auto" w:fill="auto"/>
            <w:noWrap/>
            <w:vAlign w:val="bottom"/>
            <w:hideMark/>
          </w:tcPr>
          <w:p w14:paraId="2341AE23" w14:textId="77777777" w:rsidR="00CD529B" w:rsidRPr="006E1878" w:rsidRDefault="00CD529B" w:rsidP="00564572">
            <w:pPr>
              <w:rPr>
                <w:sz w:val="15"/>
                <w:szCs w:val="15"/>
                <w:lang w:eastAsia="es-CO"/>
              </w:rPr>
            </w:pPr>
          </w:p>
        </w:tc>
      </w:tr>
      <w:tr w:rsidR="00CD529B" w:rsidRPr="006E1878" w14:paraId="2341AE27" w14:textId="77777777" w:rsidTr="00564572">
        <w:trPr>
          <w:trHeight w:val="222"/>
        </w:trPr>
        <w:tc>
          <w:tcPr>
            <w:tcW w:w="4040" w:type="pct"/>
            <w:tcBorders>
              <w:top w:val="single" w:sz="4" w:space="0" w:color="auto"/>
              <w:left w:val="single" w:sz="4" w:space="0" w:color="auto"/>
              <w:bottom w:val="single" w:sz="4" w:space="0" w:color="BFBFBF"/>
              <w:right w:val="nil"/>
            </w:tcBorders>
            <w:shd w:val="clear" w:color="auto" w:fill="auto"/>
            <w:noWrap/>
            <w:vAlign w:val="bottom"/>
            <w:hideMark/>
          </w:tcPr>
          <w:p w14:paraId="2341AE25"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Costo de planta de generación evitada ($USD/MW)</w:t>
            </w:r>
          </w:p>
        </w:tc>
        <w:tc>
          <w:tcPr>
            <w:tcW w:w="960" w:type="pct"/>
            <w:tcBorders>
              <w:top w:val="single" w:sz="4" w:space="0" w:color="auto"/>
              <w:left w:val="nil"/>
              <w:bottom w:val="single" w:sz="4" w:space="0" w:color="BFBFBF"/>
              <w:right w:val="single" w:sz="4" w:space="0" w:color="auto"/>
            </w:tcBorders>
            <w:shd w:val="clear" w:color="auto" w:fill="auto"/>
            <w:noWrap/>
            <w:vAlign w:val="bottom"/>
            <w:hideMark/>
          </w:tcPr>
          <w:p w14:paraId="2341AE26" w14:textId="77777777" w:rsidR="00CD529B" w:rsidRPr="006E1878" w:rsidRDefault="00CD529B" w:rsidP="00564572">
            <w:pPr>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2.500.000</w:t>
            </w:r>
          </w:p>
        </w:tc>
      </w:tr>
      <w:tr w:rsidR="00CD529B" w:rsidRPr="006E1878" w14:paraId="2341AE2A" w14:textId="77777777" w:rsidTr="00564572">
        <w:trPr>
          <w:trHeight w:val="222"/>
        </w:trPr>
        <w:tc>
          <w:tcPr>
            <w:tcW w:w="4040" w:type="pct"/>
            <w:tcBorders>
              <w:top w:val="nil"/>
              <w:left w:val="single" w:sz="4" w:space="0" w:color="auto"/>
              <w:bottom w:val="single" w:sz="4" w:space="0" w:color="BFBFBF"/>
              <w:right w:val="nil"/>
            </w:tcBorders>
            <w:shd w:val="clear" w:color="auto" w:fill="auto"/>
            <w:noWrap/>
            <w:vAlign w:val="bottom"/>
            <w:hideMark/>
          </w:tcPr>
          <w:p w14:paraId="2341AE28"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Año de entrada planta de generación evitada</w:t>
            </w:r>
          </w:p>
        </w:tc>
        <w:tc>
          <w:tcPr>
            <w:tcW w:w="960" w:type="pct"/>
            <w:tcBorders>
              <w:top w:val="nil"/>
              <w:left w:val="nil"/>
              <w:bottom w:val="single" w:sz="4" w:space="0" w:color="BFBFBF"/>
              <w:right w:val="single" w:sz="4" w:space="0" w:color="auto"/>
            </w:tcBorders>
            <w:shd w:val="clear" w:color="auto" w:fill="auto"/>
            <w:noWrap/>
            <w:vAlign w:val="bottom"/>
            <w:hideMark/>
          </w:tcPr>
          <w:p w14:paraId="2341AE29" w14:textId="77777777" w:rsidR="00CD529B" w:rsidRPr="006E1878" w:rsidRDefault="00CD529B" w:rsidP="00564572">
            <w:pPr>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2020</w:t>
            </w:r>
          </w:p>
        </w:tc>
      </w:tr>
      <w:tr w:rsidR="00CD529B" w:rsidRPr="006E1878" w14:paraId="2341AE2D" w14:textId="77777777" w:rsidTr="00564572">
        <w:trPr>
          <w:trHeight w:val="222"/>
        </w:trPr>
        <w:tc>
          <w:tcPr>
            <w:tcW w:w="4040" w:type="pct"/>
            <w:tcBorders>
              <w:top w:val="nil"/>
              <w:left w:val="single" w:sz="4" w:space="0" w:color="auto"/>
              <w:bottom w:val="single" w:sz="4" w:space="0" w:color="BFBFBF"/>
              <w:right w:val="nil"/>
            </w:tcBorders>
            <w:shd w:val="clear" w:color="auto" w:fill="auto"/>
            <w:noWrap/>
            <w:vAlign w:val="bottom"/>
            <w:hideMark/>
          </w:tcPr>
          <w:p w14:paraId="2341AE2B" w14:textId="77777777" w:rsidR="00CD529B" w:rsidRPr="006E1878" w:rsidRDefault="00CD529B" w:rsidP="00564572">
            <w:pPr>
              <w:rPr>
                <w:rFonts w:ascii="Calibri" w:hAnsi="Calibri" w:cs="Calibri"/>
                <w:color w:val="000000"/>
                <w:sz w:val="15"/>
                <w:szCs w:val="15"/>
                <w:lang w:eastAsia="es-CO"/>
              </w:rPr>
            </w:pPr>
            <w:r w:rsidRPr="006E1878">
              <w:rPr>
                <w:rFonts w:ascii="Calibri" w:hAnsi="Calibri" w:cs="Calibri"/>
                <w:color w:val="000000"/>
                <w:sz w:val="15"/>
                <w:szCs w:val="15"/>
                <w:lang w:eastAsia="es-CO"/>
              </w:rPr>
              <w:t>Factor de emisiones de planta (TonC</w:t>
            </w:r>
            <w:r>
              <w:rPr>
                <w:rFonts w:ascii="Calibri" w:hAnsi="Calibri" w:cs="Calibri"/>
                <w:color w:val="000000"/>
                <w:sz w:val="15"/>
                <w:szCs w:val="15"/>
                <w:lang w:eastAsia="es-CO"/>
              </w:rPr>
              <w:t>O</w:t>
            </w:r>
            <w:r w:rsidRPr="00267281">
              <w:rPr>
                <w:rFonts w:ascii="Calibri" w:hAnsi="Calibri" w:cs="Calibri"/>
                <w:color w:val="000000"/>
                <w:sz w:val="15"/>
                <w:szCs w:val="15"/>
                <w:vertAlign w:val="subscript"/>
                <w:lang w:eastAsia="es-CO"/>
              </w:rPr>
              <w:t>2</w:t>
            </w:r>
            <w:r w:rsidRPr="006E1878">
              <w:rPr>
                <w:rFonts w:ascii="Calibri" w:hAnsi="Calibri" w:cs="Calibri"/>
                <w:color w:val="000000"/>
                <w:sz w:val="15"/>
                <w:szCs w:val="15"/>
                <w:lang w:eastAsia="es-CO"/>
              </w:rPr>
              <w:t>/MWh)</w:t>
            </w:r>
          </w:p>
        </w:tc>
        <w:tc>
          <w:tcPr>
            <w:tcW w:w="960" w:type="pct"/>
            <w:tcBorders>
              <w:top w:val="nil"/>
              <w:left w:val="nil"/>
              <w:bottom w:val="single" w:sz="4" w:space="0" w:color="BFBFBF"/>
              <w:right w:val="single" w:sz="4" w:space="0" w:color="auto"/>
            </w:tcBorders>
            <w:shd w:val="clear" w:color="auto" w:fill="auto"/>
            <w:noWrap/>
            <w:vAlign w:val="bottom"/>
            <w:hideMark/>
          </w:tcPr>
          <w:p w14:paraId="2341AE2C" w14:textId="77777777" w:rsidR="00CD529B" w:rsidRPr="006E1878" w:rsidRDefault="00CD529B" w:rsidP="00564572">
            <w:pPr>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1,05</w:t>
            </w:r>
          </w:p>
        </w:tc>
      </w:tr>
      <w:tr w:rsidR="00CD529B" w:rsidRPr="006E1878" w14:paraId="2341AE30" w14:textId="77777777" w:rsidTr="00564572">
        <w:trPr>
          <w:trHeight w:val="222"/>
        </w:trPr>
        <w:tc>
          <w:tcPr>
            <w:tcW w:w="4040" w:type="pct"/>
            <w:tcBorders>
              <w:top w:val="nil"/>
              <w:left w:val="single" w:sz="4" w:space="0" w:color="auto"/>
              <w:bottom w:val="nil"/>
              <w:right w:val="nil"/>
            </w:tcBorders>
            <w:shd w:val="clear" w:color="auto" w:fill="auto"/>
            <w:noWrap/>
            <w:vAlign w:val="bottom"/>
            <w:hideMark/>
          </w:tcPr>
          <w:p w14:paraId="2341AE2E"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Factor de utilización de la planta evitada</w:t>
            </w:r>
          </w:p>
        </w:tc>
        <w:tc>
          <w:tcPr>
            <w:tcW w:w="960" w:type="pct"/>
            <w:tcBorders>
              <w:top w:val="nil"/>
              <w:left w:val="nil"/>
              <w:bottom w:val="nil"/>
              <w:right w:val="single" w:sz="4" w:space="0" w:color="auto"/>
            </w:tcBorders>
            <w:shd w:val="clear" w:color="auto" w:fill="auto"/>
            <w:noWrap/>
            <w:vAlign w:val="bottom"/>
            <w:hideMark/>
          </w:tcPr>
          <w:p w14:paraId="2341AE2F" w14:textId="77777777" w:rsidR="00CD529B" w:rsidRPr="006E1878" w:rsidRDefault="00CD529B" w:rsidP="00564572">
            <w:pPr>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80%</w:t>
            </w:r>
          </w:p>
        </w:tc>
      </w:tr>
      <w:tr w:rsidR="00CD529B" w:rsidRPr="006E1878" w14:paraId="2341AE33" w14:textId="77777777" w:rsidTr="00564572">
        <w:trPr>
          <w:trHeight w:val="222"/>
        </w:trPr>
        <w:tc>
          <w:tcPr>
            <w:tcW w:w="4040" w:type="pct"/>
            <w:tcBorders>
              <w:top w:val="single" w:sz="4" w:space="0" w:color="BFBFBF"/>
              <w:left w:val="single" w:sz="4" w:space="0" w:color="auto"/>
              <w:bottom w:val="single" w:sz="4" w:space="0" w:color="auto"/>
              <w:right w:val="nil"/>
            </w:tcBorders>
            <w:shd w:val="clear" w:color="auto" w:fill="auto"/>
            <w:noWrap/>
            <w:vAlign w:val="bottom"/>
            <w:hideMark/>
          </w:tcPr>
          <w:p w14:paraId="2341AE31"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Factor de pérdidas del SIN</w:t>
            </w:r>
          </w:p>
        </w:tc>
        <w:tc>
          <w:tcPr>
            <w:tcW w:w="960" w:type="pct"/>
            <w:tcBorders>
              <w:top w:val="single" w:sz="4" w:space="0" w:color="BFBFBF"/>
              <w:left w:val="nil"/>
              <w:bottom w:val="single" w:sz="4" w:space="0" w:color="auto"/>
              <w:right w:val="single" w:sz="4" w:space="0" w:color="auto"/>
            </w:tcBorders>
            <w:shd w:val="clear" w:color="auto" w:fill="auto"/>
            <w:noWrap/>
            <w:vAlign w:val="bottom"/>
            <w:hideMark/>
          </w:tcPr>
          <w:p w14:paraId="2341AE32" w14:textId="77777777" w:rsidR="00CD529B" w:rsidRPr="006E1878" w:rsidRDefault="00CD529B" w:rsidP="00564572">
            <w:pPr>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18%</w:t>
            </w:r>
          </w:p>
        </w:tc>
      </w:tr>
      <w:tr w:rsidR="00CD529B" w:rsidRPr="006E1878" w14:paraId="2341AE36" w14:textId="77777777" w:rsidTr="00564572">
        <w:trPr>
          <w:trHeight w:val="222"/>
        </w:trPr>
        <w:tc>
          <w:tcPr>
            <w:tcW w:w="4040" w:type="pct"/>
            <w:tcBorders>
              <w:top w:val="nil"/>
              <w:left w:val="nil"/>
              <w:bottom w:val="nil"/>
              <w:right w:val="nil"/>
            </w:tcBorders>
            <w:shd w:val="clear" w:color="auto" w:fill="auto"/>
            <w:noWrap/>
            <w:vAlign w:val="bottom"/>
            <w:hideMark/>
          </w:tcPr>
          <w:p w14:paraId="2341AE34" w14:textId="77777777" w:rsidR="00CD529B" w:rsidRPr="006E1878" w:rsidRDefault="00CD529B" w:rsidP="00564572">
            <w:pPr>
              <w:jc w:val="right"/>
              <w:rPr>
                <w:rFonts w:ascii="Calibri" w:hAnsi="Calibri" w:cs="Calibri"/>
                <w:color w:val="0000FF"/>
                <w:sz w:val="15"/>
                <w:szCs w:val="15"/>
                <w:lang w:eastAsia="es-CO"/>
              </w:rPr>
            </w:pPr>
          </w:p>
        </w:tc>
        <w:tc>
          <w:tcPr>
            <w:tcW w:w="960" w:type="pct"/>
            <w:tcBorders>
              <w:top w:val="nil"/>
              <w:left w:val="nil"/>
              <w:bottom w:val="nil"/>
              <w:right w:val="nil"/>
            </w:tcBorders>
            <w:shd w:val="clear" w:color="auto" w:fill="auto"/>
            <w:noWrap/>
            <w:vAlign w:val="bottom"/>
            <w:hideMark/>
          </w:tcPr>
          <w:p w14:paraId="2341AE35" w14:textId="77777777" w:rsidR="00CD529B" w:rsidRPr="006E1878" w:rsidRDefault="00CD529B" w:rsidP="00564572">
            <w:pPr>
              <w:rPr>
                <w:sz w:val="15"/>
                <w:szCs w:val="15"/>
                <w:lang w:eastAsia="es-CO"/>
              </w:rPr>
            </w:pPr>
          </w:p>
        </w:tc>
      </w:tr>
      <w:tr w:rsidR="00CD529B" w:rsidRPr="006E1878" w14:paraId="2341AE39" w14:textId="77777777" w:rsidTr="00564572">
        <w:trPr>
          <w:trHeight w:val="222"/>
        </w:trPr>
        <w:tc>
          <w:tcPr>
            <w:tcW w:w="4040" w:type="pct"/>
            <w:tcBorders>
              <w:top w:val="single" w:sz="4" w:space="0" w:color="000000"/>
              <w:left w:val="single" w:sz="4" w:space="0" w:color="000000"/>
              <w:bottom w:val="single" w:sz="4" w:space="0" w:color="000000"/>
              <w:right w:val="nil"/>
            </w:tcBorders>
            <w:shd w:val="clear" w:color="auto" w:fill="auto"/>
            <w:noWrap/>
            <w:vAlign w:val="bottom"/>
            <w:hideMark/>
          </w:tcPr>
          <w:p w14:paraId="2341AE37"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Factor de emisiones del SIN (TonCO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/MWh)</w:t>
            </w:r>
          </w:p>
        </w:tc>
        <w:tc>
          <w:tcPr>
            <w:tcW w:w="960" w:type="pct"/>
            <w:tcBorders>
              <w:top w:val="single" w:sz="4" w:space="0" w:color="000000"/>
              <w:left w:val="nil"/>
              <w:bottom w:val="single" w:sz="4" w:space="0" w:color="000000"/>
              <w:right w:val="single" w:sz="4" w:space="0" w:color="000000"/>
            </w:tcBorders>
            <w:shd w:val="clear" w:color="auto" w:fill="auto"/>
            <w:noWrap/>
            <w:vAlign w:val="bottom"/>
            <w:hideMark/>
          </w:tcPr>
          <w:p w14:paraId="2341AE38" w14:textId="77777777" w:rsidR="00CD529B" w:rsidRPr="006E1878" w:rsidRDefault="00CD529B" w:rsidP="00564572">
            <w:pPr>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0,140</w:t>
            </w:r>
          </w:p>
        </w:tc>
      </w:tr>
      <w:tr w:rsidR="00CD529B" w:rsidRPr="006E1878" w14:paraId="2341AE3C" w14:textId="77777777" w:rsidTr="00564572">
        <w:trPr>
          <w:trHeight w:val="222"/>
        </w:trPr>
        <w:tc>
          <w:tcPr>
            <w:tcW w:w="4040" w:type="pct"/>
            <w:tcBorders>
              <w:top w:val="nil"/>
              <w:left w:val="single" w:sz="4" w:space="0" w:color="000000"/>
              <w:bottom w:val="single" w:sz="4" w:space="0" w:color="000000"/>
              <w:right w:val="nil"/>
            </w:tcBorders>
            <w:shd w:val="clear" w:color="auto" w:fill="auto"/>
            <w:noWrap/>
            <w:vAlign w:val="bottom"/>
            <w:hideMark/>
          </w:tcPr>
          <w:p w14:paraId="2341AE3A"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Valoración tonelada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($USD/Ton)</w:t>
            </w:r>
          </w:p>
        </w:tc>
        <w:tc>
          <w:tcPr>
            <w:tcW w:w="960" w:type="pct"/>
            <w:tcBorders>
              <w:top w:val="nil"/>
              <w:left w:val="nil"/>
              <w:bottom w:val="single" w:sz="4" w:space="0" w:color="000000"/>
              <w:right w:val="single" w:sz="4" w:space="0" w:color="000000"/>
            </w:tcBorders>
            <w:shd w:val="clear" w:color="auto" w:fill="auto"/>
            <w:noWrap/>
            <w:vAlign w:val="bottom"/>
            <w:hideMark/>
          </w:tcPr>
          <w:p w14:paraId="2341AE3B" w14:textId="77777777" w:rsidR="00CD529B" w:rsidRPr="006E1878" w:rsidRDefault="00CD529B" w:rsidP="00564572">
            <w:pPr>
              <w:jc w:val="right"/>
              <w:rPr>
                <w:rFonts w:ascii="Calibri" w:hAnsi="Calibri" w:cs="Calibri"/>
                <w:color w:val="0000FF"/>
                <w:sz w:val="15"/>
                <w:szCs w:val="15"/>
                <w:lang w:eastAsia="es-CO"/>
              </w:rPr>
            </w:pPr>
            <w:r>
              <w:rPr>
                <w:rFonts w:ascii="Calibri" w:hAnsi="Calibri" w:cs="Calibri"/>
                <w:color w:val="0000FF"/>
                <w:sz w:val="15"/>
                <w:szCs w:val="15"/>
                <w:lang w:eastAsia="es-CO"/>
              </w:rPr>
              <w:t>6,01</w:t>
            </w:r>
          </w:p>
        </w:tc>
      </w:tr>
      <w:tr w:rsidR="00CD529B" w:rsidRPr="006E1878" w14:paraId="2341AE3F" w14:textId="77777777" w:rsidTr="00564572">
        <w:trPr>
          <w:trHeight w:val="222"/>
        </w:trPr>
        <w:tc>
          <w:tcPr>
            <w:tcW w:w="4040" w:type="pct"/>
            <w:tcBorders>
              <w:top w:val="nil"/>
              <w:left w:val="nil"/>
              <w:bottom w:val="nil"/>
              <w:right w:val="nil"/>
            </w:tcBorders>
            <w:shd w:val="clear" w:color="auto" w:fill="auto"/>
            <w:noWrap/>
            <w:vAlign w:val="bottom"/>
            <w:hideMark/>
          </w:tcPr>
          <w:p w14:paraId="2341AE3D" w14:textId="77777777" w:rsidR="00CD529B" w:rsidRPr="006E1878" w:rsidRDefault="00CD529B" w:rsidP="00564572">
            <w:pPr>
              <w:jc w:val="right"/>
              <w:rPr>
                <w:rFonts w:ascii="Calibri" w:hAnsi="Calibri" w:cs="Calibri"/>
                <w:color w:val="0000FF"/>
                <w:sz w:val="15"/>
                <w:szCs w:val="15"/>
                <w:lang w:eastAsia="es-CO"/>
              </w:rPr>
            </w:pPr>
          </w:p>
        </w:tc>
        <w:tc>
          <w:tcPr>
            <w:tcW w:w="960" w:type="pct"/>
            <w:tcBorders>
              <w:top w:val="nil"/>
              <w:left w:val="nil"/>
              <w:bottom w:val="nil"/>
              <w:right w:val="nil"/>
            </w:tcBorders>
            <w:shd w:val="clear" w:color="auto" w:fill="auto"/>
            <w:noWrap/>
            <w:vAlign w:val="bottom"/>
            <w:hideMark/>
          </w:tcPr>
          <w:p w14:paraId="2341AE3E" w14:textId="77777777" w:rsidR="00CD529B" w:rsidRPr="006E1878" w:rsidRDefault="00CD529B" w:rsidP="00564572">
            <w:pPr>
              <w:rPr>
                <w:sz w:val="15"/>
                <w:szCs w:val="15"/>
                <w:lang w:eastAsia="es-CO"/>
              </w:rPr>
            </w:pPr>
          </w:p>
        </w:tc>
      </w:tr>
      <w:tr w:rsidR="00CD529B" w:rsidRPr="006E1878" w14:paraId="2341AE42" w14:textId="77777777" w:rsidTr="00564572">
        <w:trPr>
          <w:trHeight w:val="222"/>
        </w:trPr>
        <w:tc>
          <w:tcPr>
            <w:tcW w:w="4040" w:type="pct"/>
            <w:tcBorders>
              <w:top w:val="single" w:sz="4" w:space="0" w:color="auto"/>
              <w:left w:val="single" w:sz="4" w:space="0" w:color="auto"/>
              <w:bottom w:val="single" w:sz="4" w:space="0" w:color="auto"/>
              <w:right w:val="nil"/>
            </w:tcBorders>
            <w:shd w:val="clear" w:color="auto" w:fill="auto"/>
            <w:noWrap/>
            <w:vAlign w:val="bottom"/>
            <w:hideMark/>
          </w:tcPr>
          <w:p w14:paraId="2341AE40" w14:textId="77777777" w:rsidR="00CD529B" w:rsidRPr="006E1878" w:rsidRDefault="00CD529B" w:rsidP="00564572">
            <w:pPr>
              <w:rPr>
                <w:rFonts w:ascii="Calibri" w:hAnsi="Calibri" w:cs="Calibri"/>
                <w:color w:val="000000"/>
                <w:sz w:val="15"/>
                <w:szCs w:val="15"/>
                <w:lang w:eastAsia="es-CO"/>
              </w:rPr>
            </w:pPr>
            <w:r w:rsidRPr="006E1878">
              <w:rPr>
                <w:rFonts w:ascii="Calibri" w:hAnsi="Calibri" w:cs="Calibri"/>
                <w:color w:val="000000"/>
                <w:sz w:val="15"/>
                <w:szCs w:val="15"/>
                <w:lang w:eastAsia="es-CO"/>
              </w:rPr>
              <w:t>IVA</w:t>
            </w:r>
          </w:p>
        </w:tc>
        <w:tc>
          <w:tcPr>
            <w:tcW w:w="960" w:type="pct"/>
            <w:tcBorders>
              <w:top w:val="single" w:sz="4" w:space="0" w:color="auto"/>
              <w:left w:val="nil"/>
              <w:bottom w:val="single" w:sz="4" w:space="0" w:color="auto"/>
              <w:right w:val="single" w:sz="4" w:space="0" w:color="auto"/>
            </w:tcBorders>
            <w:shd w:val="clear" w:color="auto" w:fill="auto"/>
            <w:noWrap/>
            <w:vAlign w:val="bottom"/>
            <w:hideMark/>
          </w:tcPr>
          <w:p w14:paraId="2341AE41" w14:textId="77777777" w:rsidR="00CD529B" w:rsidRPr="006E1878" w:rsidRDefault="00CD529B" w:rsidP="00564572">
            <w:pPr>
              <w:jc w:val="right"/>
              <w:rPr>
                <w:rFonts w:ascii="Calibri" w:hAnsi="Calibri" w:cs="Calibri"/>
                <w:color w:val="0000FF"/>
                <w:sz w:val="15"/>
                <w:szCs w:val="15"/>
                <w:lang w:eastAsia="es-CO"/>
              </w:rPr>
            </w:pPr>
            <w:r w:rsidRPr="006E1878">
              <w:rPr>
                <w:rFonts w:ascii="Calibri" w:hAnsi="Calibri" w:cs="Calibri"/>
                <w:color w:val="0000FF"/>
                <w:sz w:val="15"/>
                <w:szCs w:val="15"/>
                <w:lang w:eastAsia="es-CO"/>
              </w:rPr>
              <w:t>19%</w:t>
            </w:r>
          </w:p>
        </w:tc>
      </w:tr>
    </w:tbl>
    <w:p w14:paraId="2341AE43" w14:textId="77777777" w:rsidR="00CD529B" w:rsidRDefault="00CD529B" w:rsidP="00564572">
      <w:pPr>
        <w:spacing w:after="160" w:line="259" w:lineRule="auto"/>
        <w:sectPr w:rsidR="00CD529B" w:rsidSect="00564572">
          <w:pgSz w:w="15840" w:h="12240" w:orient="landscape"/>
          <w:pgMar w:top="1701" w:right="1418" w:bottom="1701" w:left="1418" w:header="709" w:footer="709" w:gutter="0"/>
          <w:cols w:space="708"/>
          <w:docGrid w:linePitch="360"/>
        </w:sectPr>
      </w:pPr>
    </w:p>
    <w:p w14:paraId="2341AE44" w14:textId="77777777" w:rsidR="00CD529B" w:rsidRPr="00CD529B" w:rsidRDefault="00CD529B" w:rsidP="00564572">
      <w:pPr>
        <w:ind w:left="720"/>
        <w:jc w:val="center"/>
        <w:rPr>
          <w:b/>
          <w:lang w:val="es-ES_tradnl"/>
        </w:rPr>
      </w:pPr>
      <w:bookmarkStart w:id="117" w:name="_Toc473268563"/>
      <w:bookmarkStart w:id="118" w:name="_Toc474797069"/>
      <w:r w:rsidRPr="00CD529B">
        <w:rPr>
          <w:b/>
          <w:lang w:val="es-ES_tradnl"/>
        </w:rPr>
        <w:lastRenderedPageBreak/>
        <w:t xml:space="preserve">Tabla </w:t>
      </w:r>
      <w:r w:rsidRPr="008C12BC">
        <w:rPr>
          <w:b/>
        </w:rPr>
        <w:fldChar w:fldCharType="begin"/>
      </w:r>
      <w:r w:rsidRPr="00CD529B">
        <w:rPr>
          <w:b/>
          <w:lang w:val="es-ES_tradnl"/>
        </w:rPr>
        <w:instrText xml:space="preserve"> SEQ Tabla \* ARABIC </w:instrText>
      </w:r>
      <w:r w:rsidRPr="008C12BC">
        <w:rPr>
          <w:b/>
        </w:rPr>
        <w:fldChar w:fldCharType="separate"/>
      </w:r>
      <w:r w:rsidRPr="00CD529B">
        <w:rPr>
          <w:b/>
          <w:noProof/>
          <w:lang w:val="es-ES_tradnl"/>
        </w:rPr>
        <w:t>15</w:t>
      </w:r>
      <w:r w:rsidRPr="008C12BC">
        <w:rPr>
          <w:b/>
        </w:rPr>
        <w:fldChar w:fldCharType="end"/>
      </w:r>
      <w:r w:rsidRPr="00CD529B">
        <w:rPr>
          <w:b/>
          <w:lang w:val="es-ES_tradnl"/>
        </w:rPr>
        <w:t xml:space="preserve"> – Proyección de beneficios y costos para la medida de sustitución de bombillos (Sector Residencial)</w:t>
      </w:r>
      <w:bookmarkEnd w:id="117"/>
      <w:bookmarkEnd w:id="118"/>
    </w:p>
    <w:tbl>
      <w:tblPr>
        <w:tblW w:w="5000" w:type="pct"/>
        <w:tblCellMar>
          <w:left w:w="70" w:type="dxa"/>
          <w:right w:w="70" w:type="dxa"/>
        </w:tblCellMar>
        <w:tblLook w:val="04A0" w:firstRow="1" w:lastRow="0" w:firstColumn="1" w:lastColumn="0" w:noHBand="0" w:noVBand="1"/>
      </w:tblPr>
      <w:tblGrid>
        <w:gridCol w:w="2592"/>
        <w:gridCol w:w="562"/>
        <w:gridCol w:w="562"/>
        <w:gridCol w:w="562"/>
        <w:gridCol w:w="562"/>
        <w:gridCol w:w="562"/>
        <w:gridCol w:w="562"/>
        <w:gridCol w:w="446"/>
        <w:gridCol w:w="446"/>
        <w:gridCol w:w="446"/>
        <w:gridCol w:w="446"/>
        <w:gridCol w:w="446"/>
        <w:gridCol w:w="446"/>
      </w:tblGrid>
      <w:tr w:rsidR="00CD529B" w:rsidRPr="00EA25E2" w14:paraId="2341AE52" w14:textId="77777777" w:rsidTr="00564572">
        <w:trPr>
          <w:trHeight w:val="216"/>
        </w:trPr>
        <w:tc>
          <w:tcPr>
            <w:tcW w:w="1586" w:type="pct"/>
            <w:tcBorders>
              <w:top w:val="single" w:sz="4" w:space="0" w:color="000000"/>
              <w:left w:val="nil"/>
              <w:bottom w:val="nil"/>
              <w:right w:val="nil"/>
            </w:tcBorders>
            <w:shd w:val="clear" w:color="auto" w:fill="auto"/>
            <w:noWrap/>
            <w:vAlign w:val="bottom"/>
            <w:hideMark/>
          </w:tcPr>
          <w:p w14:paraId="2341AE45"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por bombillo incandescente GWh/Año</w:t>
            </w:r>
          </w:p>
        </w:tc>
        <w:tc>
          <w:tcPr>
            <w:tcW w:w="322" w:type="pct"/>
            <w:tcBorders>
              <w:top w:val="single" w:sz="4" w:space="0" w:color="000000"/>
              <w:left w:val="nil"/>
              <w:bottom w:val="nil"/>
              <w:right w:val="nil"/>
            </w:tcBorders>
            <w:shd w:val="clear" w:color="auto" w:fill="auto"/>
            <w:noWrap/>
            <w:vAlign w:val="bottom"/>
            <w:hideMark/>
          </w:tcPr>
          <w:p w14:paraId="2341AE46" w14:textId="77777777" w:rsidR="00CD529B" w:rsidRPr="00E30C97" w:rsidRDefault="00CD529B" w:rsidP="00564572">
            <w:pPr>
              <w:jc w:val="right"/>
              <w:rPr>
                <w:rFonts w:ascii="Calibri" w:hAnsi="Calibri" w:cs="Calibri"/>
                <w:color w:val="0000FF"/>
                <w:sz w:val="15"/>
                <w:szCs w:val="15"/>
                <w:lang w:eastAsia="es-CO"/>
              </w:rPr>
            </w:pPr>
            <w:r w:rsidRPr="00E30C97">
              <w:rPr>
                <w:rFonts w:ascii="Calibri" w:hAnsi="Calibri" w:cs="Calibri"/>
                <w:color w:val="0000FF"/>
                <w:sz w:val="15"/>
                <w:szCs w:val="15"/>
                <w:lang w:eastAsia="es-CO"/>
              </w:rPr>
              <w:t>0,0000118</w:t>
            </w:r>
          </w:p>
        </w:tc>
        <w:tc>
          <w:tcPr>
            <w:tcW w:w="322" w:type="pct"/>
            <w:tcBorders>
              <w:top w:val="nil"/>
              <w:left w:val="nil"/>
              <w:bottom w:val="nil"/>
              <w:right w:val="nil"/>
            </w:tcBorders>
            <w:shd w:val="clear" w:color="auto" w:fill="auto"/>
            <w:noWrap/>
            <w:vAlign w:val="bottom"/>
            <w:hideMark/>
          </w:tcPr>
          <w:p w14:paraId="2341AE47" w14:textId="77777777" w:rsidR="00CD529B" w:rsidRPr="00E30C97" w:rsidRDefault="00CD529B" w:rsidP="00564572">
            <w:pPr>
              <w:jc w:val="right"/>
              <w:rPr>
                <w:rFonts w:ascii="Calibri" w:hAnsi="Calibri" w:cs="Calibri"/>
                <w:color w:val="0000FF"/>
                <w:sz w:val="15"/>
                <w:szCs w:val="15"/>
                <w:lang w:eastAsia="es-CO"/>
              </w:rPr>
            </w:pPr>
          </w:p>
        </w:tc>
        <w:tc>
          <w:tcPr>
            <w:tcW w:w="322" w:type="pct"/>
            <w:tcBorders>
              <w:top w:val="nil"/>
              <w:left w:val="nil"/>
              <w:bottom w:val="nil"/>
              <w:right w:val="nil"/>
            </w:tcBorders>
            <w:shd w:val="clear" w:color="auto" w:fill="auto"/>
            <w:noWrap/>
            <w:vAlign w:val="bottom"/>
            <w:hideMark/>
          </w:tcPr>
          <w:p w14:paraId="2341AE48"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49"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4A"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4B"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4C"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4D"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4E"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4F"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50"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51" w14:textId="77777777" w:rsidR="00CD529B" w:rsidRPr="00E30C97" w:rsidRDefault="00CD529B" w:rsidP="00564572">
            <w:pPr>
              <w:rPr>
                <w:sz w:val="15"/>
                <w:szCs w:val="15"/>
                <w:lang w:eastAsia="es-CO"/>
              </w:rPr>
            </w:pPr>
          </w:p>
        </w:tc>
      </w:tr>
      <w:tr w:rsidR="00CD529B" w:rsidRPr="00EA25E2" w14:paraId="2341AE60" w14:textId="77777777" w:rsidTr="00564572">
        <w:trPr>
          <w:trHeight w:val="216"/>
        </w:trPr>
        <w:tc>
          <w:tcPr>
            <w:tcW w:w="1586" w:type="pct"/>
            <w:tcBorders>
              <w:top w:val="nil"/>
              <w:left w:val="nil"/>
              <w:bottom w:val="single" w:sz="4" w:space="0" w:color="000000"/>
              <w:right w:val="nil"/>
            </w:tcBorders>
            <w:shd w:val="clear" w:color="auto" w:fill="auto"/>
            <w:noWrap/>
            <w:vAlign w:val="bottom"/>
            <w:hideMark/>
          </w:tcPr>
          <w:p w14:paraId="2341AE53"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por bombillo LFC GWh/Año</w:t>
            </w:r>
          </w:p>
        </w:tc>
        <w:tc>
          <w:tcPr>
            <w:tcW w:w="322" w:type="pct"/>
            <w:tcBorders>
              <w:top w:val="nil"/>
              <w:left w:val="nil"/>
              <w:bottom w:val="single" w:sz="4" w:space="0" w:color="000000"/>
              <w:right w:val="nil"/>
            </w:tcBorders>
            <w:shd w:val="clear" w:color="auto" w:fill="auto"/>
            <w:noWrap/>
            <w:vAlign w:val="bottom"/>
            <w:hideMark/>
          </w:tcPr>
          <w:p w14:paraId="2341AE54" w14:textId="77777777" w:rsidR="00CD529B" w:rsidRPr="00E30C97" w:rsidRDefault="00CD529B" w:rsidP="00564572">
            <w:pPr>
              <w:jc w:val="right"/>
              <w:rPr>
                <w:rFonts w:ascii="Calibri" w:hAnsi="Calibri" w:cs="Calibri"/>
                <w:color w:val="0000FF"/>
                <w:sz w:val="15"/>
                <w:szCs w:val="15"/>
                <w:lang w:eastAsia="es-CO"/>
              </w:rPr>
            </w:pPr>
            <w:r w:rsidRPr="00E30C97">
              <w:rPr>
                <w:rFonts w:ascii="Calibri" w:hAnsi="Calibri" w:cs="Calibri"/>
                <w:color w:val="0000FF"/>
                <w:sz w:val="15"/>
                <w:szCs w:val="15"/>
                <w:lang w:eastAsia="es-CO"/>
              </w:rPr>
              <w:t>0,0000107</w:t>
            </w:r>
          </w:p>
        </w:tc>
        <w:tc>
          <w:tcPr>
            <w:tcW w:w="322" w:type="pct"/>
            <w:tcBorders>
              <w:top w:val="nil"/>
              <w:left w:val="nil"/>
              <w:bottom w:val="nil"/>
              <w:right w:val="nil"/>
            </w:tcBorders>
            <w:shd w:val="clear" w:color="auto" w:fill="auto"/>
            <w:noWrap/>
            <w:vAlign w:val="bottom"/>
            <w:hideMark/>
          </w:tcPr>
          <w:p w14:paraId="2341AE55" w14:textId="77777777" w:rsidR="00CD529B" w:rsidRPr="00E30C97" w:rsidRDefault="00CD529B" w:rsidP="00564572">
            <w:pPr>
              <w:jc w:val="right"/>
              <w:rPr>
                <w:rFonts w:ascii="Calibri" w:hAnsi="Calibri" w:cs="Calibri"/>
                <w:color w:val="0000FF"/>
                <w:sz w:val="15"/>
                <w:szCs w:val="15"/>
                <w:lang w:eastAsia="es-CO"/>
              </w:rPr>
            </w:pPr>
          </w:p>
        </w:tc>
        <w:tc>
          <w:tcPr>
            <w:tcW w:w="322" w:type="pct"/>
            <w:tcBorders>
              <w:top w:val="nil"/>
              <w:left w:val="nil"/>
              <w:bottom w:val="nil"/>
              <w:right w:val="nil"/>
            </w:tcBorders>
            <w:shd w:val="clear" w:color="auto" w:fill="auto"/>
            <w:noWrap/>
            <w:vAlign w:val="bottom"/>
            <w:hideMark/>
          </w:tcPr>
          <w:p w14:paraId="2341AE56"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57"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58"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59"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5A"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5B"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5C"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5D"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5E"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5F" w14:textId="77777777" w:rsidR="00CD529B" w:rsidRPr="00E30C97" w:rsidRDefault="00CD529B" w:rsidP="00564572">
            <w:pPr>
              <w:rPr>
                <w:sz w:val="15"/>
                <w:szCs w:val="15"/>
                <w:lang w:eastAsia="es-CO"/>
              </w:rPr>
            </w:pPr>
          </w:p>
        </w:tc>
      </w:tr>
      <w:tr w:rsidR="00CD529B" w:rsidRPr="00EA25E2" w14:paraId="2341AE6E" w14:textId="77777777" w:rsidTr="00564572">
        <w:trPr>
          <w:trHeight w:val="216"/>
        </w:trPr>
        <w:tc>
          <w:tcPr>
            <w:tcW w:w="1586" w:type="pct"/>
            <w:tcBorders>
              <w:top w:val="nil"/>
              <w:left w:val="nil"/>
              <w:bottom w:val="nil"/>
              <w:right w:val="nil"/>
            </w:tcBorders>
            <w:shd w:val="clear" w:color="auto" w:fill="auto"/>
            <w:noWrap/>
            <w:vAlign w:val="bottom"/>
            <w:hideMark/>
          </w:tcPr>
          <w:p w14:paraId="2341AE61"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Potencial de ahorro por cambio de bombillo Incandescente a LED</w:t>
            </w:r>
          </w:p>
        </w:tc>
        <w:tc>
          <w:tcPr>
            <w:tcW w:w="322" w:type="pct"/>
            <w:tcBorders>
              <w:top w:val="nil"/>
              <w:left w:val="nil"/>
              <w:bottom w:val="nil"/>
              <w:right w:val="nil"/>
            </w:tcBorders>
            <w:shd w:val="clear" w:color="auto" w:fill="auto"/>
            <w:noWrap/>
            <w:vAlign w:val="bottom"/>
            <w:hideMark/>
          </w:tcPr>
          <w:p w14:paraId="2341AE62" w14:textId="77777777" w:rsidR="00CD529B" w:rsidRPr="00E30C97" w:rsidRDefault="00CD529B" w:rsidP="00564572">
            <w:pPr>
              <w:jc w:val="right"/>
              <w:rPr>
                <w:rFonts w:ascii="Calibri" w:hAnsi="Calibri" w:cs="Calibri"/>
                <w:color w:val="0000FF"/>
                <w:sz w:val="15"/>
                <w:szCs w:val="15"/>
                <w:lang w:eastAsia="es-CO"/>
              </w:rPr>
            </w:pPr>
            <w:r w:rsidRPr="00E30C97">
              <w:rPr>
                <w:rFonts w:ascii="Calibri" w:hAnsi="Calibri" w:cs="Calibri"/>
                <w:color w:val="0000FF"/>
                <w:sz w:val="15"/>
                <w:szCs w:val="15"/>
                <w:lang w:eastAsia="es-CO"/>
              </w:rPr>
              <w:t>86,7%</w:t>
            </w:r>
          </w:p>
        </w:tc>
        <w:tc>
          <w:tcPr>
            <w:tcW w:w="322" w:type="pct"/>
            <w:tcBorders>
              <w:top w:val="nil"/>
              <w:left w:val="nil"/>
              <w:bottom w:val="nil"/>
              <w:right w:val="nil"/>
            </w:tcBorders>
            <w:shd w:val="clear" w:color="auto" w:fill="auto"/>
            <w:noWrap/>
            <w:vAlign w:val="bottom"/>
            <w:hideMark/>
          </w:tcPr>
          <w:p w14:paraId="2341AE63" w14:textId="77777777" w:rsidR="00CD529B" w:rsidRPr="00E30C97" w:rsidRDefault="00CD529B" w:rsidP="00564572">
            <w:pPr>
              <w:jc w:val="right"/>
              <w:rPr>
                <w:rFonts w:ascii="Calibri" w:hAnsi="Calibri" w:cs="Calibri"/>
                <w:color w:val="0000FF"/>
                <w:sz w:val="15"/>
                <w:szCs w:val="15"/>
                <w:lang w:eastAsia="es-CO"/>
              </w:rPr>
            </w:pPr>
          </w:p>
        </w:tc>
        <w:tc>
          <w:tcPr>
            <w:tcW w:w="322" w:type="pct"/>
            <w:tcBorders>
              <w:top w:val="nil"/>
              <w:left w:val="nil"/>
              <w:bottom w:val="nil"/>
              <w:right w:val="nil"/>
            </w:tcBorders>
            <w:shd w:val="clear" w:color="auto" w:fill="auto"/>
            <w:noWrap/>
            <w:vAlign w:val="bottom"/>
            <w:hideMark/>
          </w:tcPr>
          <w:p w14:paraId="2341AE64"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65"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66"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67"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68"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69"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6A"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6B"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6C"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6D" w14:textId="77777777" w:rsidR="00CD529B" w:rsidRPr="00E30C97" w:rsidRDefault="00CD529B" w:rsidP="00564572">
            <w:pPr>
              <w:rPr>
                <w:sz w:val="15"/>
                <w:szCs w:val="15"/>
                <w:lang w:eastAsia="es-CO"/>
              </w:rPr>
            </w:pPr>
          </w:p>
        </w:tc>
      </w:tr>
      <w:tr w:rsidR="00CD529B" w:rsidRPr="00EA25E2" w14:paraId="2341AE7C" w14:textId="77777777" w:rsidTr="00564572">
        <w:trPr>
          <w:trHeight w:val="216"/>
        </w:trPr>
        <w:tc>
          <w:tcPr>
            <w:tcW w:w="1586" w:type="pct"/>
            <w:tcBorders>
              <w:top w:val="nil"/>
              <w:left w:val="nil"/>
              <w:bottom w:val="single" w:sz="4" w:space="0" w:color="000000"/>
              <w:right w:val="nil"/>
            </w:tcBorders>
            <w:shd w:val="clear" w:color="auto" w:fill="auto"/>
            <w:noWrap/>
            <w:vAlign w:val="bottom"/>
            <w:hideMark/>
          </w:tcPr>
          <w:p w14:paraId="2341AE6F"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Potencial de ahorro por cambio de bombillo LFC a LED</w:t>
            </w:r>
          </w:p>
        </w:tc>
        <w:tc>
          <w:tcPr>
            <w:tcW w:w="322" w:type="pct"/>
            <w:tcBorders>
              <w:top w:val="nil"/>
              <w:left w:val="nil"/>
              <w:bottom w:val="single" w:sz="4" w:space="0" w:color="000000"/>
              <w:right w:val="nil"/>
            </w:tcBorders>
            <w:shd w:val="clear" w:color="auto" w:fill="auto"/>
            <w:noWrap/>
            <w:vAlign w:val="bottom"/>
            <w:hideMark/>
          </w:tcPr>
          <w:p w14:paraId="2341AE70" w14:textId="77777777" w:rsidR="00CD529B" w:rsidRPr="00E30C97" w:rsidRDefault="00CD529B" w:rsidP="00564572">
            <w:pPr>
              <w:jc w:val="right"/>
              <w:rPr>
                <w:rFonts w:ascii="Calibri" w:hAnsi="Calibri" w:cs="Calibri"/>
                <w:color w:val="0000FF"/>
                <w:sz w:val="15"/>
                <w:szCs w:val="15"/>
                <w:lang w:eastAsia="es-CO"/>
              </w:rPr>
            </w:pPr>
            <w:r w:rsidRPr="00E30C97">
              <w:rPr>
                <w:rFonts w:ascii="Calibri" w:hAnsi="Calibri" w:cs="Calibri"/>
                <w:color w:val="0000FF"/>
                <w:sz w:val="15"/>
                <w:szCs w:val="15"/>
                <w:lang w:eastAsia="es-CO"/>
              </w:rPr>
              <w:t>60,0%</w:t>
            </w:r>
          </w:p>
        </w:tc>
        <w:tc>
          <w:tcPr>
            <w:tcW w:w="322" w:type="pct"/>
            <w:tcBorders>
              <w:top w:val="nil"/>
              <w:left w:val="nil"/>
              <w:bottom w:val="nil"/>
              <w:right w:val="nil"/>
            </w:tcBorders>
            <w:shd w:val="clear" w:color="auto" w:fill="auto"/>
            <w:noWrap/>
            <w:vAlign w:val="bottom"/>
            <w:hideMark/>
          </w:tcPr>
          <w:p w14:paraId="2341AE71" w14:textId="77777777" w:rsidR="00CD529B" w:rsidRPr="00E30C97" w:rsidRDefault="00CD529B" w:rsidP="00564572">
            <w:pPr>
              <w:jc w:val="right"/>
              <w:rPr>
                <w:rFonts w:ascii="Calibri" w:hAnsi="Calibri" w:cs="Calibri"/>
                <w:color w:val="0000FF"/>
                <w:sz w:val="15"/>
                <w:szCs w:val="15"/>
                <w:lang w:eastAsia="es-CO"/>
              </w:rPr>
            </w:pPr>
          </w:p>
        </w:tc>
        <w:tc>
          <w:tcPr>
            <w:tcW w:w="322" w:type="pct"/>
            <w:tcBorders>
              <w:top w:val="nil"/>
              <w:left w:val="nil"/>
              <w:bottom w:val="nil"/>
              <w:right w:val="nil"/>
            </w:tcBorders>
            <w:shd w:val="clear" w:color="auto" w:fill="auto"/>
            <w:noWrap/>
            <w:vAlign w:val="bottom"/>
            <w:hideMark/>
          </w:tcPr>
          <w:p w14:paraId="2341AE72"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73"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74"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75"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76"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77"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78"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79"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7A"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7B" w14:textId="77777777" w:rsidR="00CD529B" w:rsidRPr="00E30C97" w:rsidRDefault="00CD529B" w:rsidP="00564572">
            <w:pPr>
              <w:rPr>
                <w:sz w:val="15"/>
                <w:szCs w:val="15"/>
                <w:lang w:eastAsia="es-CO"/>
              </w:rPr>
            </w:pPr>
          </w:p>
        </w:tc>
      </w:tr>
      <w:tr w:rsidR="00CD529B" w:rsidRPr="00EA25E2" w14:paraId="2341AE8A" w14:textId="77777777" w:rsidTr="00564572">
        <w:trPr>
          <w:trHeight w:val="216"/>
        </w:trPr>
        <w:tc>
          <w:tcPr>
            <w:tcW w:w="1586" w:type="pct"/>
            <w:tcBorders>
              <w:top w:val="nil"/>
              <w:left w:val="nil"/>
              <w:bottom w:val="single" w:sz="4" w:space="0" w:color="000000"/>
              <w:right w:val="nil"/>
            </w:tcBorders>
            <w:shd w:val="clear" w:color="auto" w:fill="auto"/>
            <w:noWrap/>
            <w:vAlign w:val="bottom"/>
            <w:hideMark/>
          </w:tcPr>
          <w:p w14:paraId="2341AE7D"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Costo de un bombillo LED ($COP)</w:t>
            </w:r>
          </w:p>
        </w:tc>
        <w:tc>
          <w:tcPr>
            <w:tcW w:w="322" w:type="pct"/>
            <w:tcBorders>
              <w:top w:val="nil"/>
              <w:left w:val="nil"/>
              <w:bottom w:val="single" w:sz="4" w:space="0" w:color="000000"/>
              <w:right w:val="nil"/>
            </w:tcBorders>
            <w:shd w:val="clear" w:color="auto" w:fill="auto"/>
            <w:noWrap/>
            <w:vAlign w:val="bottom"/>
            <w:hideMark/>
          </w:tcPr>
          <w:p w14:paraId="2341AE7E" w14:textId="77777777" w:rsidR="00CD529B" w:rsidRPr="00E30C97" w:rsidRDefault="00CD529B" w:rsidP="00564572">
            <w:pPr>
              <w:jc w:val="right"/>
              <w:rPr>
                <w:rFonts w:ascii="Calibri" w:hAnsi="Calibri" w:cs="Calibri"/>
                <w:color w:val="0000FF"/>
                <w:sz w:val="15"/>
                <w:szCs w:val="15"/>
                <w:lang w:eastAsia="es-CO"/>
              </w:rPr>
            </w:pPr>
            <w:r w:rsidRPr="00E30C97">
              <w:rPr>
                <w:rFonts w:ascii="Calibri" w:hAnsi="Calibri" w:cs="Calibri"/>
                <w:color w:val="0000FF"/>
                <w:sz w:val="15"/>
                <w:szCs w:val="15"/>
                <w:lang w:eastAsia="es-CO"/>
              </w:rPr>
              <w:t>8.190</w:t>
            </w:r>
          </w:p>
        </w:tc>
        <w:tc>
          <w:tcPr>
            <w:tcW w:w="322" w:type="pct"/>
            <w:tcBorders>
              <w:top w:val="nil"/>
              <w:left w:val="nil"/>
              <w:bottom w:val="nil"/>
              <w:right w:val="nil"/>
            </w:tcBorders>
            <w:shd w:val="clear" w:color="auto" w:fill="auto"/>
            <w:noWrap/>
            <w:vAlign w:val="bottom"/>
            <w:hideMark/>
          </w:tcPr>
          <w:p w14:paraId="2341AE7F" w14:textId="77777777" w:rsidR="00CD529B" w:rsidRPr="00E30C97" w:rsidRDefault="00CD529B" w:rsidP="00564572">
            <w:pPr>
              <w:jc w:val="right"/>
              <w:rPr>
                <w:rFonts w:ascii="Calibri" w:hAnsi="Calibri" w:cs="Calibri"/>
                <w:color w:val="0000FF"/>
                <w:sz w:val="15"/>
                <w:szCs w:val="15"/>
                <w:lang w:eastAsia="es-CO"/>
              </w:rPr>
            </w:pPr>
          </w:p>
        </w:tc>
        <w:tc>
          <w:tcPr>
            <w:tcW w:w="322" w:type="pct"/>
            <w:tcBorders>
              <w:top w:val="nil"/>
              <w:left w:val="nil"/>
              <w:bottom w:val="nil"/>
              <w:right w:val="nil"/>
            </w:tcBorders>
            <w:shd w:val="clear" w:color="auto" w:fill="auto"/>
            <w:noWrap/>
            <w:vAlign w:val="bottom"/>
            <w:hideMark/>
          </w:tcPr>
          <w:p w14:paraId="2341AE80"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81"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82"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83"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84"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85"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86"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87"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88"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89" w14:textId="77777777" w:rsidR="00CD529B" w:rsidRPr="00E30C97" w:rsidRDefault="00CD529B" w:rsidP="00564572">
            <w:pPr>
              <w:rPr>
                <w:sz w:val="15"/>
                <w:szCs w:val="15"/>
                <w:lang w:eastAsia="es-CO"/>
              </w:rPr>
            </w:pPr>
          </w:p>
        </w:tc>
      </w:tr>
      <w:tr w:rsidR="00CD529B" w:rsidRPr="00EA25E2" w14:paraId="2341AE98" w14:textId="77777777" w:rsidTr="00564572">
        <w:trPr>
          <w:trHeight w:val="216"/>
        </w:trPr>
        <w:tc>
          <w:tcPr>
            <w:tcW w:w="1586" w:type="pct"/>
            <w:tcBorders>
              <w:top w:val="nil"/>
              <w:left w:val="nil"/>
              <w:bottom w:val="nil"/>
              <w:right w:val="nil"/>
            </w:tcBorders>
            <w:shd w:val="clear" w:color="auto" w:fill="auto"/>
            <w:noWrap/>
            <w:vAlign w:val="bottom"/>
            <w:hideMark/>
          </w:tcPr>
          <w:p w14:paraId="2341AE8B"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8C"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8D"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8E"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8F"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90"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91"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92"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93"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94"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95"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96"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97" w14:textId="77777777" w:rsidR="00CD529B" w:rsidRPr="00E30C97" w:rsidRDefault="00CD529B" w:rsidP="00564572">
            <w:pPr>
              <w:rPr>
                <w:sz w:val="15"/>
                <w:szCs w:val="15"/>
                <w:lang w:eastAsia="es-CO"/>
              </w:rPr>
            </w:pPr>
          </w:p>
        </w:tc>
      </w:tr>
      <w:tr w:rsidR="00CD529B" w:rsidRPr="00EA25E2" w14:paraId="2341AEA6" w14:textId="77777777" w:rsidTr="00564572">
        <w:trPr>
          <w:trHeight w:val="216"/>
        </w:trPr>
        <w:tc>
          <w:tcPr>
            <w:tcW w:w="1586" w:type="pct"/>
            <w:tcBorders>
              <w:top w:val="nil"/>
              <w:left w:val="nil"/>
              <w:bottom w:val="nil"/>
              <w:right w:val="nil"/>
            </w:tcBorders>
            <w:shd w:val="clear" w:color="auto" w:fill="auto"/>
            <w:noWrap/>
            <w:vAlign w:val="bottom"/>
            <w:hideMark/>
          </w:tcPr>
          <w:p w14:paraId="2341AE99"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9A"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9B"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9C"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9D"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9E"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9F"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A0"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A1"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A2"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A3"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A4"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EA5" w14:textId="77777777" w:rsidR="00CD529B" w:rsidRPr="00E30C97" w:rsidRDefault="00CD529B" w:rsidP="00564572">
            <w:pPr>
              <w:rPr>
                <w:sz w:val="15"/>
                <w:szCs w:val="15"/>
                <w:lang w:eastAsia="es-CO"/>
              </w:rPr>
            </w:pPr>
          </w:p>
        </w:tc>
      </w:tr>
      <w:tr w:rsidR="00CD529B" w:rsidRPr="00EA25E2" w14:paraId="2341AEB4" w14:textId="77777777" w:rsidTr="00564572">
        <w:trPr>
          <w:trHeight w:val="216"/>
        </w:trPr>
        <w:tc>
          <w:tcPr>
            <w:tcW w:w="1586" w:type="pct"/>
            <w:tcBorders>
              <w:top w:val="nil"/>
              <w:left w:val="nil"/>
              <w:bottom w:val="single" w:sz="4" w:space="0" w:color="auto"/>
              <w:right w:val="nil"/>
            </w:tcBorders>
            <w:shd w:val="clear" w:color="auto" w:fill="auto"/>
            <w:noWrap/>
            <w:vAlign w:val="bottom"/>
            <w:hideMark/>
          </w:tcPr>
          <w:p w14:paraId="2341AEA7" w14:textId="77777777" w:rsidR="00CD529B" w:rsidRPr="00E30C97" w:rsidRDefault="00CD529B" w:rsidP="00564572">
            <w:pPr>
              <w:rPr>
                <w:rFonts w:ascii="Calibri" w:hAnsi="Calibri" w:cs="Calibri"/>
                <w:b/>
                <w:bCs/>
                <w:color w:val="000000"/>
                <w:sz w:val="15"/>
                <w:szCs w:val="15"/>
                <w:lang w:eastAsia="es-CO"/>
              </w:rPr>
            </w:pPr>
            <w:r w:rsidRPr="00E30C97">
              <w:rPr>
                <w:rFonts w:ascii="Calibri" w:hAnsi="Calibri" w:cs="Calibri"/>
                <w:b/>
                <w:bCs/>
                <w:color w:val="000000"/>
                <w:sz w:val="15"/>
                <w:szCs w:val="15"/>
                <w:lang w:eastAsia="es-CO"/>
              </w:rPr>
              <w:t>$COP (2016)</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2341AEA8"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2016</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2341AEA9"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2017</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2341AEAA"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2018</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2341AEAB"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2019</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2341AEAC"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2020</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2341AEAD"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2021</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2341AEAE"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2022</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2341AEAF"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2023</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2341AEB0"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2024</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2341AEB1"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2025</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2341AEB2"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2026</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2341AEB3"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2027</w:t>
            </w:r>
          </w:p>
        </w:tc>
      </w:tr>
      <w:tr w:rsidR="00CD529B" w:rsidRPr="00EA25E2" w14:paraId="2341AEC2" w14:textId="77777777" w:rsidTr="00564572">
        <w:trPr>
          <w:trHeight w:val="216"/>
        </w:trPr>
        <w:tc>
          <w:tcPr>
            <w:tcW w:w="1586" w:type="pct"/>
            <w:tcBorders>
              <w:top w:val="nil"/>
              <w:left w:val="nil"/>
              <w:bottom w:val="nil"/>
              <w:right w:val="nil"/>
            </w:tcBorders>
            <w:shd w:val="clear" w:color="auto" w:fill="auto"/>
            <w:noWrap/>
            <w:vAlign w:val="bottom"/>
            <w:hideMark/>
          </w:tcPr>
          <w:p w14:paraId="2341AEB5"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de iluminación GWh/Año</w:t>
            </w:r>
          </w:p>
        </w:tc>
        <w:tc>
          <w:tcPr>
            <w:tcW w:w="322" w:type="pct"/>
            <w:tcBorders>
              <w:top w:val="nil"/>
              <w:left w:val="nil"/>
              <w:bottom w:val="nil"/>
              <w:right w:val="nil"/>
            </w:tcBorders>
            <w:shd w:val="clear" w:color="auto" w:fill="auto"/>
            <w:noWrap/>
            <w:vAlign w:val="bottom"/>
            <w:hideMark/>
          </w:tcPr>
          <w:p w14:paraId="2341AEB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3.755</w:t>
            </w:r>
          </w:p>
        </w:tc>
        <w:tc>
          <w:tcPr>
            <w:tcW w:w="322" w:type="pct"/>
            <w:tcBorders>
              <w:top w:val="nil"/>
              <w:left w:val="nil"/>
              <w:bottom w:val="nil"/>
              <w:right w:val="nil"/>
            </w:tcBorders>
            <w:shd w:val="clear" w:color="auto" w:fill="auto"/>
            <w:noWrap/>
            <w:vAlign w:val="bottom"/>
            <w:hideMark/>
          </w:tcPr>
          <w:p w14:paraId="2341AEB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3.523</w:t>
            </w:r>
          </w:p>
        </w:tc>
        <w:tc>
          <w:tcPr>
            <w:tcW w:w="322" w:type="pct"/>
            <w:tcBorders>
              <w:top w:val="nil"/>
              <w:left w:val="nil"/>
              <w:bottom w:val="nil"/>
              <w:right w:val="nil"/>
            </w:tcBorders>
            <w:shd w:val="clear" w:color="auto" w:fill="auto"/>
            <w:noWrap/>
            <w:vAlign w:val="bottom"/>
            <w:hideMark/>
          </w:tcPr>
          <w:p w14:paraId="2341AEB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3.291</w:t>
            </w:r>
          </w:p>
        </w:tc>
        <w:tc>
          <w:tcPr>
            <w:tcW w:w="322" w:type="pct"/>
            <w:tcBorders>
              <w:top w:val="nil"/>
              <w:left w:val="nil"/>
              <w:bottom w:val="nil"/>
              <w:right w:val="nil"/>
            </w:tcBorders>
            <w:shd w:val="clear" w:color="auto" w:fill="auto"/>
            <w:noWrap/>
            <w:vAlign w:val="bottom"/>
            <w:hideMark/>
          </w:tcPr>
          <w:p w14:paraId="2341AEB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3.059</w:t>
            </w:r>
          </w:p>
        </w:tc>
        <w:tc>
          <w:tcPr>
            <w:tcW w:w="322" w:type="pct"/>
            <w:tcBorders>
              <w:top w:val="nil"/>
              <w:left w:val="nil"/>
              <w:bottom w:val="nil"/>
              <w:right w:val="nil"/>
            </w:tcBorders>
            <w:shd w:val="clear" w:color="auto" w:fill="auto"/>
            <w:noWrap/>
            <w:vAlign w:val="bottom"/>
            <w:hideMark/>
          </w:tcPr>
          <w:p w14:paraId="2341AEB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2.827</w:t>
            </w:r>
          </w:p>
        </w:tc>
        <w:tc>
          <w:tcPr>
            <w:tcW w:w="322" w:type="pct"/>
            <w:tcBorders>
              <w:top w:val="nil"/>
              <w:left w:val="nil"/>
              <w:bottom w:val="nil"/>
              <w:right w:val="nil"/>
            </w:tcBorders>
            <w:shd w:val="clear" w:color="auto" w:fill="auto"/>
            <w:noWrap/>
            <w:vAlign w:val="bottom"/>
            <w:hideMark/>
          </w:tcPr>
          <w:p w14:paraId="2341AEB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2.594</w:t>
            </w:r>
          </w:p>
        </w:tc>
        <w:tc>
          <w:tcPr>
            <w:tcW w:w="247" w:type="pct"/>
            <w:tcBorders>
              <w:top w:val="nil"/>
              <w:left w:val="nil"/>
              <w:bottom w:val="nil"/>
              <w:right w:val="nil"/>
            </w:tcBorders>
            <w:shd w:val="clear" w:color="auto" w:fill="auto"/>
            <w:noWrap/>
            <w:vAlign w:val="bottom"/>
            <w:hideMark/>
          </w:tcPr>
          <w:p w14:paraId="2341AEB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2.594</w:t>
            </w:r>
          </w:p>
        </w:tc>
        <w:tc>
          <w:tcPr>
            <w:tcW w:w="247" w:type="pct"/>
            <w:tcBorders>
              <w:top w:val="nil"/>
              <w:left w:val="nil"/>
              <w:bottom w:val="nil"/>
              <w:right w:val="nil"/>
            </w:tcBorders>
            <w:shd w:val="clear" w:color="auto" w:fill="auto"/>
            <w:noWrap/>
            <w:vAlign w:val="bottom"/>
            <w:hideMark/>
          </w:tcPr>
          <w:p w14:paraId="2341AEB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2.594</w:t>
            </w:r>
          </w:p>
        </w:tc>
        <w:tc>
          <w:tcPr>
            <w:tcW w:w="247" w:type="pct"/>
            <w:tcBorders>
              <w:top w:val="nil"/>
              <w:left w:val="nil"/>
              <w:bottom w:val="nil"/>
              <w:right w:val="nil"/>
            </w:tcBorders>
            <w:shd w:val="clear" w:color="auto" w:fill="auto"/>
            <w:noWrap/>
            <w:vAlign w:val="bottom"/>
            <w:hideMark/>
          </w:tcPr>
          <w:p w14:paraId="2341AEB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2.594</w:t>
            </w:r>
          </w:p>
        </w:tc>
        <w:tc>
          <w:tcPr>
            <w:tcW w:w="247" w:type="pct"/>
            <w:tcBorders>
              <w:top w:val="nil"/>
              <w:left w:val="nil"/>
              <w:bottom w:val="nil"/>
              <w:right w:val="nil"/>
            </w:tcBorders>
            <w:shd w:val="clear" w:color="auto" w:fill="auto"/>
            <w:noWrap/>
            <w:vAlign w:val="bottom"/>
            <w:hideMark/>
          </w:tcPr>
          <w:p w14:paraId="2341AEB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2.594</w:t>
            </w:r>
          </w:p>
        </w:tc>
        <w:tc>
          <w:tcPr>
            <w:tcW w:w="247" w:type="pct"/>
            <w:tcBorders>
              <w:top w:val="nil"/>
              <w:left w:val="nil"/>
              <w:bottom w:val="nil"/>
              <w:right w:val="nil"/>
            </w:tcBorders>
            <w:shd w:val="clear" w:color="auto" w:fill="auto"/>
            <w:noWrap/>
            <w:vAlign w:val="bottom"/>
            <w:hideMark/>
          </w:tcPr>
          <w:p w14:paraId="2341AEC0" w14:textId="77777777" w:rsidR="00CD529B" w:rsidRPr="00980C81" w:rsidRDefault="00CD529B" w:rsidP="00564572">
            <w:pPr>
              <w:jc w:val="right"/>
              <w:rPr>
                <w:rFonts w:ascii="Calibri" w:hAnsi="Calibri" w:cs="Calibri"/>
                <w:color w:val="806000"/>
                <w:sz w:val="15"/>
                <w:szCs w:val="15"/>
                <w:lang w:eastAsia="es-CO"/>
              </w:rPr>
            </w:pPr>
            <w:r w:rsidRPr="00980C81">
              <w:rPr>
                <w:rFonts w:ascii="Calibri" w:hAnsi="Calibri" w:cs="Calibri"/>
                <w:color w:val="806000"/>
                <w:sz w:val="15"/>
                <w:szCs w:val="15"/>
              </w:rPr>
              <w:t>2.594</w:t>
            </w:r>
          </w:p>
        </w:tc>
        <w:tc>
          <w:tcPr>
            <w:tcW w:w="247" w:type="pct"/>
            <w:tcBorders>
              <w:top w:val="nil"/>
              <w:left w:val="nil"/>
              <w:bottom w:val="nil"/>
              <w:right w:val="nil"/>
            </w:tcBorders>
            <w:shd w:val="clear" w:color="auto" w:fill="auto"/>
            <w:noWrap/>
            <w:vAlign w:val="bottom"/>
            <w:hideMark/>
          </w:tcPr>
          <w:p w14:paraId="2341AEC1" w14:textId="77777777" w:rsidR="00CD529B" w:rsidRPr="00980C81" w:rsidRDefault="00CD529B" w:rsidP="00564572">
            <w:pPr>
              <w:jc w:val="right"/>
              <w:rPr>
                <w:rFonts w:ascii="Calibri" w:hAnsi="Calibri" w:cs="Calibri"/>
                <w:color w:val="806000"/>
                <w:sz w:val="15"/>
                <w:szCs w:val="15"/>
                <w:lang w:eastAsia="es-CO"/>
              </w:rPr>
            </w:pPr>
            <w:r w:rsidRPr="00980C81">
              <w:rPr>
                <w:rFonts w:ascii="Calibri" w:hAnsi="Calibri" w:cs="Calibri"/>
                <w:color w:val="806000"/>
                <w:sz w:val="15"/>
                <w:szCs w:val="15"/>
              </w:rPr>
              <w:t>2.594</w:t>
            </w:r>
          </w:p>
        </w:tc>
      </w:tr>
      <w:tr w:rsidR="00CD529B" w:rsidRPr="00EA25E2" w14:paraId="2341AED0" w14:textId="77777777" w:rsidTr="00564572">
        <w:trPr>
          <w:trHeight w:val="216"/>
        </w:trPr>
        <w:tc>
          <w:tcPr>
            <w:tcW w:w="1586" w:type="pct"/>
            <w:tcBorders>
              <w:top w:val="nil"/>
              <w:left w:val="nil"/>
              <w:bottom w:val="nil"/>
              <w:right w:val="nil"/>
            </w:tcBorders>
            <w:shd w:val="clear" w:color="auto" w:fill="auto"/>
            <w:noWrap/>
            <w:vAlign w:val="bottom"/>
            <w:hideMark/>
          </w:tcPr>
          <w:p w14:paraId="2341AEC3"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bombillos incandescente estimado (GWh/Año)</w:t>
            </w:r>
          </w:p>
        </w:tc>
        <w:tc>
          <w:tcPr>
            <w:tcW w:w="322" w:type="pct"/>
            <w:tcBorders>
              <w:top w:val="nil"/>
              <w:left w:val="nil"/>
              <w:bottom w:val="nil"/>
              <w:right w:val="nil"/>
            </w:tcBorders>
            <w:shd w:val="clear" w:color="auto" w:fill="auto"/>
            <w:noWrap/>
            <w:vAlign w:val="bottom"/>
            <w:hideMark/>
          </w:tcPr>
          <w:p w14:paraId="2341AEC4" w14:textId="77777777" w:rsidR="00CD529B" w:rsidRPr="00CD529B" w:rsidRDefault="00CD529B" w:rsidP="00564572">
            <w:pPr>
              <w:rPr>
                <w:rFonts w:ascii="Calibri" w:hAnsi="Calibri" w:cs="Calibri"/>
                <w:color w:val="000000"/>
                <w:sz w:val="15"/>
                <w:szCs w:val="15"/>
                <w:lang w:val="es-ES_tradnl" w:eastAsia="es-CO"/>
              </w:rPr>
            </w:pPr>
          </w:p>
        </w:tc>
        <w:tc>
          <w:tcPr>
            <w:tcW w:w="322" w:type="pct"/>
            <w:tcBorders>
              <w:top w:val="nil"/>
              <w:left w:val="nil"/>
              <w:bottom w:val="nil"/>
              <w:right w:val="nil"/>
            </w:tcBorders>
            <w:shd w:val="clear" w:color="auto" w:fill="auto"/>
            <w:noWrap/>
            <w:vAlign w:val="bottom"/>
            <w:hideMark/>
          </w:tcPr>
          <w:p w14:paraId="2341AEC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160</w:t>
            </w:r>
          </w:p>
        </w:tc>
        <w:tc>
          <w:tcPr>
            <w:tcW w:w="322" w:type="pct"/>
            <w:tcBorders>
              <w:top w:val="nil"/>
              <w:left w:val="nil"/>
              <w:bottom w:val="nil"/>
              <w:right w:val="nil"/>
            </w:tcBorders>
            <w:shd w:val="clear" w:color="auto" w:fill="auto"/>
            <w:noWrap/>
            <w:vAlign w:val="bottom"/>
            <w:hideMark/>
          </w:tcPr>
          <w:p w14:paraId="2341AEC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160</w:t>
            </w:r>
          </w:p>
        </w:tc>
        <w:tc>
          <w:tcPr>
            <w:tcW w:w="322" w:type="pct"/>
            <w:tcBorders>
              <w:top w:val="nil"/>
              <w:left w:val="nil"/>
              <w:bottom w:val="nil"/>
              <w:right w:val="nil"/>
            </w:tcBorders>
            <w:shd w:val="clear" w:color="auto" w:fill="auto"/>
            <w:noWrap/>
            <w:vAlign w:val="bottom"/>
            <w:hideMark/>
          </w:tcPr>
          <w:p w14:paraId="2341AEC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160</w:t>
            </w:r>
          </w:p>
        </w:tc>
        <w:tc>
          <w:tcPr>
            <w:tcW w:w="322" w:type="pct"/>
            <w:tcBorders>
              <w:top w:val="nil"/>
              <w:left w:val="nil"/>
              <w:bottom w:val="nil"/>
              <w:right w:val="nil"/>
            </w:tcBorders>
            <w:shd w:val="clear" w:color="auto" w:fill="auto"/>
            <w:noWrap/>
            <w:vAlign w:val="bottom"/>
            <w:hideMark/>
          </w:tcPr>
          <w:p w14:paraId="2341AEC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160</w:t>
            </w:r>
          </w:p>
        </w:tc>
        <w:tc>
          <w:tcPr>
            <w:tcW w:w="322" w:type="pct"/>
            <w:tcBorders>
              <w:top w:val="nil"/>
              <w:left w:val="nil"/>
              <w:bottom w:val="nil"/>
              <w:right w:val="nil"/>
            </w:tcBorders>
            <w:shd w:val="clear" w:color="auto" w:fill="auto"/>
            <w:noWrap/>
            <w:vAlign w:val="bottom"/>
            <w:hideMark/>
          </w:tcPr>
          <w:p w14:paraId="2341AEC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160</w:t>
            </w:r>
          </w:p>
        </w:tc>
        <w:tc>
          <w:tcPr>
            <w:tcW w:w="247" w:type="pct"/>
            <w:tcBorders>
              <w:top w:val="nil"/>
              <w:left w:val="nil"/>
              <w:bottom w:val="nil"/>
              <w:right w:val="nil"/>
            </w:tcBorders>
            <w:shd w:val="clear" w:color="auto" w:fill="auto"/>
            <w:noWrap/>
            <w:vAlign w:val="bottom"/>
            <w:hideMark/>
          </w:tcPr>
          <w:p w14:paraId="2341AEC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EC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EC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EC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EC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EC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CD529B" w:rsidRPr="00EA25E2" w14:paraId="2341AEDE" w14:textId="77777777" w:rsidTr="00564572">
        <w:trPr>
          <w:trHeight w:val="216"/>
        </w:trPr>
        <w:tc>
          <w:tcPr>
            <w:tcW w:w="1586" w:type="pct"/>
            <w:tcBorders>
              <w:top w:val="nil"/>
              <w:left w:val="nil"/>
              <w:bottom w:val="single" w:sz="4" w:space="0" w:color="BFBFBF"/>
              <w:right w:val="nil"/>
            </w:tcBorders>
            <w:shd w:val="clear" w:color="auto" w:fill="auto"/>
            <w:noWrap/>
            <w:vAlign w:val="bottom"/>
            <w:hideMark/>
          </w:tcPr>
          <w:p w14:paraId="2341AED1"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bombillos LFC (GWh/Año)</w:t>
            </w:r>
          </w:p>
        </w:tc>
        <w:tc>
          <w:tcPr>
            <w:tcW w:w="322" w:type="pct"/>
            <w:tcBorders>
              <w:top w:val="nil"/>
              <w:left w:val="nil"/>
              <w:bottom w:val="single" w:sz="4" w:space="0" w:color="BFBFBF"/>
              <w:right w:val="nil"/>
            </w:tcBorders>
            <w:shd w:val="clear" w:color="auto" w:fill="auto"/>
            <w:noWrap/>
            <w:vAlign w:val="bottom"/>
            <w:hideMark/>
          </w:tcPr>
          <w:p w14:paraId="2341AED2"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rPr>
              <w:t> </w:t>
            </w:r>
          </w:p>
        </w:tc>
        <w:tc>
          <w:tcPr>
            <w:tcW w:w="322" w:type="pct"/>
            <w:tcBorders>
              <w:top w:val="nil"/>
              <w:left w:val="nil"/>
              <w:bottom w:val="single" w:sz="4" w:space="0" w:color="BFBFBF"/>
              <w:right w:val="nil"/>
            </w:tcBorders>
            <w:shd w:val="clear" w:color="auto" w:fill="auto"/>
            <w:noWrap/>
            <w:vAlign w:val="bottom"/>
            <w:hideMark/>
          </w:tcPr>
          <w:p w14:paraId="2341AED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156</w:t>
            </w:r>
          </w:p>
        </w:tc>
        <w:tc>
          <w:tcPr>
            <w:tcW w:w="322" w:type="pct"/>
            <w:tcBorders>
              <w:top w:val="nil"/>
              <w:left w:val="nil"/>
              <w:bottom w:val="single" w:sz="4" w:space="0" w:color="BFBFBF"/>
              <w:right w:val="nil"/>
            </w:tcBorders>
            <w:shd w:val="clear" w:color="auto" w:fill="auto"/>
            <w:noWrap/>
            <w:vAlign w:val="bottom"/>
            <w:hideMark/>
          </w:tcPr>
          <w:p w14:paraId="2341AED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156</w:t>
            </w:r>
          </w:p>
        </w:tc>
        <w:tc>
          <w:tcPr>
            <w:tcW w:w="322" w:type="pct"/>
            <w:tcBorders>
              <w:top w:val="nil"/>
              <w:left w:val="nil"/>
              <w:bottom w:val="single" w:sz="4" w:space="0" w:color="BFBFBF"/>
              <w:right w:val="nil"/>
            </w:tcBorders>
            <w:shd w:val="clear" w:color="auto" w:fill="auto"/>
            <w:noWrap/>
            <w:vAlign w:val="bottom"/>
            <w:hideMark/>
          </w:tcPr>
          <w:p w14:paraId="2341AED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156</w:t>
            </w:r>
          </w:p>
        </w:tc>
        <w:tc>
          <w:tcPr>
            <w:tcW w:w="322" w:type="pct"/>
            <w:tcBorders>
              <w:top w:val="nil"/>
              <w:left w:val="nil"/>
              <w:bottom w:val="single" w:sz="4" w:space="0" w:color="BFBFBF"/>
              <w:right w:val="nil"/>
            </w:tcBorders>
            <w:shd w:val="clear" w:color="auto" w:fill="auto"/>
            <w:noWrap/>
            <w:vAlign w:val="bottom"/>
            <w:hideMark/>
          </w:tcPr>
          <w:p w14:paraId="2341AED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156</w:t>
            </w:r>
          </w:p>
        </w:tc>
        <w:tc>
          <w:tcPr>
            <w:tcW w:w="322" w:type="pct"/>
            <w:tcBorders>
              <w:top w:val="nil"/>
              <w:left w:val="nil"/>
              <w:bottom w:val="single" w:sz="4" w:space="0" w:color="BFBFBF"/>
              <w:right w:val="nil"/>
            </w:tcBorders>
            <w:shd w:val="clear" w:color="auto" w:fill="auto"/>
            <w:noWrap/>
            <w:vAlign w:val="bottom"/>
            <w:hideMark/>
          </w:tcPr>
          <w:p w14:paraId="2341AED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156</w:t>
            </w:r>
          </w:p>
        </w:tc>
        <w:tc>
          <w:tcPr>
            <w:tcW w:w="247" w:type="pct"/>
            <w:tcBorders>
              <w:top w:val="nil"/>
              <w:left w:val="nil"/>
              <w:bottom w:val="single" w:sz="4" w:space="0" w:color="BFBFBF"/>
              <w:right w:val="nil"/>
            </w:tcBorders>
            <w:shd w:val="clear" w:color="auto" w:fill="auto"/>
            <w:noWrap/>
            <w:vAlign w:val="bottom"/>
            <w:hideMark/>
          </w:tcPr>
          <w:p w14:paraId="2341AED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BFBFBF"/>
              <w:right w:val="nil"/>
            </w:tcBorders>
            <w:shd w:val="clear" w:color="auto" w:fill="auto"/>
            <w:noWrap/>
            <w:vAlign w:val="bottom"/>
            <w:hideMark/>
          </w:tcPr>
          <w:p w14:paraId="2341AED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BFBFBF"/>
              <w:right w:val="nil"/>
            </w:tcBorders>
            <w:shd w:val="clear" w:color="auto" w:fill="auto"/>
            <w:noWrap/>
            <w:vAlign w:val="bottom"/>
            <w:hideMark/>
          </w:tcPr>
          <w:p w14:paraId="2341AED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BFBFBF"/>
              <w:right w:val="nil"/>
            </w:tcBorders>
            <w:shd w:val="clear" w:color="auto" w:fill="auto"/>
            <w:noWrap/>
            <w:vAlign w:val="bottom"/>
            <w:hideMark/>
          </w:tcPr>
          <w:p w14:paraId="2341AED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BFBFBF"/>
              <w:right w:val="nil"/>
            </w:tcBorders>
            <w:shd w:val="clear" w:color="auto" w:fill="auto"/>
            <w:noWrap/>
            <w:vAlign w:val="bottom"/>
            <w:hideMark/>
          </w:tcPr>
          <w:p w14:paraId="2341AED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BFBFBF"/>
              <w:right w:val="nil"/>
            </w:tcBorders>
            <w:shd w:val="clear" w:color="auto" w:fill="auto"/>
            <w:noWrap/>
            <w:vAlign w:val="bottom"/>
            <w:hideMark/>
          </w:tcPr>
          <w:p w14:paraId="2341AED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CD529B" w:rsidRPr="00EA25E2" w14:paraId="2341AEEC" w14:textId="77777777" w:rsidTr="00564572">
        <w:trPr>
          <w:trHeight w:val="216"/>
        </w:trPr>
        <w:tc>
          <w:tcPr>
            <w:tcW w:w="1586" w:type="pct"/>
            <w:tcBorders>
              <w:top w:val="nil"/>
              <w:left w:val="nil"/>
              <w:bottom w:val="nil"/>
              <w:right w:val="nil"/>
            </w:tcBorders>
            <w:shd w:val="clear" w:color="auto" w:fill="auto"/>
            <w:noWrap/>
            <w:vAlign w:val="bottom"/>
            <w:hideMark/>
          </w:tcPr>
          <w:p w14:paraId="2341AEDF" w14:textId="77777777" w:rsidR="00CD529B" w:rsidRPr="00E30C97" w:rsidRDefault="00CD529B" w:rsidP="00564572">
            <w:pPr>
              <w:rPr>
                <w:rFonts w:ascii="Calibri" w:hAnsi="Calibri" w:cs="Calibri"/>
                <w:color w:val="000000"/>
                <w:sz w:val="15"/>
                <w:szCs w:val="15"/>
                <w:lang w:eastAsia="es-CO"/>
              </w:rPr>
            </w:pPr>
            <w:r w:rsidRPr="00E30C97">
              <w:rPr>
                <w:rFonts w:ascii="Calibri" w:hAnsi="Calibri" w:cs="Calibri"/>
                <w:color w:val="000000"/>
                <w:sz w:val="15"/>
                <w:szCs w:val="15"/>
                <w:lang w:eastAsia="es-CO"/>
              </w:rPr>
              <w:t xml:space="preserve">Número de bombillos incandescentes a cambiar </w:t>
            </w:r>
          </w:p>
        </w:tc>
        <w:tc>
          <w:tcPr>
            <w:tcW w:w="322" w:type="pct"/>
            <w:tcBorders>
              <w:top w:val="nil"/>
              <w:left w:val="nil"/>
              <w:bottom w:val="nil"/>
              <w:right w:val="nil"/>
            </w:tcBorders>
            <w:shd w:val="clear" w:color="auto" w:fill="auto"/>
            <w:noWrap/>
            <w:vAlign w:val="bottom"/>
            <w:hideMark/>
          </w:tcPr>
          <w:p w14:paraId="2341AEE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322" w:type="pct"/>
            <w:tcBorders>
              <w:top w:val="nil"/>
              <w:left w:val="nil"/>
              <w:bottom w:val="nil"/>
              <w:right w:val="nil"/>
            </w:tcBorders>
            <w:shd w:val="clear" w:color="auto" w:fill="auto"/>
            <w:noWrap/>
            <w:vAlign w:val="bottom"/>
            <w:hideMark/>
          </w:tcPr>
          <w:p w14:paraId="2341AEE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13.566.822</w:t>
            </w:r>
          </w:p>
        </w:tc>
        <w:tc>
          <w:tcPr>
            <w:tcW w:w="322" w:type="pct"/>
            <w:tcBorders>
              <w:top w:val="nil"/>
              <w:left w:val="nil"/>
              <w:bottom w:val="nil"/>
              <w:right w:val="nil"/>
            </w:tcBorders>
            <w:shd w:val="clear" w:color="auto" w:fill="auto"/>
            <w:noWrap/>
            <w:vAlign w:val="bottom"/>
            <w:hideMark/>
          </w:tcPr>
          <w:p w14:paraId="2341AEE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13.566.822</w:t>
            </w:r>
          </w:p>
        </w:tc>
        <w:tc>
          <w:tcPr>
            <w:tcW w:w="322" w:type="pct"/>
            <w:tcBorders>
              <w:top w:val="nil"/>
              <w:left w:val="nil"/>
              <w:bottom w:val="nil"/>
              <w:right w:val="nil"/>
            </w:tcBorders>
            <w:shd w:val="clear" w:color="auto" w:fill="auto"/>
            <w:noWrap/>
            <w:vAlign w:val="bottom"/>
            <w:hideMark/>
          </w:tcPr>
          <w:p w14:paraId="2341AEE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13.566.822</w:t>
            </w:r>
          </w:p>
        </w:tc>
        <w:tc>
          <w:tcPr>
            <w:tcW w:w="322" w:type="pct"/>
            <w:tcBorders>
              <w:top w:val="nil"/>
              <w:left w:val="nil"/>
              <w:bottom w:val="nil"/>
              <w:right w:val="nil"/>
            </w:tcBorders>
            <w:shd w:val="clear" w:color="auto" w:fill="auto"/>
            <w:noWrap/>
            <w:vAlign w:val="bottom"/>
            <w:hideMark/>
          </w:tcPr>
          <w:p w14:paraId="2341AEE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13.566.822</w:t>
            </w:r>
          </w:p>
        </w:tc>
        <w:tc>
          <w:tcPr>
            <w:tcW w:w="322" w:type="pct"/>
            <w:tcBorders>
              <w:top w:val="nil"/>
              <w:left w:val="nil"/>
              <w:bottom w:val="nil"/>
              <w:right w:val="nil"/>
            </w:tcBorders>
            <w:shd w:val="clear" w:color="auto" w:fill="auto"/>
            <w:noWrap/>
            <w:vAlign w:val="bottom"/>
            <w:hideMark/>
          </w:tcPr>
          <w:p w14:paraId="2341AEE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13.566.822</w:t>
            </w:r>
          </w:p>
        </w:tc>
        <w:tc>
          <w:tcPr>
            <w:tcW w:w="247" w:type="pct"/>
            <w:tcBorders>
              <w:top w:val="nil"/>
              <w:left w:val="nil"/>
              <w:bottom w:val="nil"/>
              <w:right w:val="nil"/>
            </w:tcBorders>
            <w:shd w:val="clear" w:color="auto" w:fill="auto"/>
            <w:noWrap/>
            <w:vAlign w:val="bottom"/>
            <w:hideMark/>
          </w:tcPr>
          <w:p w14:paraId="2341AEE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EE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EE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EE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EE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EE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CD529B" w:rsidRPr="00EA25E2" w14:paraId="2341AEFA" w14:textId="77777777" w:rsidTr="00564572">
        <w:trPr>
          <w:trHeight w:val="216"/>
        </w:trPr>
        <w:tc>
          <w:tcPr>
            <w:tcW w:w="1586" w:type="pct"/>
            <w:tcBorders>
              <w:top w:val="nil"/>
              <w:left w:val="nil"/>
              <w:bottom w:val="single" w:sz="4" w:space="0" w:color="000000"/>
              <w:right w:val="nil"/>
            </w:tcBorders>
            <w:shd w:val="clear" w:color="auto" w:fill="auto"/>
            <w:noWrap/>
            <w:vAlign w:val="bottom"/>
            <w:hideMark/>
          </w:tcPr>
          <w:p w14:paraId="2341AEED"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Número de bombillos LFC a cambiar</w:t>
            </w:r>
          </w:p>
        </w:tc>
        <w:tc>
          <w:tcPr>
            <w:tcW w:w="322" w:type="pct"/>
            <w:tcBorders>
              <w:top w:val="nil"/>
              <w:left w:val="nil"/>
              <w:bottom w:val="single" w:sz="4" w:space="0" w:color="000000"/>
              <w:right w:val="nil"/>
            </w:tcBorders>
            <w:shd w:val="clear" w:color="auto" w:fill="auto"/>
            <w:noWrap/>
            <w:vAlign w:val="bottom"/>
            <w:hideMark/>
          </w:tcPr>
          <w:p w14:paraId="2341AEE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322" w:type="pct"/>
            <w:tcBorders>
              <w:top w:val="nil"/>
              <w:left w:val="nil"/>
              <w:bottom w:val="single" w:sz="4" w:space="0" w:color="000000"/>
              <w:right w:val="nil"/>
            </w:tcBorders>
            <w:shd w:val="clear" w:color="auto" w:fill="auto"/>
            <w:noWrap/>
            <w:vAlign w:val="bottom"/>
            <w:hideMark/>
          </w:tcPr>
          <w:p w14:paraId="2341AEE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14.513.908</w:t>
            </w:r>
          </w:p>
        </w:tc>
        <w:tc>
          <w:tcPr>
            <w:tcW w:w="322" w:type="pct"/>
            <w:tcBorders>
              <w:top w:val="nil"/>
              <w:left w:val="nil"/>
              <w:bottom w:val="single" w:sz="4" w:space="0" w:color="000000"/>
              <w:right w:val="nil"/>
            </w:tcBorders>
            <w:shd w:val="clear" w:color="auto" w:fill="auto"/>
            <w:noWrap/>
            <w:vAlign w:val="bottom"/>
            <w:hideMark/>
          </w:tcPr>
          <w:p w14:paraId="2341AEF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14.513.908</w:t>
            </w:r>
          </w:p>
        </w:tc>
        <w:tc>
          <w:tcPr>
            <w:tcW w:w="322" w:type="pct"/>
            <w:tcBorders>
              <w:top w:val="nil"/>
              <w:left w:val="nil"/>
              <w:bottom w:val="single" w:sz="4" w:space="0" w:color="000000"/>
              <w:right w:val="nil"/>
            </w:tcBorders>
            <w:shd w:val="clear" w:color="auto" w:fill="auto"/>
            <w:noWrap/>
            <w:vAlign w:val="bottom"/>
            <w:hideMark/>
          </w:tcPr>
          <w:p w14:paraId="2341AEF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14.513.908</w:t>
            </w:r>
          </w:p>
        </w:tc>
        <w:tc>
          <w:tcPr>
            <w:tcW w:w="322" w:type="pct"/>
            <w:tcBorders>
              <w:top w:val="nil"/>
              <w:left w:val="nil"/>
              <w:bottom w:val="single" w:sz="4" w:space="0" w:color="000000"/>
              <w:right w:val="nil"/>
            </w:tcBorders>
            <w:shd w:val="clear" w:color="auto" w:fill="auto"/>
            <w:noWrap/>
            <w:vAlign w:val="bottom"/>
            <w:hideMark/>
          </w:tcPr>
          <w:p w14:paraId="2341AEF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14.513.908</w:t>
            </w:r>
          </w:p>
        </w:tc>
        <w:tc>
          <w:tcPr>
            <w:tcW w:w="322" w:type="pct"/>
            <w:tcBorders>
              <w:top w:val="nil"/>
              <w:left w:val="nil"/>
              <w:bottom w:val="single" w:sz="4" w:space="0" w:color="000000"/>
              <w:right w:val="nil"/>
            </w:tcBorders>
            <w:shd w:val="clear" w:color="auto" w:fill="auto"/>
            <w:noWrap/>
            <w:vAlign w:val="bottom"/>
            <w:hideMark/>
          </w:tcPr>
          <w:p w14:paraId="2341AEF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14.513.908</w:t>
            </w:r>
          </w:p>
        </w:tc>
        <w:tc>
          <w:tcPr>
            <w:tcW w:w="247" w:type="pct"/>
            <w:tcBorders>
              <w:top w:val="nil"/>
              <w:left w:val="nil"/>
              <w:bottom w:val="single" w:sz="4" w:space="0" w:color="000000"/>
              <w:right w:val="nil"/>
            </w:tcBorders>
            <w:shd w:val="clear" w:color="auto" w:fill="auto"/>
            <w:noWrap/>
            <w:vAlign w:val="bottom"/>
            <w:hideMark/>
          </w:tcPr>
          <w:p w14:paraId="2341AEF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000000"/>
              <w:right w:val="nil"/>
            </w:tcBorders>
            <w:shd w:val="clear" w:color="auto" w:fill="auto"/>
            <w:noWrap/>
            <w:vAlign w:val="bottom"/>
            <w:hideMark/>
          </w:tcPr>
          <w:p w14:paraId="2341AEF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000000"/>
              <w:right w:val="nil"/>
            </w:tcBorders>
            <w:shd w:val="clear" w:color="auto" w:fill="auto"/>
            <w:noWrap/>
            <w:vAlign w:val="bottom"/>
            <w:hideMark/>
          </w:tcPr>
          <w:p w14:paraId="2341AEF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000000"/>
              <w:right w:val="nil"/>
            </w:tcBorders>
            <w:shd w:val="clear" w:color="auto" w:fill="auto"/>
            <w:noWrap/>
            <w:vAlign w:val="bottom"/>
            <w:hideMark/>
          </w:tcPr>
          <w:p w14:paraId="2341AEF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000000"/>
              <w:right w:val="nil"/>
            </w:tcBorders>
            <w:shd w:val="clear" w:color="auto" w:fill="auto"/>
            <w:noWrap/>
            <w:vAlign w:val="bottom"/>
            <w:hideMark/>
          </w:tcPr>
          <w:p w14:paraId="2341AEF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000000"/>
              <w:right w:val="nil"/>
            </w:tcBorders>
            <w:shd w:val="clear" w:color="auto" w:fill="auto"/>
            <w:noWrap/>
            <w:vAlign w:val="bottom"/>
            <w:hideMark/>
          </w:tcPr>
          <w:p w14:paraId="2341AEF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CD529B" w:rsidRPr="00EA25E2" w14:paraId="2341AF08" w14:textId="77777777" w:rsidTr="00564572">
        <w:trPr>
          <w:trHeight w:val="216"/>
        </w:trPr>
        <w:tc>
          <w:tcPr>
            <w:tcW w:w="1586" w:type="pct"/>
            <w:tcBorders>
              <w:top w:val="nil"/>
              <w:left w:val="nil"/>
              <w:bottom w:val="nil"/>
              <w:right w:val="nil"/>
            </w:tcBorders>
            <w:shd w:val="clear" w:color="auto" w:fill="auto"/>
            <w:noWrap/>
            <w:vAlign w:val="bottom"/>
            <w:hideMark/>
          </w:tcPr>
          <w:p w14:paraId="2341AEFB" w14:textId="77777777" w:rsidR="00CD529B" w:rsidRPr="00E30C97" w:rsidRDefault="00CD529B" w:rsidP="00564572">
            <w:pPr>
              <w:rPr>
                <w:rFonts w:ascii="Calibri" w:hAnsi="Calibri" w:cs="Calibri"/>
                <w:b/>
                <w:bCs/>
                <w:color w:val="000000"/>
                <w:sz w:val="15"/>
                <w:szCs w:val="15"/>
                <w:lang w:eastAsia="es-CO"/>
              </w:rPr>
            </w:pPr>
            <w:r w:rsidRPr="00E30C97">
              <w:rPr>
                <w:rFonts w:ascii="Calibri" w:hAnsi="Calibri" w:cs="Calibri"/>
                <w:b/>
                <w:bCs/>
                <w:color w:val="000000"/>
                <w:sz w:val="15"/>
                <w:szCs w:val="15"/>
                <w:lang w:eastAsia="es-CO"/>
              </w:rPr>
              <w:t>Beneficios</w:t>
            </w:r>
          </w:p>
        </w:tc>
        <w:tc>
          <w:tcPr>
            <w:tcW w:w="322" w:type="pct"/>
            <w:tcBorders>
              <w:top w:val="nil"/>
              <w:left w:val="nil"/>
              <w:bottom w:val="nil"/>
              <w:right w:val="nil"/>
            </w:tcBorders>
            <w:shd w:val="clear" w:color="auto" w:fill="auto"/>
            <w:noWrap/>
            <w:vAlign w:val="bottom"/>
            <w:hideMark/>
          </w:tcPr>
          <w:p w14:paraId="2341AEFC" w14:textId="77777777" w:rsidR="00CD529B" w:rsidRPr="00980C81" w:rsidRDefault="00CD529B" w:rsidP="00564572">
            <w:pPr>
              <w:rPr>
                <w:rFonts w:ascii="Calibri" w:hAnsi="Calibri" w:cs="Calibri"/>
                <w:b/>
                <w:bCs/>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2341AEFD" w14:textId="77777777" w:rsidR="00CD529B" w:rsidRPr="00980C81"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FE" w14:textId="77777777" w:rsidR="00CD529B" w:rsidRPr="00980C81"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EFF" w14:textId="77777777" w:rsidR="00CD529B" w:rsidRPr="00980C81"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F00" w14:textId="77777777" w:rsidR="00CD529B" w:rsidRPr="00980C81"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F01"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02"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03"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04"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05"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06"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07" w14:textId="77777777" w:rsidR="00CD529B" w:rsidRPr="00980C81" w:rsidRDefault="00CD529B" w:rsidP="00564572">
            <w:pPr>
              <w:rPr>
                <w:sz w:val="15"/>
                <w:szCs w:val="15"/>
                <w:lang w:eastAsia="es-CO"/>
              </w:rPr>
            </w:pPr>
          </w:p>
        </w:tc>
      </w:tr>
      <w:tr w:rsidR="00CD529B" w:rsidRPr="00EA25E2" w14:paraId="2341AF16" w14:textId="77777777" w:rsidTr="00564572">
        <w:trPr>
          <w:trHeight w:val="216"/>
        </w:trPr>
        <w:tc>
          <w:tcPr>
            <w:tcW w:w="1586" w:type="pct"/>
            <w:tcBorders>
              <w:top w:val="nil"/>
              <w:left w:val="nil"/>
              <w:bottom w:val="nil"/>
              <w:right w:val="nil"/>
            </w:tcBorders>
            <w:shd w:val="clear" w:color="auto" w:fill="auto"/>
            <w:noWrap/>
            <w:vAlign w:val="bottom"/>
            <w:hideMark/>
          </w:tcPr>
          <w:p w14:paraId="2341AF09" w14:textId="77777777" w:rsidR="00CD529B" w:rsidRPr="00E30C97" w:rsidRDefault="00CD529B" w:rsidP="00564572">
            <w:pPr>
              <w:ind w:firstLineChars="100" w:firstLine="150"/>
              <w:rPr>
                <w:rFonts w:ascii="Calibri" w:hAnsi="Calibri" w:cs="Calibri"/>
                <w:color w:val="000000"/>
                <w:sz w:val="15"/>
                <w:szCs w:val="15"/>
                <w:lang w:eastAsia="es-CO"/>
              </w:rPr>
            </w:pPr>
            <w:r w:rsidRPr="00E30C97">
              <w:rPr>
                <w:rFonts w:ascii="Calibri" w:hAnsi="Calibri" w:cs="Calibri"/>
                <w:color w:val="000000"/>
                <w:sz w:val="15"/>
                <w:szCs w:val="15"/>
                <w:lang w:eastAsia="es-CO"/>
              </w:rPr>
              <w:t>Ahorro GWh/año</w:t>
            </w:r>
          </w:p>
        </w:tc>
        <w:tc>
          <w:tcPr>
            <w:tcW w:w="322" w:type="pct"/>
            <w:tcBorders>
              <w:top w:val="nil"/>
              <w:left w:val="nil"/>
              <w:bottom w:val="nil"/>
              <w:right w:val="nil"/>
            </w:tcBorders>
            <w:shd w:val="clear" w:color="auto" w:fill="auto"/>
            <w:noWrap/>
            <w:vAlign w:val="bottom"/>
            <w:hideMark/>
          </w:tcPr>
          <w:p w14:paraId="2341AF0A" w14:textId="77777777" w:rsidR="00CD529B" w:rsidRPr="00980C81" w:rsidRDefault="00CD529B" w:rsidP="00564572">
            <w:pPr>
              <w:ind w:firstLineChars="100" w:firstLine="150"/>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2341AF0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232</w:t>
            </w:r>
          </w:p>
        </w:tc>
        <w:tc>
          <w:tcPr>
            <w:tcW w:w="322" w:type="pct"/>
            <w:tcBorders>
              <w:top w:val="nil"/>
              <w:left w:val="nil"/>
              <w:bottom w:val="nil"/>
              <w:right w:val="nil"/>
            </w:tcBorders>
            <w:shd w:val="clear" w:color="auto" w:fill="auto"/>
            <w:noWrap/>
            <w:vAlign w:val="bottom"/>
            <w:hideMark/>
          </w:tcPr>
          <w:p w14:paraId="2341AF0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464</w:t>
            </w:r>
          </w:p>
        </w:tc>
        <w:tc>
          <w:tcPr>
            <w:tcW w:w="322" w:type="pct"/>
            <w:tcBorders>
              <w:top w:val="nil"/>
              <w:left w:val="nil"/>
              <w:bottom w:val="nil"/>
              <w:right w:val="nil"/>
            </w:tcBorders>
            <w:shd w:val="clear" w:color="auto" w:fill="auto"/>
            <w:noWrap/>
            <w:vAlign w:val="bottom"/>
            <w:hideMark/>
          </w:tcPr>
          <w:p w14:paraId="2341AF0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696</w:t>
            </w:r>
          </w:p>
        </w:tc>
        <w:tc>
          <w:tcPr>
            <w:tcW w:w="322" w:type="pct"/>
            <w:tcBorders>
              <w:top w:val="nil"/>
              <w:left w:val="nil"/>
              <w:bottom w:val="nil"/>
              <w:right w:val="nil"/>
            </w:tcBorders>
            <w:shd w:val="clear" w:color="auto" w:fill="auto"/>
            <w:noWrap/>
            <w:vAlign w:val="bottom"/>
            <w:hideMark/>
          </w:tcPr>
          <w:p w14:paraId="2341AF0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928</w:t>
            </w:r>
          </w:p>
        </w:tc>
        <w:tc>
          <w:tcPr>
            <w:tcW w:w="322" w:type="pct"/>
            <w:tcBorders>
              <w:top w:val="nil"/>
              <w:left w:val="nil"/>
              <w:bottom w:val="nil"/>
              <w:right w:val="nil"/>
            </w:tcBorders>
            <w:shd w:val="clear" w:color="auto" w:fill="auto"/>
            <w:noWrap/>
            <w:vAlign w:val="bottom"/>
            <w:hideMark/>
          </w:tcPr>
          <w:p w14:paraId="2341AF0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1.161</w:t>
            </w:r>
          </w:p>
        </w:tc>
        <w:tc>
          <w:tcPr>
            <w:tcW w:w="247" w:type="pct"/>
            <w:tcBorders>
              <w:top w:val="nil"/>
              <w:left w:val="nil"/>
              <w:bottom w:val="nil"/>
              <w:right w:val="nil"/>
            </w:tcBorders>
            <w:shd w:val="clear" w:color="auto" w:fill="auto"/>
            <w:noWrap/>
            <w:vAlign w:val="bottom"/>
            <w:hideMark/>
          </w:tcPr>
          <w:p w14:paraId="2341AF1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1.161</w:t>
            </w:r>
          </w:p>
        </w:tc>
        <w:tc>
          <w:tcPr>
            <w:tcW w:w="247" w:type="pct"/>
            <w:tcBorders>
              <w:top w:val="nil"/>
              <w:left w:val="nil"/>
              <w:bottom w:val="nil"/>
              <w:right w:val="nil"/>
            </w:tcBorders>
            <w:shd w:val="clear" w:color="auto" w:fill="auto"/>
            <w:noWrap/>
            <w:vAlign w:val="bottom"/>
            <w:hideMark/>
          </w:tcPr>
          <w:p w14:paraId="2341AF1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1.161</w:t>
            </w:r>
          </w:p>
        </w:tc>
        <w:tc>
          <w:tcPr>
            <w:tcW w:w="247" w:type="pct"/>
            <w:tcBorders>
              <w:top w:val="nil"/>
              <w:left w:val="nil"/>
              <w:bottom w:val="nil"/>
              <w:right w:val="nil"/>
            </w:tcBorders>
            <w:shd w:val="clear" w:color="auto" w:fill="auto"/>
            <w:noWrap/>
            <w:vAlign w:val="bottom"/>
            <w:hideMark/>
          </w:tcPr>
          <w:p w14:paraId="2341AF1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1.161</w:t>
            </w:r>
          </w:p>
        </w:tc>
        <w:tc>
          <w:tcPr>
            <w:tcW w:w="247" w:type="pct"/>
            <w:tcBorders>
              <w:top w:val="nil"/>
              <w:left w:val="nil"/>
              <w:bottom w:val="nil"/>
              <w:right w:val="nil"/>
            </w:tcBorders>
            <w:shd w:val="clear" w:color="auto" w:fill="auto"/>
            <w:noWrap/>
            <w:vAlign w:val="bottom"/>
            <w:hideMark/>
          </w:tcPr>
          <w:p w14:paraId="2341AF1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1.161</w:t>
            </w:r>
          </w:p>
        </w:tc>
        <w:tc>
          <w:tcPr>
            <w:tcW w:w="247" w:type="pct"/>
            <w:tcBorders>
              <w:top w:val="nil"/>
              <w:left w:val="nil"/>
              <w:bottom w:val="nil"/>
              <w:right w:val="nil"/>
            </w:tcBorders>
            <w:shd w:val="clear" w:color="auto" w:fill="auto"/>
            <w:noWrap/>
            <w:vAlign w:val="bottom"/>
            <w:hideMark/>
          </w:tcPr>
          <w:p w14:paraId="2341AF1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1.161</w:t>
            </w:r>
          </w:p>
        </w:tc>
        <w:tc>
          <w:tcPr>
            <w:tcW w:w="247" w:type="pct"/>
            <w:tcBorders>
              <w:top w:val="nil"/>
              <w:left w:val="nil"/>
              <w:bottom w:val="nil"/>
              <w:right w:val="nil"/>
            </w:tcBorders>
            <w:shd w:val="clear" w:color="auto" w:fill="auto"/>
            <w:noWrap/>
            <w:vAlign w:val="bottom"/>
            <w:hideMark/>
          </w:tcPr>
          <w:p w14:paraId="2341AF1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1.161</w:t>
            </w:r>
          </w:p>
        </w:tc>
      </w:tr>
      <w:tr w:rsidR="00CD529B" w:rsidRPr="00EA25E2" w14:paraId="2341AF24" w14:textId="77777777" w:rsidTr="00564572">
        <w:trPr>
          <w:trHeight w:val="216"/>
        </w:trPr>
        <w:tc>
          <w:tcPr>
            <w:tcW w:w="1586" w:type="pct"/>
            <w:tcBorders>
              <w:top w:val="nil"/>
              <w:left w:val="nil"/>
              <w:bottom w:val="single" w:sz="4" w:space="0" w:color="BFBFBF"/>
              <w:right w:val="nil"/>
            </w:tcBorders>
            <w:shd w:val="clear" w:color="auto" w:fill="auto"/>
            <w:noWrap/>
            <w:vAlign w:val="bottom"/>
            <w:hideMark/>
          </w:tcPr>
          <w:p w14:paraId="2341AF17"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evitadas (TonCO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w:t>
            </w:r>
          </w:p>
        </w:tc>
        <w:tc>
          <w:tcPr>
            <w:tcW w:w="322" w:type="pct"/>
            <w:tcBorders>
              <w:top w:val="nil"/>
              <w:left w:val="nil"/>
              <w:bottom w:val="single" w:sz="4" w:space="0" w:color="BFBFBF"/>
              <w:right w:val="nil"/>
            </w:tcBorders>
            <w:shd w:val="clear" w:color="auto" w:fill="auto"/>
            <w:noWrap/>
            <w:vAlign w:val="bottom"/>
            <w:hideMark/>
          </w:tcPr>
          <w:p w14:paraId="2341AF18"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rPr>
              <w:t> </w:t>
            </w:r>
          </w:p>
        </w:tc>
        <w:tc>
          <w:tcPr>
            <w:tcW w:w="322" w:type="pct"/>
            <w:tcBorders>
              <w:top w:val="nil"/>
              <w:left w:val="nil"/>
              <w:bottom w:val="single" w:sz="4" w:space="0" w:color="BFBFBF"/>
              <w:right w:val="nil"/>
            </w:tcBorders>
            <w:shd w:val="clear" w:color="auto" w:fill="auto"/>
            <w:noWrap/>
            <w:vAlign w:val="bottom"/>
            <w:hideMark/>
          </w:tcPr>
          <w:p w14:paraId="2341AF1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32.558</w:t>
            </w:r>
          </w:p>
        </w:tc>
        <w:tc>
          <w:tcPr>
            <w:tcW w:w="322" w:type="pct"/>
            <w:tcBorders>
              <w:top w:val="nil"/>
              <w:left w:val="nil"/>
              <w:bottom w:val="single" w:sz="4" w:space="0" w:color="BFBFBF"/>
              <w:right w:val="nil"/>
            </w:tcBorders>
            <w:shd w:val="clear" w:color="auto" w:fill="auto"/>
            <w:noWrap/>
            <w:vAlign w:val="bottom"/>
            <w:hideMark/>
          </w:tcPr>
          <w:p w14:paraId="2341AF1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65.117</w:t>
            </w:r>
          </w:p>
        </w:tc>
        <w:tc>
          <w:tcPr>
            <w:tcW w:w="322" w:type="pct"/>
            <w:tcBorders>
              <w:top w:val="nil"/>
              <w:left w:val="nil"/>
              <w:bottom w:val="single" w:sz="4" w:space="0" w:color="BFBFBF"/>
              <w:right w:val="nil"/>
            </w:tcBorders>
            <w:shd w:val="clear" w:color="auto" w:fill="auto"/>
            <w:noWrap/>
            <w:vAlign w:val="bottom"/>
            <w:hideMark/>
          </w:tcPr>
          <w:p w14:paraId="2341AF1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97.675</w:t>
            </w:r>
          </w:p>
        </w:tc>
        <w:tc>
          <w:tcPr>
            <w:tcW w:w="322" w:type="pct"/>
            <w:tcBorders>
              <w:top w:val="nil"/>
              <w:left w:val="nil"/>
              <w:bottom w:val="single" w:sz="4" w:space="0" w:color="BFBFBF"/>
              <w:right w:val="nil"/>
            </w:tcBorders>
            <w:shd w:val="clear" w:color="auto" w:fill="auto"/>
            <w:noWrap/>
            <w:vAlign w:val="bottom"/>
            <w:hideMark/>
          </w:tcPr>
          <w:p w14:paraId="2341AF1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130.234</w:t>
            </w:r>
          </w:p>
        </w:tc>
        <w:tc>
          <w:tcPr>
            <w:tcW w:w="322" w:type="pct"/>
            <w:tcBorders>
              <w:top w:val="nil"/>
              <w:left w:val="nil"/>
              <w:bottom w:val="single" w:sz="4" w:space="0" w:color="BFBFBF"/>
              <w:right w:val="nil"/>
            </w:tcBorders>
            <w:shd w:val="clear" w:color="auto" w:fill="auto"/>
            <w:noWrap/>
            <w:vAlign w:val="bottom"/>
            <w:hideMark/>
          </w:tcPr>
          <w:p w14:paraId="2341AF1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c>
          <w:tcPr>
            <w:tcW w:w="247" w:type="pct"/>
            <w:tcBorders>
              <w:top w:val="nil"/>
              <w:left w:val="nil"/>
              <w:bottom w:val="single" w:sz="4" w:space="0" w:color="BFBFBF"/>
              <w:right w:val="nil"/>
            </w:tcBorders>
            <w:shd w:val="clear" w:color="auto" w:fill="auto"/>
            <w:noWrap/>
            <w:vAlign w:val="bottom"/>
            <w:hideMark/>
          </w:tcPr>
          <w:p w14:paraId="2341AF1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c>
          <w:tcPr>
            <w:tcW w:w="247" w:type="pct"/>
            <w:tcBorders>
              <w:top w:val="nil"/>
              <w:left w:val="nil"/>
              <w:bottom w:val="single" w:sz="4" w:space="0" w:color="BFBFBF"/>
              <w:right w:val="nil"/>
            </w:tcBorders>
            <w:shd w:val="clear" w:color="auto" w:fill="auto"/>
            <w:noWrap/>
            <w:vAlign w:val="bottom"/>
            <w:hideMark/>
          </w:tcPr>
          <w:p w14:paraId="2341AF1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c>
          <w:tcPr>
            <w:tcW w:w="247" w:type="pct"/>
            <w:tcBorders>
              <w:top w:val="nil"/>
              <w:left w:val="nil"/>
              <w:bottom w:val="single" w:sz="4" w:space="0" w:color="BFBFBF"/>
              <w:right w:val="nil"/>
            </w:tcBorders>
            <w:shd w:val="clear" w:color="auto" w:fill="auto"/>
            <w:noWrap/>
            <w:vAlign w:val="bottom"/>
            <w:hideMark/>
          </w:tcPr>
          <w:p w14:paraId="2341AF2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c>
          <w:tcPr>
            <w:tcW w:w="247" w:type="pct"/>
            <w:tcBorders>
              <w:top w:val="nil"/>
              <w:left w:val="nil"/>
              <w:bottom w:val="single" w:sz="4" w:space="0" w:color="BFBFBF"/>
              <w:right w:val="nil"/>
            </w:tcBorders>
            <w:shd w:val="clear" w:color="auto" w:fill="auto"/>
            <w:noWrap/>
            <w:vAlign w:val="bottom"/>
            <w:hideMark/>
          </w:tcPr>
          <w:p w14:paraId="2341AF2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c>
          <w:tcPr>
            <w:tcW w:w="247" w:type="pct"/>
            <w:tcBorders>
              <w:top w:val="nil"/>
              <w:left w:val="nil"/>
              <w:bottom w:val="single" w:sz="4" w:space="0" w:color="BFBFBF"/>
              <w:right w:val="nil"/>
            </w:tcBorders>
            <w:shd w:val="clear" w:color="auto" w:fill="auto"/>
            <w:noWrap/>
            <w:vAlign w:val="bottom"/>
            <w:hideMark/>
          </w:tcPr>
          <w:p w14:paraId="2341AF2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c>
          <w:tcPr>
            <w:tcW w:w="247" w:type="pct"/>
            <w:tcBorders>
              <w:top w:val="nil"/>
              <w:left w:val="nil"/>
              <w:bottom w:val="single" w:sz="4" w:space="0" w:color="BFBFBF"/>
              <w:right w:val="nil"/>
            </w:tcBorders>
            <w:shd w:val="clear" w:color="auto" w:fill="auto"/>
            <w:noWrap/>
            <w:vAlign w:val="bottom"/>
            <w:hideMark/>
          </w:tcPr>
          <w:p w14:paraId="2341AF2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162.792</w:t>
            </w:r>
          </w:p>
        </w:tc>
      </w:tr>
      <w:tr w:rsidR="00CD529B" w:rsidRPr="00EA25E2" w14:paraId="2341AF32" w14:textId="77777777" w:rsidTr="00564572">
        <w:trPr>
          <w:trHeight w:val="216"/>
        </w:trPr>
        <w:tc>
          <w:tcPr>
            <w:tcW w:w="1586" w:type="pct"/>
            <w:tcBorders>
              <w:top w:val="nil"/>
              <w:left w:val="nil"/>
              <w:bottom w:val="nil"/>
              <w:right w:val="nil"/>
            </w:tcBorders>
            <w:shd w:val="clear" w:color="auto" w:fill="auto"/>
            <w:noWrap/>
            <w:vAlign w:val="bottom"/>
            <w:hideMark/>
          </w:tcPr>
          <w:p w14:paraId="2341AF25"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en Tarifa Usuario ($COP Millones)</w:t>
            </w:r>
          </w:p>
        </w:tc>
        <w:tc>
          <w:tcPr>
            <w:tcW w:w="322" w:type="pct"/>
            <w:tcBorders>
              <w:top w:val="nil"/>
              <w:left w:val="nil"/>
              <w:bottom w:val="nil"/>
              <w:right w:val="nil"/>
            </w:tcBorders>
            <w:shd w:val="clear" w:color="auto" w:fill="auto"/>
            <w:noWrap/>
            <w:vAlign w:val="bottom"/>
            <w:hideMark/>
          </w:tcPr>
          <w:p w14:paraId="2341AF26"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322" w:type="pct"/>
            <w:tcBorders>
              <w:top w:val="nil"/>
              <w:left w:val="nil"/>
              <w:bottom w:val="nil"/>
              <w:right w:val="nil"/>
            </w:tcBorders>
            <w:shd w:val="clear" w:color="auto" w:fill="auto"/>
            <w:noWrap/>
            <w:vAlign w:val="bottom"/>
            <w:hideMark/>
          </w:tcPr>
          <w:p w14:paraId="2341AF2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41.076</w:t>
            </w:r>
          </w:p>
        </w:tc>
        <w:tc>
          <w:tcPr>
            <w:tcW w:w="322" w:type="pct"/>
            <w:tcBorders>
              <w:top w:val="nil"/>
              <w:left w:val="nil"/>
              <w:bottom w:val="nil"/>
              <w:right w:val="nil"/>
            </w:tcBorders>
            <w:shd w:val="clear" w:color="auto" w:fill="auto"/>
            <w:noWrap/>
            <w:vAlign w:val="bottom"/>
            <w:hideMark/>
          </w:tcPr>
          <w:p w14:paraId="2341AF2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82.153</w:t>
            </w:r>
          </w:p>
        </w:tc>
        <w:tc>
          <w:tcPr>
            <w:tcW w:w="322" w:type="pct"/>
            <w:tcBorders>
              <w:top w:val="nil"/>
              <w:left w:val="nil"/>
              <w:bottom w:val="nil"/>
              <w:right w:val="nil"/>
            </w:tcBorders>
            <w:shd w:val="clear" w:color="auto" w:fill="auto"/>
            <w:noWrap/>
            <w:vAlign w:val="bottom"/>
            <w:hideMark/>
          </w:tcPr>
          <w:p w14:paraId="2341AF2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123.229</w:t>
            </w:r>
          </w:p>
        </w:tc>
        <w:tc>
          <w:tcPr>
            <w:tcW w:w="322" w:type="pct"/>
            <w:tcBorders>
              <w:top w:val="nil"/>
              <w:left w:val="nil"/>
              <w:bottom w:val="nil"/>
              <w:right w:val="nil"/>
            </w:tcBorders>
            <w:shd w:val="clear" w:color="auto" w:fill="auto"/>
            <w:noWrap/>
            <w:vAlign w:val="bottom"/>
            <w:hideMark/>
          </w:tcPr>
          <w:p w14:paraId="2341AF2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164.306</w:t>
            </w:r>
          </w:p>
        </w:tc>
        <w:tc>
          <w:tcPr>
            <w:tcW w:w="322" w:type="pct"/>
            <w:tcBorders>
              <w:top w:val="nil"/>
              <w:left w:val="nil"/>
              <w:bottom w:val="nil"/>
              <w:right w:val="nil"/>
            </w:tcBorders>
            <w:shd w:val="clear" w:color="auto" w:fill="auto"/>
            <w:noWrap/>
            <w:vAlign w:val="bottom"/>
            <w:hideMark/>
          </w:tcPr>
          <w:p w14:paraId="2341AF2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c>
          <w:tcPr>
            <w:tcW w:w="247" w:type="pct"/>
            <w:tcBorders>
              <w:top w:val="nil"/>
              <w:left w:val="nil"/>
              <w:bottom w:val="nil"/>
              <w:right w:val="nil"/>
            </w:tcBorders>
            <w:shd w:val="clear" w:color="auto" w:fill="auto"/>
            <w:noWrap/>
            <w:vAlign w:val="bottom"/>
            <w:hideMark/>
          </w:tcPr>
          <w:p w14:paraId="2341AF2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c>
          <w:tcPr>
            <w:tcW w:w="247" w:type="pct"/>
            <w:tcBorders>
              <w:top w:val="nil"/>
              <w:left w:val="nil"/>
              <w:bottom w:val="nil"/>
              <w:right w:val="nil"/>
            </w:tcBorders>
            <w:shd w:val="clear" w:color="auto" w:fill="auto"/>
            <w:noWrap/>
            <w:vAlign w:val="bottom"/>
            <w:hideMark/>
          </w:tcPr>
          <w:p w14:paraId="2341AF2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c>
          <w:tcPr>
            <w:tcW w:w="247" w:type="pct"/>
            <w:tcBorders>
              <w:top w:val="nil"/>
              <w:left w:val="nil"/>
              <w:bottom w:val="nil"/>
              <w:right w:val="nil"/>
            </w:tcBorders>
            <w:shd w:val="clear" w:color="auto" w:fill="auto"/>
            <w:noWrap/>
            <w:vAlign w:val="bottom"/>
            <w:hideMark/>
          </w:tcPr>
          <w:p w14:paraId="2341AF2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c>
          <w:tcPr>
            <w:tcW w:w="247" w:type="pct"/>
            <w:tcBorders>
              <w:top w:val="nil"/>
              <w:left w:val="nil"/>
              <w:bottom w:val="nil"/>
              <w:right w:val="nil"/>
            </w:tcBorders>
            <w:shd w:val="clear" w:color="auto" w:fill="auto"/>
            <w:noWrap/>
            <w:vAlign w:val="bottom"/>
            <w:hideMark/>
          </w:tcPr>
          <w:p w14:paraId="2341AF2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c>
          <w:tcPr>
            <w:tcW w:w="247" w:type="pct"/>
            <w:tcBorders>
              <w:top w:val="nil"/>
              <w:left w:val="nil"/>
              <w:bottom w:val="nil"/>
              <w:right w:val="nil"/>
            </w:tcBorders>
            <w:shd w:val="clear" w:color="auto" w:fill="auto"/>
            <w:noWrap/>
            <w:vAlign w:val="bottom"/>
            <w:hideMark/>
          </w:tcPr>
          <w:p w14:paraId="2341AF3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c>
          <w:tcPr>
            <w:tcW w:w="247" w:type="pct"/>
            <w:tcBorders>
              <w:top w:val="nil"/>
              <w:left w:val="nil"/>
              <w:bottom w:val="nil"/>
              <w:right w:val="nil"/>
            </w:tcBorders>
            <w:shd w:val="clear" w:color="auto" w:fill="auto"/>
            <w:noWrap/>
            <w:vAlign w:val="bottom"/>
            <w:hideMark/>
          </w:tcPr>
          <w:p w14:paraId="2341AF3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205.382</w:t>
            </w:r>
          </w:p>
        </w:tc>
      </w:tr>
      <w:tr w:rsidR="00CD529B" w:rsidRPr="00EA25E2" w14:paraId="2341AF40" w14:textId="77777777" w:rsidTr="00564572">
        <w:trPr>
          <w:trHeight w:val="216"/>
        </w:trPr>
        <w:tc>
          <w:tcPr>
            <w:tcW w:w="1586" w:type="pct"/>
            <w:tcBorders>
              <w:top w:val="nil"/>
              <w:left w:val="nil"/>
              <w:bottom w:val="nil"/>
              <w:right w:val="nil"/>
            </w:tcBorders>
            <w:shd w:val="clear" w:color="auto" w:fill="auto"/>
            <w:noWrap/>
            <w:vAlign w:val="bottom"/>
            <w:hideMark/>
          </w:tcPr>
          <w:p w14:paraId="2341AF33"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subsidios PGN ($COP Millones)</w:t>
            </w:r>
          </w:p>
        </w:tc>
        <w:tc>
          <w:tcPr>
            <w:tcW w:w="322" w:type="pct"/>
            <w:tcBorders>
              <w:top w:val="nil"/>
              <w:left w:val="nil"/>
              <w:bottom w:val="nil"/>
              <w:right w:val="nil"/>
            </w:tcBorders>
            <w:shd w:val="clear" w:color="auto" w:fill="auto"/>
            <w:noWrap/>
            <w:vAlign w:val="bottom"/>
            <w:hideMark/>
          </w:tcPr>
          <w:p w14:paraId="2341AF34"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322" w:type="pct"/>
            <w:tcBorders>
              <w:top w:val="nil"/>
              <w:left w:val="nil"/>
              <w:bottom w:val="nil"/>
              <w:right w:val="nil"/>
            </w:tcBorders>
            <w:shd w:val="clear" w:color="auto" w:fill="auto"/>
            <w:noWrap/>
            <w:vAlign w:val="bottom"/>
            <w:hideMark/>
          </w:tcPr>
          <w:p w14:paraId="2341AF3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21.608</w:t>
            </w:r>
          </w:p>
        </w:tc>
        <w:tc>
          <w:tcPr>
            <w:tcW w:w="322" w:type="pct"/>
            <w:tcBorders>
              <w:top w:val="nil"/>
              <w:left w:val="nil"/>
              <w:bottom w:val="nil"/>
              <w:right w:val="nil"/>
            </w:tcBorders>
            <w:shd w:val="clear" w:color="auto" w:fill="auto"/>
            <w:noWrap/>
            <w:vAlign w:val="bottom"/>
            <w:hideMark/>
          </w:tcPr>
          <w:p w14:paraId="2341AF3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43.216</w:t>
            </w:r>
          </w:p>
        </w:tc>
        <w:tc>
          <w:tcPr>
            <w:tcW w:w="322" w:type="pct"/>
            <w:tcBorders>
              <w:top w:val="nil"/>
              <w:left w:val="nil"/>
              <w:bottom w:val="nil"/>
              <w:right w:val="nil"/>
            </w:tcBorders>
            <w:shd w:val="clear" w:color="auto" w:fill="auto"/>
            <w:noWrap/>
            <w:vAlign w:val="bottom"/>
            <w:hideMark/>
          </w:tcPr>
          <w:p w14:paraId="2341AF3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64.825</w:t>
            </w:r>
          </w:p>
        </w:tc>
        <w:tc>
          <w:tcPr>
            <w:tcW w:w="322" w:type="pct"/>
            <w:tcBorders>
              <w:top w:val="nil"/>
              <w:left w:val="nil"/>
              <w:bottom w:val="nil"/>
              <w:right w:val="nil"/>
            </w:tcBorders>
            <w:shd w:val="clear" w:color="auto" w:fill="auto"/>
            <w:noWrap/>
            <w:vAlign w:val="bottom"/>
            <w:hideMark/>
          </w:tcPr>
          <w:p w14:paraId="2341AF3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86.433</w:t>
            </w:r>
          </w:p>
        </w:tc>
        <w:tc>
          <w:tcPr>
            <w:tcW w:w="322" w:type="pct"/>
            <w:tcBorders>
              <w:top w:val="nil"/>
              <w:left w:val="nil"/>
              <w:bottom w:val="nil"/>
              <w:right w:val="nil"/>
            </w:tcBorders>
            <w:shd w:val="clear" w:color="auto" w:fill="auto"/>
            <w:noWrap/>
            <w:vAlign w:val="bottom"/>
            <w:hideMark/>
          </w:tcPr>
          <w:p w14:paraId="2341AF3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c>
          <w:tcPr>
            <w:tcW w:w="247" w:type="pct"/>
            <w:tcBorders>
              <w:top w:val="nil"/>
              <w:left w:val="nil"/>
              <w:bottom w:val="nil"/>
              <w:right w:val="nil"/>
            </w:tcBorders>
            <w:shd w:val="clear" w:color="auto" w:fill="auto"/>
            <w:noWrap/>
            <w:vAlign w:val="bottom"/>
            <w:hideMark/>
          </w:tcPr>
          <w:p w14:paraId="2341AF3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c>
          <w:tcPr>
            <w:tcW w:w="247" w:type="pct"/>
            <w:tcBorders>
              <w:top w:val="nil"/>
              <w:left w:val="nil"/>
              <w:bottom w:val="nil"/>
              <w:right w:val="nil"/>
            </w:tcBorders>
            <w:shd w:val="clear" w:color="auto" w:fill="auto"/>
            <w:noWrap/>
            <w:vAlign w:val="bottom"/>
            <w:hideMark/>
          </w:tcPr>
          <w:p w14:paraId="2341AF3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c>
          <w:tcPr>
            <w:tcW w:w="247" w:type="pct"/>
            <w:tcBorders>
              <w:top w:val="nil"/>
              <w:left w:val="nil"/>
              <w:bottom w:val="nil"/>
              <w:right w:val="nil"/>
            </w:tcBorders>
            <w:shd w:val="clear" w:color="auto" w:fill="auto"/>
            <w:noWrap/>
            <w:vAlign w:val="bottom"/>
            <w:hideMark/>
          </w:tcPr>
          <w:p w14:paraId="2341AF3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c>
          <w:tcPr>
            <w:tcW w:w="247" w:type="pct"/>
            <w:tcBorders>
              <w:top w:val="nil"/>
              <w:left w:val="nil"/>
              <w:bottom w:val="nil"/>
              <w:right w:val="nil"/>
            </w:tcBorders>
            <w:shd w:val="clear" w:color="auto" w:fill="auto"/>
            <w:noWrap/>
            <w:vAlign w:val="bottom"/>
            <w:hideMark/>
          </w:tcPr>
          <w:p w14:paraId="2341AF3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c>
          <w:tcPr>
            <w:tcW w:w="247" w:type="pct"/>
            <w:tcBorders>
              <w:top w:val="nil"/>
              <w:left w:val="nil"/>
              <w:bottom w:val="nil"/>
              <w:right w:val="nil"/>
            </w:tcBorders>
            <w:shd w:val="clear" w:color="auto" w:fill="auto"/>
            <w:noWrap/>
            <w:vAlign w:val="bottom"/>
            <w:hideMark/>
          </w:tcPr>
          <w:p w14:paraId="2341AF3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c>
          <w:tcPr>
            <w:tcW w:w="247" w:type="pct"/>
            <w:tcBorders>
              <w:top w:val="nil"/>
              <w:left w:val="nil"/>
              <w:bottom w:val="nil"/>
              <w:right w:val="nil"/>
            </w:tcBorders>
            <w:shd w:val="clear" w:color="auto" w:fill="auto"/>
            <w:noWrap/>
            <w:vAlign w:val="bottom"/>
            <w:hideMark/>
          </w:tcPr>
          <w:p w14:paraId="2341AF3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108.041</w:t>
            </w:r>
          </w:p>
        </w:tc>
      </w:tr>
      <w:tr w:rsidR="00CD529B" w:rsidRPr="00EA25E2" w14:paraId="2341AF4E" w14:textId="77777777" w:rsidTr="00564572">
        <w:trPr>
          <w:trHeight w:val="216"/>
        </w:trPr>
        <w:tc>
          <w:tcPr>
            <w:tcW w:w="1586" w:type="pct"/>
            <w:tcBorders>
              <w:top w:val="nil"/>
              <w:left w:val="nil"/>
              <w:bottom w:val="nil"/>
              <w:right w:val="nil"/>
            </w:tcBorders>
            <w:shd w:val="clear" w:color="auto" w:fill="auto"/>
            <w:noWrap/>
            <w:vAlign w:val="bottom"/>
            <w:hideMark/>
          </w:tcPr>
          <w:p w14:paraId="2341AF41"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emisiones de CO</w:t>
            </w:r>
            <w:r w:rsidRPr="00CD529B">
              <w:rPr>
                <w:rFonts w:ascii="Calibri" w:hAnsi="Calibri" w:cs="Calibri"/>
                <w:color w:val="000000"/>
                <w:sz w:val="15"/>
                <w:szCs w:val="15"/>
                <w:vertAlign w:val="subscript"/>
                <w:lang w:val="es-ES_tradnl" w:eastAsia="es-CO"/>
              </w:rPr>
              <w:t xml:space="preserve">2 </w:t>
            </w:r>
            <w:r w:rsidRPr="00CD529B">
              <w:rPr>
                <w:rFonts w:ascii="Calibri" w:hAnsi="Calibri" w:cs="Calibri"/>
                <w:color w:val="000000"/>
                <w:sz w:val="15"/>
                <w:szCs w:val="15"/>
                <w:lang w:val="es-ES_tradnl" w:eastAsia="es-CO"/>
              </w:rPr>
              <w:t>($COP Millones)</w:t>
            </w:r>
          </w:p>
        </w:tc>
        <w:tc>
          <w:tcPr>
            <w:tcW w:w="322" w:type="pct"/>
            <w:tcBorders>
              <w:top w:val="nil"/>
              <w:left w:val="nil"/>
              <w:bottom w:val="nil"/>
              <w:right w:val="nil"/>
            </w:tcBorders>
            <w:shd w:val="clear" w:color="auto" w:fill="auto"/>
            <w:noWrap/>
            <w:vAlign w:val="bottom"/>
            <w:hideMark/>
          </w:tcPr>
          <w:p w14:paraId="2341AF42"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322" w:type="pct"/>
            <w:tcBorders>
              <w:top w:val="nil"/>
              <w:left w:val="nil"/>
              <w:bottom w:val="nil"/>
              <w:right w:val="nil"/>
            </w:tcBorders>
            <w:shd w:val="clear" w:color="auto" w:fill="auto"/>
            <w:noWrap/>
            <w:vAlign w:val="bottom"/>
            <w:hideMark/>
          </w:tcPr>
          <w:p w14:paraId="2341AF4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587</w:t>
            </w:r>
          </w:p>
        </w:tc>
        <w:tc>
          <w:tcPr>
            <w:tcW w:w="322" w:type="pct"/>
            <w:tcBorders>
              <w:top w:val="nil"/>
              <w:left w:val="nil"/>
              <w:bottom w:val="nil"/>
              <w:right w:val="nil"/>
            </w:tcBorders>
            <w:shd w:val="clear" w:color="auto" w:fill="auto"/>
            <w:noWrap/>
            <w:vAlign w:val="bottom"/>
            <w:hideMark/>
          </w:tcPr>
          <w:p w14:paraId="2341AF4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1.174</w:t>
            </w:r>
          </w:p>
        </w:tc>
        <w:tc>
          <w:tcPr>
            <w:tcW w:w="322" w:type="pct"/>
            <w:tcBorders>
              <w:top w:val="nil"/>
              <w:left w:val="nil"/>
              <w:bottom w:val="nil"/>
              <w:right w:val="nil"/>
            </w:tcBorders>
            <w:shd w:val="clear" w:color="auto" w:fill="auto"/>
            <w:noWrap/>
            <w:vAlign w:val="bottom"/>
            <w:hideMark/>
          </w:tcPr>
          <w:p w14:paraId="2341AF4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1.761</w:t>
            </w:r>
          </w:p>
        </w:tc>
        <w:tc>
          <w:tcPr>
            <w:tcW w:w="322" w:type="pct"/>
            <w:tcBorders>
              <w:top w:val="nil"/>
              <w:left w:val="nil"/>
              <w:bottom w:val="nil"/>
              <w:right w:val="nil"/>
            </w:tcBorders>
            <w:shd w:val="clear" w:color="auto" w:fill="auto"/>
            <w:noWrap/>
            <w:vAlign w:val="bottom"/>
            <w:hideMark/>
          </w:tcPr>
          <w:p w14:paraId="2341AF4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2.348</w:t>
            </w:r>
          </w:p>
        </w:tc>
        <w:tc>
          <w:tcPr>
            <w:tcW w:w="322" w:type="pct"/>
            <w:tcBorders>
              <w:top w:val="nil"/>
              <w:left w:val="nil"/>
              <w:bottom w:val="nil"/>
              <w:right w:val="nil"/>
            </w:tcBorders>
            <w:shd w:val="clear" w:color="auto" w:fill="auto"/>
            <w:noWrap/>
            <w:vAlign w:val="bottom"/>
            <w:hideMark/>
          </w:tcPr>
          <w:p w14:paraId="2341AF4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2.935</w:t>
            </w:r>
          </w:p>
        </w:tc>
        <w:tc>
          <w:tcPr>
            <w:tcW w:w="247" w:type="pct"/>
            <w:tcBorders>
              <w:top w:val="nil"/>
              <w:left w:val="nil"/>
              <w:bottom w:val="nil"/>
              <w:right w:val="nil"/>
            </w:tcBorders>
            <w:shd w:val="clear" w:color="auto" w:fill="auto"/>
            <w:noWrap/>
            <w:vAlign w:val="bottom"/>
            <w:hideMark/>
          </w:tcPr>
          <w:p w14:paraId="2341AF4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2.935</w:t>
            </w:r>
          </w:p>
        </w:tc>
        <w:tc>
          <w:tcPr>
            <w:tcW w:w="247" w:type="pct"/>
            <w:tcBorders>
              <w:top w:val="nil"/>
              <w:left w:val="nil"/>
              <w:bottom w:val="nil"/>
              <w:right w:val="nil"/>
            </w:tcBorders>
            <w:shd w:val="clear" w:color="auto" w:fill="auto"/>
            <w:noWrap/>
            <w:vAlign w:val="bottom"/>
            <w:hideMark/>
          </w:tcPr>
          <w:p w14:paraId="2341AF4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2.935</w:t>
            </w:r>
          </w:p>
        </w:tc>
        <w:tc>
          <w:tcPr>
            <w:tcW w:w="247" w:type="pct"/>
            <w:tcBorders>
              <w:top w:val="nil"/>
              <w:left w:val="nil"/>
              <w:bottom w:val="nil"/>
              <w:right w:val="nil"/>
            </w:tcBorders>
            <w:shd w:val="clear" w:color="auto" w:fill="auto"/>
            <w:noWrap/>
            <w:vAlign w:val="bottom"/>
            <w:hideMark/>
          </w:tcPr>
          <w:p w14:paraId="2341AF4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2.935</w:t>
            </w:r>
          </w:p>
        </w:tc>
        <w:tc>
          <w:tcPr>
            <w:tcW w:w="247" w:type="pct"/>
            <w:tcBorders>
              <w:top w:val="nil"/>
              <w:left w:val="nil"/>
              <w:bottom w:val="nil"/>
              <w:right w:val="nil"/>
            </w:tcBorders>
            <w:shd w:val="clear" w:color="auto" w:fill="auto"/>
            <w:noWrap/>
            <w:vAlign w:val="bottom"/>
            <w:hideMark/>
          </w:tcPr>
          <w:p w14:paraId="2341AF4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2.935</w:t>
            </w:r>
          </w:p>
        </w:tc>
        <w:tc>
          <w:tcPr>
            <w:tcW w:w="247" w:type="pct"/>
            <w:tcBorders>
              <w:top w:val="nil"/>
              <w:left w:val="nil"/>
              <w:bottom w:val="nil"/>
              <w:right w:val="nil"/>
            </w:tcBorders>
            <w:shd w:val="clear" w:color="auto" w:fill="auto"/>
            <w:noWrap/>
            <w:vAlign w:val="bottom"/>
            <w:hideMark/>
          </w:tcPr>
          <w:p w14:paraId="2341AF4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2.935</w:t>
            </w:r>
          </w:p>
        </w:tc>
        <w:tc>
          <w:tcPr>
            <w:tcW w:w="247" w:type="pct"/>
            <w:tcBorders>
              <w:top w:val="nil"/>
              <w:left w:val="nil"/>
              <w:bottom w:val="nil"/>
              <w:right w:val="nil"/>
            </w:tcBorders>
            <w:shd w:val="clear" w:color="auto" w:fill="auto"/>
            <w:noWrap/>
            <w:vAlign w:val="bottom"/>
            <w:hideMark/>
          </w:tcPr>
          <w:p w14:paraId="2341AF4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2.935</w:t>
            </w:r>
          </w:p>
        </w:tc>
      </w:tr>
      <w:tr w:rsidR="00CD529B" w:rsidRPr="00EA25E2" w14:paraId="2341AF5C" w14:textId="77777777" w:rsidTr="00564572">
        <w:trPr>
          <w:trHeight w:val="216"/>
        </w:trPr>
        <w:tc>
          <w:tcPr>
            <w:tcW w:w="1586" w:type="pct"/>
            <w:tcBorders>
              <w:top w:val="nil"/>
              <w:left w:val="nil"/>
              <w:bottom w:val="single" w:sz="4" w:space="0" w:color="auto"/>
              <w:right w:val="nil"/>
            </w:tcBorders>
            <w:shd w:val="clear" w:color="auto" w:fill="auto"/>
            <w:noWrap/>
            <w:vAlign w:val="bottom"/>
            <w:hideMark/>
          </w:tcPr>
          <w:p w14:paraId="2341AF4F"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planta de generación evitada ($COP Millones)</w:t>
            </w:r>
          </w:p>
        </w:tc>
        <w:tc>
          <w:tcPr>
            <w:tcW w:w="322" w:type="pct"/>
            <w:tcBorders>
              <w:top w:val="nil"/>
              <w:left w:val="nil"/>
              <w:bottom w:val="single" w:sz="4" w:space="0" w:color="auto"/>
              <w:right w:val="nil"/>
            </w:tcBorders>
            <w:shd w:val="clear" w:color="auto" w:fill="auto"/>
            <w:noWrap/>
            <w:vAlign w:val="bottom"/>
            <w:hideMark/>
          </w:tcPr>
          <w:p w14:paraId="2341AF50"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rPr>
              <w:t> </w:t>
            </w:r>
          </w:p>
        </w:tc>
        <w:tc>
          <w:tcPr>
            <w:tcW w:w="322" w:type="pct"/>
            <w:tcBorders>
              <w:top w:val="nil"/>
              <w:left w:val="nil"/>
              <w:bottom w:val="single" w:sz="4" w:space="0" w:color="auto"/>
              <w:right w:val="nil"/>
            </w:tcBorders>
            <w:shd w:val="clear" w:color="auto" w:fill="auto"/>
            <w:noWrap/>
            <w:vAlign w:val="bottom"/>
            <w:hideMark/>
          </w:tcPr>
          <w:p w14:paraId="2341AF5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322" w:type="pct"/>
            <w:tcBorders>
              <w:top w:val="nil"/>
              <w:left w:val="nil"/>
              <w:bottom w:val="single" w:sz="4" w:space="0" w:color="auto"/>
              <w:right w:val="nil"/>
            </w:tcBorders>
            <w:shd w:val="clear" w:color="auto" w:fill="auto"/>
            <w:noWrap/>
            <w:vAlign w:val="bottom"/>
            <w:hideMark/>
          </w:tcPr>
          <w:p w14:paraId="2341AF5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322" w:type="pct"/>
            <w:tcBorders>
              <w:top w:val="nil"/>
              <w:left w:val="nil"/>
              <w:bottom w:val="single" w:sz="4" w:space="0" w:color="auto"/>
              <w:right w:val="nil"/>
            </w:tcBorders>
            <w:shd w:val="clear" w:color="auto" w:fill="auto"/>
            <w:noWrap/>
            <w:vAlign w:val="bottom"/>
            <w:hideMark/>
          </w:tcPr>
          <w:p w14:paraId="2341AF5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322" w:type="pct"/>
            <w:tcBorders>
              <w:top w:val="nil"/>
              <w:left w:val="nil"/>
              <w:bottom w:val="single" w:sz="4" w:space="0" w:color="auto"/>
              <w:right w:val="nil"/>
            </w:tcBorders>
            <w:shd w:val="clear" w:color="auto" w:fill="auto"/>
            <w:noWrap/>
            <w:vAlign w:val="bottom"/>
            <w:hideMark/>
          </w:tcPr>
          <w:p w14:paraId="2341AF5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1.514.961</w:t>
            </w:r>
          </w:p>
        </w:tc>
        <w:tc>
          <w:tcPr>
            <w:tcW w:w="322" w:type="pct"/>
            <w:tcBorders>
              <w:top w:val="nil"/>
              <w:left w:val="nil"/>
              <w:bottom w:val="single" w:sz="4" w:space="0" w:color="auto"/>
              <w:right w:val="nil"/>
            </w:tcBorders>
            <w:shd w:val="clear" w:color="auto" w:fill="auto"/>
            <w:noWrap/>
            <w:vAlign w:val="bottom"/>
            <w:hideMark/>
          </w:tcPr>
          <w:p w14:paraId="2341AF5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auto"/>
              <w:right w:val="nil"/>
            </w:tcBorders>
            <w:shd w:val="clear" w:color="auto" w:fill="auto"/>
            <w:noWrap/>
            <w:vAlign w:val="bottom"/>
            <w:hideMark/>
          </w:tcPr>
          <w:p w14:paraId="2341AF5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auto"/>
              <w:right w:val="nil"/>
            </w:tcBorders>
            <w:shd w:val="clear" w:color="auto" w:fill="auto"/>
            <w:noWrap/>
            <w:vAlign w:val="bottom"/>
            <w:hideMark/>
          </w:tcPr>
          <w:p w14:paraId="2341AF5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auto"/>
              <w:right w:val="nil"/>
            </w:tcBorders>
            <w:shd w:val="clear" w:color="auto" w:fill="auto"/>
            <w:noWrap/>
            <w:vAlign w:val="bottom"/>
            <w:hideMark/>
          </w:tcPr>
          <w:p w14:paraId="2341AF5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auto"/>
              <w:right w:val="nil"/>
            </w:tcBorders>
            <w:shd w:val="clear" w:color="auto" w:fill="auto"/>
            <w:noWrap/>
            <w:vAlign w:val="bottom"/>
            <w:hideMark/>
          </w:tcPr>
          <w:p w14:paraId="2341AF5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auto"/>
              <w:right w:val="nil"/>
            </w:tcBorders>
            <w:shd w:val="clear" w:color="auto" w:fill="auto"/>
            <w:noWrap/>
            <w:vAlign w:val="bottom"/>
            <w:hideMark/>
          </w:tcPr>
          <w:p w14:paraId="2341AF5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single" w:sz="4" w:space="0" w:color="auto"/>
              <w:right w:val="nil"/>
            </w:tcBorders>
            <w:shd w:val="clear" w:color="auto" w:fill="auto"/>
            <w:noWrap/>
            <w:vAlign w:val="bottom"/>
            <w:hideMark/>
          </w:tcPr>
          <w:p w14:paraId="2341AF5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CD529B" w:rsidRPr="00EA25E2" w14:paraId="2341AF6A" w14:textId="77777777" w:rsidTr="00564572">
        <w:trPr>
          <w:trHeight w:val="216"/>
        </w:trPr>
        <w:tc>
          <w:tcPr>
            <w:tcW w:w="1586" w:type="pct"/>
            <w:tcBorders>
              <w:top w:val="nil"/>
              <w:left w:val="nil"/>
              <w:bottom w:val="single" w:sz="4" w:space="0" w:color="auto"/>
              <w:right w:val="nil"/>
            </w:tcBorders>
            <w:shd w:val="clear" w:color="auto" w:fill="auto"/>
            <w:noWrap/>
            <w:vAlign w:val="bottom"/>
            <w:hideMark/>
          </w:tcPr>
          <w:p w14:paraId="2341AF5D" w14:textId="77777777" w:rsidR="00CD529B" w:rsidRPr="00E30C97" w:rsidRDefault="00CD529B" w:rsidP="00564572">
            <w:pPr>
              <w:ind w:firstLineChars="100" w:firstLine="150"/>
              <w:rPr>
                <w:rFonts w:ascii="Calibri" w:hAnsi="Calibri" w:cs="Calibri"/>
                <w:color w:val="000000"/>
                <w:sz w:val="15"/>
                <w:szCs w:val="15"/>
                <w:lang w:eastAsia="es-CO"/>
              </w:rPr>
            </w:pPr>
            <w:r w:rsidRPr="00E30C97">
              <w:rPr>
                <w:rFonts w:ascii="Calibri" w:hAnsi="Calibri" w:cs="Calibri"/>
                <w:color w:val="000000"/>
                <w:sz w:val="15"/>
                <w:szCs w:val="15"/>
                <w:lang w:eastAsia="es-CO"/>
              </w:rPr>
              <w:t>Total Beneficios ($COP Millones)</w:t>
            </w:r>
          </w:p>
        </w:tc>
        <w:tc>
          <w:tcPr>
            <w:tcW w:w="322" w:type="pct"/>
            <w:tcBorders>
              <w:top w:val="nil"/>
              <w:left w:val="nil"/>
              <w:bottom w:val="single" w:sz="4" w:space="0" w:color="auto"/>
              <w:right w:val="nil"/>
            </w:tcBorders>
            <w:shd w:val="clear" w:color="auto" w:fill="auto"/>
            <w:noWrap/>
            <w:vAlign w:val="bottom"/>
            <w:hideMark/>
          </w:tcPr>
          <w:p w14:paraId="2341AF5E" w14:textId="77777777" w:rsidR="00CD529B" w:rsidRPr="00980C81" w:rsidRDefault="00CD529B" w:rsidP="00564572">
            <w:pPr>
              <w:rPr>
                <w:rFonts w:ascii="Calibri" w:hAnsi="Calibri" w:cs="Calibri"/>
                <w:color w:val="000000"/>
                <w:sz w:val="15"/>
                <w:szCs w:val="15"/>
                <w:lang w:eastAsia="es-CO"/>
              </w:rPr>
            </w:pPr>
            <w:r w:rsidRPr="00980C81">
              <w:rPr>
                <w:rFonts w:ascii="Calibri" w:hAnsi="Calibri" w:cs="Calibri"/>
                <w:color w:val="000000"/>
                <w:sz w:val="15"/>
                <w:szCs w:val="15"/>
              </w:rPr>
              <w:t> </w:t>
            </w:r>
          </w:p>
        </w:tc>
        <w:tc>
          <w:tcPr>
            <w:tcW w:w="322" w:type="pct"/>
            <w:tcBorders>
              <w:top w:val="nil"/>
              <w:left w:val="nil"/>
              <w:bottom w:val="single" w:sz="4" w:space="0" w:color="auto"/>
              <w:right w:val="nil"/>
            </w:tcBorders>
            <w:shd w:val="clear" w:color="auto" w:fill="auto"/>
            <w:noWrap/>
            <w:vAlign w:val="bottom"/>
            <w:hideMark/>
          </w:tcPr>
          <w:p w14:paraId="2341AF5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63.272</w:t>
            </w:r>
          </w:p>
        </w:tc>
        <w:tc>
          <w:tcPr>
            <w:tcW w:w="322" w:type="pct"/>
            <w:tcBorders>
              <w:top w:val="nil"/>
              <w:left w:val="nil"/>
              <w:bottom w:val="single" w:sz="4" w:space="0" w:color="auto"/>
              <w:right w:val="nil"/>
            </w:tcBorders>
            <w:shd w:val="clear" w:color="auto" w:fill="auto"/>
            <w:noWrap/>
            <w:vAlign w:val="bottom"/>
            <w:hideMark/>
          </w:tcPr>
          <w:p w14:paraId="2341AF6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126.543</w:t>
            </w:r>
          </w:p>
        </w:tc>
        <w:tc>
          <w:tcPr>
            <w:tcW w:w="322" w:type="pct"/>
            <w:tcBorders>
              <w:top w:val="nil"/>
              <w:left w:val="nil"/>
              <w:bottom w:val="single" w:sz="4" w:space="0" w:color="auto"/>
              <w:right w:val="nil"/>
            </w:tcBorders>
            <w:shd w:val="clear" w:color="auto" w:fill="auto"/>
            <w:noWrap/>
            <w:vAlign w:val="bottom"/>
            <w:hideMark/>
          </w:tcPr>
          <w:p w14:paraId="2341AF6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189.815</w:t>
            </w:r>
          </w:p>
        </w:tc>
        <w:tc>
          <w:tcPr>
            <w:tcW w:w="322" w:type="pct"/>
            <w:tcBorders>
              <w:top w:val="nil"/>
              <w:left w:val="nil"/>
              <w:bottom w:val="single" w:sz="4" w:space="0" w:color="auto"/>
              <w:right w:val="nil"/>
            </w:tcBorders>
            <w:shd w:val="clear" w:color="auto" w:fill="auto"/>
            <w:noWrap/>
            <w:vAlign w:val="bottom"/>
            <w:hideMark/>
          </w:tcPr>
          <w:p w14:paraId="2341AF6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1.768.048</w:t>
            </w:r>
          </w:p>
        </w:tc>
        <w:tc>
          <w:tcPr>
            <w:tcW w:w="322" w:type="pct"/>
            <w:tcBorders>
              <w:top w:val="nil"/>
              <w:left w:val="nil"/>
              <w:bottom w:val="single" w:sz="4" w:space="0" w:color="auto"/>
              <w:right w:val="nil"/>
            </w:tcBorders>
            <w:shd w:val="clear" w:color="auto" w:fill="auto"/>
            <w:noWrap/>
            <w:vAlign w:val="bottom"/>
            <w:hideMark/>
          </w:tcPr>
          <w:p w14:paraId="2341AF6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2341AF6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2341AF6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2341AF6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2341AF6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2341AF6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2341AF6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r>
      <w:tr w:rsidR="00CD529B" w:rsidRPr="00EA25E2" w14:paraId="2341AF78" w14:textId="77777777" w:rsidTr="00564572">
        <w:trPr>
          <w:trHeight w:val="216"/>
        </w:trPr>
        <w:tc>
          <w:tcPr>
            <w:tcW w:w="1586" w:type="pct"/>
            <w:tcBorders>
              <w:top w:val="nil"/>
              <w:left w:val="nil"/>
              <w:bottom w:val="nil"/>
              <w:right w:val="nil"/>
            </w:tcBorders>
            <w:shd w:val="clear" w:color="auto" w:fill="auto"/>
            <w:noWrap/>
            <w:vAlign w:val="bottom"/>
            <w:hideMark/>
          </w:tcPr>
          <w:p w14:paraId="2341AF6B" w14:textId="77777777" w:rsidR="00CD529B" w:rsidRPr="00E30C97" w:rsidRDefault="00CD529B" w:rsidP="00564572">
            <w:pPr>
              <w:rPr>
                <w:rFonts w:ascii="Calibri" w:hAnsi="Calibri" w:cs="Calibri"/>
                <w:b/>
                <w:bCs/>
                <w:color w:val="000000"/>
                <w:sz w:val="15"/>
                <w:szCs w:val="15"/>
                <w:lang w:eastAsia="es-CO"/>
              </w:rPr>
            </w:pPr>
            <w:r w:rsidRPr="00E30C97">
              <w:rPr>
                <w:rFonts w:ascii="Calibri" w:hAnsi="Calibri" w:cs="Calibri"/>
                <w:b/>
                <w:bCs/>
                <w:color w:val="000000"/>
                <w:sz w:val="15"/>
                <w:szCs w:val="15"/>
                <w:lang w:eastAsia="es-CO"/>
              </w:rPr>
              <w:t>Inversión y Costos</w:t>
            </w:r>
          </w:p>
        </w:tc>
        <w:tc>
          <w:tcPr>
            <w:tcW w:w="322" w:type="pct"/>
            <w:tcBorders>
              <w:top w:val="nil"/>
              <w:left w:val="nil"/>
              <w:bottom w:val="nil"/>
              <w:right w:val="nil"/>
            </w:tcBorders>
            <w:shd w:val="clear" w:color="auto" w:fill="auto"/>
            <w:noWrap/>
            <w:vAlign w:val="bottom"/>
            <w:hideMark/>
          </w:tcPr>
          <w:p w14:paraId="2341AF6C" w14:textId="77777777" w:rsidR="00CD529B" w:rsidRPr="00980C81" w:rsidRDefault="00CD529B" w:rsidP="00564572">
            <w:pPr>
              <w:rPr>
                <w:rFonts w:ascii="Calibri" w:hAnsi="Calibri" w:cs="Calibri"/>
                <w:b/>
                <w:bCs/>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2341AF6D" w14:textId="77777777" w:rsidR="00CD529B" w:rsidRPr="00980C81"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F6E" w14:textId="77777777" w:rsidR="00CD529B" w:rsidRPr="00980C81"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F6F" w14:textId="77777777" w:rsidR="00CD529B" w:rsidRPr="00980C81"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F70" w14:textId="77777777" w:rsidR="00CD529B" w:rsidRPr="00980C81"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F71"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72"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73"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74"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75"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76"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77" w14:textId="77777777" w:rsidR="00CD529B" w:rsidRPr="00980C81" w:rsidRDefault="00CD529B" w:rsidP="00564572">
            <w:pPr>
              <w:rPr>
                <w:sz w:val="15"/>
                <w:szCs w:val="15"/>
                <w:lang w:eastAsia="es-CO"/>
              </w:rPr>
            </w:pPr>
          </w:p>
        </w:tc>
      </w:tr>
      <w:tr w:rsidR="00CD529B" w:rsidRPr="00EA25E2" w14:paraId="2341AF86" w14:textId="77777777" w:rsidTr="00564572">
        <w:trPr>
          <w:trHeight w:val="216"/>
        </w:trPr>
        <w:tc>
          <w:tcPr>
            <w:tcW w:w="1586" w:type="pct"/>
            <w:tcBorders>
              <w:top w:val="nil"/>
              <w:left w:val="nil"/>
              <w:bottom w:val="nil"/>
              <w:right w:val="nil"/>
            </w:tcBorders>
            <w:shd w:val="clear" w:color="auto" w:fill="auto"/>
            <w:noWrap/>
            <w:vAlign w:val="bottom"/>
            <w:hideMark/>
          </w:tcPr>
          <w:p w14:paraId="2341AF79" w14:textId="77777777" w:rsidR="00CD529B" w:rsidRPr="00E30C97" w:rsidRDefault="00CD529B" w:rsidP="00564572">
            <w:pPr>
              <w:ind w:firstLineChars="100" w:firstLine="150"/>
              <w:rPr>
                <w:rFonts w:ascii="Calibri" w:hAnsi="Calibri" w:cs="Calibri"/>
                <w:color w:val="000000"/>
                <w:sz w:val="15"/>
                <w:szCs w:val="15"/>
                <w:lang w:eastAsia="es-CO"/>
              </w:rPr>
            </w:pPr>
            <w:r w:rsidRPr="00E30C97">
              <w:rPr>
                <w:rFonts w:ascii="Calibri" w:hAnsi="Calibri" w:cs="Calibri"/>
                <w:color w:val="000000"/>
                <w:sz w:val="15"/>
                <w:szCs w:val="15"/>
                <w:lang w:eastAsia="es-CO"/>
              </w:rPr>
              <w:t>Inversión en bombillos LED</w:t>
            </w:r>
          </w:p>
        </w:tc>
        <w:tc>
          <w:tcPr>
            <w:tcW w:w="322" w:type="pct"/>
            <w:tcBorders>
              <w:top w:val="nil"/>
              <w:left w:val="nil"/>
              <w:bottom w:val="nil"/>
              <w:right w:val="nil"/>
            </w:tcBorders>
            <w:shd w:val="clear" w:color="auto" w:fill="auto"/>
            <w:noWrap/>
            <w:vAlign w:val="bottom"/>
            <w:hideMark/>
          </w:tcPr>
          <w:p w14:paraId="2341AF7A" w14:textId="77777777" w:rsidR="00CD529B" w:rsidRPr="00980C81" w:rsidRDefault="00CD529B" w:rsidP="00564572">
            <w:pPr>
              <w:ind w:firstLineChars="100" w:firstLine="150"/>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2341AF7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nil"/>
              <w:left w:val="nil"/>
              <w:bottom w:val="nil"/>
              <w:right w:val="nil"/>
            </w:tcBorders>
            <w:shd w:val="clear" w:color="auto" w:fill="auto"/>
            <w:noWrap/>
            <w:vAlign w:val="bottom"/>
            <w:hideMark/>
          </w:tcPr>
          <w:p w14:paraId="2341AF7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nil"/>
              <w:left w:val="nil"/>
              <w:bottom w:val="nil"/>
              <w:right w:val="nil"/>
            </w:tcBorders>
            <w:shd w:val="clear" w:color="auto" w:fill="auto"/>
            <w:noWrap/>
            <w:vAlign w:val="bottom"/>
            <w:hideMark/>
          </w:tcPr>
          <w:p w14:paraId="2341AF7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nil"/>
              <w:left w:val="nil"/>
              <w:bottom w:val="nil"/>
              <w:right w:val="nil"/>
            </w:tcBorders>
            <w:shd w:val="clear" w:color="auto" w:fill="auto"/>
            <w:noWrap/>
            <w:vAlign w:val="bottom"/>
            <w:hideMark/>
          </w:tcPr>
          <w:p w14:paraId="2341AF7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nil"/>
              <w:left w:val="nil"/>
              <w:bottom w:val="nil"/>
              <w:right w:val="nil"/>
            </w:tcBorders>
            <w:shd w:val="clear" w:color="auto" w:fill="auto"/>
            <w:noWrap/>
            <w:vAlign w:val="bottom"/>
            <w:hideMark/>
          </w:tcPr>
          <w:p w14:paraId="2341AF7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247" w:type="pct"/>
            <w:tcBorders>
              <w:top w:val="nil"/>
              <w:left w:val="nil"/>
              <w:bottom w:val="nil"/>
              <w:right w:val="nil"/>
            </w:tcBorders>
            <w:shd w:val="clear" w:color="auto" w:fill="auto"/>
            <w:noWrap/>
            <w:vAlign w:val="bottom"/>
            <w:hideMark/>
          </w:tcPr>
          <w:p w14:paraId="2341AF8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F8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F8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F8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F8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nil"/>
              <w:left w:val="nil"/>
              <w:bottom w:val="nil"/>
              <w:right w:val="nil"/>
            </w:tcBorders>
            <w:shd w:val="clear" w:color="auto" w:fill="auto"/>
            <w:noWrap/>
            <w:vAlign w:val="bottom"/>
            <w:hideMark/>
          </w:tcPr>
          <w:p w14:paraId="2341AF8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CD529B" w:rsidRPr="00EA25E2" w14:paraId="2341AF94" w14:textId="77777777" w:rsidTr="00564572">
        <w:trPr>
          <w:trHeight w:val="216"/>
        </w:trPr>
        <w:tc>
          <w:tcPr>
            <w:tcW w:w="1586" w:type="pct"/>
            <w:tcBorders>
              <w:top w:val="single" w:sz="4" w:space="0" w:color="auto"/>
              <w:left w:val="nil"/>
              <w:bottom w:val="single" w:sz="4" w:space="0" w:color="auto"/>
              <w:right w:val="nil"/>
            </w:tcBorders>
            <w:shd w:val="clear" w:color="auto" w:fill="auto"/>
            <w:noWrap/>
            <w:vAlign w:val="bottom"/>
            <w:hideMark/>
          </w:tcPr>
          <w:p w14:paraId="2341AF87"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Total Inversión y Costos ($COP Millones)</w:t>
            </w:r>
          </w:p>
        </w:tc>
        <w:tc>
          <w:tcPr>
            <w:tcW w:w="322" w:type="pct"/>
            <w:tcBorders>
              <w:top w:val="single" w:sz="4" w:space="0" w:color="auto"/>
              <w:left w:val="nil"/>
              <w:bottom w:val="single" w:sz="4" w:space="0" w:color="auto"/>
              <w:right w:val="nil"/>
            </w:tcBorders>
            <w:shd w:val="clear" w:color="auto" w:fill="auto"/>
            <w:noWrap/>
            <w:vAlign w:val="bottom"/>
            <w:hideMark/>
          </w:tcPr>
          <w:p w14:paraId="2341AF88"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rPr>
              <w:t> </w:t>
            </w:r>
          </w:p>
        </w:tc>
        <w:tc>
          <w:tcPr>
            <w:tcW w:w="322" w:type="pct"/>
            <w:tcBorders>
              <w:top w:val="single" w:sz="4" w:space="0" w:color="auto"/>
              <w:left w:val="nil"/>
              <w:bottom w:val="single" w:sz="4" w:space="0" w:color="auto"/>
              <w:right w:val="nil"/>
            </w:tcBorders>
            <w:shd w:val="clear" w:color="auto" w:fill="auto"/>
            <w:noWrap/>
            <w:vAlign w:val="bottom"/>
            <w:hideMark/>
          </w:tcPr>
          <w:p w14:paraId="2341AF8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single" w:sz="4" w:space="0" w:color="auto"/>
              <w:left w:val="nil"/>
              <w:bottom w:val="single" w:sz="4" w:space="0" w:color="auto"/>
              <w:right w:val="nil"/>
            </w:tcBorders>
            <w:shd w:val="clear" w:color="auto" w:fill="auto"/>
            <w:noWrap/>
            <w:vAlign w:val="bottom"/>
            <w:hideMark/>
          </w:tcPr>
          <w:p w14:paraId="2341AF8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single" w:sz="4" w:space="0" w:color="auto"/>
              <w:left w:val="nil"/>
              <w:bottom w:val="single" w:sz="4" w:space="0" w:color="auto"/>
              <w:right w:val="nil"/>
            </w:tcBorders>
            <w:shd w:val="clear" w:color="auto" w:fill="auto"/>
            <w:noWrap/>
            <w:vAlign w:val="bottom"/>
            <w:hideMark/>
          </w:tcPr>
          <w:p w14:paraId="2341AF8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single" w:sz="4" w:space="0" w:color="auto"/>
              <w:left w:val="nil"/>
              <w:bottom w:val="single" w:sz="4" w:space="0" w:color="auto"/>
              <w:right w:val="nil"/>
            </w:tcBorders>
            <w:shd w:val="clear" w:color="auto" w:fill="auto"/>
            <w:noWrap/>
            <w:vAlign w:val="bottom"/>
            <w:hideMark/>
          </w:tcPr>
          <w:p w14:paraId="2341AF8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322" w:type="pct"/>
            <w:tcBorders>
              <w:top w:val="single" w:sz="4" w:space="0" w:color="auto"/>
              <w:left w:val="nil"/>
              <w:bottom w:val="single" w:sz="4" w:space="0" w:color="auto"/>
              <w:right w:val="nil"/>
            </w:tcBorders>
            <w:shd w:val="clear" w:color="auto" w:fill="auto"/>
            <w:noWrap/>
            <w:vAlign w:val="bottom"/>
            <w:hideMark/>
          </w:tcPr>
          <w:p w14:paraId="2341AF8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289.407</w:t>
            </w:r>
          </w:p>
        </w:tc>
        <w:tc>
          <w:tcPr>
            <w:tcW w:w="247" w:type="pct"/>
            <w:tcBorders>
              <w:top w:val="single" w:sz="4" w:space="0" w:color="auto"/>
              <w:left w:val="nil"/>
              <w:bottom w:val="single" w:sz="4" w:space="0" w:color="auto"/>
              <w:right w:val="nil"/>
            </w:tcBorders>
            <w:shd w:val="clear" w:color="auto" w:fill="auto"/>
            <w:noWrap/>
            <w:vAlign w:val="bottom"/>
            <w:hideMark/>
          </w:tcPr>
          <w:p w14:paraId="2341AF8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single" w:sz="4" w:space="0" w:color="auto"/>
              <w:left w:val="nil"/>
              <w:bottom w:val="single" w:sz="4" w:space="0" w:color="auto"/>
              <w:right w:val="nil"/>
            </w:tcBorders>
            <w:shd w:val="clear" w:color="auto" w:fill="auto"/>
            <w:noWrap/>
            <w:vAlign w:val="bottom"/>
            <w:hideMark/>
          </w:tcPr>
          <w:p w14:paraId="2341AF8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single" w:sz="4" w:space="0" w:color="auto"/>
              <w:left w:val="nil"/>
              <w:bottom w:val="single" w:sz="4" w:space="0" w:color="auto"/>
              <w:right w:val="nil"/>
            </w:tcBorders>
            <w:shd w:val="clear" w:color="auto" w:fill="auto"/>
            <w:noWrap/>
            <w:vAlign w:val="bottom"/>
            <w:hideMark/>
          </w:tcPr>
          <w:p w14:paraId="2341AF9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single" w:sz="4" w:space="0" w:color="auto"/>
              <w:left w:val="nil"/>
              <w:bottom w:val="single" w:sz="4" w:space="0" w:color="auto"/>
              <w:right w:val="nil"/>
            </w:tcBorders>
            <w:shd w:val="clear" w:color="auto" w:fill="auto"/>
            <w:noWrap/>
            <w:vAlign w:val="bottom"/>
            <w:hideMark/>
          </w:tcPr>
          <w:p w14:paraId="2341AF9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single" w:sz="4" w:space="0" w:color="auto"/>
              <w:left w:val="nil"/>
              <w:bottom w:val="single" w:sz="4" w:space="0" w:color="auto"/>
              <w:right w:val="nil"/>
            </w:tcBorders>
            <w:shd w:val="clear" w:color="auto" w:fill="auto"/>
            <w:noWrap/>
            <w:vAlign w:val="bottom"/>
            <w:hideMark/>
          </w:tcPr>
          <w:p w14:paraId="2341AF9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47" w:type="pct"/>
            <w:tcBorders>
              <w:top w:val="single" w:sz="4" w:space="0" w:color="auto"/>
              <w:left w:val="nil"/>
              <w:bottom w:val="single" w:sz="4" w:space="0" w:color="auto"/>
              <w:right w:val="nil"/>
            </w:tcBorders>
            <w:shd w:val="clear" w:color="auto" w:fill="auto"/>
            <w:noWrap/>
            <w:vAlign w:val="bottom"/>
            <w:hideMark/>
          </w:tcPr>
          <w:p w14:paraId="2341AF9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CD529B" w:rsidRPr="00EA25E2" w14:paraId="2341AFA2" w14:textId="77777777" w:rsidTr="00564572">
        <w:trPr>
          <w:trHeight w:val="216"/>
        </w:trPr>
        <w:tc>
          <w:tcPr>
            <w:tcW w:w="1586" w:type="pct"/>
            <w:tcBorders>
              <w:top w:val="nil"/>
              <w:left w:val="nil"/>
              <w:bottom w:val="single" w:sz="4" w:space="0" w:color="auto"/>
              <w:right w:val="nil"/>
            </w:tcBorders>
            <w:shd w:val="clear" w:color="auto" w:fill="auto"/>
            <w:noWrap/>
            <w:vAlign w:val="bottom"/>
            <w:hideMark/>
          </w:tcPr>
          <w:p w14:paraId="2341AF95" w14:textId="77777777" w:rsidR="00CD529B" w:rsidRPr="00E30C97" w:rsidRDefault="00CD529B" w:rsidP="00564572">
            <w:pPr>
              <w:rPr>
                <w:rFonts w:ascii="Calibri" w:hAnsi="Calibri" w:cs="Calibri"/>
                <w:b/>
                <w:bCs/>
                <w:color w:val="000000"/>
                <w:sz w:val="15"/>
                <w:szCs w:val="15"/>
                <w:lang w:eastAsia="es-CO"/>
              </w:rPr>
            </w:pPr>
            <w:r w:rsidRPr="00E30C97">
              <w:rPr>
                <w:rFonts w:ascii="Calibri" w:hAnsi="Calibri" w:cs="Calibri"/>
                <w:b/>
                <w:bCs/>
                <w:color w:val="000000"/>
                <w:sz w:val="15"/>
                <w:szCs w:val="15"/>
                <w:lang w:eastAsia="es-CO"/>
              </w:rPr>
              <w:t>Flujo Neto</w:t>
            </w:r>
          </w:p>
        </w:tc>
        <w:tc>
          <w:tcPr>
            <w:tcW w:w="322" w:type="pct"/>
            <w:tcBorders>
              <w:top w:val="nil"/>
              <w:left w:val="nil"/>
              <w:bottom w:val="single" w:sz="4" w:space="0" w:color="auto"/>
              <w:right w:val="nil"/>
            </w:tcBorders>
            <w:shd w:val="clear" w:color="auto" w:fill="auto"/>
            <w:noWrap/>
            <w:vAlign w:val="bottom"/>
            <w:hideMark/>
          </w:tcPr>
          <w:p w14:paraId="2341AF96" w14:textId="77777777" w:rsidR="00CD529B" w:rsidRPr="00980C81" w:rsidRDefault="00CD529B" w:rsidP="00564572">
            <w:pPr>
              <w:rPr>
                <w:rFonts w:ascii="Calibri" w:hAnsi="Calibri" w:cs="Calibri"/>
                <w:color w:val="000000"/>
                <w:sz w:val="15"/>
                <w:szCs w:val="15"/>
                <w:lang w:eastAsia="es-CO"/>
              </w:rPr>
            </w:pPr>
            <w:r w:rsidRPr="00980C81">
              <w:rPr>
                <w:rFonts w:ascii="Calibri" w:hAnsi="Calibri" w:cs="Calibri"/>
                <w:color w:val="000000"/>
                <w:sz w:val="15"/>
                <w:szCs w:val="15"/>
              </w:rPr>
              <w:t> </w:t>
            </w:r>
          </w:p>
        </w:tc>
        <w:tc>
          <w:tcPr>
            <w:tcW w:w="322" w:type="pct"/>
            <w:tcBorders>
              <w:top w:val="nil"/>
              <w:left w:val="nil"/>
              <w:bottom w:val="single" w:sz="4" w:space="0" w:color="auto"/>
              <w:right w:val="nil"/>
            </w:tcBorders>
            <w:shd w:val="clear" w:color="auto" w:fill="auto"/>
            <w:noWrap/>
            <w:vAlign w:val="bottom"/>
            <w:hideMark/>
          </w:tcPr>
          <w:p w14:paraId="2341AF9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-226.135</w:t>
            </w:r>
          </w:p>
        </w:tc>
        <w:tc>
          <w:tcPr>
            <w:tcW w:w="322" w:type="pct"/>
            <w:tcBorders>
              <w:top w:val="nil"/>
              <w:left w:val="nil"/>
              <w:bottom w:val="single" w:sz="4" w:space="0" w:color="auto"/>
              <w:right w:val="nil"/>
            </w:tcBorders>
            <w:shd w:val="clear" w:color="auto" w:fill="auto"/>
            <w:noWrap/>
            <w:vAlign w:val="bottom"/>
            <w:hideMark/>
          </w:tcPr>
          <w:p w14:paraId="2341AF9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-162.864</w:t>
            </w:r>
          </w:p>
        </w:tc>
        <w:tc>
          <w:tcPr>
            <w:tcW w:w="322" w:type="pct"/>
            <w:tcBorders>
              <w:top w:val="nil"/>
              <w:left w:val="nil"/>
              <w:bottom w:val="single" w:sz="4" w:space="0" w:color="auto"/>
              <w:right w:val="nil"/>
            </w:tcBorders>
            <w:shd w:val="clear" w:color="auto" w:fill="auto"/>
            <w:noWrap/>
            <w:vAlign w:val="bottom"/>
            <w:hideMark/>
          </w:tcPr>
          <w:p w14:paraId="2341AF9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-99.592</w:t>
            </w:r>
          </w:p>
        </w:tc>
        <w:tc>
          <w:tcPr>
            <w:tcW w:w="322" w:type="pct"/>
            <w:tcBorders>
              <w:top w:val="nil"/>
              <w:left w:val="nil"/>
              <w:bottom w:val="single" w:sz="4" w:space="0" w:color="auto"/>
              <w:right w:val="nil"/>
            </w:tcBorders>
            <w:shd w:val="clear" w:color="auto" w:fill="auto"/>
            <w:noWrap/>
            <w:vAlign w:val="bottom"/>
            <w:hideMark/>
          </w:tcPr>
          <w:p w14:paraId="2341AF9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1.478.641</w:t>
            </w:r>
          </w:p>
        </w:tc>
        <w:tc>
          <w:tcPr>
            <w:tcW w:w="322" w:type="pct"/>
            <w:tcBorders>
              <w:top w:val="nil"/>
              <w:left w:val="nil"/>
              <w:bottom w:val="single" w:sz="4" w:space="0" w:color="auto"/>
              <w:right w:val="nil"/>
            </w:tcBorders>
            <w:shd w:val="clear" w:color="auto" w:fill="auto"/>
            <w:noWrap/>
            <w:vAlign w:val="bottom"/>
            <w:hideMark/>
          </w:tcPr>
          <w:p w14:paraId="2341AF9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26.951</w:t>
            </w:r>
          </w:p>
        </w:tc>
        <w:tc>
          <w:tcPr>
            <w:tcW w:w="247" w:type="pct"/>
            <w:tcBorders>
              <w:top w:val="nil"/>
              <w:left w:val="nil"/>
              <w:bottom w:val="single" w:sz="4" w:space="0" w:color="auto"/>
              <w:right w:val="nil"/>
            </w:tcBorders>
            <w:shd w:val="clear" w:color="auto" w:fill="auto"/>
            <w:noWrap/>
            <w:vAlign w:val="bottom"/>
            <w:hideMark/>
          </w:tcPr>
          <w:p w14:paraId="2341AF9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2341AF9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2341AF9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2341AF9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2341AFA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c>
          <w:tcPr>
            <w:tcW w:w="247" w:type="pct"/>
            <w:tcBorders>
              <w:top w:val="nil"/>
              <w:left w:val="nil"/>
              <w:bottom w:val="single" w:sz="4" w:space="0" w:color="auto"/>
              <w:right w:val="nil"/>
            </w:tcBorders>
            <w:shd w:val="clear" w:color="auto" w:fill="auto"/>
            <w:noWrap/>
            <w:vAlign w:val="bottom"/>
            <w:hideMark/>
          </w:tcPr>
          <w:p w14:paraId="2341AFA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316.358</w:t>
            </w:r>
          </w:p>
        </w:tc>
      </w:tr>
      <w:tr w:rsidR="00CD529B" w:rsidRPr="00EA25E2" w14:paraId="2341AFB0" w14:textId="77777777" w:rsidTr="00564572">
        <w:trPr>
          <w:trHeight w:val="216"/>
        </w:trPr>
        <w:tc>
          <w:tcPr>
            <w:tcW w:w="1586" w:type="pct"/>
            <w:tcBorders>
              <w:top w:val="nil"/>
              <w:left w:val="nil"/>
              <w:bottom w:val="nil"/>
              <w:right w:val="nil"/>
            </w:tcBorders>
            <w:shd w:val="clear" w:color="auto" w:fill="auto"/>
            <w:noWrap/>
            <w:vAlign w:val="bottom"/>
            <w:hideMark/>
          </w:tcPr>
          <w:p w14:paraId="2341AFA3" w14:textId="77777777" w:rsidR="00CD529B" w:rsidRPr="00E30C97" w:rsidRDefault="00CD529B" w:rsidP="00564572">
            <w:pPr>
              <w:jc w:val="right"/>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tcPr>
          <w:p w14:paraId="2341AFA4" w14:textId="77777777" w:rsidR="00CD529B" w:rsidRPr="00980C81"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tcPr>
          <w:p w14:paraId="2341AFA5" w14:textId="77777777" w:rsidR="00CD529B" w:rsidRPr="00980C81"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tcPr>
          <w:p w14:paraId="2341AFA6" w14:textId="77777777" w:rsidR="00CD529B" w:rsidRPr="00980C81"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tcPr>
          <w:p w14:paraId="2341AFA7" w14:textId="77777777" w:rsidR="00CD529B" w:rsidRPr="00980C81"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tcPr>
          <w:p w14:paraId="2341AFA8" w14:textId="77777777" w:rsidR="00CD529B" w:rsidRPr="00980C81"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tcPr>
          <w:p w14:paraId="2341AFA9"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tcPr>
          <w:p w14:paraId="2341AFAA"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tcPr>
          <w:p w14:paraId="2341AFAB"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tcPr>
          <w:p w14:paraId="2341AFAC"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tcPr>
          <w:p w14:paraId="2341AFAD"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tcPr>
          <w:p w14:paraId="2341AFAE" w14:textId="77777777" w:rsidR="00CD529B" w:rsidRPr="00980C81"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tcPr>
          <w:p w14:paraId="2341AFAF" w14:textId="77777777" w:rsidR="00CD529B" w:rsidRPr="00980C81" w:rsidRDefault="00CD529B" w:rsidP="00564572">
            <w:pPr>
              <w:rPr>
                <w:sz w:val="15"/>
                <w:szCs w:val="15"/>
                <w:lang w:eastAsia="es-CO"/>
              </w:rPr>
            </w:pPr>
          </w:p>
        </w:tc>
      </w:tr>
      <w:tr w:rsidR="00CD529B" w:rsidRPr="00EA25E2" w14:paraId="2341AFBE" w14:textId="77777777" w:rsidTr="00564572">
        <w:trPr>
          <w:trHeight w:val="216"/>
        </w:trPr>
        <w:tc>
          <w:tcPr>
            <w:tcW w:w="1586" w:type="pct"/>
            <w:tcBorders>
              <w:top w:val="nil"/>
              <w:left w:val="nil"/>
              <w:bottom w:val="nil"/>
              <w:right w:val="nil"/>
            </w:tcBorders>
            <w:shd w:val="clear" w:color="auto" w:fill="auto"/>
            <w:noWrap/>
            <w:vAlign w:val="bottom"/>
            <w:hideMark/>
          </w:tcPr>
          <w:p w14:paraId="2341AFB1" w14:textId="77777777" w:rsidR="00CD529B" w:rsidRPr="00E30C97" w:rsidRDefault="00CD529B" w:rsidP="00564572">
            <w:pPr>
              <w:rPr>
                <w:sz w:val="15"/>
                <w:szCs w:val="15"/>
                <w:lang w:eastAsia="es-CO"/>
              </w:rPr>
            </w:pP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2341AFB2"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Beneficios</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2341AFB3"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Costos</w:t>
            </w:r>
          </w:p>
        </w:tc>
        <w:tc>
          <w:tcPr>
            <w:tcW w:w="322" w:type="pct"/>
            <w:tcBorders>
              <w:top w:val="single" w:sz="4" w:space="0" w:color="FFFFFF"/>
              <w:left w:val="nil"/>
              <w:bottom w:val="single" w:sz="4" w:space="0" w:color="auto"/>
              <w:right w:val="single" w:sz="4" w:space="0" w:color="FFFFFF"/>
            </w:tcBorders>
            <w:shd w:val="clear" w:color="000000" w:fill="203764"/>
            <w:noWrap/>
            <w:vAlign w:val="bottom"/>
            <w:hideMark/>
          </w:tcPr>
          <w:p w14:paraId="2341AFB4" w14:textId="77777777" w:rsidR="00CD529B" w:rsidRPr="00E30C97" w:rsidRDefault="00CD529B" w:rsidP="00564572">
            <w:pPr>
              <w:jc w:val="center"/>
              <w:rPr>
                <w:rFonts w:ascii="Calibri" w:hAnsi="Calibri" w:cs="Calibri"/>
                <w:color w:val="FFFFFF"/>
                <w:sz w:val="15"/>
                <w:szCs w:val="15"/>
                <w:lang w:eastAsia="es-CO"/>
              </w:rPr>
            </w:pPr>
            <w:r w:rsidRPr="00E30C97">
              <w:rPr>
                <w:rFonts w:ascii="Calibri" w:hAnsi="Calibri" w:cs="Calibri"/>
                <w:color w:val="FFFFFF"/>
                <w:sz w:val="15"/>
                <w:szCs w:val="15"/>
                <w:lang w:eastAsia="es-CO"/>
              </w:rPr>
              <w:t>Neto</w:t>
            </w:r>
          </w:p>
        </w:tc>
        <w:tc>
          <w:tcPr>
            <w:tcW w:w="322" w:type="pct"/>
            <w:tcBorders>
              <w:top w:val="nil"/>
              <w:left w:val="nil"/>
              <w:bottom w:val="nil"/>
              <w:right w:val="nil"/>
            </w:tcBorders>
            <w:shd w:val="clear" w:color="auto" w:fill="auto"/>
            <w:noWrap/>
            <w:vAlign w:val="bottom"/>
            <w:hideMark/>
          </w:tcPr>
          <w:p w14:paraId="2341AFB5" w14:textId="77777777" w:rsidR="00CD529B" w:rsidRPr="00E30C97" w:rsidRDefault="00CD529B" w:rsidP="00564572">
            <w:pPr>
              <w:jc w:val="center"/>
              <w:rPr>
                <w:rFonts w:ascii="Calibri" w:hAnsi="Calibri" w:cs="Calibri"/>
                <w:color w:val="FFFFFF"/>
                <w:sz w:val="15"/>
                <w:szCs w:val="15"/>
                <w:lang w:eastAsia="es-CO"/>
              </w:rPr>
            </w:pPr>
          </w:p>
        </w:tc>
        <w:tc>
          <w:tcPr>
            <w:tcW w:w="322" w:type="pct"/>
            <w:tcBorders>
              <w:top w:val="nil"/>
              <w:left w:val="nil"/>
              <w:bottom w:val="nil"/>
              <w:right w:val="nil"/>
            </w:tcBorders>
            <w:shd w:val="clear" w:color="auto" w:fill="auto"/>
            <w:noWrap/>
            <w:vAlign w:val="bottom"/>
            <w:hideMark/>
          </w:tcPr>
          <w:p w14:paraId="2341AFB6"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FB7"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B8"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B9"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BA"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BB"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BC"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BD" w14:textId="77777777" w:rsidR="00CD529B" w:rsidRPr="00E30C97" w:rsidRDefault="00CD529B" w:rsidP="00564572">
            <w:pPr>
              <w:rPr>
                <w:sz w:val="15"/>
                <w:szCs w:val="15"/>
                <w:lang w:eastAsia="es-CO"/>
              </w:rPr>
            </w:pPr>
          </w:p>
        </w:tc>
      </w:tr>
      <w:tr w:rsidR="00CD529B" w:rsidRPr="00EA25E2" w14:paraId="2341AFCC" w14:textId="77777777" w:rsidTr="00564572">
        <w:trPr>
          <w:trHeight w:val="216"/>
        </w:trPr>
        <w:tc>
          <w:tcPr>
            <w:tcW w:w="1586" w:type="pct"/>
            <w:tcBorders>
              <w:top w:val="single" w:sz="4" w:space="0" w:color="auto"/>
              <w:left w:val="single" w:sz="4" w:space="0" w:color="auto"/>
              <w:bottom w:val="single" w:sz="4" w:space="0" w:color="auto"/>
              <w:right w:val="nil"/>
            </w:tcBorders>
            <w:shd w:val="clear" w:color="000000" w:fill="E2EFDA"/>
            <w:noWrap/>
            <w:vAlign w:val="bottom"/>
            <w:hideMark/>
          </w:tcPr>
          <w:p w14:paraId="2341AFBF" w14:textId="77777777" w:rsidR="00CD529B" w:rsidRPr="00E30C97" w:rsidRDefault="00CD529B" w:rsidP="00564572">
            <w:pPr>
              <w:rPr>
                <w:rFonts w:ascii="Calibri" w:hAnsi="Calibri" w:cs="Calibri"/>
                <w:color w:val="000000"/>
                <w:sz w:val="15"/>
                <w:szCs w:val="15"/>
                <w:lang w:eastAsia="es-CO"/>
              </w:rPr>
            </w:pPr>
            <w:r w:rsidRPr="00E30C97">
              <w:rPr>
                <w:rFonts w:ascii="Calibri" w:hAnsi="Calibri" w:cs="Calibri"/>
                <w:color w:val="000000"/>
                <w:sz w:val="15"/>
                <w:szCs w:val="15"/>
                <w:lang w:eastAsia="es-CO"/>
              </w:rPr>
              <w:t>VPN dic 2016 ($USD Millones)</w:t>
            </w:r>
          </w:p>
        </w:tc>
        <w:tc>
          <w:tcPr>
            <w:tcW w:w="322" w:type="pct"/>
            <w:tcBorders>
              <w:top w:val="nil"/>
              <w:left w:val="nil"/>
              <w:bottom w:val="single" w:sz="4" w:space="0" w:color="auto"/>
              <w:right w:val="single" w:sz="4" w:space="0" w:color="auto"/>
            </w:tcBorders>
            <w:shd w:val="clear" w:color="000000" w:fill="E2EFDA"/>
            <w:noWrap/>
            <w:vAlign w:val="bottom"/>
            <w:hideMark/>
          </w:tcPr>
          <w:p w14:paraId="2341AFC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$778</w:t>
            </w:r>
          </w:p>
        </w:tc>
        <w:tc>
          <w:tcPr>
            <w:tcW w:w="322" w:type="pct"/>
            <w:tcBorders>
              <w:top w:val="nil"/>
              <w:left w:val="nil"/>
              <w:bottom w:val="single" w:sz="4" w:space="0" w:color="auto"/>
              <w:right w:val="single" w:sz="4" w:space="0" w:color="auto"/>
            </w:tcBorders>
            <w:shd w:val="clear" w:color="000000" w:fill="E2EFDA"/>
            <w:noWrap/>
            <w:vAlign w:val="bottom"/>
            <w:hideMark/>
          </w:tcPr>
          <w:p w14:paraId="2341AFC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$348</w:t>
            </w:r>
          </w:p>
        </w:tc>
        <w:tc>
          <w:tcPr>
            <w:tcW w:w="322" w:type="pct"/>
            <w:tcBorders>
              <w:top w:val="nil"/>
              <w:left w:val="nil"/>
              <w:bottom w:val="single" w:sz="4" w:space="0" w:color="auto"/>
              <w:right w:val="single" w:sz="4" w:space="0" w:color="auto"/>
            </w:tcBorders>
            <w:shd w:val="clear" w:color="000000" w:fill="E2EFDA"/>
            <w:noWrap/>
            <w:vAlign w:val="bottom"/>
            <w:hideMark/>
          </w:tcPr>
          <w:p w14:paraId="2341AFC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$430</w:t>
            </w:r>
          </w:p>
        </w:tc>
        <w:tc>
          <w:tcPr>
            <w:tcW w:w="322" w:type="pct"/>
            <w:tcBorders>
              <w:top w:val="nil"/>
              <w:left w:val="nil"/>
              <w:bottom w:val="nil"/>
              <w:right w:val="nil"/>
            </w:tcBorders>
            <w:shd w:val="clear" w:color="auto" w:fill="auto"/>
            <w:noWrap/>
            <w:vAlign w:val="bottom"/>
            <w:hideMark/>
          </w:tcPr>
          <w:p w14:paraId="2341AFC3" w14:textId="77777777" w:rsidR="00CD529B" w:rsidRPr="00E30C97" w:rsidRDefault="00CD529B" w:rsidP="00564572">
            <w:pPr>
              <w:jc w:val="right"/>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2341AFC4"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FC5"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C6"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C7"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C8"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C9"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CA"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CB" w14:textId="77777777" w:rsidR="00CD529B" w:rsidRPr="00E30C97" w:rsidRDefault="00CD529B" w:rsidP="00564572">
            <w:pPr>
              <w:rPr>
                <w:sz w:val="15"/>
                <w:szCs w:val="15"/>
                <w:lang w:eastAsia="es-CO"/>
              </w:rPr>
            </w:pPr>
          </w:p>
        </w:tc>
      </w:tr>
      <w:tr w:rsidR="00CD529B" w:rsidRPr="00EA25E2" w14:paraId="2341AFDA" w14:textId="77777777" w:rsidTr="00564572">
        <w:trPr>
          <w:trHeight w:val="216"/>
        </w:trPr>
        <w:tc>
          <w:tcPr>
            <w:tcW w:w="1586" w:type="pct"/>
            <w:tcBorders>
              <w:top w:val="nil"/>
              <w:left w:val="single" w:sz="4" w:space="0" w:color="auto"/>
              <w:bottom w:val="single" w:sz="4" w:space="0" w:color="auto"/>
              <w:right w:val="nil"/>
            </w:tcBorders>
            <w:shd w:val="clear" w:color="000000" w:fill="E2EFDA"/>
            <w:noWrap/>
            <w:vAlign w:val="bottom"/>
            <w:hideMark/>
          </w:tcPr>
          <w:p w14:paraId="2341AFCD" w14:textId="77777777" w:rsidR="00CD529B" w:rsidRPr="00E30C97" w:rsidRDefault="00CD529B" w:rsidP="00564572">
            <w:pPr>
              <w:rPr>
                <w:rFonts w:ascii="Calibri" w:hAnsi="Calibri" w:cs="Calibri"/>
                <w:color w:val="000000"/>
                <w:sz w:val="15"/>
                <w:szCs w:val="15"/>
                <w:lang w:eastAsia="es-CO"/>
              </w:rPr>
            </w:pPr>
            <w:r w:rsidRPr="00E30C97">
              <w:rPr>
                <w:rFonts w:ascii="Calibri" w:hAnsi="Calibri" w:cs="Calibri"/>
                <w:color w:val="000000"/>
                <w:sz w:val="15"/>
                <w:szCs w:val="15"/>
                <w:lang w:eastAsia="es-CO"/>
              </w:rPr>
              <w:t>VPN dic 2016 ($COP Millones)</w:t>
            </w:r>
          </w:p>
        </w:tc>
        <w:tc>
          <w:tcPr>
            <w:tcW w:w="322" w:type="pct"/>
            <w:tcBorders>
              <w:top w:val="nil"/>
              <w:left w:val="nil"/>
              <w:bottom w:val="single" w:sz="4" w:space="0" w:color="auto"/>
              <w:right w:val="single" w:sz="4" w:space="0" w:color="auto"/>
            </w:tcBorders>
            <w:shd w:val="clear" w:color="000000" w:fill="E2EFDA"/>
            <w:noWrap/>
            <w:vAlign w:val="bottom"/>
            <w:hideMark/>
          </w:tcPr>
          <w:p w14:paraId="2341AFC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$2.333.655</w:t>
            </w:r>
          </w:p>
        </w:tc>
        <w:tc>
          <w:tcPr>
            <w:tcW w:w="322" w:type="pct"/>
            <w:tcBorders>
              <w:top w:val="nil"/>
              <w:left w:val="nil"/>
              <w:bottom w:val="single" w:sz="4" w:space="0" w:color="auto"/>
              <w:right w:val="single" w:sz="4" w:space="0" w:color="auto"/>
            </w:tcBorders>
            <w:shd w:val="clear" w:color="000000" w:fill="E2EFDA"/>
            <w:noWrap/>
            <w:vAlign w:val="bottom"/>
            <w:hideMark/>
          </w:tcPr>
          <w:p w14:paraId="2341AFC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$1.043.247</w:t>
            </w:r>
          </w:p>
        </w:tc>
        <w:tc>
          <w:tcPr>
            <w:tcW w:w="322" w:type="pct"/>
            <w:tcBorders>
              <w:top w:val="nil"/>
              <w:left w:val="nil"/>
              <w:bottom w:val="single" w:sz="4" w:space="0" w:color="auto"/>
              <w:right w:val="single" w:sz="4" w:space="0" w:color="auto"/>
            </w:tcBorders>
            <w:shd w:val="clear" w:color="000000" w:fill="E2EFDA"/>
            <w:noWrap/>
            <w:vAlign w:val="bottom"/>
            <w:hideMark/>
          </w:tcPr>
          <w:p w14:paraId="2341AFD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$1.290.408</w:t>
            </w:r>
          </w:p>
        </w:tc>
        <w:tc>
          <w:tcPr>
            <w:tcW w:w="322" w:type="pct"/>
            <w:tcBorders>
              <w:top w:val="nil"/>
              <w:left w:val="nil"/>
              <w:bottom w:val="nil"/>
              <w:right w:val="nil"/>
            </w:tcBorders>
            <w:shd w:val="clear" w:color="auto" w:fill="auto"/>
            <w:noWrap/>
            <w:vAlign w:val="bottom"/>
            <w:hideMark/>
          </w:tcPr>
          <w:p w14:paraId="2341AFD1" w14:textId="77777777" w:rsidR="00CD529B" w:rsidRPr="00E30C97" w:rsidRDefault="00CD529B" w:rsidP="00564572">
            <w:pPr>
              <w:jc w:val="right"/>
              <w:rPr>
                <w:rFonts w:ascii="Calibri" w:hAnsi="Calibri" w:cs="Calibri"/>
                <w:color w:val="000000"/>
                <w:sz w:val="15"/>
                <w:szCs w:val="15"/>
                <w:lang w:eastAsia="es-CO"/>
              </w:rPr>
            </w:pPr>
          </w:p>
        </w:tc>
        <w:tc>
          <w:tcPr>
            <w:tcW w:w="322" w:type="pct"/>
            <w:tcBorders>
              <w:top w:val="nil"/>
              <w:left w:val="nil"/>
              <w:bottom w:val="nil"/>
              <w:right w:val="nil"/>
            </w:tcBorders>
            <w:shd w:val="clear" w:color="auto" w:fill="auto"/>
            <w:noWrap/>
            <w:vAlign w:val="bottom"/>
            <w:hideMark/>
          </w:tcPr>
          <w:p w14:paraId="2341AFD2" w14:textId="77777777" w:rsidR="00CD529B" w:rsidRPr="00E30C97" w:rsidRDefault="00CD529B" w:rsidP="00564572">
            <w:pPr>
              <w:rPr>
                <w:sz w:val="15"/>
                <w:szCs w:val="15"/>
                <w:lang w:eastAsia="es-CO"/>
              </w:rPr>
            </w:pPr>
          </w:p>
        </w:tc>
        <w:tc>
          <w:tcPr>
            <w:tcW w:w="322" w:type="pct"/>
            <w:tcBorders>
              <w:top w:val="nil"/>
              <w:left w:val="nil"/>
              <w:bottom w:val="nil"/>
              <w:right w:val="nil"/>
            </w:tcBorders>
            <w:shd w:val="clear" w:color="auto" w:fill="auto"/>
            <w:noWrap/>
            <w:vAlign w:val="bottom"/>
            <w:hideMark/>
          </w:tcPr>
          <w:p w14:paraId="2341AFD3"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D4"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D5"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D6"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D7"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D8" w14:textId="77777777" w:rsidR="00CD529B" w:rsidRPr="00E30C97" w:rsidRDefault="00CD529B" w:rsidP="00564572">
            <w:pPr>
              <w:rPr>
                <w:sz w:val="15"/>
                <w:szCs w:val="15"/>
                <w:lang w:eastAsia="es-CO"/>
              </w:rPr>
            </w:pPr>
          </w:p>
        </w:tc>
        <w:tc>
          <w:tcPr>
            <w:tcW w:w="247" w:type="pct"/>
            <w:tcBorders>
              <w:top w:val="nil"/>
              <w:left w:val="nil"/>
              <w:bottom w:val="nil"/>
              <w:right w:val="nil"/>
            </w:tcBorders>
            <w:shd w:val="clear" w:color="auto" w:fill="auto"/>
            <w:noWrap/>
            <w:vAlign w:val="bottom"/>
            <w:hideMark/>
          </w:tcPr>
          <w:p w14:paraId="2341AFD9" w14:textId="77777777" w:rsidR="00CD529B" w:rsidRPr="00E30C97" w:rsidRDefault="00CD529B" w:rsidP="00564572">
            <w:pPr>
              <w:rPr>
                <w:sz w:val="15"/>
                <w:szCs w:val="15"/>
                <w:lang w:eastAsia="es-CO"/>
              </w:rPr>
            </w:pPr>
          </w:p>
        </w:tc>
      </w:tr>
    </w:tbl>
    <w:p w14:paraId="2341AFDB" w14:textId="77777777" w:rsidR="00CD529B" w:rsidRDefault="00CD529B" w:rsidP="00564572"/>
    <w:p w14:paraId="2341AFDC" w14:textId="77777777" w:rsidR="00CD529B" w:rsidRDefault="00CD529B" w:rsidP="00564572">
      <w:pPr>
        <w:spacing w:after="160" w:line="259" w:lineRule="auto"/>
      </w:pPr>
      <w:r>
        <w:br w:type="page"/>
      </w:r>
    </w:p>
    <w:p w14:paraId="2341AFDD" w14:textId="77777777" w:rsidR="00CD529B" w:rsidRPr="00CD529B" w:rsidRDefault="00CD529B" w:rsidP="00564572">
      <w:pPr>
        <w:ind w:left="720"/>
        <w:jc w:val="center"/>
        <w:rPr>
          <w:b/>
          <w:lang w:val="es-ES_tradnl"/>
        </w:rPr>
      </w:pPr>
      <w:bookmarkStart w:id="119" w:name="_Toc473268564"/>
      <w:bookmarkStart w:id="120" w:name="_Toc474797070"/>
      <w:r w:rsidRPr="00CD529B">
        <w:rPr>
          <w:b/>
          <w:lang w:val="es-ES_tradnl"/>
        </w:rPr>
        <w:lastRenderedPageBreak/>
        <w:t xml:space="preserve">Tabla </w:t>
      </w:r>
      <w:r w:rsidRPr="008C12BC">
        <w:rPr>
          <w:b/>
        </w:rPr>
        <w:fldChar w:fldCharType="begin"/>
      </w:r>
      <w:r w:rsidRPr="00CD529B">
        <w:rPr>
          <w:b/>
          <w:lang w:val="es-ES_tradnl"/>
        </w:rPr>
        <w:instrText xml:space="preserve"> SEQ Tabla \* ARABIC </w:instrText>
      </w:r>
      <w:r w:rsidRPr="008C12BC">
        <w:rPr>
          <w:b/>
        </w:rPr>
        <w:fldChar w:fldCharType="separate"/>
      </w:r>
      <w:r w:rsidRPr="00CD529B">
        <w:rPr>
          <w:b/>
          <w:noProof/>
          <w:lang w:val="es-ES_tradnl"/>
        </w:rPr>
        <w:t>16</w:t>
      </w:r>
      <w:r w:rsidRPr="008C12BC">
        <w:rPr>
          <w:b/>
        </w:rPr>
        <w:fldChar w:fldCharType="end"/>
      </w:r>
      <w:r w:rsidRPr="00CD529B">
        <w:rPr>
          <w:b/>
          <w:lang w:val="es-ES_tradnl"/>
        </w:rPr>
        <w:t xml:space="preserve"> – Proyección de beneficios y costos para la medida de sustitución de neveras (Sector Residencial)</w:t>
      </w:r>
      <w:bookmarkEnd w:id="119"/>
      <w:bookmarkEnd w:id="120"/>
    </w:p>
    <w:tbl>
      <w:tblPr>
        <w:tblW w:w="5000" w:type="pct"/>
        <w:tblCellMar>
          <w:left w:w="70" w:type="dxa"/>
          <w:right w:w="70" w:type="dxa"/>
        </w:tblCellMar>
        <w:tblLook w:val="04A0" w:firstRow="1" w:lastRow="0" w:firstColumn="1" w:lastColumn="0" w:noHBand="0" w:noVBand="1"/>
      </w:tblPr>
      <w:tblGrid>
        <w:gridCol w:w="2526"/>
        <w:gridCol w:w="589"/>
        <w:gridCol w:w="589"/>
        <w:gridCol w:w="538"/>
        <w:gridCol w:w="538"/>
        <w:gridCol w:w="538"/>
        <w:gridCol w:w="538"/>
        <w:gridCol w:w="464"/>
        <w:gridCol w:w="464"/>
        <w:gridCol w:w="464"/>
        <w:gridCol w:w="464"/>
        <w:gridCol w:w="464"/>
        <w:gridCol w:w="464"/>
      </w:tblGrid>
      <w:tr w:rsidR="00CD529B" w:rsidRPr="00EF6E63" w14:paraId="2341AFEB" w14:textId="77777777" w:rsidTr="00564572">
        <w:trPr>
          <w:trHeight w:val="300"/>
        </w:trPr>
        <w:tc>
          <w:tcPr>
            <w:tcW w:w="1454" w:type="pct"/>
            <w:tcBorders>
              <w:top w:val="single" w:sz="4" w:space="0" w:color="000000"/>
              <w:left w:val="nil"/>
              <w:bottom w:val="nil"/>
              <w:right w:val="nil"/>
            </w:tcBorders>
            <w:shd w:val="clear" w:color="auto" w:fill="auto"/>
            <w:noWrap/>
            <w:vAlign w:val="bottom"/>
            <w:hideMark/>
          </w:tcPr>
          <w:p w14:paraId="2341AFDE"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por nevera en refrigeración GWh/años/Usuario</w:t>
            </w:r>
          </w:p>
        </w:tc>
        <w:tc>
          <w:tcPr>
            <w:tcW w:w="317" w:type="pct"/>
            <w:tcBorders>
              <w:top w:val="single" w:sz="4" w:space="0" w:color="000000"/>
              <w:left w:val="nil"/>
              <w:bottom w:val="nil"/>
              <w:right w:val="nil"/>
            </w:tcBorders>
            <w:shd w:val="clear" w:color="auto" w:fill="auto"/>
            <w:noWrap/>
            <w:vAlign w:val="bottom"/>
            <w:hideMark/>
          </w:tcPr>
          <w:p w14:paraId="2341AFDF" w14:textId="77777777" w:rsidR="00CD529B" w:rsidRPr="00EF6E63" w:rsidRDefault="00CD529B" w:rsidP="00564572">
            <w:pPr>
              <w:jc w:val="right"/>
              <w:rPr>
                <w:rFonts w:ascii="Calibri" w:hAnsi="Calibri" w:cs="Calibri"/>
                <w:color w:val="0000FF"/>
                <w:sz w:val="15"/>
                <w:szCs w:val="15"/>
                <w:lang w:eastAsia="es-CO"/>
              </w:rPr>
            </w:pPr>
            <w:r w:rsidRPr="00EF6E63">
              <w:rPr>
                <w:rFonts w:ascii="Calibri" w:hAnsi="Calibri" w:cs="Calibri"/>
                <w:color w:val="0000FF"/>
                <w:sz w:val="15"/>
                <w:szCs w:val="15"/>
                <w:lang w:eastAsia="es-CO"/>
              </w:rPr>
              <w:t>0,0007495</w:t>
            </w:r>
          </w:p>
        </w:tc>
        <w:tc>
          <w:tcPr>
            <w:tcW w:w="317" w:type="pct"/>
            <w:tcBorders>
              <w:top w:val="nil"/>
              <w:left w:val="nil"/>
              <w:bottom w:val="nil"/>
              <w:right w:val="nil"/>
            </w:tcBorders>
            <w:shd w:val="clear" w:color="auto" w:fill="auto"/>
            <w:noWrap/>
            <w:vAlign w:val="bottom"/>
            <w:hideMark/>
          </w:tcPr>
          <w:p w14:paraId="2341AFE0" w14:textId="77777777" w:rsidR="00CD529B" w:rsidRPr="00EF6E63" w:rsidRDefault="00CD529B" w:rsidP="00564572">
            <w:pPr>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2341AFE1" w14:textId="77777777" w:rsidR="00CD529B" w:rsidRPr="00EF6E63"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AFE2"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AFE3"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AFE4"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AFE5"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AFE6"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AFE7"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AFE8" w14:textId="77777777" w:rsidR="00CD529B" w:rsidRPr="00EF6E63" w:rsidRDefault="00CD529B" w:rsidP="00564572">
            <w:pPr>
              <w:rPr>
                <w:sz w:val="15"/>
                <w:szCs w:val="15"/>
                <w:lang w:eastAsia="es-CO"/>
              </w:rPr>
            </w:pPr>
          </w:p>
        </w:tc>
        <w:tc>
          <w:tcPr>
            <w:tcW w:w="286" w:type="pct"/>
            <w:tcBorders>
              <w:top w:val="nil"/>
              <w:left w:val="nil"/>
              <w:bottom w:val="nil"/>
              <w:right w:val="nil"/>
            </w:tcBorders>
            <w:shd w:val="clear" w:color="auto" w:fill="auto"/>
            <w:noWrap/>
            <w:vAlign w:val="bottom"/>
            <w:hideMark/>
          </w:tcPr>
          <w:p w14:paraId="2341AFE9" w14:textId="77777777" w:rsidR="00CD529B" w:rsidRPr="00EF6E63" w:rsidRDefault="00CD529B" w:rsidP="00564572">
            <w:pPr>
              <w:rPr>
                <w:sz w:val="15"/>
                <w:szCs w:val="15"/>
                <w:lang w:eastAsia="es-CO"/>
              </w:rPr>
            </w:pPr>
          </w:p>
        </w:tc>
        <w:tc>
          <w:tcPr>
            <w:tcW w:w="284" w:type="pct"/>
            <w:tcBorders>
              <w:top w:val="nil"/>
              <w:left w:val="nil"/>
              <w:bottom w:val="nil"/>
              <w:right w:val="nil"/>
            </w:tcBorders>
            <w:shd w:val="clear" w:color="auto" w:fill="auto"/>
            <w:noWrap/>
            <w:vAlign w:val="bottom"/>
            <w:hideMark/>
          </w:tcPr>
          <w:p w14:paraId="2341AFEA" w14:textId="77777777" w:rsidR="00CD529B" w:rsidRPr="00EF6E63" w:rsidRDefault="00CD529B" w:rsidP="00564572">
            <w:pPr>
              <w:rPr>
                <w:sz w:val="15"/>
                <w:szCs w:val="15"/>
                <w:lang w:eastAsia="es-CO"/>
              </w:rPr>
            </w:pPr>
          </w:p>
        </w:tc>
      </w:tr>
      <w:tr w:rsidR="00CD529B" w:rsidRPr="00EF6E63" w14:paraId="2341AFF9" w14:textId="77777777" w:rsidTr="00564572">
        <w:trPr>
          <w:trHeight w:val="300"/>
        </w:trPr>
        <w:tc>
          <w:tcPr>
            <w:tcW w:w="1454" w:type="pct"/>
            <w:tcBorders>
              <w:top w:val="nil"/>
              <w:left w:val="nil"/>
              <w:bottom w:val="single" w:sz="4" w:space="0" w:color="auto"/>
              <w:right w:val="nil"/>
            </w:tcBorders>
            <w:shd w:val="clear" w:color="auto" w:fill="auto"/>
            <w:noWrap/>
            <w:vAlign w:val="bottom"/>
            <w:hideMark/>
          </w:tcPr>
          <w:p w14:paraId="2341AFEC" w14:textId="77777777" w:rsidR="00CD529B" w:rsidRPr="00EF6E63" w:rsidRDefault="00CD529B" w:rsidP="00564572">
            <w:pPr>
              <w:rPr>
                <w:rFonts w:ascii="Calibri" w:hAnsi="Calibri" w:cs="Calibri"/>
                <w:color w:val="000000"/>
                <w:sz w:val="15"/>
                <w:szCs w:val="15"/>
                <w:lang w:eastAsia="es-CO"/>
              </w:rPr>
            </w:pPr>
            <w:r w:rsidRPr="00EF6E63">
              <w:rPr>
                <w:rFonts w:ascii="Calibri" w:hAnsi="Calibri" w:cs="Calibri"/>
                <w:color w:val="000000"/>
                <w:sz w:val="15"/>
                <w:szCs w:val="15"/>
                <w:lang w:eastAsia="es-CO"/>
              </w:rPr>
              <w:t>Potencial de ahorro por cambio de neveras</w:t>
            </w:r>
          </w:p>
        </w:tc>
        <w:tc>
          <w:tcPr>
            <w:tcW w:w="317" w:type="pct"/>
            <w:tcBorders>
              <w:top w:val="nil"/>
              <w:left w:val="nil"/>
              <w:bottom w:val="single" w:sz="4" w:space="0" w:color="auto"/>
              <w:right w:val="nil"/>
            </w:tcBorders>
            <w:shd w:val="clear" w:color="auto" w:fill="auto"/>
            <w:noWrap/>
            <w:vAlign w:val="bottom"/>
            <w:hideMark/>
          </w:tcPr>
          <w:p w14:paraId="2341AFED" w14:textId="77777777" w:rsidR="00CD529B" w:rsidRPr="00EF6E63" w:rsidRDefault="00CD529B" w:rsidP="00564572">
            <w:pPr>
              <w:jc w:val="right"/>
              <w:rPr>
                <w:rFonts w:ascii="Calibri" w:hAnsi="Calibri" w:cs="Calibri"/>
                <w:color w:val="0000FF"/>
                <w:sz w:val="15"/>
                <w:szCs w:val="15"/>
                <w:lang w:eastAsia="es-CO"/>
              </w:rPr>
            </w:pPr>
            <w:r w:rsidRPr="00EF6E63">
              <w:rPr>
                <w:rFonts w:ascii="Calibri" w:hAnsi="Calibri" w:cs="Calibri"/>
                <w:color w:val="0000FF"/>
                <w:sz w:val="15"/>
                <w:szCs w:val="15"/>
                <w:lang w:eastAsia="es-CO"/>
              </w:rPr>
              <w:t>57,0%</w:t>
            </w:r>
          </w:p>
        </w:tc>
        <w:tc>
          <w:tcPr>
            <w:tcW w:w="317" w:type="pct"/>
            <w:tcBorders>
              <w:top w:val="nil"/>
              <w:left w:val="nil"/>
              <w:bottom w:val="nil"/>
              <w:right w:val="nil"/>
            </w:tcBorders>
            <w:shd w:val="clear" w:color="auto" w:fill="auto"/>
            <w:noWrap/>
            <w:vAlign w:val="bottom"/>
            <w:hideMark/>
          </w:tcPr>
          <w:p w14:paraId="2341AFEE" w14:textId="77777777" w:rsidR="00CD529B" w:rsidRPr="00EF6E63" w:rsidRDefault="00CD529B" w:rsidP="00564572">
            <w:pPr>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2341AFEF" w14:textId="77777777" w:rsidR="00CD529B" w:rsidRPr="00EF6E63"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AFF0"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AFF1"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AFF2"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AFF3"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AFF4"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AFF5"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AFF6" w14:textId="77777777" w:rsidR="00CD529B" w:rsidRPr="00EF6E63" w:rsidRDefault="00CD529B" w:rsidP="00564572">
            <w:pPr>
              <w:rPr>
                <w:sz w:val="15"/>
                <w:szCs w:val="15"/>
                <w:lang w:eastAsia="es-CO"/>
              </w:rPr>
            </w:pPr>
          </w:p>
        </w:tc>
        <w:tc>
          <w:tcPr>
            <w:tcW w:w="286" w:type="pct"/>
            <w:tcBorders>
              <w:top w:val="nil"/>
              <w:left w:val="nil"/>
              <w:bottom w:val="nil"/>
              <w:right w:val="nil"/>
            </w:tcBorders>
            <w:shd w:val="clear" w:color="auto" w:fill="auto"/>
            <w:noWrap/>
            <w:vAlign w:val="bottom"/>
            <w:hideMark/>
          </w:tcPr>
          <w:p w14:paraId="2341AFF7" w14:textId="77777777" w:rsidR="00CD529B" w:rsidRPr="00EF6E63" w:rsidRDefault="00CD529B" w:rsidP="00564572">
            <w:pPr>
              <w:rPr>
                <w:sz w:val="15"/>
                <w:szCs w:val="15"/>
                <w:lang w:eastAsia="es-CO"/>
              </w:rPr>
            </w:pPr>
          </w:p>
        </w:tc>
        <w:tc>
          <w:tcPr>
            <w:tcW w:w="284" w:type="pct"/>
            <w:tcBorders>
              <w:top w:val="nil"/>
              <w:left w:val="nil"/>
              <w:bottom w:val="nil"/>
              <w:right w:val="nil"/>
            </w:tcBorders>
            <w:shd w:val="clear" w:color="auto" w:fill="auto"/>
            <w:noWrap/>
            <w:vAlign w:val="bottom"/>
            <w:hideMark/>
          </w:tcPr>
          <w:p w14:paraId="2341AFF8" w14:textId="77777777" w:rsidR="00CD529B" w:rsidRPr="00EF6E63" w:rsidRDefault="00CD529B" w:rsidP="00564572">
            <w:pPr>
              <w:rPr>
                <w:sz w:val="15"/>
                <w:szCs w:val="15"/>
                <w:lang w:eastAsia="es-CO"/>
              </w:rPr>
            </w:pPr>
          </w:p>
        </w:tc>
      </w:tr>
      <w:tr w:rsidR="00CD529B" w:rsidRPr="00EF6E63" w14:paraId="2341B007" w14:textId="77777777" w:rsidTr="00564572">
        <w:trPr>
          <w:trHeight w:val="300"/>
        </w:trPr>
        <w:tc>
          <w:tcPr>
            <w:tcW w:w="1454" w:type="pct"/>
            <w:tcBorders>
              <w:top w:val="nil"/>
              <w:left w:val="nil"/>
              <w:bottom w:val="single" w:sz="4" w:space="0" w:color="auto"/>
              <w:right w:val="nil"/>
            </w:tcBorders>
            <w:shd w:val="clear" w:color="auto" w:fill="auto"/>
            <w:noWrap/>
            <w:vAlign w:val="bottom"/>
            <w:hideMark/>
          </w:tcPr>
          <w:p w14:paraId="2341AFFA"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Costo de una nevera eficiente ($COP)</w:t>
            </w:r>
          </w:p>
        </w:tc>
        <w:tc>
          <w:tcPr>
            <w:tcW w:w="317" w:type="pct"/>
            <w:tcBorders>
              <w:top w:val="nil"/>
              <w:left w:val="nil"/>
              <w:bottom w:val="single" w:sz="4" w:space="0" w:color="auto"/>
              <w:right w:val="nil"/>
            </w:tcBorders>
            <w:shd w:val="clear" w:color="auto" w:fill="auto"/>
            <w:noWrap/>
            <w:vAlign w:val="bottom"/>
            <w:hideMark/>
          </w:tcPr>
          <w:p w14:paraId="2341AFFB" w14:textId="77777777" w:rsidR="00CD529B" w:rsidRPr="00EF6E63" w:rsidRDefault="00CD529B" w:rsidP="00564572">
            <w:pPr>
              <w:jc w:val="right"/>
              <w:rPr>
                <w:rFonts w:ascii="Calibri" w:hAnsi="Calibri" w:cs="Calibri"/>
                <w:color w:val="0000FF"/>
                <w:sz w:val="15"/>
                <w:szCs w:val="15"/>
                <w:lang w:eastAsia="es-CO"/>
              </w:rPr>
            </w:pPr>
            <w:r w:rsidRPr="00EF6E63">
              <w:rPr>
                <w:rFonts w:ascii="Calibri" w:hAnsi="Calibri" w:cs="Calibri"/>
                <w:color w:val="0000FF"/>
                <w:sz w:val="15"/>
                <w:szCs w:val="15"/>
                <w:lang w:eastAsia="es-CO"/>
              </w:rPr>
              <w:t>900.000,00</w:t>
            </w:r>
          </w:p>
        </w:tc>
        <w:tc>
          <w:tcPr>
            <w:tcW w:w="317" w:type="pct"/>
            <w:tcBorders>
              <w:top w:val="nil"/>
              <w:left w:val="nil"/>
              <w:bottom w:val="nil"/>
              <w:right w:val="nil"/>
            </w:tcBorders>
            <w:shd w:val="clear" w:color="auto" w:fill="auto"/>
            <w:noWrap/>
            <w:vAlign w:val="bottom"/>
            <w:hideMark/>
          </w:tcPr>
          <w:p w14:paraId="2341AFFC" w14:textId="77777777" w:rsidR="00CD529B" w:rsidRPr="00EF6E63" w:rsidRDefault="00CD529B" w:rsidP="00564572">
            <w:pPr>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2341AFFD" w14:textId="77777777" w:rsidR="00CD529B" w:rsidRPr="00EF6E63"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AFFE"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AFFF"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00"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01"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02"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03"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04" w14:textId="77777777" w:rsidR="00CD529B" w:rsidRPr="00EF6E63" w:rsidRDefault="00CD529B" w:rsidP="00564572">
            <w:pPr>
              <w:rPr>
                <w:sz w:val="15"/>
                <w:szCs w:val="15"/>
                <w:lang w:eastAsia="es-CO"/>
              </w:rPr>
            </w:pPr>
          </w:p>
        </w:tc>
        <w:tc>
          <w:tcPr>
            <w:tcW w:w="286" w:type="pct"/>
            <w:tcBorders>
              <w:top w:val="nil"/>
              <w:left w:val="nil"/>
              <w:bottom w:val="nil"/>
              <w:right w:val="nil"/>
            </w:tcBorders>
            <w:shd w:val="clear" w:color="auto" w:fill="auto"/>
            <w:noWrap/>
            <w:vAlign w:val="bottom"/>
            <w:hideMark/>
          </w:tcPr>
          <w:p w14:paraId="2341B005" w14:textId="77777777" w:rsidR="00CD529B" w:rsidRPr="00EF6E63" w:rsidRDefault="00CD529B" w:rsidP="00564572">
            <w:pPr>
              <w:rPr>
                <w:sz w:val="15"/>
                <w:szCs w:val="15"/>
                <w:lang w:eastAsia="es-CO"/>
              </w:rPr>
            </w:pPr>
          </w:p>
        </w:tc>
        <w:tc>
          <w:tcPr>
            <w:tcW w:w="284" w:type="pct"/>
            <w:tcBorders>
              <w:top w:val="nil"/>
              <w:left w:val="nil"/>
              <w:bottom w:val="nil"/>
              <w:right w:val="nil"/>
            </w:tcBorders>
            <w:shd w:val="clear" w:color="auto" w:fill="auto"/>
            <w:noWrap/>
            <w:vAlign w:val="bottom"/>
            <w:hideMark/>
          </w:tcPr>
          <w:p w14:paraId="2341B006" w14:textId="77777777" w:rsidR="00CD529B" w:rsidRPr="00EF6E63" w:rsidRDefault="00CD529B" w:rsidP="00564572">
            <w:pPr>
              <w:rPr>
                <w:sz w:val="15"/>
                <w:szCs w:val="15"/>
                <w:lang w:eastAsia="es-CO"/>
              </w:rPr>
            </w:pPr>
          </w:p>
        </w:tc>
      </w:tr>
      <w:tr w:rsidR="00CD529B" w:rsidRPr="00EF6E63" w14:paraId="2341B015" w14:textId="77777777" w:rsidTr="00564572">
        <w:trPr>
          <w:trHeight w:val="300"/>
        </w:trPr>
        <w:tc>
          <w:tcPr>
            <w:tcW w:w="1454" w:type="pct"/>
            <w:tcBorders>
              <w:top w:val="nil"/>
              <w:left w:val="nil"/>
              <w:bottom w:val="nil"/>
              <w:right w:val="nil"/>
            </w:tcBorders>
            <w:shd w:val="clear" w:color="auto" w:fill="auto"/>
            <w:noWrap/>
            <w:vAlign w:val="bottom"/>
            <w:hideMark/>
          </w:tcPr>
          <w:p w14:paraId="2341B008" w14:textId="77777777" w:rsidR="00CD529B" w:rsidRPr="00EF6E63" w:rsidRDefault="00CD529B" w:rsidP="00564572">
            <w:pPr>
              <w:rPr>
                <w:sz w:val="15"/>
                <w:szCs w:val="15"/>
                <w:lang w:eastAsia="es-CO"/>
              </w:rPr>
            </w:pPr>
          </w:p>
        </w:tc>
        <w:tc>
          <w:tcPr>
            <w:tcW w:w="317" w:type="pct"/>
            <w:tcBorders>
              <w:top w:val="nil"/>
              <w:left w:val="nil"/>
              <w:bottom w:val="nil"/>
              <w:right w:val="nil"/>
            </w:tcBorders>
            <w:shd w:val="clear" w:color="auto" w:fill="auto"/>
            <w:noWrap/>
            <w:vAlign w:val="bottom"/>
            <w:hideMark/>
          </w:tcPr>
          <w:p w14:paraId="2341B009" w14:textId="77777777" w:rsidR="00CD529B" w:rsidRPr="00EF6E63" w:rsidRDefault="00CD529B" w:rsidP="00564572">
            <w:pPr>
              <w:rPr>
                <w:sz w:val="15"/>
                <w:szCs w:val="15"/>
                <w:lang w:eastAsia="es-CO"/>
              </w:rPr>
            </w:pPr>
          </w:p>
        </w:tc>
        <w:tc>
          <w:tcPr>
            <w:tcW w:w="317" w:type="pct"/>
            <w:tcBorders>
              <w:top w:val="nil"/>
              <w:left w:val="nil"/>
              <w:bottom w:val="nil"/>
              <w:right w:val="nil"/>
            </w:tcBorders>
            <w:shd w:val="clear" w:color="auto" w:fill="auto"/>
            <w:noWrap/>
            <w:vAlign w:val="bottom"/>
            <w:hideMark/>
          </w:tcPr>
          <w:p w14:paraId="2341B00A" w14:textId="77777777" w:rsidR="00CD529B" w:rsidRPr="00EF6E63"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00B" w14:textId="77777777" w:rsidR="00CD529B" w:rsidRPr="00EF6E63"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00C"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0D"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0E"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0F"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10"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11"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12" w14:textId="77777777" w:rsidR="00CD529B" w:rsidRPr="00EF6E63" w:rsidRDefault="00CD529B" w:rsidP="00564572">
            <w:pPr>
              <w:rPr>
                <w:sz w:val="15"/>
                <w:szCs w:val="15"/>
                <w:lang w:eastAsia="es-CO"/>
              </w:rPr>
            </w:pPr>
          </w:p>
        </w:tc>
        <w:tc>
          <w:tcPr>
            <w:tcW w:w="286" w:type="pct"/>
            <w:tcBorders>
              <w:top w:val="nil"/>
              <w:left w:val="nil"/>
              <w:bottom w:val="nil"/>
              <w:right w:val="nil"/>
            </w:tcBorders>
            <w:shd w:val="clear" w:color="auto" w:fill="auto"/>
            <w:noWrap/>
            <w:vAlign w:val="bottom"/>
            <w:hideMark/>
          </w:tcPr>
          <w:p w14:paraId="2341B013" w14:textId="77777777" w:rsidR="00CD529B" w:rsidRPr="00EF6E63" w:rsidRDefault="00CD529B" w:rsidP="00564572">
            <w:pPr>
              <w:rPr>
                <w:sz w:val="15"/>
                <w:szCs w:val="15"/>
                <w:lang w:eastAsia="es-CO"/>
              </w:rPr>
            </w:pPr>
          </w:p>
        </w:tc>
        <w:tc>
          <w:tcPr>
            <w:tcW w:w="284" w:type="pct"/>
            <w:tcBorders>
              <w:top w:val="nil"/>
              <w:left w:val="nil"/>
              <w:bottom w:val="nil"/>
              <w:right w:val="nil"/>
            </w:tcBorders>
            <w:shd w:val="clear" w:color="auto" w:fill="auto"/>
            <w:noWrap/>
            <w:vAlign w:val="bottom"/>
            <w:hideMark/>
          </w:tcPr>
          <w:p w14:paraId="2341B014" w14:textId="77777777" w:rsidR="00CD529B" w:rsidRPr="00EF6E63" w:rsidRDefault="00CD529B" w:rsidP="00564572">
            <w:pPr>
              <w:rPr>
                <w:sz w:val="15"/>
                <w:szCs w:val="15"/>
                <w:lang w:eastAsia="es-CO"/>
              </w:rPr>
            </w:pPr>
          </w:p>
        </w:tc>
      </w:tr>
      <w:tr w:rsidR="00CD529B" w:rsidRPr="00EF6E63" w14:paraId="2341B023" w14:textId="77777777" w:rsidTr="00564572">
        <w:trPr>
          <w:trHeight w:val="300"/>
        </w:trPr>
        <w:tc>
          <w:tcPr>
            <w:tcW w:w="1454" w:type="pct"/>
            <w:tcBorders>
              <w:top w:val="nil"/>
              <w:left w:val="nil"/>
              <w:bottom w:val="single" w:sz="4" w:space="0" w:color="auto"/>
              <w:right w:val="nil"/>
            </w:tcBorders>
            <w:shd w:val="clear" w:color="auto" w:fill="auto"/>
            <w:noWrap/>
            <w:vAlign w:val="bottom"/>
            <w:hideMark/>
          </w:tcPr>
          <w:p w14:paraId="2341B016" w14:textId="77777777" w:rsidR="00CD529B" w:rsidRPr="00EF6E63" w:rsidRDefault="00CD529B" w:rsidP="00564572">
            <w:pPr>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$COP (2016)</w:t>
            </w: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2341B017"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2016</w:t>
            </w: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2341B018"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2017</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019"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2018</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01A"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2019</w:t>
            </w:r>
          </w:p>
        </w:tc>
        <w:tc>
          <w:tcPr>
            <w:tcW w:w="294" w:type="pct"/>
            <w:tcBorders>
              <w:top w:val="single" w:sz="4" w:space="0" w:color="FFFFFF"/>
              <w:left w:val="nil"/>
              <w:bottom w:val="single" w:sz="4" w:space="0" w:color="auto"/>
              <w:right w:val="single" w:sz="4" w:space="0" w:color="FFFFFF"/>
            </w:tcBorders>
            <w:shd w:val="clear" w:color="000000" w:fill="203764"/>
            <w:noWrap/>
            <w:vAlign w:val="bottom"/>
            <w:hideMark/>
          </w:tcPr>
          <w:p w14:paraId="2341B01B"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2020</w:t>
            </w:r>
          </w:p>
        </w:tc>
        <w:tc>
          <w:tcPr>
            <w:tcW w:w="294" w:type="pct"/>
            <w:tcBorders>
              <w:top w:val="single" w:sz="4" w:space="0" w:color="FFFFFF"/>
              <w:left w:val="nil"/>
              <w:bottom w:val="single" w:sz="4" w:space="0" w:color="auto"/>
              <w:right w:val="single" w:sz="4" w:space="0" w:color="FFFFFF"/>
            </w:tcBorders>
            <w:shd w:val="clear" w:color="000000" w:fill="203764"/>
            <w:noWrap/>
            <w:vAlign w:val="bottom"/>
            <w:hideMark/>
          </w:tcPr>
          <w:p w14:paraId="2341B01C"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2021</w:t>
            </w:r>
          </w:p>
        </w:tc>
        <w:tc>
          <w:tcPr>
            <w:tcW w:w="294" w:type="pct"/>
            <w:tcBorders>
              <w:top w:val="single" w:sz="4" w:space="0" w:color="FFFFFF"/>
              <w:left w:val="nil"/>
              <w:bottom w:val="single" w:sz="4" w:space="0" w:color="auto"/>
              <w:right w:val="single" w:sz="4" w:space="0" w:color="FFFFFF"/>
            </w:tcBorders>
            <w:shd w:val="clear" w:color="000000" w:fill="203764"/>
            <w:noWrap/>
            <w:vAlign w:val="bottom"/>
            <w:hideMark/>
          </w:tcPr>
          <w:p w14:paraId="2341B01D"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2022</w:t>
            </w:r>
          </w:p>
        </w:tc>
        <w:tc>
          <w:tcPr>
            <w:tcW w:w="294" w:type="pct"/>
            <w:tcBorders>
              <w:top w:val="single" w:sz="4" w:space="0" w:color="FFFFFF"/>
              <w:left w:val="nil"/>
              <w:bottom w:val="single" w:sz="4" w:space="0" w:color="auto"/>
              <w:right w:val="single" w:sz="4" w:space="0" w:color="FFFFFF"/>
            </w:tcBorders>
            <w:shd w:val="clear" w:color="000000" w:fill="203764"/>
            <w:noWrap/>
            <w:vAlign w:val="bottom"/>
            <w:hideMark/>
          </w:tcPr>
          <w:p w14:paraId="2341B01E"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2023</w:t>
            </w:r>
          </w:p>
        </w:tc>
        <w:tc>
          <w:tcPr>
            <w:tcW w:w="294" w:type="pct"/>
            <w:tcBorders>
              <w:top w:val="single" w:sz="4" w:space="0" w:color="FFFFFF"/>
              <w:left w:val="nil"/>
              <w:bottom w:val="single" w:sz="4" w:space="0" w:color="auto"/>
              <w:right w:val="single" w:sz="4" w:space="0" w:color="FFFFFF"/>
            </w:tcBorders>
            <w:shd w:val="clear" w:color="000000" w:fill="203764"/>
            <w:noWrap/>
            <w:vAlign w:val="bottom"/>
            <w:hideMark/>
          </w:tcPr>
          <w:p w14:paraId="2341B01F"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2024</w:t>
            </w:r>
          </w:p>
        </w:tc>
        <w:tc>
          <w:tcPr>
            <w:tcW w:w="294" w:type="pct"/>
            <w:tcBorders>
              <w:top w:val="single" w:sz="4" w:space="0" w:color="FFFFFF"/>
              <w:left w:val="nil"/>
              <w:bottom w:val="single" w:sz="4" w:space="0" w:color="auto"/>
              <w:right w:val="single" w:sz="4" w:space="0" w:color="FFFFFF"/>
            </w:tcBorders>
            <w:shd w:val="clear" w:color="000000" w:fill="203764"/>
            <w:noWrap/>
            <w:vAlign w:val="bottom"/>
            <w:hideMark/>
          </w:tcPr>
          <w:p w14:paraId="2341B020"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2025</w:t>
            </w:r>
          </w:p>
        </w:tc>
        <w:tc>
          <w:tcPr>
            <w:tcW w:w="286" w:type="pct"/>
            <w:tcBorders>
              <w:top w:val="single" w:sz="4" w:space="0" w:color="FFFFFF"/>
              <w:left w:val="nil"/>
              <w:bottom w:val="single" w:sz="4" w:space="0" w:color="auto"/>
              <w:right w:val="single" w:sz="4" w:space="0" w:color="FFFFFF"/>
            </w:tcBorders>
            <w:shd w:val="clear" w:color="000000" w:fill="203764"/>
            <w:noWrap/>
            <w:vAlign w:val="bottom"/>
            <w:hideMark/>
          </w:tcPr>
          <w:p w14:paraId="2341B021"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2026</w:t>
            </w:r>
          </w:p>
        </w:tc>
        <w:tc>
          <w:tcPr>
            <w:tcW w:w="284" w:type="pct"/>
            <w:tcBorders>
              <w:top w:val="single" w:sz="4" w:space="0" w:color="FFFFFF"/>
              <w:left w:val="nil"/>
              <w:bottom w:val="single" w:sz="4" w:space="0" w:color="auto"/>
              <w:right w:val="single" w:sz="4" w:space="0" w:color="FFFFFF"/>
            </w:tcBorders>
            <w:shd w:val="clear" w:color="000000" w:fill="203764"/>
            <w:noWrap/>
            <w:vAlign w:val="bottom"/>
            <w:hideMark/>
          </w:tcPr>
          <w:p w14:paraId="2341B022"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2027</w:t>
            </w:r>
          </w:p>
        </w:tc>
      </w:tr>
      <w:tr w:rsidR="00CD529B" w:rsidRPr="00EF6E63" w14:paraId="2341B031" w14:textId="77777777" w:rsidTr="00564572">
        <w:trPr>
          <w:trHeight w:val="300"/>
        </w:trPr>
        <w:tc>
          <w:tcPr>
            <w:tcW w:w="1454" w:type="pct"/>
            <w:tcBorders>
              <w:top w:val="nil"/>
              <w:left w:val="nil"/>
              <w:bottom w:val="nil"/>
              <w:right w:val="nil"/>
            </w:tcBorders>
            <w:shd w:val="clear" w:color="auto" w:fill="auto"/>
            <w:noWrap/>
            <w:vAlign w:val="bottom"/>
            <w:hideMark/>
          </w:tcPr>
          <w:p w14:paraId="2341B024"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de refrigeración GWh/Año</w:t>
            </w:r>
          </w:p>
        </w:tc>
        <w:tc>
          <w:tcPr>
            <w:tcW w:w="317" w:type="pct"/>
            <w:tcBorders>
              <w:top w:val="nil"/>
              <w:left w:val="nil"/>
              <w:bottom w:val="nil"/>
              <w:right w:val="nil"/>
            </w:tcBorders>
            <w:shd w:val="clear" w:color="auto" w:fill="auto"/>
            <w:noWrap/>
            <w:vAlign w:val="bottom"/>
            <w:hideMark/>
          </w:tcPr>
          <w:p w14:paraId="2341B02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8.263</w:t>
            </w:r>
          </w:p>
        </w:tc>
        <w:tc>
          <w:tcPr>
            <w:tcW w:w="317" w:type="pct"/>
            <w:tcBorders>
              <w:top w:val="nil"/>
              <w:left w:val="nil"/>
              <w:bottom w:val="nil"/>
              <w:right w:val="nil"/>
            </w:tcBorders>
            <w:shd w:val="clear" w:color="auto" w:fill="auto"/>
            <w:noWrap/>
            <w:vAlign w:val="bottom"/>
            <w:hideMark/>
          </w:tcPr>
          <w:p w14:paraId="2341B02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7.864</w:t>
            </w:r>
          </w:p>
        </w:tc>
        <w:tc>
          <w:tcPr>
            <w:tcW w:w="288" w:type="pct"/>
            <w:tcBorders>
              <w:top w:val="nil"/>
              <w:left w:val="nil"/>
              <w:bottom w:val="nil"/>
              <w:right w:val="nil"/>
            </w:tcBorders>
            <w:shd w:val="clear" w:color="auto" w:fill="auto"/>
            <w:noWrap/>
            <w:vAlign w:val="bottom"/>
            <w:hideMark/>
          </w:tcPr>
          <w:p w14:paraId="2341B02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7.465</w:t>
            </w:r>
          </w:p>
        </w:tc>
        <w:tc>
          <w:tcPr>
            <w:tcW w:w="290" w:type="pct"/>
            <w:tcBorders>
              <w:top w:val="nil"/>
              <w:left w:val="nil"/>
              <w:bottom w:val="nil"/>
              <w:right w:val="nil"/>
            </w:tcBorders>
            <w:shd w:val="clear" w:color="auto" w:fill="auto"/>
            <w:noWrap/>
            <w:vAlign w:val="bottom"/>
            <w:hideMark/>
          </w:tcPr>
          <w:p w14:paraId="2341B02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7.066</w:t>
            </w:r>
          </w:p>
        </w:tc>
        <w:tc>
          <w:tcPr>
            <w:tcW w:w="294" w:type="pct"/>
            <w:tcBorders>
              <w:top w:val="nil"/>
              <w:left w:val="nil"/>
              <w:bottom w:val="nil"/>
              <w:right w:val="nil"/>
            </w:tcBorders>
            <w:shd w:val="clear" w:color="auto" w:fill="auto"/>
            <w:noWrap/>
            <w:vAlign w:val="bottom"/>
            <w:hideMark/>
          </w:tcPr>
          <w:p w14:paraId="2341B02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6.668</w:t>
            </w:r>
          </w:p>
        </w:tc>
        <w:tc>
          <w:tcPr>
            <w:tcW w:w="294" w:type="pct"/>
            <w:tcBorders>
              <w:top w:val="nil"/>
              <w:left w:val="nil"/>
              <w:bottom w:val="nil"/>
              <w:right w:val="nil"/>
            </w:tcBorders>
            <w:shd w:val="clear" w:color="auto" w:fill="auto"/>
            <w:noWrap/>
            <w:vAlign w:val="bottom"/>
            <w:hideMark/>
          </w:tcPr>
          <w:p w14:paraId="2341B02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6.269</w:t>
            </w:r>
          </w:p>
        </w:tc>
        <w:tc>
          <w:tcPr>
            <w:tcW w:w="294" w:type="pct"/>
            <w:tcBorders>
              <w:top w:val="nil"/>
              <w:left w:val="nil"/>
              <w:bottom w:val="nil"/>
              <w:right w:val="nil"/>
            </w:tcBorders>
            <w:shd w:val="clear" w:color="auto" w:fill="auto"/>
            <w:noWrap/>
            <w:vAlign w:val="bottom"/>
            <w:hideMark/>
          </w:tcPr>
          <w:p w14:paraId="2341B02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6.269</w:t>
            </w:r>
          </w:p>
        </w:tc>
        <w:tc>
          <w:tcPr>
            <w:tcW w:w="294" w:type="pct"/>
            <w:tcBorders>
              <w:top w:val="nil"/>
              <w:left w:val="nil"/>
              <w:bottom w:val="nil"/>
              <w:right w:val="nil"/>
            </w:tcBorders>
            <w:shd w:val="clear" w:color="auto" w:fill="auto"/>
            <w:noWrap/>
            <w:vAlign w:val="bottom"/>
            <w:hideMark/>
          </w:tcPr>
          <w:p w14:paraId="2341B02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6.269</w:t>
            </w:r>
          </w:p>
        </w:tc>
        <w:tc>
          <w:tcPr>
            <w:tcW w:w="294" w:type="pct"/>
            <w:tcBorders>
              <w:top w:val="nil"/>
              <w:left w:val="nil"/>
              <w:bottom w:val="nil"/>
              <w:right w:val="nil"/>
            </w:tcBorders>
            <w:shd w:val="clear" w:color="auto" w:fill="auto"/>
            <w:noWrap/>
            <w:vAlign w:val="bottom"/>
            <w:hideMark/>
          </w:tcPr>
          <w:p w14:paraId="2341B02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6.269</w:t>
            </w:r>
          </w:p>
        </w:tc>
        <w:tc>
          <w:tcPr>
            <w:tcW w:w="294" w:type="pct"/>
            <w:tcBorders>
              <w:top w:val="nil"/>
              <w:left w:val="nil"/>
              <w:bottom w:val="nil"/>
              <w:right w:val="nil"/>
            </w:tcBorders>
            <w:shd w:val="clear" w:color="auto" w:fill="auto"/>
            <w:noWrap/>
            <w:vAlign w:val="bottom"/>
            <w:hideMark/>
          </w:tcPr>
          <w:p w14:paraId="2341B02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6.269</w:t>
            </w:r>
          </w:p>
        </w:tc>
        <w:tc>
          <w:tcPr>
            <w:tcW w:w="286" w:type="pct"/>
            <w:tcBorders>
              <w:top w:val="nil"/>
              <w:left w:val="nil"/>
              <w:bottom w:val="nil"/>
              <w:right w:val="nil"/>
            </w:tcBorders>
            <w:shd w:val="clear" w:color="auto" w:fill="auto"/>
            <w:noWrap/>
            <w:vAlign w:val="bottom"/>
            <w:hideMark/>
          </w:tcPr>
          <w:p w14:paraId="2341B02F" w14:textId="77777777" w:rsidR="00CD529B" w:rsidRPr="00980C81" w:rsidRDefault="00CD529B" w:rsidP="00564572">
            <w:pPr>
              <w:jc w:val="right"/>
              <w:rPr>
                <w:rFonts w:ascii="Calibri" w:hAnsi="Calibri" w:cs="Calibri"/>
                <w:color w:val="806000"/>
                <w:sz w:val="15"/>
                <w:szCs w:val="15"/>
                <w:lang w:eastAsia="es-CO"/>
              </w:rPr>
            </w:pPr>
            <w:r w:rsidRPr="00980C81">
              <w:rPr>
                <w:rFonts w:ascii="Calibri" w:hAnsi="Calibri" w:cs="Calibri"/>
                <w:color w:val="806000"/>
                <w:sz w:val="15"/>
                <w:szCs w:val="15"/>
              </w:rPr>
              <w:t>6.269</w:t>
            </w:r>
          </w:p>
        </w:tc>
        <w:tc>
          <w:tcPr>
            <w:tcW w:w="284" w:type="pct"/>
            <w:tcBorders>
              <w:top w:val="nil"/>
              <w:left w:val="nil"/>
              <w:bottom w:val="nil"/>
              <w:right w:val="nil"/>
            </w:tcBorders>
            <w:shd w:val="clear" w:color="auto" w:fill="auto"/>
            <w:noWrap/>
            <w:vAlign w:val="bottom"/>
            <w:hideMark/>
          </w:tcPr>
          <w:p w14:paraId="2341B030" w14:textId="77777777" w:rsidR="00CD529B" w:rsidRPr="00980C81" w:rsidRDefault="00CD529B" w:rsidP="00564572">
            <w:pPr>
              <w:jc w:val="right"/>
              <w:rPr>
                <w:rFonts w:ascii="Calibri" w:hAnsi="Calibri" w:cs="Calibri"/>
                <w:color w:val="806000"/>
                <w:sz w:val="15"/>
                <w:szCs w:val="15"/>
                <w:lang w:eastAsia="es-CO"/>
              </w:rPr>
            </w:pPr>
            <w:r w:rsidRPr="00980C81">
              <w:rPr>
                <w:rFonts w:ascii="Calibri" w:hAnsi="Calibri" w:cs="Calibri"/>
                <w:color w:val="806000"/>
                <w:sz w:val="15"/>
                <w:szCs w:val="15"/>
              </w:rPr>
              <w:t>6.269</w:t>
            </w:r>
          </w:p>
        </w:tc>
      </w:tr>
      <w:tr w:rsidR="00CD529B" w:rsidRPr="00EF6E63" w14:paraId="2341B03F" w14:textId="77777777" w:rsidTr="00564572">
        <w:trPr>
          <w:trHeight w:val="300"/>
        </w:trPr>
        <w:tc>
          <w:tcPr>
            <w:tcW w:w="1454" w:type="pct"/>
            <w:tcBorders>
              <w:top w:val="nil"/>
              <w:left w:val="nil"/>
              <w:bottom w:val="single" w:sz="4" w:space="0" w:color="auto"/>
              <w:right w:val="nil"/>
            </w:tcBorders>
            <w:shd w:val="clear" w:color="auto" w:fill="auto"/>
            <w:noWrap/>
            <w:vAlign w:val="bottom"/>
            <w:hideMark/>
          </w:tcPr>
          <w:p w14:paraId="2341B032" w14:textId="77777777" w:rsidR="00CD529B" w:rsidRPr="00EF6E63" w:rsidRDefault="00CD529B" w:rsidP="00564572">
            <w:pPr>
              <w:rPr>
                <w:rFonts w:ascii="Calibri" w:hAnsi="Calibri" w:cs="Calibri"/>
                <w:color w:val="000000"/>
                <w:sz w:val="15"/>
                <w:szCs w:val="15"/>
                <w:lang w:eastAsia="es-CO"/>
              </w:rPr>
            </w:pPr>
            <w:r w:rsidRPr="00EF6E63">
              <w:rPr>
                <w:rFonts w:ascii="Calibri" w:hAnsi="Calibri" w:cs="Calibri"/>
                <w:color w:val="000000"/>
                <w:sz w:val="15"/>
                <w:szCs w:val="15"/>
                <w:lang w:eastAsia="es-CO"/>
              </w:rPr>
              <w:t>Número de neveras a cambiar</w:t>
            </w:r>
          </w:p>
        </w:tc>
        <w:tc>
          <w:tcPr>
            <w:tcW w:w="317" w:type="pct"/>
            <w:tcBorders>
              <w:top w:val="nil"/>
              <w:left w:val="nil"/>
              <w:bottom w:val="single" w:sz="4" w:space="0" w:color="auto"/>
              <w:right w:val="nil"/>
            </w:tcBorders>
            <w:shd w:val="clear" w:color="auto" w:fill="auto"/>
            <w:noWrap/>
            <w:vAlign w:val="bottom"/>
            <w:hideMark/>
          </w:tcPr>
          <w:p w14:paraId="2341B033" w14:textId="77777777" w:rsidR="00CD529B" w:rsidRPr="00980C81" w:rsidRDefault="00CD529B" w:rsidP="00564572">
            <w:pPr>
              <w:rPr>
                <w:rFonts w:ascii="Calibri" w:hAnsi="Calibri" w:cs="Calibri"/>
                <w:color w:val="000000"/>
                <w:sz w:val="15"/>
                <w:szCs w:val="15"/>
                <w:lang w:eastAsia="es-CO"/>
              </w:rPr>
            </w:pPr>
            <w:r w:rsidRPr="00980C81">
              <w:rPr>
                <w:rFonts w:ascii="Calibri" w:hAnsi="Calibri" w:cs="Calibri"/>
                <w:color w:val="000000"/>
                <w:sz w:val="15"/>
                <w:szCs w:val="15"/>
              </w:rPr>
              <w:t> </w:t>
            </w:r>
          </w:p>
        </w:tc>
        <w:tc>
          <w:tcPr>
            <w:tcW w:w="317" w:type="pct"/>
            <w:tcBorders>
              <w:top w:val="nil"/>
              <w:left w:val="nil"/>
              <w:bottom w:val="single" w:sz="4" w:space="0" w:color="auto"/>
              <w:right w:val="nil"/>
            </w:tcBorders>
            <w:shd w:val="clear" w:color="auto" w:fill="auto"/>
            <w:noWrap/>
            <w:vAlign w:val="bottom"/>
            <w:hideMark/>
          </w:tcPr>
          <w:p w14:paraId="2341B03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933.723</w:t>
            </w:r>
          </w:p>
        </w:tc>
        <w:tc>
          <w:tcPr>
            <w:tcW w:w="288" w:type="pct"/>
            <w:tcBorders>
              <w:top w:val="nil"/>
              <w:left w:val="nil"/>
              <w:bottom w:val="single" w:sz="4" w:space="0" w:color="auto"/>
              <w:right w:val="nil"/>
            </w:tcBorders>
            <w:shd w:val="clear" w:color="auto" w:fill="auto"/>
            <w:noWrap/>
            <w:vAlign w:val="bottom"/>
            <w:hideMark/>
          </w:tcPr>
          <w:p w14:paraId="2341B03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933.723</w:t>
            </w:r>
          </w:p>
        </w:tc>
        <w:tc>
          <w:tcPr>
            <w:tcW w:w="290" w:type="pct"/>
            <w:tcBorders>
              <w:top w:val="nil"/>
              <w:left w:val="nil"/>
              <w:bottom w:val="single" w:sz="4" w:space="0" w:color="auto"/>
              <w:right w:val="nil"/>
            </w:tcBorders>
            <w:shd w:val="clear" w:color="auto" w:fill="auto"/>
            <w:noWrap/>
            <w:vAlign w:val="bottom"/>
            <w:hideMark/>
          </w:tcPr>
          <w:p w14:paraId="2341B03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933.723</w:t>
            </w:r>
          </w:p>
        </w:tc>
        <w:tc>
          <w:tcPr>
            <w:tcW w:w="294" w:type="pct"/>
            <w:tcBorders>
              <w:top w:val="nil"/>
              <w:left w:val="nil"/>
              <w:bottom w:val="single" w:sz="4" w:space="0" w:color="auto"/>
              <w:right w:val="nil"/>
            </w:tcBorders>
            <w:shd w:val="clear" w:color="auto" w:fill="auto"/>
            <w:noWrap/>
            <w:vAlign w:val="bottom"/>
            <w:hideMark/>
          </w:tcPr>
          <w:p w14:paraId="2341B03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933.723</w:t>
            </w:r>
          </w:p>
        </w:tc>
        <w:tc>
          <w:tcPr>
            <w:tcW w:w="294" w:type="pct"/>
            <w:tcBorders>
              <w:top w:val="nil"/>
              <w:left w:val="nil"/>
              <w:bottom w:val="single" w:sz="4" w:space="0" w:color="auto"/>
              <w:right w:val="nil"/>
            </w:tcBorders>
            <w:shd w:val="clear" w:color="auto" w:fill="auto"/>
            <w:noWrap/>
            <w:vAlign w:val="bottom"/>
            <w:hideMark/>
          </w:tcPr>
          <w:p w14:paraId="2341B03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933.723</w:t>
            </w:r>
          </w:p>
        </w:tc>
        <w:tc>
          <w:tcPr>
            <w:tcW w:w="294" w:type="pct"/>
            <w:tcBorders>
              <w:top w:val="nil"/>
              <w:left w:val="nil"/>
              <w:bottom w:val="single" w:sz="4" w:space="0" w:color="auto"/>
              <w:right w:val="nil"/>
            </w:tcBorders>
            <w:shd w:val="clear" w:color="auto" w:fill="auto"/>
            <w:noWrap/>
            <w:vAlign w:val="bottom"/>
            <w:hideMark/>
          </w:tcPr>
          <w:p w14:paraId="2341B03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2341B03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2341B03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2341B03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6" w:type="pct"/>
            <w:tcBorders>
              <w:top w:val="nil"/>
              <w:left w:val="nil"/>
              <w:bottom w:val="single" w:sz="4" w:space="0" w:color="auto"/>
              <w:right w:val="nil"/>
            </w:tcBorders>
            <w:shd w:val="clear" w:color="auto" w:fill="auto"/>
            <w:noWrap/>
            <w:vAlign w:val="bottom"/>
            <w:hideMark/>
          </w:tcPr>
          <w:p w14:paraId="2341B03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4" w:type="pct"/>
            <w:tcBorders>
              <w:top w:val="nil"/>
              <w:left w:val="nil"/>
              <w:bottom w:val="single" w:sz="4" w:space="0" w:color="auto"/>
              <w:right w:val="nil"/>
            </w:tcBorders>
            <w:shd w:val="clear" w:color="auto" w:fill="auto"/>
            <w:noWrap/>
            <w:vAlign w:val="bottom"/>
            <w:hideMark/>
          </w:tcPr>
          <w:p w14:paraId="2341B03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CD529B" w:rsidRPr="00EF6E63" w14:paraId="2341B04D" w14:textId="77777777" w:rsidTr="00564572">
        <w:trPr>
          <w:trHeight w:val="300"/>
        </w:trPr>
        <w:tc>
          <w:tcPr>
            <w:tcW w:w="1454" w:type="pct"/>
            <w:tcBorders>
              <w:top w:val="nil"/>
              <w:left w:val="nil"/>
              <w:bottom w:val="nil"/>
              <w:right w:val="nil"/>
            </w:tcBorders>
            <w:shd w:val="clear" w:color="auto" w:fill="auto"/>
            <w:noWrap/>
            <w:vAlign w:val="bottom"/>
            <w:hideMark/>
          </w:tcPr>
          <w:p w14:paraId="2341B040" w14:textId="77777777" w:rsidR="00CD529B" w:rsidRPr="00EF6E63" w:rsidRDefault="00CD529B" w:rsidP="00564572">
            <w:pPr>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Beneficios</w:t>
            </w:r>
          </w:p>
        </w:tc>
        <w:tc>
          <w:tcPr>
            <w:tcW w:w="317" w:type="pct"/>
            <w:tcBorders>
              <w:top w:val="nil"/>
              <w:left w:val="nil"/>
              <w:bottom w:val="nil"/>
              <w:right w:val="nil"/>
            </w:tcBorders>
            <w:shd w:val="clear" w:color="auto" w:fill="auto"/>
            <w:noWrap/>
            <w:vAlign w:val="bottom"/>
            <w:hideMark/>
          </w:tcPr>
          <w:p w14:paraId="2341B041" w14:textId="77777777" w:rsidR="00CD529B" w:rsidRPr="00980C81" w:rsidRDefault="00CD529B" w:rsidP="00564572">
            <w:pPr>
              <w:rPr>
                <w:rFonts w:ascii="Calibri" w:hAnsi="Calibri" w:cs="Calibri"/>
                <w:b/>
                <w:bCs/>
                <w:color w:val="000000"/>
                <w:sz w:val="15"/>
                <w:szCs w:val="15"/>
                <w:lang w:eastAsia="es-CO"/>
              </w:rPr>
            </w:pPr>
          </w:p>
        </w:tc>
        <w:tc>
          <w:tcPr>
            <w:tcW w:w="317" w:type="pct"/>
            <w:tcBorders>
              <w:top w:val="nil"/>
              <w:left w:val="nil"/>
              <w:bottom w:val="nil"/>
              <w:right w:val="nil"/>
            </w:tcBorders>
            <w:shd w:val="clear" w:color="auto" w:fill="auto"/>
            <w:noWrap/>
            <w:vAlign w:val="bottom"/>
            <w:hideMark/>
          </w:tcPr>
          <w:p w14:paraId="2341B042" w14:textId="77777777" w:rsidR="00CD529B" w:rsidRPr="00980C81"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043" w14:textId="77777777" w:rsidR="00CD529B" w:rsidRPr="00980C81"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044" w14:textId="77777777" w:rsidR="00CD529B" w:rsidRPr="00980C81"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45" w14:textId="77777777" w:rsidR="00CD529B" w:rsidRPr="00980C81"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46" w14:textId="77777777" w:rsidR="00CD529B" w:rsidRPr="00980C81"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47" w14:textId="77777777" w:rsidR="00CD529B" w:rsidRPr="00980C81"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48" w14:textId="77777777" w:rsidR="00CD529B" w:rsidRPr="00980C81"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49" w14:textId="77777777" w:rsidR="00CD529B" w:rsidRPr="00980C81"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4A" w14:textId="77777777" w:rsidR="00CD529B" w:rsidRPr="00980C81" w:rsidRDefault="00CD529B" w:rsidP="00564572">
            <w:pPr>
              <w:rPr>
                <w:sz w:val="15"/>
                <w:szCs w:val="15"/>
                <w:lang w:eastAsia="es-CO"/>
              </w:rPr>
            </w:pPr>
          </w:p>
        </w:tc>
        <w:tc>
          <w:tcPr>
            <w:tcW w:w="286" w:type="pct"/>
            <w:tcBorders>
              <w:top w:val="nil"/>
              <w:left w:val="nil"/>
              <w:bottom w:val="nil"/>
              <w:right w:val="nil"/>
            </w:tcBorders>
            <w:shd w:val="clear" w:color="auto" w:fill="auto"/>
            <w:noWrap/>
            <w:vAlign w:val="bottom"/>
            <w:hideMark/>
          </w:tcPr>
          <w:p w14:paraId="2341B04B" w14:textId="77777777" w:rsidR="00CD529B" w:rsidRPr="00980C81" w:rsidRDefault="00CD529B" w:rsidP="00564572">
            <w:pPr>
              <w:rPr>
                <w:sz w:val="15"/>
                <w:szCs w:val="15"/>
                <w:lang w:eastAsia="es-CO"/>
              </w:rPr>
            </w:pPr>
          </w:p>
        </w:tc>
        <w:tc>
          <w:tcPr>
            <w:tcW w:w="284" w:type="pct"/>
            <w:tcBorders>
              <w:top w:val="nil"/>
              <w:left w:val="nil"/>
              <w:bottom w:val="nil"/>
              <w:right w:val="nil"/>
            </w:tcBorders>
            <w:shd w:val="clear" w:color="auto" w:fill="auto"/>
            <w:noWrap/>
            <w:vAlign w:val="bottom"/>
            <w:hideMark/>
          </w:tcPr>
          <w:p w14:paraId="2341B04C" w14:textId="77777777" w:rsidR="00CD529B" w:rsidRPr="00980C81" w:rsidRDefault="00CD529B" w:rsidP="00564572">
            <w:pPr>
              <w:rPr>
                <w:sz w:val="15"/>
                <w:szCs w:val="15"/>
                <w:lang w:eastAsia="es-CO"/>
              </w:rPr>
            </w:pPr>
          </w:p>
        </w:tc>
      </w:tr>
      <w:tr w:rsidR="00CD529B" w:rsidRPr="00EF6E63" w14:paraId="2341B05B" w14:textId="77777777" w:rsidTr="00564572">
        <w:trPr>
          <w:trHeight w:val="300"/>
        </w:trPr>
        <w:tc>
          <w:tcPr>
            <w:tcW w:w="1454" w:type="pct"/>
            <w:tcBorders>
              <w:top w:val="nil"/>
              <w:left w:val="nil"/>
              <w:bottom w:val="nil"/>
              <w:right w:val="nil"/>
            </w:tcBorders>
            <w:shd w:val="clear" w:color="auto" w:fill="auto"/>
            <w:noWrap/>
            <w:vAlign w:val="bottom"/>
            <w:hideMark/>
          </w:tcPr>
          <w:p w14:paraId="2341B04E" w14:textId="77777777" w:rsidR="00CD529B" w:rsidRPr="00EF6E63" w:rsidRDefault="00CD529B" w:rsidP="00564572">
            <w:pPr>
              <w:ind w:firstLineChars="100" w:firstLine="150"/>
              <w:rPr>
                <w:rFonts w:ascii="Calibri" w:hAnsi="Calibri" w:cs="Calibri"/>
                <w:color w:val="000000"/>
                <w:sz w:val="15"/>
                <w:szCs w:val="15"/>
                <w:lang w:eastAsia="es-CO"/>
              </w:rPr>
            </w:pPr>
            <w:r w:rsidRPr="00EF6E63">
              <w:rPr>
                <w:rFonts w:ascii="Calibri" w:hAnsi="Calibri" w:cs="Calibri"/>
                <w:color w:val="000000"/>
                <w:sz w:val="15"/>
                <w:szCs w:val="15"/>
                <w:lang w:eastAsia="es-CO"/>
              </w:rPr>
              <w:t>Ahorro GWh/año</w:t>
            </w:r>
          </w:p>
        </w:tc>
        <w:tc>
          <w:tcPr>
            <w:tcW w:w="317" w:type="pct"/>
            <w:tcBorders>
              <w:top w:val="nil"/>
              <w:left w:val="nil"/>
              <w:bottom w:val="nil"/>
              <w:right w:val="nil"/>
            </w:tcBorders>
            <w:shd w:val="clear" w:color="auto" w:fill="auto"/>
            <w:noWrap/>
            <w:vAlign w:val="bottom"/>
            <w:hideMark/>
          </w:tcPr>
          <w:p w14:paraId="2341B04F" w14:textId="77777777" w:rsidR="00CD529B" w:rsidRPr="00980C81" w:rsidRDefault="00CD529B" w:rsidP="00564572">
            <w:pPr>
              <w:ind w:firstLineChars="100" w:firstLine="150"/>
              <w:rPr>
                <w:rFonts w:ascii="Calibri" w:hAnsi="Calibri" w:cs="Calibri"/>
                <w:color w:val="000000"/>
                <w:sz w:val="15"/>
                <w:szCs w:val="15"/>
                <w:lang w:eastAsia="es-CO"/>
              </w:rPr>
            </w:pPr>
          </w:p>
        </w:tc>
        <w:tc>
          <w:tcPr>
            <w:tcW w:w="317" w:type="pct"/>
            <w:tcBorders>
              <w:top w:val="nil"/>
              <w:left w:val="nil"/>
              <w:bottom w:val="nil"/>
              <w:right w:val="nil"/>
            </w:tcBorders>
            <w:shd w:val="clear" w:color="auto" w:fill="auto"/>
            <w:noWrap/>
            <w:vAlign w:val="bottom"/>
            <w:hideMark/>
          </w:tcPr>
          <w:p w14:paraId="2341B05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399</w:t>
            </w:r>
          </w:p>
        </w:tc>
        <w:tc>
          <w:tcPr>
            <w:tcW w:w="288" w:type="pct"/>
            <w:tcBorders>
              <w:top w:val="nil"/>
              <w:left w:val="nil"/>
              <w:bottom w:val="nil"/>
              <w:right w:val="nil"/>
            </w:tcBorders>
            <w:shd w:val="clear" w:color="auto" w:fill="auto"/>
            <w:noWrap/>
            <w:vAlign w:val="bottom"/>
            <w:hideMark/>
          </w:tcPr>
          <w:p w14:paraId="2341B05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798</w:t>
            </w:r>
          </w:p>
        </w:tc>
        <w:tc>
          <w:tcPr>
            <w:tcW w:w="290" w:type="pct"/>
            <w:tcBorders>
              <w:top w:val="nil"/>
              <w:left w:val="nil"/>
              <w:bottom w:val="nil"/>
              <w:right w:val="nil"/>
            </w:tcBorders>
            <w:shd w:val="clear" w:color="auto" w:fill="auto"/>
            <w:noWrap/>
            <w:vAlign w:val="bottom"/>
            <w:hideMark/>
          </w:tcPr>
          <w:p w14:paraId="2341B05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1.197</w:t>
            </w:r>
          </w:p>
        </w:tc>
        <w:tc>
          <w:tcPr>
            <w:tcW w:w="294" w:type="pct"/>
            <w:tcBorders>
              <w:top w:val="nil"/>
              <w:left w:val="nil"/>
              <w:bottom w:val="nil"/>
              <w:right w:val="nil"/>
            </w:tcBorders>
            <w:shd w:val="clear" w:color="auto" w:fill="auto"/>
            <w:noWrap/>
            <w:vAlign w:val="bottom"/>
            <w:hideMark/>
          </w:tcPr>
          <w:p w14:paraId="2341B05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1.596</w:t>
            </w:r>
          </w:p>
        </w:tc>
        <w:tc>
          <w:tcPr>
            <w:tcW w:w="294" w:type="pct"/>
            <w:tcBorders>
              <w:top w:val="nil"/>
              <w:left w:val="nil"/>
              <w:bottom w:val="nil"/>
              <w:right w:val="nil"/>
            </w:tcBorders>
            <w:shd w:val="clear" w:color="auto" w:fill="auto"/>
            <w:noWrap/>
            <w:vAlign w:val="bottom"/>
            <w:hideMark/>
          </w:tcPr>
          <w:p w14:paraId="2341B05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1.995</w:t>
            </w:r>
          </w:p>
        </w:tc>
        <w:tc>
          <w:tcPr>
            <w:tcW w:w="294" w:type="pct"/>
            <w:tcBorders>
              <w:top w:val="nil"/>
              <w:left w:val="nil"/>
              <w:bottom w:val="nil"/>
              <w:right w:val="nil"/>
            </w:tcBorders>
            <w:shd w:val="clear" w:color="auto" w:fill="auto"/>
            <w:noWrap/>
            <w:vAlign w:val="bottom"/>
            <w:hideMark/>
          </w:tcPr>
          <w:p w14:paraId="2341B05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1.995</w:t>
            </w:r>
          </w:p>
        </w:tc>
        <w:tc>
          <w:tcPr>
            <w:tcW w:w="294" w:type="pct"/>
            <w:tcBorders>
              <w:top w:val="nil"/>
              <w:left w:val="nil"/>
              <w:bottom w:val="nil"/>
              <w:right w:val="nil"/>
            </w:tcBorders>
            <w:shd w:val="clear" w:color="auto" w:fill="auto"/>
            <w:noWrap/>
            <w:vAlign w:val="bottom"/>
            <w:hideMark/>
          </w:tcPr>
          <w:p w14:paraId="2341B05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1.995</w:t>
            </w:r>
          </w:p>
        </w:tc>
        <w:tc>
          <w:tcPr>
            <w:tcW w:w="294" w:type="pct"/>
            <w:tcBorders>
              <w:top w:val="nil"/>
              <w:left w:val="nil"/>
              <w:bottom w:val="nil"/>
              <w:right w:val="nil"/>
            </w:tcBorders>
            <w:shd w:val="clear" w:color="auto" w:fill="auto"/>
            <w:noWrap/>
            <w:vAlign w:val="bottom"/>
            <w:hideMark/>
          </w:tcPr>
          <w:p w14:paraId="2341B05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1.995</w:t>
            </w:r>
          </w:p>
        </w:tc>
        <w:tc>
          <w:tcPr>
            <w:tcW w:w="294" w:type="pct"/>
            <w:tcBorders>
              <w:top w:val="nil"/>
              <w:left w:val="nil"/>
              <w:bottom w:val="nil"/>
              <w:right w:val="nil"/>
            </w:tcBorders>
            <w:shd w:val="clear" w:color="auto" w:fill="auto"/>
            <w:noWrap/>
            <w:vAlign w:val="bottom"/>
            <w:hideMark/>
          </w:tcPr>
          <w:p w14:paraId="2341B05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1.995</w:t>
            </w:r>
          </w:p>
        </w:tc>
        <w:tc>
          <w:tcPr>
            <w:tcW w:w="286" w:type="pct"/>
            <w:tcBorders>
              <w:top w:val="nil"/>
              <w:left w:val="nil"/>
              <w:bottom w:val="nil"/>
              <w:right w:val="nil"/>
            </w:tcBorders>
            <w:shd w:val="clear" w:color="auto" w:fill="auto"/>
            <w:noWrap/>
            <w:vAlign w:val="bottom"/>
            <w:hideMark/>
          </w:tcPr>
          <w:p w14:paraId="2341B05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1.995</w:t>
            </w:r>
          </w:p>
        </w:tc>
        <w:tc>
          <w:tcPr>
            <w:tcW w:w="284" w:type="pct"/>
            <w:tcBorders>
              <w:top w:val="nil"/>
              <w:left w:val="nil"/>
              <w:bottom w:val="nil"/>
              <w:right w:val="nil"/>
            </w:tcBorders>
            <w:shd w:val="clear" w:color="auto" w:fill="auto"/>
            <w:noWrap/>
            <w:vAlign w:val="bottom"/>
            <w:hideMark/>
          </w:tcPr>
          <w:p w14:paraId="2341B05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1.995</w:t>
            </w:r>
          </w:p>
        </w:tc>
      </w:tr>
      <w:tr w:rsidR="00CD529B" w:rsidRPr="00EF6E63" w14:paraId="2341B069" w14:textId="77777777" w:rsidTr="00564572">
        <w:trPr>
          <w:trHeight w:val="300"/>
        </w:trPr>
        <w:tc>
          <w:tcPr>
            <w:tcW w:w="1454" w:type="pct"/>
            <w:tcBorders>
              <w:top w:val="nil"/>
              <w:left w:val="nil"/>
              <w:bottom w:val="single" w:sz="4" w:space="0" w:color="BFBFBF"/>
              <w:right w:val="nil"/>
            </w:tcBorders>
            <w:shd w:val="clear" w:color="auto" w:fill="auto"/>
            <w:noWrap/>
            <w:vAlign w:val="bottom"/>
            <w:hideMark/>
          </w:tcPr>
          <w:p w14:paraId="2341B05C"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evitadas (TonCO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w:t>
            </w:r>
          </w:p>
        </w:tc>
        <w:tc>
          <w:tcPr>
            <w:tcW w:w="317" w:type="pct"/>
            <w:tcBorders>
              <w:top w:val="nil"/>
              <w:left w:val="nil"/>
              <w:bottom w:val="single" w:sz="4" w:space="0" w:color="BFBFBF"/>
              <w:right w:val="nil"/>
            </w:tcBorders>
            <w:shd w:val="clear" w:color="auto" w:fill="auto"/>
            <w:noWrap/>
            <w:vAlign w:val="bottom"/>
            <w:hideMark/>
          </w:tcPr>
          <w:p w14:paraId="2341B05D"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rPr>
              <w:t> </w:t>
            </w:r>
          </w:p>
        </w:tc>
        <w:tc>
          <w:tcPr>
            <w:tcW w:w="317" w:type="pct"/>
            <w:tcBorders>
              <w:top w:val="nil"/>
              <w:left w:val="nil"/>
              <w:bottom w:val="single" w:sz="4" w:space="0" w:color="BFBFBF"/>
              <w:right w:val="nil"/>
            </w:tcBorders>
            <w:shd w:val="clear" w:color="auto" w:fill="auto"/>
            <w:noWrap/>
            <w:vAlign w:val="bottom"/>
            <w:hideMark/>
          </w:tcPr>
          <w:p w14:paraId="2341B05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55.957</w:t>
            </w:r>
          </w:p>
        </w:tc>
        <w:tc>
          <w:tcPr>
            <w:tcW w:w="288" w:type="pct"/>
            <w:tcBorders>
              <w:top w:val="nil"/>
              <w:left w:val="nil"/>
              <w:bottom w:val="single" w:sz="4" w:space="0" w:color="BFBFBF"/>
              <w:right w:val="nil"/>
            </w:tcBorders>
            <w:shd w:val="clear" w:color="auto" w:fill="auto"/>
            <w:noWrap/>
            <w:vAlign w:val="bottom"/>
            <w:hideMark/>
          </w:tcPr>
          <w:p w14:paraId="2341B05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111.915</w:t>
            </w:r>
          </w:p>
        </w:tc>
        <w:tc>
          <w:tcPr>
            <w:tcW w:w="290" w:type="pct"/>
            <w:tcBorders>
              <w:top w:val="nil"/>
              <w:left w:val="nil"/>
              <w:bottom w:val="single" w:sz="4" w:space="0" w:color="BFBFBF"/>
              <w:right w:val="nil"/>
            </w:tcBorders>
            <w:shd w:val="clear" w:color="auto" w:fill="auto"/>
            <w:noWrap/>
            <w:vAlign w:val="bottom"/>
            <w:hideMark/>
          </w:tcPr>
          <w:p w14:paraId="2341B06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167.872</w:t>
            </w:r>
          </w:p>
        </w:tc>
        <w:tc>
          <w:tcPr>
            <w:tcW w:w="294" w:type="pct"/>
            <w:tcBorders>
              <w:top w:val="nil"/>
              <w:left w:val="nil"/>
              <w:bottom w:val="single" w:sz="4" w:space="0" w:color="BFBFBF"/>
              <w:right w:val="nil"/>
            </w:tcBorders>
            <w:shd w:val="clear" w:color="auto" w:fill="auto"/>
            <w:noWrap/>
            <w:vAlign w:val="bottom"/>
            <w:hideMark/>
          </w:tcPr>
          <w:p w14:paraId="2341B06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223.829</w:t>
            </w:r>
          </w:p>
        </w:tc>
        <w:tc>
          <w:tcPr>
            <w:tcW w:w="294" w:type="pct"/>
            <w:tcBorders>
              <w:top w:val="nil"/>
              <w:left w:val="nil"/>
              <w:bottom w:val="single" w:sz="4" w:space="0" w:color="BFBFBF"/>
              <w:right w:val="nil"/>
            </w:tcBorders>
            <w:shd w:val="clear" w:color="auto" w:fill="auto"/>
            <w:noWrap/>
            <w:vAlign w:val="bottom"/>
            <w:hideMark/>
          </w:tcPr>
          <w:p w14:paraId="2341B06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c>
          <w:tcPr>
            <w:tcW w:w="294" w:type="pct"/>
            <w:tcBorders>
              <w:top w:val="nil"/>
              <w:left w:val="nil"/>
              <w:bottom w:val="single" w:sz="4" w:space="0" w:color="BFBFBF"/>
              <w:right w:val="nil"/>
            </w:tcBorders>
            <w:shd w:val="clear" w:color="auto" w:fill="auto"/>
            <w:noWrap/>
            <w:vAlign w:val="bottom"/>
            <w:hideMark/>
          </w:tcPr>
          <w:p w14:paraId="2341B06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c>
          <w:tcPr>
            <w:tcW w:w="294" w:type="pct"/>
            <w:tcBorders>
              <w:top w:val="nil"/>
              <w:left w:val="nil"/>
              <w:bottom w:val="single" w:sz="4" w:space="0" w:color="BFBFBF"/>
              <w:right w:val="nil"/>
            </w:tcBorders>
            <w:shd w:val="clear" w:color="auto" w:fill="auto"/>
            <w:noWrap/>
            <w:vAlign w:val="bottom"/>
            <w:hideMark/>
          </w:tcPr>
          <w:p w14:paraId="2341B06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c>
          <w:tcPr>
            <w:tcW w:w="294" w:type="pct"/>
            <w:tcBorders>
              <w:top w:val="nil"/>
              <w:left w:val="nil"/>
              <w:bottom w:val="single" w:sz="4" w:space="0" w:color="BFBFBF"/>
              <w:right w:val="nil"/>
            </w:tcBorders>
            <w:shd w:val="clear" w:color="auto" w:fill="auto"/>
            <w:noWrap/>
            <w:vAlign w:val="bottom"/>
            <w:hideMark/>
          </w:tcPr>
          <w:p w14:paraId="2341B06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c>
          <w:tcPr>
            <w:tcW w:w="294" w:type="pct"/>
            <w:tcBorders>
              <w:top w:val="nil"/>
              <w:left w:val="nil"/>
              <w:bottom w:val="single" w:sz="4" w:space="0" w:color="BFBFBF"/>
              <w:right w:val="nil"/>
            </w:tcBorders>
            <w:shd w:val="clear" w:color="auto" w:fill="auto"/>
            <w:noWrap/>
            <w:vAlign w:val="bottom"/>
            <w:hideMark/>
          </w:tcPr>
          <w:p w14:paraId="2341B06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c>
          <w:tcPr>
            <w:tcW w:w="286" w:type="pct"/>
            <w:tcBorders>
              <w:top w:val="nil"/>
              <w:left w:val="nil"/>
              <w:bottom w:val="single" w:sz="4" w:space="0" w:color="BFBFBF"/>
              <w:right w:val="nil"/>
            </w:tcBorders>
            <w:shd w:val="clear" w:color="auto" w:fill="auto"/>
            <w:noWrap/>
            <w:vAlign w:val="bottom"/>
            <w:hideMark/>
          </w:tcPr>
          <w:p w14:paraId="2341B06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c>
          <w:tcPr>
            <w:tcW w:w="284" w:type="pct"/>
            <w:tcBorders>
              <w:top w:val="nil"/>
              <w:left w:val="nil"/>
              <w:bottom w:val="single" w:sz="4" w:space="0" w:color="BFBFBF"/>
              <w:right w:val="nil"/>
            </w:tcBorders>
            <w:shd w:val="clear" w:color="auto" w:fill="auto"/>
            <w:noWrap/>
            <w:vAlign w:val="bottom"/>
            <w:hideMark/>
          </w:tcPr>
          <w:p w14:paraId="2341B06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279.786</w:t>
            </w:r>
          </w:p>
        </w:tc>
      </w:tr>
      <w:tr w:rsidR="00CD529B" w:rsidRPr="00EF6E63" w14:paraId="2341B077" w14:textId="77777777" w:rsidTr="00564572">
        <w:trPr>
          <w:trHeight w:val="300"/>
        </w:trPr>
        <w:tc>
          <w:tcPr>
            <w:tcW w:w="1454" w:type="pct"/>
            <w:tcBorders>
              <w:top w:val="nil"/>
              <w:left w:val="nil"/>
              <w:bottom w:val="nil"/>
              <w:right w:val="nil"/>
            </w:tcBorders>
            <w:shd w:val="clear" w:color="auto" w:fill="auto"/>
            <w:noWrap/>
            <w:vAlign w:val="bottom"/>
            <w:hideMark/>
          </w:tcPr>
          <w:p w14:paraId="2341B06A"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en Tarifa Usuario ($COP Millones)</w:t>
            </w:r>
          </w:p>
        </w:tc>
        <w:tc>
          <w:tcPr>
            <w:tcW w:w="317" w:type="pct"/>
            <w:tcBorders>
              <w:top w:val="nil"/>
              <w:left w:val="nil"/>
              <w:bottom w:val="nil"/>
              <w:right w:val="nil"/>
            </w:tcBorders>
            <w:shd w:val="clear" w:color="auto" w:fill="auto"/>
            <w:noWrap/>
            <w:vAlign w:val="bottom"/>
            <w:hideMark/>
          </w:tcPr>
          <w:p w14:paraId="2341B06B"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317" w:type="pct"/>
            <w:tcBorders>
              <w:top w:val="nil"/>
              <w:left w:val="nil"/>
              <w:bottom w:val="nil"/>
              <w:right w:val="nil"/>
            </w:tcBorders>
            <w:shd w:val="clear" w:color="auto" w:fill="auto"/>
            <w:noWrap/>
            <w:vAlign w:val="bottom"/>
            <w:hideMark/>
          </w:tcPr>
          <w:p w14:paraId="2341B06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8" w:type="pct"/>
            <w:tcBorders>
              <w:top w:val="nil"/>
              <w:left w:val="nil"/>
              <w:bottom w:val="nil"/>
              <w:right w:val="nil"/>
            </w:tcBorders>
            <w:shd w:val="clear" w:color="auto" w:fill="auto"/>
            <w:noWrap/>
            <w:vAlign w:val="bottom"/>
            <w:hideMark/>
          </w:tcPr>
          <w:p w14:paraId="2341B06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70.597</w:t>
            </w:r>
          </w:p>
        </w:tc>
        <w:tc>
          <w:tcPr>
            <w:tcW w:w="290" w:type="pct"/>
            <w:tcBorders>
              <w:top w:val="nil"/>
              <w:left w:val="nil"/>
              <w:bottom w:val="nil"/>
              <w:right w:val="nil"/>
            </w:tcBorders>
            <w:shd w:val="clear" w:color="auto" w:fill="auto"/>
            <w:noWrap/>
            <w:vAlign w:val="bottom"/>
            <w:hideMark/>
          </w:tcPr>
          <w:p w14:paraId="2341B06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141.194</w:t>
            </w:r>
          </w:p>
        </w:tc>
        <w:tc>
          <w:tcPr>
            <w:tcW w:w="294" w:type="pct"/>
            <w:tcBorders>
              <w:top w:val="nil"/>
              <w:left w:val="nil"/>
              <w:bottom w:val="nil"/>
              <w:right w:val="nil"/>
            </w:tcBorders>
            <w:shd w:val="clear" w:color="auto" w:fill="auto"/>
            <w:noWrap/>
            <w:vAlign w:val="bottom"/>
            <w:hideMark/>
          </w:tcPr>
          <w:p w14:paraId="2341B06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211.791</w:t>
            </w:r>
          </w:p>
        </w:tc>
        <w:tc>
          <w:tcPr>
            <w:tcW w:w="294" w:type="pct"/>
            <w:tcBorders>
              <w:top w:val="nil"/>
              <w:left w:val="nil"/>
              <w:bottom w:val="nil"/>
              <w:right w:val="nil"/>
            </w:tcBorders>
            <w:shd w:val="clear" w:color="auto" w:fill="auto"/>
            <w:noWrap/>
            <w:vAlign w:val="bottom"/>
            <w:hideMark/>
          </w:tcPr>
          <w:p w14:paraId="2341B07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282.388</w:t>
            </w:r>
          </w:p>
        </w:tc>
        <w:tc>
          <w:tcPr>
            <w:tcW w:w="294" w:type="pct"/>
            <w:tcBorders>
              <w:top w:val="nil"/>
              <w:left w:val="nil"/>
              <w:bottom w:val="nil"/>
              <w:right w:val="nil"/>
            </w:tcBorders>
            <w:shd w:val="clear" w:color="auto" w:fill="auto"/>
            <w:noWrap/>
            <w:vAlign w:val="bottom"/>
            <w:hideMark/>
          </w:tcPr>
          <w:p w14:paraId="2341B07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352.986</w:t>
            </w:r>
          </w:p>
        </w:tc>
        <w:tc>
          <w:tcPr>
            <w:tcW w:w="294" w:type="pct"/>
            <w:tcBorders>
              <w:top w:val="nil"/>
              <w:left w:val="nil"/>
              <w:bottom w:val="nil"/>
              <w:right w:val="nil"/>
            </w:tcBorders>
            <w:shd w:val="clear" w:color="auto" w:fill="auto"/>
            <w:noWrap/>
            <w:vAlign w:val="bottom"/>
            <w:hideMark/>
          </w:tcPr>
          <w:p w14:paraId="2341B07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352.986</w:t>
            </w:r>
          </w:p>
        </w:tc>
        <w:tc>
          <w:tcPr>
            <w:tcW w:w="294" w:type="pct"/>
            <w:tcBorders>
              <w:top w:val="nil"/>
              <w:left w:val="nil"/>
              <w:bottom w:val="nil"/>
              <w:right w:val="nil"/>
            </w:tcBorders>
            <w:shd w:val="clear" w:color="auto" w:fill="auto"/>
            <w:noWrap/>
            <w:vAlign w:val="bottom"/>
            <w:hideMark/>
          </w:tcPr>
          <w:p w14:paraId="2341B07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352.986</w:t>
            </w:r>
          </w:p>
        </w:tc>
        <w:tc>
          <w:tcPr>
            <w:tcW w:w="294" w:type="pct"/>
            <w:tcBorders>
              <w:top w:val="nil"/>
              <w:left w:val="nil"/>
              <w:bottom w:val="nil"/>
              <w:right w:val="nil"/>
            </w:tcBorders>
            <w:shd w:val="clear" w:color="auto" w:fill="auto"/>
            <w:noWrap/>
            <w:vAlign w:val="bottom"/>
            <w:hideMark/>
          </w:tcPr>
          <w:p w14:paraId="2341B07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352.986</w:t>
            </w:r>
          </w:p>
        </w:tc>
        <w:tc>
          <w:tcPr>
            <w:tcW w:w="286" w:type="pct"/>
            <w:tcBorders>
              <w:top w:val="nil"/>
              <w:left w:val="nil"/>
              <w:bottom w:val="nil"/>
              <w:right w:val="nil"/>
            </w:tcBorders>
            <w:shd w:val="clear" w:color="auto" w:fill="auto"/>
            <w:noWrap/>
            <w:vAlign w:val="bottom"/>
            <w:hideMark/>
          </w:tcPr>
          <w:p w14:paraId="2341B07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352.986</w:t>
            </w:r>
          </w:p>
        </w:tc>
        <w:tc>
          <w:tcPr>
            <w:tcW w:w="284" w:type="pct"/>
            <w:tcBorders>
              <w:top w:val="nil"/>
              <w:left w:val="nil"/>
              <w:bottom w:val="nil"/>
              <w:right w:val="nil"/>
            </w:tcBorders>
            <w:shd w:val="clear" w:color="auto" w:fill="auto"/>
            <w:noWrap/>
            <w:vAlign w:val="bottom"/>
            <w:hideMark/>
          </w:tcPr>
          <w:p w14:paraId="2341B07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352.986</w:t>
            </w:r>
          </w:p>
        </w:tc>
      </w:tr>
      <w:tr w:rsidR="00CD529B" w:rsidRPr="00EF6E63" w14:paraId="2341B085" w14:textId="77777777" w:rsidTr="00564572">
        <w:trPr>
          <w:trHeight w:val="300"/>
        </w:trPr>
        <w:tc>
          <w:tcPr>
            <w:tcW w:w="1454" w:type="pct"/>
            <w:tcBorders>
              <w:top w:val="nil"/>
              <w:left w:val="nil"/>
              <w:bottom w:val="nil"/>
              <w:right w:val="nil"/>
            </w:tcBorders>
            <w:shd w:val="clear" w:color="auto" w:fill="auto"/>
            <w:noWrap/>
            <w:vAlign w:val="bottom"/>
            <w:hideMark/>
          </w:tcPr>
          <w:p w14:paraId="2341B078"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subsidios PGN ($COP Millones)</w:t>
            </w:r>
          </w:p>
        </w:tc>
        <w:tc>
          <w:tcPr>
            <w:tcW w:w="317" w:type="pct"/>
            <w:tcBorders>
              <w:top w:val="nil"/>
              <w:left w:val="nil"/>
              <w:bottom w:val="nil"/>
              <w:right w:val="nil"/>
            </w:tcBorders>
            <w:shd w:val="clear" w:color="auto" w:fill="auto"/>
            <w:noWrap/>
            <w:vAlign w:val="bottom"/>
            <w:hideMark/>
          </w:tcPr>
          <w:p w14:paraId="2341B079"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317" w:type="pct"/>
            <w:tcBorders>
              <w:top w:val="nil"/>
              <w:left w:val="nil"/>
              <w:bottom w:val="nil"/>
              <w:right w:val="nil"/>
            </w:tcBorders>
            <w:shd w:val="clear" w:color="auto" w:fill="auto"/>
            <w:noWrap/>
            <w:vAlign w:val="bottom"/>
            <w:hideMark/>
          </w:tcPr>
          <w:p w14:paraId="2341B07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37.137</w:t>
            </w:r>
          </w:p>
        </w:tc>
        <w:tc>
          <w:tcPr>
            <w:tcW w:w="288" w:type="pct"/>
            <w:tcBorders>
              <w:top w:val="nil"/>
              <w:left w:val="nil"/>
              <w:bottom w:val="nil"/>
              <w:right w:val="nil"/>
            </w:tcBorders>
            <w:shd w:val="clear" w:color="auto" w:fill="auto"/>
            <w:noWrap/>
            <w:vAlign w:val="bottom"/>
            <w:hideMark/>
          </w:tcPr>
          <w:p w14:paraId="2341B07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74.275</w:t>
            </w:r>
          </w:p>
        </w:tc>
        <w:tc>
          <w:tcPr>
            <w:tcW w:w="290" w:type="pct"/>
            <w:tcBorders>
              <w:top w:val="nil"/>
              <w:left w:val="nil"/>
              <w:bottom w:val="nil"/>
              <w:right w:val="nil"/>
            </w:tcBorders>
            <w:shd w:val="clear" w:color="auto" w:fill="auto"/>
            <w:noWrap/>
            <w:vAlign w:val="bottom"/>
            <w:hideMark/>
          </w:tcPr>
          <w:p w14:paraId="2341B07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111.412</w:t>
            </w:r>
          </w:p>
        </w:tc>
        <w:tc>
          <w:tcPr>
            <w:tcW w:w="294" w:type="pct"/>
            <w:tcBorders>
              <w:top w:val="nil"/>
              <w:left w:val="nil"/>
              <w:bottom w:val="nil"/>
              <w:right w:val="nil"/>
            </w:tcBorders>
            <w:shd w:val="clear" w:color="auto" w:fill="auto"/>
            <w:noWrap/>
            <w:vAlign w:val="bottom"/>
            <w:hideMark/>
          </w:tcPr>
          <w:p w14:paraId="2341B07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148.550</w:t>
            </w:r>
          </w:p>
        </w:tc>
        <w:tc>
          <w:tcPr>
            <w:tcW w:w="294" w:type="pct"/>
            <w:tcBorders>
              <w:top w:val="nil"/>
              <w:left w:val="nil"/>
              <w:bottom w:val="nil"/>
              <w:right w:val="nil"/>
            </w:tcBorders>
            <w:shd w:val="clear" w:color="auto" w:fill="auto"/>
            <w:noWrap/>
            <w:vAlign w:val="bottom"/>
            <w:hideMark/>
          </w:tcPr>
          <w:p w14:paraId="2341B07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c>
          <w:tcPr>
            <w:tcW w:w="294" w:type="pct"/>
            <w:tcBorders>
              <w:top w:val="nil"/>
              <w:left w:val="nil"/>
              <w:bottom w:val="nil"/>
              <w:right w:val="nil"/>
            </w:tcBorders>
            <w:shd w:val="clear" w:color="auto" w:fill="auto"/>
            <w:noWrap/>
            <w:vAlign w:val="bottom"/>
            <w:hideMark/>
          </w:tcPr>
          <w:p w14:paraId="2341B07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c>
          <w:tcPr>
            <w:tcW w:w="294" w:type="pct"/>
            <w:tcBorders>
              <w:top w:val="nil"/>
              <w:left w:val="nil"/>
              <w:bottom w:val="nil"/>
              <w:right w:val="nil"/>
            </w:tcBorders>
            <w:shd w:val="clear" w:color="auto" w:fill="auto"/>
            <w:noWrap/>
            <w:vAlign w:val="bottom"/>
            <w:hideMark/>
          </w:tcPr>
          <w:p w14:paraId="2341B08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c>
          <w:tcPr>
            <w:tcW w:w="294" w:type="pct"/>
            <w:tcBorders>
              <w:top w:val="nil"/>
              <w:left w:val="nil"/>
              <w:bottom w:val="nil"/>
              <w:right w:val="nil"/>
            </w:tcBorders>
            <w:shd w:val="clear" w:color="auto" w:fill="auto"/>
            <w:noWrap/>
            <w:vAlign w:val="bottom"/>
            <w:hideMark/>
          </w:tcPr>
          <w:p w14:paraId="2341B08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c>
          <w:tcPr>
            <w:tcW w:w="294" w:type="pct"/>
            <w:tcBorders>
              <w:top w:val="nil"/>
              <w:left w:val="nil"/>
              <w:bottom w:val="nil"/>
              <w:right w:val="nil"/>
            </w:tcBorders>
            <w:shd w:val="clear" w:color="auto" w:fill="auto"/>
            <w:noWrap/>
            <w:vAlign w:val="bottom"/>
            <w:hideMark/>
          </w:tcPr>
          <w:p w14:paraId="2341B08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c>
          <w:tcPr>
            <w:tcW w:w="286" w:type="pct"/>
            <w:tcBorders>
              <w:top w:val="nil"/>
              <w:left w:val="nil"/>
              <w:bottom w:val="nil"/>
              <w:right w:val="nil"/>
            </w:tcBorders>
            <w:shd w:val="clear" w:color="auto" w:fill="auto"/>
            <w:noWrap/>
            <w:vAlign w:val="bottom"/>
            <w:hideMark/>
          </w:tcPr>
          <w:p w14:paraId="2341B08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c>
          <w:tcPr>
            <w:tcW w:w="284" w:type="pct"/>
            <w:tcBorders>
              <w:top w:val="nil"/>
              <w:left w:val="nil"/>
              <w:bottom w:val="nil"/>
              <w:right w:val="nil"/>
            </w:tcBorders>
            <w:shd w:val="clear" w:color="auto" w:fill="auto"/>
            <w:noWrap/>
            <w:vAlign w:val="bottom"/>
            <w:hideMark/>
          </w:tcPr>
          <w:p w14:paraId="2341B08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185.687</w:t>
            </w:r>
          </w:p>
        </w:tc>
      </w:tr>
      <w:tr w:rsidR="00CD529B" w:rsidRPr="00EF6E63" w14:paraId="2341B093" w14:textId="77777777" w:rsidTr="00564572">
        <w:trPr>
          <w:trHeight w:val="300"/>
        </w:trPr>
        <w:tc>
          <w:tcPr>
            <w:tcW w:w="1454" w:type="pct"/>
            <w:tcBorders>
              <w:top w:val="nil"/>
              <w:left w:val="nil"/>
              <w:bottom w:val="nil"/>
              <w:right w:val="nil"/>
            </w:tcBorders>
            <w:shd w:val="clear" w:color="auto" w:fill="auto"/>
            <w:noWrap/>
            <w:vAlign w:val="bottom"/>
            <w:hideMark/>
          </w:tcPr>
          <w:p w14:paraId="2341B086"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($COP Millones)</w:t>
            </w:r>
          </w:p>
        </w:tc>
        <w:tc>
          <w:tcPr>
            <w:tcW w:w="317" w:type="pct"/>
            <w:tcBorders>
              <w:top w:val="nil"/>
              <w:left w:val="nil"/>
              <w:bottom w:val="nil"/>
              <w:right w:val="nil"/>
            </w:tcBorders>
            <w:shd w:val="clear" w:color="auto" w:fill="auto"/>
            <w:noWrap/>
            <w:vAlign w:val="bottom"/>
            <w:hideMark/>
          </w:tcPr>
          <w:p w14:paraId="2341B087"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317" w:type="pct"/>
            <w:tcBorders>
              <w:top w:val="nil"/>
              <w:left w:val="nil"/>
              <w:bottom w:val="nil"/>
              <w:right w:val="nil"/>
            </w:tcBorders>
            <w:shd w:val="clear" w:color="auto" w:fill="auto"/>
            <w:noWrap/>
            <w:vAlign w:val="bottom"/>
            <w:hideMark/>
          </w:tcPr>
          <w:p w14:paraId="2341B08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1.009</w:t>
            </w:r>
          </w:p>
        </w:tc>
        <w:tc>
          <w:tcPr>
            <w:tcW w:w="288" w:type="pct"/>
            <w:tcBorders>
              <w:top w:val="nil"/>
              <w:left w:val="nil"/>
              <w:bottom w:val="nil"/>
              <w:right w:val="nil"/>
            </w:tcBorders>
            <w:shd w:val="clear" w:color="auto" w:fill="auto"/>
            <w:noWrap/>
            <w:vAlign w:val="bottom"/>
            <w:hideMark/>
          </w:tcPr>
          <w:p w14:paraId="2341B08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2.018</w:t>
            </w:r>
          </w:p>
        </w:tc>
        <w:tc>
          <w:tcPr>
            <w:tcW w:w="290" w:type="pct"/>
            <w:tcBorders>
              <w:top w:val="nil"/>
              <w:left w:val="nil"/>
              <w:bottom w:val="nil"/>
              <w:right w:val="nil"/>
            </w:tcBorders>
            <w:shd w:val="clear" w:color="auto" w:fill="auto"/>
            <w:noWrap/>
            <w:vAlign w:val="bottom"/>
            <w:hideMark/>
          </w:tcPr>
          <w:p w14:paraId="2341B08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3.027</w:t>
            </w:r>
          </w:p>
        </w:tc>
        <w:tc>
          <w:tcPr>
            <w:tcW w:w="294" w:type="pct"/>
            <w:tcBorders>
              <w:top w:val="nil"/>
              <w:left w:val="nil"/>
              <w:bottom w:val="nil"/>
              <w:right w:val="nil"/>
            </w:tcBorders>
            <w:shd w:val="clear" w:color="auto" w:fill="auto"/>
            <w:noWrap/>
            <w:vAlign w:val="bottom"/>
            <w:hideMark/>
          </w:tcPr>
          <w:p w14:paraId="2341B08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4.035</w:t>
            </w:r>
          </w:p>
        </w:tc>
        <w:tc>
          <w:tcPr>
            <w:tcW w:w="294" w:type="pct"/>
            <w:tcBorders>
              <w:top w:val="nil"/>
              <w:left w:val="nil"/>
              <w:bottom w:val="nil"/>
              <w:right w:val="nil"/>
            </w:tcBorders>
            <w:shd w:val="clear" w:color="auto" w:fill="auto"/>
            <w:noWrap/>
            <w:vAlign w:val="bottom"/>
            <w:hideMark/>
          </w:tcPr>
          <w:p w14:paraId="2341B08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5.044</w:t>
            </w:r>
          </w:p>
        </w:tc>
        <w:tc>
          <w:tcPr>
            <w:tcW w:w="294" w:type="pct"/>
            <w:tcBorders>
              <w:top w:val="nil"/>
              <w:left w:val="nil"/>
              <w:bottom w:val="nil"/>
              <w:right w:val="nil"/>
            </w:tcBorders>
            <w:shd w:val="clear" w:color="auto" w:fill="auto"/>
            <w:noWrap/>
            <w:vAlign w:val="bottom"/>
            <w:hideMark/>
          </w:tcPr>
          <w:p w14:paraId="2341B08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5.044</w:t>
            </w:r>
          </w:p>
        </w:tc>
        <w:tc>
          <w:tcPr>
            <w:tcW w:w="294" w:type="pct"/>
            <w:tcBorders>
              <w:top w:val="nil"/>
              <w:left w:val="nil"/>
              <w:bottom w:val="nil"/>
              <w:right w:val="nil"/>
            </w:tcBorders>
            <w:shd w:val="clear" w:color="auto" w:fill="auto"/>
            <w:noWrap/>
            <w:vAlign w:val="bottom"/>
            <w:hideMark/>
          </w:tcPr>
          <w:p w14:paraId="2341B08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5.044</w:t>
            </w:r>
          </w:p>
        </w:tc>
        <w:tc>
          <w:tcPr>
            <w:tcW w:w="294" w:type="pct"/>
            <w:tcBorders>
              <w:top w:val="nil"/>
              <w:left w:val="nil"/>
              <w:bottom w:val="nil"/>
              <w:right w:val="nil"/>
            </w:tcBorders>
            <w:shd w:val="clear" w:color="auto" w:fill="auto"/>
            <w:noWrap/>
            <w:vAlign w:val="bottom"/>
            <w:hideMark/>
          </w:tcPr>
          <w:p w14:paraId="2341B08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5.044</w:t>
            </w:r>
          </w:p>
        </w:tc>
        <w:tc>
          <w:tcPr>
            <w:tcW w:w="294" w:type="pct"/>
            <w:tcBorders>
              <w:top w:val="nil"/>
              <w:left w:val="nil"/>
              <w:bottom w:val="nil"/>
              <w:right w:val="nil"/>
            </w:tcBorders>
            <w:shd w:val="clear" w:color="auto" w:fill="auto"/>
            <w:noWrap/>
            <w:vAlign w:val="bottom"/>
            <w:hideMark/>
          </w:tcPr>
          <w:p w14:paraId="2341B09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5.044</w:t>
            </w:r>
          </w:p>
        </w:tc>
        <w:tc>
          <w:tcPr>
            <w:tcW w:w="286" w:type="pct"/>
            <w:tcBorders>
              <w:top w:val="nil"/>
              <w:left w:val="nil"/>
              <w:bottom w:val="nil"/>
              <w:right w:val="nil"/>
            </w:tcBorders>
            <w:shd w:val="clear" w:color="auto" w:fill="auto"/>
            <w:noWrap/>
            <w:vAlign w:val="bottom"/>
            <w:hideMark/>
          </w:tcPr>
          <w:p w14:paraId="2341B09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5.044</w:t>
            </w:r>
          </w:p>
        </w:tc>
        <w:tc>
          <w:tcPr>
            <w:tcW w:w="284" w:type="pct"/>
            <w:tcBorders>
              <w:top w:val="nil"/>
              <w:left w:val="nil"/>
              <w:bottom w:val="nil"/>
              <w:right w:val="nil"/>
            </w:tcBorders>
            <w:shd w:val="clear" w:color="auto" w:fill="auto"/>
            <w:noWrap/>
            <w:vAlign w:val="bottom"/>
            <w:hideMark/>
          </w:tcPr>
          <w:p w14:paraId="2341B09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5.044</w:t>
            </w:r>
          </w:p>
        </w:tc>
      </w:tr>
      <w:tr w:rsidR="00CD529B" w:rsidRPr="00EF6E63" w14:paraId="2341B0A1" w14:textId="77777777" w:rsidTr="00564572">
        <w:trPr>
          <w:trHeight w:val="300"/>
        </w:trPr>
        <w:tc>
          <w:tcPr>
            <w:tcW w:w="1454" w:type="pct"/>
            <w:tcBorders>
              <w:top w:val="nil"/>
              <w:left w:val="nil"/>
              <w:bottom w:val="single" w:sz="4" w:space="0" w:color="auto"/>
              <w:right w:val="nil"/>
            </w:tcBorders>
            <w:shd w:val="clear" w:color="auto" w:fill="auto"/>
            <w:noWrap/>
            <w:vAlign w:val="bottom"/>
            <w:hideMark/>
          </w:tcPr>
          <w:p w14:paraId="2341B094"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planta de generación evitada ($COP Millones)</w:t>
            </w:r>
          </w:p>
        </w:tc>
        <w:tc>
          <w:tcPr>
            <w:tcW w:w="317" w:type="pct"/>
            <w:tcBorders>
              <w:top w:val="nil"/>
              <w:left w:val="nil"/>
              <w:bottom w:val="single" w:sz="4" w:space="0" w:color="auto"/>
              <w:right w:val="nil"/>
            </w:tcBorders>
            <w:shd w:val="clear" w:color="auto" w:fill="auto"/>
            <w:noWrap/>
            <w:vAlign w:val="bottom"/>
            <w:hideMark/>
          </w:tcPr>
          <w:p w14:paraId="2341B095"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rPr>
              <w:t> </w:t>
            </w:r>
          </w:p>
        </w:tc>
        <w:tc>
          <w:tcPr>
            <w:tcW w:w="317" w:type="pct"/>
            <w:tcBorders>
              <w:top w:val="nil"/>
              <w:left w:val="nil"/>
              <w:bottom w:val="single" w:sz="4" w:space="0" w:color="auto"/>
              <w:right w:val="nil"/>
            </w:tcBorders>
            <w:shd w:val="clear" w:color="auto" w:fill="auto"/>
            <w:noWrap/>
            <w:vAlign w:val="bottom"/>
            <w:hideMark/>
          </w:tcPr>
          <w:p w14:paraId="2341B09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2341B09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341B09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2341B09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2.603.724</w:t>
            </w:r>
          </w:p>
        </w:tc>
        <w:tc>
          <w:tcPr>
            <w:tcW w:w="294" w:type="pct"/>
            <w:tcBorders>
              <w:top w:val="nil"/>
              <w:left w:val="nil"/>
              <w:bottom w:val="single" w:sz="4" w:space="0" w:color="auto"/>
              <w:right w:val="nil"/>
            </w:tcBorders>
            <w:shd w:val="clear" w:color="auto" w:fill="auto"/>
            <w:noWrap/>
            <w:vAlign w:val="bottom"/>
            <w:hideMark/>
          </w:tcPr>
          <w:p w14:paraId="2341B09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2341B09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2341B09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2341B09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single" w:sz="4" w:space="0" w:color="auto"/>
              <w:right w:val="nil"/>
            </w:tcBorders>
            <w:shd w:val="clear" w:color="auto" w:fill="auto"/>
            <w:noWrap/>
            <w:vAlign w:val="bottom"/>
            <w:hideMark/>
          </w:tcPr>
          <w:p w14:paraId="2341B09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6" w:type="pct"/>
            <w:tcBorders>
              <w:top w:val="nil"/>
              <w:left w:val="nil"/>
              <w:bottom w:val="single" w:sz="4" w:space="0" w:color="auto"/>
              <w:right w:val="nil"/>
            </w:tcBorders>
            <w:shd w:val="clear" w:color="auto" w:fill="auto"/>
            <w:noWrap/>
            <w:vAlign w:val="bottom"/>
            <w:hideMark/>
          </w:tcPr>
          <w:p w14:paraId="2341B09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4" w:type="pct"/>
            <w:tcBorders>
              <w:top w:val="nil"/>
              <w:left w:val="nil"/>
              <w:bottom w:val="single" w:sz="4" w:space="0" w:color="auto"/>
              <w:right w:val="nil"/>
            </w:tcBorders>
            <w:shd w:val="clear" w:color="auto" w:fill="auto"/>
            <w:noWrap/>
            <w:vAlign w:val="bottom"/>
            <w:hideMark/>
          </w:tcPr>
          <w:p w14:paraId="2341B0A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CD529B" w:rsidRPr="00EF6E63" w14:paraId="2341B0AF" w14:textId="77777777" w:rsidTr="00564572">
        <w:trPr>
          <w:trHeight w:val="300"/>
        </w:trPr>
        <w:tc>
          <w:tcPr>
            <w:tcW w:w="1454" w:type="pct"/>
            <w:tcBorders>
              <w:top w:val="nil"/>
              <w:left w:val="nil"/>
              <w:bottom w:val="single" w:sz="4" w:space="0" w:color="auto"/>
              <w:right w:val="nil"/>
            </w:tcBorders>
            <w:shd w:val="clear" w:color="auto" w:fill="auto"/>
            <w:noWrap/>
            <w:vAlign w:val="bottom"/>
            <w:hideMark/>
          </w:tcPr>
          <w:p w14:paraId="2341B0A2" w14:textId="77777777" w:rsidR="00CD529B" w:rsidRPr="00EF6E63" w:rsidRDefault="00CD529B" w:rsidP="00564572">
            <w:pPr>
              <w:ind w:firstLineChars="100" w:firstLine="150"/>
              <w:rPr>
                <w:rFonts w:ascii="Calibri" w:hAnsi="Calibri" w:cs="Calibri"/>
                <w:color w:val="000000"/>
                <w:sz w:val="15"/>
                <w:szCs w:val="15"/>
                <w:lang w:eastAsia="es-CO"/>
              </w:rPr>
            </w:pPr>
            <w:r w:rsidRPr="00EF6E63">
              <w:rPr>
                <w:rFonts w:ascii="Calibri" w:hAnsi="Calibri" w:cs="Calibri"/>
                <w:color w:val="000000"/>
                <w:sz w:val="15"/>
                <w:szCs w:val="15"/>
                <w:lang w:eastAsia="es-CO"/>
              </w:rPr>
              <w:t>Total Beneficios ($COP Millones)</w:t>
            </w:r>
          </w:p>
        </w:tc>
        <w:tc>
          <w:tcPr>
            <w:tcW w:w="317" w:type="pct"/>
            <w:tcBorders>
              <w:top w:val="nil"/>
              <w:left w:val="nil"/>
              <w:bottom w:val="single" w:sz="4" w:space="0" w:color="auto"/>
              <w:right w:val="nil"/>
            </w:tcBorders>
            <w:shd w:val="clear" w:color="auto" w:fill="auto"/>
            <w:noWrap/>
            <w:vAlign w:val="bottom"/>
            <w:hideMark/>
          </w:tcPr>
          <w:p w14:paraId="2341B0A3" w14:textId="77777777" w:rsidR="00CD529B" w:rsidRPr="00980C81" w:rsidRDefault="00CD529B" w:rsidP="00564572">
            <w:pPr>
              <w:rPr>
                <w:rFonts w:ascii="Calibri" w:hAnsi="Calibri" w:cs="Calibri"/>
                <w:color w:val="000000"/>
                <w:sz w:val="15"/>
                <w:szCs w:val="15"/>
                <w:lang w:eastAsia="es-CO"/>
              </w:rPr>
            </w:pPr>
            <w:r w:rsidRPr="00980C81">
              <w:rPr>
                <w:rFonts w:ascii="Calibri" w:hAnsi="Calibri" w:cs="Calibri"/>
                <w:color w:val="000000"/>
                <w:sz w:val="15"/>
                <w:szCs w:val="15"/>
              </w:rPr>
              <w:t> </w:t>
            </w:r>
          </w:p>
        </w:tc>
        <w:tc>
          <w:tcPr>
            <w:tcW w:w="317" w:type="pct"/>
            <w:tcBorders>
              <w:top w:val="nil"/>
              <w:left w:val="nil"/>
              <w:bottom w:val="single" w:sz="4" w:space="0" w:color="auto"/>
              <w:right w:val="nil"/>
            </w:tcBorders>
            <w:shd w:val="clear" w:color="auto" w:fill="auto"/>
            <w:noWrap/>
            <w:vAlign w:val="bottom"/>
            <w:hideMark/>
          </w:tcPr>
          <w:p w14:paraId="2341B0A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38.146</w:t>
            </w:r>
          </w:p>
        </w:tc>
        <w:tc>
          <w:tcPr>
            <w:tcW w:w="288" w:type="pct"/>
            <w:tcBorders>
              <w:top w:val="nil"/>
              <w:left w:val="nil"/>
              <w:bottom w:val="single" w:sz="4" w:space="0" w:color="auto"/>
              <w:right w:val="nil"/>
            </w:tcBorders>
            <w:shd w:val="clear" w:color="auto" w:fill="auto"/>
            <w:noWrap/>
            <w:vAlign w:val="bottom"/>
            <w:hideMark/>
          </w:tcPr>
          <w:p w14:paraId="2341B0A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146.890</w:t>
            </w:r>
          </w:p>
        </w:tc>
        <w:tc>
          <w:tcPr>
            <w:tcW w:w="290" w:type="pct"/>
            <w:tcBorders>
              <w:top w:val="nil"/>
              <w:left w:val="nil"/>
              <w:bottom w:val="single" w:sz="4" w:space="0" w:color="auto"/>
              <w:right w:val="nil"/>
            </w:tcBorders>
            <w:shd w:val="clear" w:color="auto" w:fill="auto"/>
            <w:noWrap/>
            <w:vAlign w:val="bottom"/>
            <w:hideMark/>
          </w:tcPr>
          <w:p w14:paraId="2341B0A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255.633</w:t>
            </w:r>
          </w:p>
        </w:tc>
        <w:tc>
          <w:tcPr>
            <w:tcW w:w="294" w:type="pct"/>
            <w:tcBorders>
              <w:top w:val="nil"/>
              <w:left w:val="nil"/>
              <w:bottom w:val="single" w:sz="4" w:space="0" w:color="auto"/>
              <w:right w:val="nil"/>
            </w:tcBorders>
            <w:shd w:val="clear" w:color="auto" w:fill="auto"/>
            <w:noWrap/>
            <w:vAlign w:val="bottom"/>
            <w:hideMark/>
          </w:tcPr>
          <w:p w14:paraId="2341B0A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2.968.101</w:t>
            </w:r>
          </w:p>
        </w:tc>
        <w:tc>
          <w:tcPr>
            <w:tcW w:w="294" w:type="pct"/>
            <w:tcBorders>
              <w:top w:val="nil"/>
              <w:left w:val="nil"/>
              <w:bottom w:val="single" w:sz="4" w:space="0" w:color="auto"/>
              <w:right w:val="nil"/>
            </w:tcBorders>
            <w:shd w:val="clear" w:color="auto" w:fill="auto"/>
            <w:noWrap/>
            <w:vAlign w:val="bottom"/>
            <w:hideMark/>
          </w:tcPr>
          <w:p w14:paraId="2341B0A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473.120</w:t>
            </w:r>
          </w:p>
        </w:tc>
        <w:tc>
          <w:tcPr>
            <w:tcW w:w="294" w:type="pct"/>
            <w:tcBorders>
              <w:top w:val="nil"/>
              <w:left w:val="nil"/>
              <w:bottom w:val="single" w:sz="4" w:space="0" w:color="auto"/>
              <w:right w:val="nil"/>
            </w:tcBorders>
            <w:shd w:val="clear" w:color="auto" w:fill="auto"/>
            <w:noWrap/>
            <w:vAlign w:val="bottom"/>
            <w:hideMark/>
          </w:tcPr>
          <w:p w14:paraId="2341B0A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94" w:type="pct"/>
            <w:tcBorders>
              <w:top w:val="nil"/>
              <w:left w:val="nil"/>
              <w:bottom w:val="single" w:sz="4" w:space="0" w:color="auto"/>
              <w:right w:val="nil"/>
            </w:tcBorders>
            <w:shd w:val="clear" w:color="auto" w:fill="auto"/>
            <w:noWrap/>
            <w:vAlign w:val="bottom"/>
            <w:hideMark/>
          </w:tcPr>
          <w:p w14:paraId="2341B0A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94" w:type="pct"/>
            <w:tcBorders>
              <w:top w:val="nil"/>
              <w:left w:val="nil"/>
              <w:bottom w:val="single" w:sz="4" w:space="0" w:color="auto"/>
              <w:right w:val="nil"/>
            </w:tcBorders>
            <w:shd w:val="clear" w:color="auto" w:fill="auto"/>
            <w:noWrap/>
            <w:vAlign w:val="bottom"/>
            <w:hideMark/>
          </w:tcPr>
          <w:p w14:paraId="2341B0A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94" w:type="pct"/>
            <w:tcBorders>
              <w:top w:val="nil"/>
              <w:left w:val="nil"/>
              <w:bottom w:val="single" w:sz="4" w:space="0" w:color="auto"/>
              <w:right w:val="nil"/>
            </w:tcBorders>
            <w:shd w:val="clear" w:color="auto" w:fill="auto"/>
            <w:noWrap/>
            <w:vAlign w:val="bottom"/>
            <w:hideMark/>
          </w:tcPr>
          <w:p w14:paraId="2341B0A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86" w:type="pct"/>
            <w:tcBorders>
              <w:top w:val="nil"/>
              <w:left w:val="nil"/>
              <w:bottom w:val="single" w:sz="4" w:space="0" w:color="auto"/>
              <w:right w:val="nil"/>
            </w:tcBorders>
            <w:shd w:val="clear" w:color="auto" w:fill="auto"/>
            <w:noWrap/>
            <w:vAlign w:val="bottom"/>
            <w:hideMark/>
          </w:tcPr>
          <w:p w14:paraId="2341B0A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84" w:type="pct"/>
            <w:tcBorders>
              <w:top w:val="nil"/>
              <w:left w:val="nil"/>
              <w:bottom w:val="single" w:sz="4" w:space="0" w:color="auto"/>
              <w:right w:val="nil"/>
            </w:tcBorders>
            <w:shd w:val="clear" w:color="auto" w:fill="auto"/>
            <w:noWrap/>
            <w:vAlign w:val="bottom"/>
            <w:hideMark/>
          </w:tcPr>
          <w:p w14:paraId="2341B0A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r>
      <w:tr w:rsidR="00CD529B" w:rsidRPr="00EF6E63" w14:paraId="2341B0BD" w14:textId="77777777" w:rsidTr="00564572">
        <w:trPr>
          <w:trHeight w:val="300"/>
        </w:trPr>
        <w:tc>
          <w:tcPr>
            <w:tcW w:w="1454" w:type="pct"/>
            <w:tcBorders>
              <w:top w:val="nil"/>
              <w:left w:val="nil"/>
              <w:bottom w:val="nil"/>
              <w:right w:val="nil"/>
            </w:tcBorders>
            <w:shd w:val="clear" w:color="auto" w:fill="auto"/>
            <w:noWrap/>
            <w:vAlign w:val="bottom"/>
            <w:hideMark/>
          </w:tcPr>
          <w:p w14:paraId="2341B0B0" w14:textId="77777777" w:rsidR="00CD529B" w:rsidRPr="00EF6E63" w:rsidRDefault="00CD529B" w:rsidP="00564572">
            <w:pPr>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Inversión y Costos</w:t>
            </w:r>
          </w:p>
        </w:tc>
        <w:tc>
          <w:tcPr>
            <w:tcW w:w="317" w:type="pct"/>
            <w:tcBorders>
              <w:top w:val="nil"/>
              <w:left w:val="nil"/>
              <w:bottom w:val="nil"/>
              <w:right w:val="nil"/>
            </w:tcBorders>
            <w:shd w:val="clear" w:color="auto" w:fill="auto"/>
            <w:noWrap/>
            <w:vAlign w:val="bottom"/>
            <w:hideMark/>
          </w:tcPr>
          <w:p w14:paraId="2341B0B1" w14:textId="77777777" w:rsidR="00CD529B" w:rsidRPr="00980C81" w:rsidRDefault="00CD529B" w:rsidP="00564572">
            <w:pPr>
              <w:rPr>
                <w:rFonts w:ascii="Calibri" w:hAnsi="Calibri" w:cs="Calibri"/>
                <w:b/>
                <w:bCs/>
                <w:color w:val="000000"/>
                <w:sz w:val="15"/>
                <w:szCs w:val="15"/>
                <w:lang w:eastAsia="es-CO"/>
              </w:rPr>
            </w:pPr>
          </w:p>
        </w:tc>
        <w:tc>
          <w:tcPr>
            <w:tcW w:w="317" w:type="pct"/>
            <w:tcBorders>
              <w:top w:val="nil"/>
              <w:left w:val="nil"/>
              <w:bottom w:val="nil"/>
              <w:right w:val="nil"/>
            </w:tcBorders>
            <w:shd w:val="clear" w:color="auto" w:fill="auto"/>
            <w:noWrap/>
            <w:vAlign w:val="bottom"/>
            <w:hideMark/>
          </w:tcPr>
          <w:p w14:paraId="2341B0B2" w14:textId="77777777" w:rsidR="00CD529B" w:rsidRPr="00980C81"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0B3" w14:textId="77777777" w:rsidR="00CD529B" w:rsidRPr="00980C81"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0B4" w14:textId="77777777" w:rsidR="00CD529B" w:rsidRPr="00980C81"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B5" w14:textId="77777777" w:rsidR="00CD529B" w:rsidRPr="00980C81"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B6" w14:textId="77777777" w:rsidR="00CD529B" w:rsidRPr="00980C81"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B7" w14:textId="77777777" w:rsidR="00CD529B" w:rsidRPr="00980C81"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B8" w14:textId="77777777" w:rsidR="00CD529B" w:rsidRPr="00980C81"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B9" w14:textId="77777777" w:rsidR="00CD529B" w:rsidRPr="00980C81"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BA" w14:textId="77777777" w:rsidR="00CD529B" w:rsidRPr="00980C81" w:rsidRDefault="00CD529B" w:rsidP="00564572">
            <w:pPr>
              <w:rPr>
                <w:sz w:val="15"/>
                <w:szCs w:val="15"/>
                <w:lang w:eastAsia="es-CO"/>
              </w:rPr>
            </w:pPr>
          </w:p>
        </w:tc>
        <w:tc>
          <w:tcPr>
            <w:tcW w:w="286" w:type="pct"/>
            <w:tcBorders>
              <w:top w:val="nil"/>
              <w:left w:val="nil"/>
              <w:bottom w:val="nil"/>
              <w:right w:val="nil"/>
            </w:tcBorders>
            <w:shd w:val="clear" w:color="auto" w:fill="auto"/>
            <w:noWrap/>
            <w:vAlign w:val="bottom"/>
            <w:hideMark/>
          </w:tcPr>
          <w:p w14:paraId="2341B0BB" w14:textId="77777777" w:rsidR="00CD529B" w:rsidRPr="00980C81" w:rsidRDefault="00CD529B" w:rsidP="00564572">
            <w:pPr>
              <w:rPr>
                <w:sz w:val="15"/>
                <w:szCs w:val="15"/>
                <w:lang w:eastAsia="es-CO"/>
              </w:rPr>
            </w:pPr>
          </w:p>
        </w:tc>
        <w:tc>
          <w:tcPr>
            <w:tcW w:w="284" w:type="pct"/>
            <w:tcBorders>
              <w:top w:val="nil"/>
              <w:left w:val="nil"/>
              <w:bottom w:val="nil"/>
              <w:right w:val="nil"/>
            </w:tcBorders>
            <w:shd w:val="clear" w:color="auto" w:fill="auto"/>
            <w:noWrap/>
            <w:vAlign w:val="bottom"/>
            <w:hideMark/>
          </w:tcPr>
          <w:p w14:paraId="2341B0BC" w14:textId="77777777" w:rsidR="00CD529B" w:rsidRPr="00980C81" w:rsidRDefault="00CD529B" w:rsidP="00564572">
            <w:pPr>
              <w:rPr>
                <w:sz w:val="15"/>
                <w:szCs w:val="15"/>
                <w:lang w:eastAsia="es-CO"/>
              </w:rPr>
            </w:pPr>
          </w:p>
        </w:tc>
      </w:tr>
      <w:tr w:rsidR="00CD529B" w:rsidRPr="00EF6E63" w14:paraId="2341B0CB" w14:textId="77777777" w:rsidTr="00564572">
        <w:trPr>
          <w:trHeight w:val="300"/>
        </w:trPr>
        <w:tc>
          <w:tcPr>
            <w:tcW w:w="1454" w:type="pct"/>
            <w:tcBorders>
              <w:top w:val="nil"/>
              <w:left w:val="nil"/>
              <w:bottom w:val="nil"/>
              <w:right w:val="nil"/>
            </w:tcBorders>
            <w:shd w:val="clear" w:color="auto" w:fill="auto"/>
            <w:noWrap/>
            <w:vAlign w:val="bottom"/>
            <w:hideMark/>
          </w:tcPr>
          <w:p w14:paraId="2341B0BE" w14:textId="77777777" w:rsidR="00CD529B" w:rsidRPr="00EF6E63" w:rsidRDefault="00CD529B" w:rsidP="00564572">
            <w:pPr>
              <w:ind w:firstLineChars="100" w:firstLine="150"/>
              <w:rPr>
                <w:rFonts w:ascii="Calibri" w:hAnsi="Calibri" w:cs="Calibri"/>
                <w:color w:val="000000"/>
                <w:sz w:val="15"/>
                <w:szCs w:val="15"/>
                <w:lang w:eastAsia="es-CO"/>
              </w:rPr>
            </w:pPr>
            <w:r w:rsidRPr="00EF6E63">
              <w:rPr>
                <w:rFonts w:ascii="Calibri" w:hAnsi="Calibri" w:cs="Calibri"/>
                <w:color w:val="000000"/>
                <w:sz w:val="15"/>
                <w:szCs w:val="15"/>
                <w:lang w:eastAsia="es-CO"/>
              </w:rPr>
              <w:t>Inversión en neveras eficientes</w:t>
            </w:r>
          </w:p>
        </w:tc>
        <w:tc>
          <w:tcPr>
            <w:tcW w:w="317" w:type="pct"/>
            <w:tcBorders>
              <w:top w:val="nil"/>
              <w:left w:val="nil"/>
              <w:bottom w:val="nil"/>
              <w:right w:val="nil"/>
            </w:tcBorders>
            <w:shd w:val="clear" w:color="auto" w:fill="auto"/>
            <w:noWrap/>
            <w:vAlign w:val="bottom"/>
            <w:hideMark/>
          </w:tcPr>
          <w:p w14:paraId="2341B0BF" w14:textId="77777777" w:rsidR="00CD529B" w:rsidRPr="00980C81" w:rsidRDefault="00CD529B" w:rsidP="00564572">
            <w:pPr>
              <w:ind w:firstLineChars="100" w:firstLine="150"/>
              <w:rPr>
                <w:rFonts w:ascii="Calibri" w:hAnsi="Calibri" w:cs="Calibri"/>
                <w:color w:val="000000"/>
                <w:sz w:val="15"/>
                <w:szCs w:val="15"/>
                <w:lang w:eastAsia="es-CO"/>
              </w:rPr>
            </w:pPr>
          </w:p>
        </w:tc>
        <w:tc>
          <w:tcPr>
            <w:tcW w:w="317" w:type="pct"/>
            <w:tcBorders>
              <w:top w:val="nil"/>
              <w:left w:val="nil"/>
              <w:bottom w:val="nil"/>
              <w:right w:val="nil"/>
            </w:tcBorders>
            <w:shd w:val="clear" w:color="auto" w:fill="auto"/>
            <w:noWrap/>
            <w:vAlign w:val="bottom"/>
            <w:hideMark/>
          </w:tcPr>
          <w:p w14:paraId="2341B0C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88" w:type="pct"/>
            <w:tcBorders>
              <w:top w:val="nil"/>
              <w:left w:val="nil"/>
              <w:bottom w:val="nil"/>
              <w:right w:val="nil"/>
            </w:tcBorders>
            <w:shd w:val="clear" w:color="auto" w:fill="auto"/>
            <w:noWrap/>
            <w:vAlign w:val="bottom"/>
            <w:hideMark/>
          </w:tcPr>
          <w:p w14:paraId="2341B0C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0" w:type="pct"/>
            <w:tcBorders>
              <w:top w:val="nil"/>
              <w:left w:val="nil"/>
              <w:bottom w:val="nil"/>
              <w:right w:val="nil"/>
            </w:tcBorders>
            <w:shd w:val="clear" w:color="auto" w:fill="auto"/>
            <w:noWrap/>
            <w:vAlign w:val="bottom"/>
            <w:hideMark/>
          </w:tcPr>
          <w:p w14:paraId="2341B0C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4" w:type="pct"/>
            <w:tcBorders>
              <w:top w:val="nil"/>
              <w:left w:val="nil"/>
              <w:bottom w:val="nil"/>
              <w:right w:val="nil"/>
            </w:tcBorders>
            <w:shd w:val="clear" w:color="auto" w:fill="auto"/>
            <w:noWrap/>
            <w:vAlign w:val="bottom"/>
            <w:hideMark/>
          </w:tcPr>
          <w:p w14:paraId="2341B0C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4" w:type="pct"/>
            <w:tcBorders>
              <w:top w:val="nil"/>
              <w:left w:val="nil"/>
              <w:bottom w:val="nil"/>
              <w:right w:val="nil"/>
            </w:tcBorders>
            <w:shd w:val="clear" w:color="auto" w:fill="auto"/>
            <w:noWrap/>
            <w:vAlign w:val="bottom"/>
            <w:hideMark/>
          </w:tcPr>
          <w:p w14:paraId="2341B0C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4" w:type="pct"/>
            <w:tcBorders>
              <w:top w:val="nil"/>
              <w:left w:val="nil"/>
              <w:bottom w:val="nil"/>
              <w:right w:val="nil"/>
            </w:tcBorders>
            <w:shd w:val="clear" w:color="auto" w:fill="auto"/>
            <w:noWrap/>
            <w:vAlign w:val="bottom"/>
            <w:hideMark/>
          </w:tcPr>
          <w:p w14:paraId="2341B0C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nil"/>
              <w:right w:val="nil"/>
            </w:tcBorders>
            <w:shd w:val="clear" w:color="auto" w:fill="auto"/>
            <w:noWrap/>
            <w:vAlign w:val="bottom"/>
            <w:hideMark/>
          </w:tcPr>
          <w:p w14:paraId="2341B0C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nil"/>
              <w:right w:val="nil"/>
            </w:tcBorders>
            <w:shd w:val="clear" w:color="auto" w:fill="auto"/>
            <w:noWrap/>
            <w:vAlign w:val="bottom"/>
            <w:hideMark/>
          </w:tcPr>
          <w:p w14:paraId="2341B0C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nil"/>
              <w:left w:val="nil"/>
              <w:bottom w:val="nil"/>
              <w:right w:val="nil"/>
            </w:tcBorders>
            <w:shd w:val="clear" w:color="auto" w:fill="auto"/>
            <w:noWrap/>
            <w:vAlign w:val="bottom"/>
            <w:hideMark/>
          </w:tcPr>
          <w:p w14:paraId="2341B0C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6" w:type="pct"/>
            <w:tcBorders>
              <w:top w:val="nil"/>
              <w:left w:val="nil"/>
              <w:bottom w:val="nil"/>
              <w:right w:val="nil"/>
            </w:tcBorders>
            <w:shd w:val="clear" w:color="auto" w:fill="auto"/>
            <w:noWrap/>
            <w:vAlign w:val="bottom"/>
            <w:hideMark/>
          </w:tcPr>
          <w:p w14:paraId="2341B0C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4" w:type="pct"/>
            <w:tcBorders>
              <w:top w:val="nil"/>
              <w:left w:val="nil"/>
              <w:bottom w:val="nil"/>
              <w:right w:val="nil"/>
            </w:tcBorders>
            <w:shd w:val="clear" w:color="auto" w:fill="auto"/>
            <w:noWrap/>
            <w:vAlign w:val="bottom"/>
            <w:hideMark/>
          </w:tcPr>
          <w:p w14:paraId="2341B0C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CD529B" w:rsidRPr="00EF6E63" w14:paraId="2341B0D9" w14:textId="77777777" w:rsidTr="00564572">
        <w:trPr>
          <w:trHeight w:val="300"/>
        </w:trPr>
        <w:tc>
          <w:tcPr>
            <w:tcW w:w="1454" w:type="pct"/>
            <w:tcBorders>
              <w:top w:val="single" w:sz="4" w:space="0" w:color="auto"/>
              <w:left w:val="nil"/>
              <w:bottom w:val="single" w:sz="4" w:space="0" w:color="auto"/>
              <w:right w:val="nil"/>
            </w:tcBorders>
            <w:shd w:val="clear" w:color="auto" w:fill="auto"/>
            <w:noWrap/>
            <w:vAlign w:val="bottom"/>
            <w:hideMark/>
          </w:tcPr>
          <w:p w14:paraId="2341B0CC"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Total Inversión y Costos ($COP Millones)</w:t>
            </w:r>
          </w:p>
        </w:tc>
        <w:tc>
          <w:tcPr>
            <w:tcW w:w="317" w:type="pct"/>
            <w:tcBorders>
              <w:top w:val="single" w:sz="4" w:space="0" w:color="auto"/>
              <w:left w:val="nil"/>
              <w:bottom w:val="single" w:sz="4" w:space="0" w:color="auto"/>
              <w:right w:val="nil"/>
            </w:tcBorders>
            <w:shd w:val="clear" w:color="auto" w:fill="auto"/>
            <w:noWrap/>
            <w:vAlign w:val="bottom"/>
            <w:hideMark/>
          </w:tcPr>
          <w:p w14:paraId="2341B0CD"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rPr>
              <w:t> </w:t>
            </w:r>
          </w:p>
        </w:tc>
        <w:tc>
          <w:tcPr>
            <w:tcW w:w="317" w:type="pct"/>
            <w:tcBorders>
              <w:top w:val="single" w:sz="4" w:space="0" w:color="auto"/>
              <w:left w:val="nil"/>
              <w:bottom w:val="single" w:sz="4" w:space="0" w:color="auto"/>
              <w:right w:val="nil"/>
            </w:tcBorders>
            <w:shd w:val="clear" w:color="auto" w:fill="auto"/>
            <w:noWrap/>
            <w:vAlign w:val="bottom"/>
            <w:hideMark/>
          </w:tcPr>
          <w:p w14:paraId="2341B0C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88" w:type="pct"/>
            <w:tcBorders>
              <w:top w:val="single" w:sz="4" w:space="0" w:color="auto"/>
              <w:left w:val="nil"/>
              <w:bottom w:val="single" w:sz="4" w:space="0" w:color="auto"/>
              <w:right w:val="nil"/>
            </w:tcBorders>
            <w:shd w:val="clear" w:color="auto" w:fill="auto"/>
            <w:noWrap/>
            <w:vAlign w:val="bottom"/>
            <w:hideMark/>
          </w:tcPr>
          <w:p w14:paraId="2341B0C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0" w:type="pct"/>
            <w:tcBorders>
              <w:top w:val="single" w:sz="4" w:space="0" w:color="auto"/>
              <w:left w:val="nil"/>
              <w:bottom w:val="single" w:sz="4" w:space="0" w:color="auto"/>
              <w:right w:val="nil"/>
            </w:tcBorders>
            <w:shd w:val="clear" w:color="auto" w:fill="auto"/>
            <w:noWrap/>
            <w:vAlign w:val="bottom"/>
            <w:hideMark/>
          </w:tcPr>
          <w:p w14:paraId="2341B0D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4" w:type="pct"/>
            <w:tcBorders>
              <w:top w:val="single" w:sz="4" w:space="0" w:color="auto"/>
              <w:left w:val="nil"/>
              <w:bottom w:val="single" w:sz="4" w:space="0" w:color="auto"/>
              <w:right w:val="nil"/>
            </w:tcBorders>
            <w:shd w:val="clear" w:color="auto" w:fill="auto"/>
            <w:noWrap/>
            <w:vAlign w:val="bottom"/>
            <w:hideMark/>
          </w:tcPr>
          <w:p w14:paraId="2341B0D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4" w:type="pct"/>
            <w:tcBorders>
              <w:top w:val="single" w:sz="4" w:space="0" w:color="auto"/>
              <w:left w:val="nil"/>
              <w:bottom w:val="single" w:sz="4" w:space="0" w:color="auto"/>
              <w:right w:val="nil"/>
            </w:tcBorders>
            <w:shd w:val="clear" w:color="auto" w:fill="auto"/>
            <w:noWrap/>
            <w:vAlign w:val="bottom"/>
            <w:hideMark/>
          </w:tcPr>
          <w:p w14:paraId="2341B0D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1.000.017</w:t>
            </w:r>
          </w:p>
        </w:tc>
        <w:tc>
          <w:tcPr>
            <w:tcW w:w="294" w:type="pct"/>
            <w:tcBorders>
              <w:top w:val="single" w:sz="4" w:space="0" w:color="auto"/>
              <w:left w:val="nil"/>
              <w:bottom w:val="single" w:sz="4" w:space="0" w:color="auto"/>
              <w:right w:val="nil"/>
            </w:tcBorders>
            <w:shd w:val="clear" w:color="auto" w:fill="auto"/>
            <w:noWrap/>
            <w:vAlign w:val="bottom"/>
            <w:hideMark/>
          </w:tcPr>
          <w:p w14:paraId="2341B0D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single" w:sz="4" w:space="0" w:color="auto"/>
              <w:left w:val="nil"/>
              <w:bottom w:val="single" w:sz="4" w:space="0" w:color="auto"/>
              <w:right w:val="nil"/>
            </w:tcBorders>
            <w:shd w:val="clear" w:color="auto" w:fill="auto"/>
            <w:noWrap/>
            <w:vAlign w:val="bottom"/>
            <w:hideMark/>
          </w:tcPr>
          <w:p w14:paraId="2341B0D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single" w:sz="4" w:space="0" w:color="auto"/>
              <w:left w:val="nil"/>
              <w:bottom w:val="single" w:sz="4" w:space="0" w:color="auto"/>
              <w:right w:val="nil"/>
            </w:tcBorders>
            <w:shd w:val="clear" w:color="auto" w:fill="auto"/>
            <w:noWrap/>
            <w:vAlign w:val="bottom"/>
            <w:hideMark/>
          </w:tcPr>
          <w:p w14:paraId="2341B0D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94" w:type="pct"/>
            <w:tcBorders>
              <w:top w:val="single" w:sz="4" w:space="0" w:color="auto"/>
              <w:left w:val="nil"/>
              <w:bottom w:val="single" w:sz="4" w:space="0" w:color="auto"/>
              <w:right w:val="nil"/>
            </w:tcBorders>
            <w:shd w:val="clear" w:color="auto" w:fill="auto"/>
            <w:noWrap/>
            <w:vAlign w:val="bottom"/>
            <w:hideMark/>
          </w:tcPr>
          <w:p w14:paraId="2341B0D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6" w:type="pct"/>
            <w:tcBorders>
              <w:top w:val="single" w:sz="4" w:space="0" w:color="auto"/>
              <w:left w:val="nil"/>
              <w:bottom w:val="single" w:sz="4" w:space="0" w:color="auto"/>
              <w:right w:val="nil"/>
            </w:tcBorders>
            <w:shd w:val="clear" w:color="auto" w:fill="auto"/>
            <w:noWrap/>
            <w:vAlign w:val="bottom"/>
            <w:hideMark/>
          </w:tcPr>
          <w:p w14:paraId="2341B0D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c>
          <w:tcPr>
            <w:tcW w:w="284" w:type="pct"/>
            <w:tcBorders>
              <w:top w:val="single" w:sz="4" w:space="0" w:color="auto"/>
              <w:left w:val="nil"/>
              <w:bottom w:val="single" w:sz="4" w:space="0" w:color="auto"/>
              <w:right w:val="nil"/>
            </w:tcBorders>
            <w:shd w:val="clear" w:color="auto" w:fill="auto"/>
            <w:noWrap/>
            <w:vAlign w:val="bottom"/>
            <w:hideMark/>
          </w:tcPr>
          <w:p w14:paraId="2341B0D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0</w:t>
            </w:r>
          </w:p>
        </w:tc>
      </w:tr>
      <w:tr w:rsidR="00CD529B" w:rsidRPr="00EF6E63" w14:paraId="2341B0E7" w14:textId="77777777" w:rsidTr="00564572">
        <w:trPr>
          <w:trHeight w:val="300"/>
        </w:trPr>
        <w:tc>
          <w:tcPr>
            <w:tcW w:w="1454" w:type="pct"/>
            <w:tcBorders>
              <w:top w:val="nil"/>
              <w:left w:val="nil"/>
              <w:bottom w:val="single" w:sz="4" w:space="0" w:color="auto"/>
              <w:right w:val="nil"/>
            </w:tcBorders>
            <w:shd w:val="clear" w:color="auto" w:fill="auto"/>
            <w:noWrap/>
            <w:vAlign w:val="bottom"/>
            <w:hideMark/>
          </w:tcPr>
          <w:p w14:paraId="2341B0DA" w14:textId="77777777" w:rsidR="00CD529B" w:rsidRPr="00EF6E63" w:rsidRDefault="00CD529B" w:rsidP="00564572">
            <w:pPr>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Flujo Neto</w:t>
            </w:r>
          </w:p>
        </w:tc>
        <w:tc>
          <w:tcPr>
            <w:tcW w:w="317" w:type="pct"/>
            <w:tcBorders>
              <w:top w:val="nil"/>
              <w:left w:val="nil"/>
              <w:bottom w:val="single" w:sz="4" w:space="0" w:color="auto"/>
              <w:right w:val="nil"/>
            </w:tcBorders>
            <w:shd w:val="clear" w:color="auto" w:fill="auto"/>
            <w:noWrap/>
            <w:vAlign w:val="bottom"/>
            <w:hideMark/>
          </w:tcPr>
          <w:p w14:paraId="2341B0DB" w14:textId="77777777" w:rsidR="00CD529B" w:rsidRPr="00980C81" w:rsidRDefault="00CD529B" w:rsidP="00564572">
            <w:pPr>
              <w:rPr>
                <w:rFonts w:ascii="Calibri" w:hAnsi="Calibri" w:cs="Calibri"/>
                <w:color w:val="000000"/>
                <w:sz w:val="15"/>
                <w:szCs w:val="15"/>
                <w:lang w:eastAsia="es-CO"/>
              </w:rPr>
            </w:pPr>
            <w:r w:rsidRPr="00980C81">
              <w:rPr>
                <w:rFonts w:ascii="Calibri" w:hAnsi="Calibri" w:cs="Calibri"/>
                <w:color w:val="000000"/>
                <w:sz w:val="15"/>
                <w:szCs w:val="15"/>
              </w:rPr>
              <w:t> </w:t>
            </w:r>
          </w:p>
        </w:tc>
        <w:tc>
          <w:tcPr>
            <w:tcW w:w="317" w:type="pct"/>
            <w:tcBorders>
              <w:top w:val="nil"/>
              <w:left w:val="nil"/>
              <w:bottom w:val="single" w:sz="4" w:space="0" w:color="auto"/>
              <w:right w:val="nil"/>
            </w:tcBorders>
            <w:shd w:val="clear" w:color="auto" w:fill="auto"/>
            <w:noWrap/>
            <w:vAlign w:val="bottom"/>
            <w:hideMark/>
          </w:tcPr>
          <w:p w14:paraId="2341B0D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-961.871</w:t>
            </w:r>
          </w:p>
        </w:tc>
        <w:tc>
          <w:tcPr>
            <w:tcW w:w="288" w:type="pct"/>
            <w:tcBorders>
              <w:top w:val="nil"/>
              <w:left w:val="nil"/>
              <w:bottom w:val="single" w:sz="4" w:space="0" w:color="auto"/>
              <w:right w:val="nil"/>
            </w:tcBorders>
            <w:shd w:val="clear" w:color="auto" w:fill="auto"/>
            <w:noWrap/>
            <w:vAlign w:val="bottom"/>
            <w:hideMark/>
          </w:tcPr>
          <w:p w14:paraId="2341B0D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-853.127</w:t>
            </w:r>
          </w:p>
        </w:tc>
        <w:tc>
          <w:tcPr>
            <w:tcW w:w="290" w:type="pct"/>
            <w:tcBorders>
              <w:top w:val="nil"/>
              <w:left w:val="nil"/>
              <w:bottom w:val="single" w:sz="4" w:space="0" w:color="auto"/>
              <w:right w:val="nil"/>
            </w:tcBorders>
            <w:shd w:val="clear" w:color="auto" w:fill="auto"/>
            <w:noWrap/>
            <w:vAlign w:val="bottom"/>
            <w:hideMark/>
          </w:tcPr>
          <w:p w14:paraId="2341B0D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-744.384</w:t>
            </w:r>
          </w:p>
        </w:tc>
        <w:tc>
          <w:tcPr>
            <w:tcW w:w="294" w:type="pct"/>
            <w:tcBorders>
              <w:top w:val="nil"/>
              <w:left w:val="nil"/>
              <w:bottom w:val="single" w:sz="4" w:space="0" w:color="auto"/>
              <w:right w:val="nil"/>
            </w:tcBorders>
            <w:shd w:val="clear" w:color="auto" w:fill="auto"/>
            <w:noWrap/>
            <w:vAlign w:val="bottom"/>
            <w:hideMark/>
          </w:tcPr>
          <w:p w14:paraId="2341B0D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1.968.084</w:t>
            </w:r>
          </w:p>
        </w:tc>
        <w:tc>
          <w:tcPr>
            <w:tcW w:w="294" w:type="pct"/>
            <w:tcBorders>
              <w:top w:val="nil"/>
              <w:left w:val="nil"/>
              <w:bottom w:val="single" w:sz="4" w:space="0" w:color="auto"/>
              <w:right w:val="nil"/>
            </w:tcBorders>
            <w:shd w:val="clear" w:color="auto" w:fill="auto"/>
            <w:noWrap/>
            <w:vAlign w:val="bottom"/>
            <w:hideMark/>
          </w:tcPr>
          <w:p w14:paraId="2341B0E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-526.897</w:t>
            </w:r>
          </w:p>
        </w:tc>
        <w:tc>
          <w:tcPr>
            <w:tcW w:w="294" w:type="pct"/>
            <w:tcBorders>
              <w:top w:val="nil"/>
              <w:left w:val="nil"/>
              <w:bottom w:val="single" w:sz="4" w:space="0" w:color="auto"/>
              <w:right w:val="nil"/>
            </w:tcBorders>
            <w:shd w:val="clear" w:color="auto" w:fill="auto"/>
            <w:noWrap/>
            <w:vAlign w:val="bottom"/>
            <w:hideMark/>
          </w:tcPr>
          <w:p w14:paraId="2341B0E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94" w:type="pct"/>
            <w:tcBorders>
              <w:top w:val="nil"/>
              <w:left w:val="nil"/>
              <w:bottom w:val="single" w:sz="4" w:space="0" w:color="auto"/>
              <w:right w:val="nil"/>
            </w:tcBorders>
            <w:shd w:val="clear" w:color="auto" w:fill="auto"/>
            <w:noWrap/>
            <w:vAlign w:val="bottom"/>
            <w:hideMark/>
          </w:tcPr>
          <w:p w14:paraId="2341B0E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94" w:type="pct"/>
            <w:tcBorders>
              <w:top w:val="nil"/>
              <w:left w:val="nil"/>
              <w:bottom w:val="single" w:sz="4" w:space="0" w:color="auto"/>
              <w:right w:val="nil"/>
            </w:tcBorders>
            <w:shd w:val="clear" w:color="auto" w:fill="auto"/>
            <w:noWrap/>
            <w:vAlign w:val="bottom"/>
            <w:hideMark/>
          </w:tcPr>
          <w:p w14:paraId="2341B0E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94" w:type="pct"/>
            <w:tcBorders>
              <w:top w:val="nil"/>
              <w:left w:val="nil"/>
              <w:bottom w:val="single" w:sz="4" w:space="0" w:color="auto"/>
              <w:right w:val="nil"/>
            </w:tcBorders>
            <w:shd w:val="clear" w:color="auto" w:fill="auto"/>
            <w:noWrap/>
            <w:vAlign w:val="bottom"/>
            <w:hideMark/>
          </w:tcPr>
          <w:p w14:paraId="2341B0E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86" w:type="pct"/>
            <w:tcBorders>
              <w:top w:val="nil"/>
              <w:left w:val="nil"/>
              <w:bottom w:val="single" w:sz="4" w:space="0" w:color="auto"/>
              <w:right w:val="nil"/>
            </w:tcBorders>
            <w:shd w:val="clear" w:color="auto" w:fill="auto"/>
            <w:noWrap/>
            <w:vAlign w:val="bottom"/>
            <w:hideMark/>
          </w:tcPr>
          <w:p w14:paraId="2341B0E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c>
          <w:tcPr>
            <w:tcW w:w="284" w:type="pct"/>
            <w:tcBorders>
              <w:top w:val="nil"/>
              <w:left w:val="nil"/>
              <w:bottom w:val="single" w:sz="4" w:space="0" w:color="auto"/>
              <w:right w:val="nil"/>
            </w:tcBorders>
            <w:shd w:val="clear" w:color="auto" w:fill="auto"/>
            <w:noWrap/>
            <w:vAlign w:val="bottom"/>
            <w:hideMark/>
          </w:tcPr>
          <w:p w14:paraId="2341B0E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543.717</w:t>
            </w:r>
          </w:p>
        </w:tc>
      </w:tr>
      <w:tr w:rsidR="00CD529B" w:rsidRPr="00EF6E63" w14:paraId="2341B0F5" w14:textId="77777777" w:rsidTr="00564572">
        <w:trPr>
          <w:trHeight w:val="300"/>
        </w:trPr>
        <w:tc>
          <w:tcPr>
            <w:tcW w:w="1454" w:type="pct"/>
            <w:tcBorders>
              <w:top w:val="nil"/>
              <w:left w:val="nil"/>
              <w:bottom w:val="nil"/>
              <w:right w:val="nil"/>
            </w:tcBorders>
            <w:shd w:val="clear" w:color="auto" w:fill="auto"/>
            <w:noWrap/>
            <w:vAlign w:val="bottom"/>
            <w:hideMark/>
          </w:tcPr>
          <w:p w14:paraId="2341B0E8" w14:textId="77777777" w:rsidR="00CD529B" w:rsidRPr="00EF6E63" w:rsidRDefault="00CD529B" w:rsidP="00564572">
            <w:pPr>
              <w:jc w:val="right"/>
              <w:rPr>
                <w:rFonts w:ascii="Calibri" w:hAnsi="Calibri" w:cs="Calibri"/>
                <w:color w:val="000000"/>
                <w:sz w:val="15"/>
                <w:szCs w:val="15"/>
                <w:lang w:eastAsia="es-CO"/>
              </w:rPr>
            </w:pPr>
          </w:p>
        </w:tc>
        <w:tc>
          <w:tcPr>
            <w:tcW w:w="317" w:type="pct"/>
            <w:tcBorders>
              <w:top w:val="nil"/>
              <w:left w:val="nil"/>
              <w:bottom w:val="nil"/>
              <w:right w:val="nil"/>
            </w:tcBorders>
            <w:shd w:val="clear" w:color="auto" w:fill="auto"/>
            <w:noWrap/>
            <w:vAlign w:val="bottom"/>
            <w:hideMark/>
          </w:tcPr>
          <w:p w14:paraId="2341B0E9" w14:textId="77777777" w:rsidR="00CD529B" w:rsidRPr="00EF6E63" w:rsidRDefault="00CD529B" w:rsidP="00564572">
            <w:pPr>
              <w:rPr>
                <w:sz w:val="15"/>
                <w:szCs w:val="15"/>
                <w:lang w:eastAsia="es-CO"/>
              </w:rPr>
            </w:pPr>
          </w:p>
        </w:tc>
        <w:tc>
          <w:tcPr>
            <w:tcW w:w="317" w:type="pct"/>
            <w:tcBorders>
              <w:top w:val="nil"/>
              <w:left w:val="nil"/>
              <w:bottom w:val="nil"/>
              <w:right w:val="nil"/>
            </w:tcBorders>
            <w:shd w:val="clear" w:color="auto" w:fill="auto"/>
            <w:noWrap/>
            <w:vAlign w:val="bottom"/>
            <w:hideMark/>
          </w:tcPr>
          <w:p w14:paraId="2341B0EA" w14:textId="77777777" w:rsidR="00CD529B" w:rsidRPr="00EF6E63"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0EB" w14:textId="77777777" w:rsidR="00CD529B" w:rsidRPr="00EF6E63"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0EC"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ED"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EE"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EF"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F0"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F1"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F2" w14:textId="77777777" w:rsidR="00CD529B" w:rsidRPr="00EF6E63" w:rsidRDefault="00CD529B" w:rsidP="00564572">
            <w:pPr>
              <w:rPr>
                <w:sz w:val="15"/>
                <w:szCs w:val="15"/>
                <w:lang w:eastAsia="es-CO"/>
              </w:rPr>
            </w:pPr>
          </w:p>
        </w:tc>
        <w:tc>
          <w:tcPr>
            <w:tcW w:w="286" w:type="pct"/>
            <w:tcBorders>
              <w:top w:val="nil"/>
              <w:left w:val="nil"/>
              <w:bottom w:val="nil"/>
              <w:right w:val="nil"/>
            </w:tcBorders>
            <w:shd w:val="clear" w:color="auto" w:fill="auto"/>
            <w:noWrap/>
            <w:vAlign w:val="bottom"/>
            <w:hideMark/>
          </w:tcPr>
          <w:p w14:paraId="2341B0F3" w14:textId="77777777" w:rsidR="00CD529B" w:rsidRPr="00EF6E63" w:rsidRDefault="00CD529B" w:rsidP="00564572">
            <w:pPr>
              <w:rPr>
                <w:sz w:val="15"/>
                <w:szCs w:val="15"/>
                <w:lang w:eastAsia="es-CO"/>
              </w:rPr>
            </w:pPr>
          </w:p>
        </w:tc>
        <w:tc>
          <w:tcPr>
            <w:tcW w:w="284" w:type="pct"/>
            <w:tcBorders>
              <w:top w:val="nil"/>
              <w:left w:val="nil"/>
              <w:bottom w:val="nil"/>
              <w:right w:val="nil"/>
            </w:tcBorders>
            <w:shd w:val="clear" w:color="auto" w:fill="auto"/>
            <w:noWrap/>
            <w:vAlign w:val="bottom"/>
            <w:hideMark/>
          </w:tcPr>
          <w:p w14:paraId="2341B0F4" w14:textId="77777777" w:rsidR="00CD529B" w:rsidRPr="00EF6E63" w:rsidRDefault="00CD529B" w:rsidP="00564572">
            <w:pPr>
              <w:rPr>
                <w:sz w:val="15"/>
                <w:szCs w:val="15"/>
                <w:lang w:eastAsia="es-CO"/>
              </w:rPr>
            </w:pPr>
          </w:p>
        </w:tc>
      </w:tr>
      <w:tr w:rsidR="00CD529B" w:rsidRPr="00EF6E63" w14:paraId="2341B103" w14:textId="77777777" w:rsidTr="00564572">
        <w:trPr>
          <w:trHeight w:val="300"/>
        </w:trPr>
        <w:tc>
          <w:tcPr>
            <w:tcW w:w="1454" w:type="pct"/>
            <w:tcBorders>
              <w:top w:val="nil"/>
              <w:left w:val="nil"/>
              <w:bottom w:val="nil"/>
              <w:right w:val="nil"/>
            </w:tcBorders>
            <w:shd w:val="clear" w:color="auto" w:fill="auto"/>
            <w:noWrap/>
            <w:vAlign w:val="bottom"/>
            <w:hideMark/>
          </w:tcPr>
          <w:p w14:paraId="2341B0F6" w14:textId="77777777" w:rsidR="00CD529B" w:rsidRPr="00EF6E63" w:rsidRDefault="00CD529B" w:rsidP="00564572">
            <w:pPr>
              <w:rPr>
                <w:sz w:val="15"/>
                <w:szCs w:val="15"/>
                <w:lang w:eastAsia="es-CO"/>
              </w:rPr>
            </w:pP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2341B0F7"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Beneficios</w:t>
            </w: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2341B0F8"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Costos</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0F9"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Neto</w:t>
            </w:r>
          </w:p>
        </w:tc>
        <w:tc>
          <w:tcPr>
            <w:tcW w:w="290" w:type="pct"/>
            <w:tcBorders>
              <w:top w:val="nil"/>
              <w:left w:val="nil"/>
              <w:bottom w:val="nil"/>
              <w:right w:val="nil"/>
            </w:tcBorders>
            <w:shd w:val="clear" w:color="auto" w:fill="auto"/>
            <w:noWrap/>
            <w:vAlign w:val="bottom"/>
            <w:hideMark/>
          </w:tcPr>
          <w:p w14:paraId="2341B0FA" w14:textId="77777777" w:rsidR="00CD529B" w:rsidRPr="00EF6E63" w:rsidRDefault="00CD529B" w:rsidP="00564572">
            <w:pPr>
              <w:jc w:val="center"/>
              <w:rPr>
                <w:rFonts w:ascii="Calibri" w:hAnsi="Calibri" w:cs="Calibri"/>
                <w:color w:val="FFFFFF"/>
                <w:sz w:val="15"/>
                <w:szCs w:val="15"/>
                <w:lang w:eastAsia="es-CO"/>
              </w:rPr>
            </w:pPr>
          </w:p>
        </w:tc>
        <w:tc>
          <w:tcPr>
            <w:tcW w:w="294" w:type="pct"/>
            <w:tcBorders>
              <w:top w:val="nil"/>
              <w:left w:val="nil"/>
              <w:bottom w:val="nil"/>
              <w:right w:val="nil"/>
            </w:tcBorders>
            <w:shd w:val="clear" w:color="auto" w:fill="auto"/>
            <w:noWrap/>
            <w:vAlign w:val="bottom"/>
            <w:hideMark/>
          </w:tcPr>
          <w:p w14:paraId="2341B0FB"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FC"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FD"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FE"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0FF"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100" w14:textId="77777777" w:rsidR="00CD529B" w:rsidRPr="00EF6E63" w:rsidRDefault="00CD529B" w:rsidP="00564572">
            <w:pPr>
              <w:rPr>
                <w:sz w:val="15"/>
                <w:szCs w:val="15"/>
                <w:lang w:eastAsia="es-CO"/>
              </w:rPr>
            </w:pPr>
          </w:p>
        </w:tc>
        <w:tc>
          <w:tcPr>
            <w:tcW w:w="286" w:type="pct"/>
            <w:tcBorders>
              <w:top w:val="nil"/>
              <w:left w:val="nil"/>
              <w:bottom w:val="nil"/>
              <w:right w:val="nil"/>
            </w:tcBorders>
            <w:shd w:val="clear" w:color="auto" w:fill="auto"/>
            <w:noWrap/>
            <w:vAlign w:val="bottom"/>
            <w:hideMark/>
          </w:tcPr>
          <w:p w14:paraId="2341B101" w14:textId="77777777" w:rsidR="00CD529B" w:rsidRPr="00EF6E63" w:rsidRDefault="00CD529B" w:rsidP="00564572">
            <w:pPr>
              <w:rPr>
                <w:sz w:val="15"/>
                <w:szCs w:val="15"/>
                <w:lang w:eastAsia="es-CO"/>
              </w:rPr>
            </w:pPr>
          </w:p>
        </w:tc>
        <w:tc>
          <w:tcPr>
            <w:tcW w:w="284" w:type="pct"/>
            <w:tcBorders>
              <w:top w:val="nil"/>
              <w:left w:val="nil"/>
              <w:bottom w:val="nil"/>
              <w:right w:val="nil"/>
            </w:tcBorders>
            <w:shd w:val="clear" w:color="auto" w:fill="auto"/>
            <w:noWrap/>
            <w:vAlign w:val="bottom"/>
            <w:hideMark/>
          </w:tcPr>
          <w:p w14:paraId="2341B102" w14:textId="77777777" w:rsidR="00CD529B" w:rsidRPr="00EF6E63" w:rsidRDefault="00CD529B" w:rsidP="00564572">
            <w:pPr>
              <w:rPr>
                <w:sz w:val="15"/>
                <w:szCs w:val="15"/>
                <w:lang w:eastAsia="es-CO"/>
              </w:rPr>
            </w:pPr>
          </w:p>
        </w:tc>
      </w:tr>
      <w:tr w:rsidR="00CD529B" w:rsidRPr="00EF6E63" w14:paraId="2341B111" w14:textId="77777777" w:rsidTr="00564572">
        <w:trPr>
          <w:trHeight w:val="300"/>
        </w:trPr>
        <w:tc>
          <w:tcPr>
            <w:tcW w:w="1454" w:type="pct"/>
            <w:tcBorders>
              <w:top w:val="single" w:sz="4" w:space="0" w:color="auto"/>
              <w:left w:val="single" w:sz="4" w:space="0" w:color="auto"/>
              <w:bottom w:val="single" w:sz="4" w:space="0" w:color="auto"/>
              <w:right w:val="nil"/>
            </w:tcBorders>
            <w:shd w:val="clear" w:color="000000" w:fill="E2EFDA"/>
            <w:noWrap/>
            <w:vAlign w:val="bottom"/>
            <w:hideMark/>
          </w:tcPr>
          <w:p w14:paraId="2341B104" w14:textId="77777777" w:rsidR="00CD529B" w:rsidRPr="00EF6E63" w:rsidRDefault="00CD529B" w:rsidP="00564572">
            <w:pPr>
              <w:rPr>
                <w:rFonts w:ascii="Calibri" w:hAnsi="Calibri" w:cs="Calibri"/>
                <w:color w:val="000000"/>
                <w:sz w:val="15"/>
                <w:szCs w:val="15"/>
                <w:lang w:eastAsia="es-CO"/>
              </w:rPr>
            </w:pPr>
            <w:r w:rsidRPr="00EF6E63">
              <w:rPr>
                <w:rFonts w:ascii="Calibri" w:hAnsi="Calibri" w:cs="Calibri"/>
                <w:color w:val="000000"/>
                <w:sz w:val="15"/>
                <w:szCs w:val="15"/>
                <w:lang w:eastAsia="es-CO"/>
              </w:rPr>
              <w:t>VPN dic 2016 ($USD Millones)</w:t>
            </w:r>
          </w:p>
        </w:tc>
        <w:tc>
          <w:tcPr>
            <w:tcW w:w="317" w:type="pct"/>
            <w:tcBorders>
              <w:top w:val="nil"/>
              <w:left w:val="nil"/>
              <w:bottom w:val="single" w:sz="4" w:space="0" w:color="auto"/>
              <w:right w:val="single" w:sz="4" w:space="0" w:color="auto"/>
            </w:tcBorders>
            <w:shd w:val="clear" w:color="000000" w:fill="E2EFDA"/>
            <w:noWrap/>
            <w:vAlign w:val="bottom"/>
            <w:hideMark/>
          </w:tcPr>
          <w:p w14:paraId="2341B10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$1.252</w:t>
            </w:r>
          </w:p>
        </w:tc>
        <w:tc>
          <w:tcPr>
            <w:tcW w:w="317" w:type="pct"/>
            <w:tcBorders>
              <w:top w:val="nil"/>
              <w:left w:val="nil"/>
              <w:bottom w:val="single" w:sz="4" w:space="0" w:color="auto"/>
              <w:right w:val="single" w:sz="4" w:space="0" w:color="auto"/>
            </w:tcBorders>
            <w:shd w:val="clear" w:color="000000" w:fill="E2EFDA"/>
            <w:noWrap/>
            <w:vAlign w:val="bottom"/>
            <w:hideMark/>
          </w:tcPr>
          <w:p w14:paraId="2341B10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$1.201</w:t>
            </w:r>
          </w:p>
        </w:tc>
        <w:tc>
          <w:tcPr>
            <w:tcW w:w="288" w:type="pct"/>
            <w:tcBorders>
              <w:top w:val="nil"/>
              <w:left w:val="nil"/>
              <w:bottom w:val="single" w:sz="4" w:space="0" w:color="auto"/>
              <w:right w:val="single" w:sz="4" w:space="0" w:color="auto"/>
            </w:tcBorders>
            <w:shd w:val="clear" w:color="000000" w:fill="E2EFDA"/>
            <w:noWrap/>
            <w:vAlign w:val="bottom"/>
            <w:hideMark/>
          </w:tcPr>
          <w:p w14:paraId="2341B10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$50</w:t>
            </w:r>
          </w:p>
        </w:tc>
        <w:tc>
          <w:tcPr>
            <w:tcW w:w="290" w:type="pct"/>
            <w:tcBorders>
              <w:top w:val="nil"/>
              <w:left w:val="nil"/>
              <w:bottom w:val="nil"/>
              <w:right w:val="nil"/>
            </w:tcBorders>
            <w:shd w:val="clear" w:color="auto" w:fill="auto"/>
            <w:noWrap/>
            <w:vAlign w:val="bottom"/>
            <w:hideMark/>
          </w:tcPr>
          <w:p w14:paraId="2341B108" w14:textId="77777777" w:rsidR="00CD529B" w:rsidRPr="00EF6E63" w:rsidRDefault="00CD529B" w:rsidP="00564572">
            <w:pPr>
              <w:jc w:val="right"/>
              <w:rPr>
                <w:rFonts w:ascii="Calibri" w:hAnsi="Calibri" w:cs="Calibri"/>
                <w:color w:val="000000"/>
                <w:sz w:val="15"/>
                <w:szCs w:val="15"/>
                <w:lang w:eastAsia="es-CO"/>
              </w:rPr>
            </w:pPr>
          </w:p>
        </w:tc>
        <w:tc>
          <w:tcPr>
            <w:tcW w:w="294" w:type="pct"/>
            <w:tcBorders>
              <w:top w:val="nil"/>
              <w:left w:val="nil"/>
              <w:bottom w:val="nil"/>
              <w:right w:val="nil"/>
            </w:tcBorders>
            <w:shd w:val="clear" w:color="auto" w:fill="auto"/>
            <w:noWrap/>
            <w:vAlign w:val="bottom"/>
            <w:hideMark/>
          </w:tcPr>
          <w:p w14:paraId="2341B109"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10A"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10B"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10C"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10D"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10E" w14:textId="77777777" w:rsidR="00CD529B" w:rsidRPr="00EF6E63" w:rsidRDefault="00CD529B" w:rsidP="00564572">
            <w:pPr>
              <w:rPr>
                <w:sz w:val="15"/>
                <w:szCs w:val="15"/>
                <w:lang w:eastAsia="es-CO"/>
              </w:rPr>
            </w:pPr>
          </w:p>
        </w:tc>
        <w:tc>
          <w:tcPr>
            <w:tcW w:w="286" w:type="pct"/>
            <w:tcBorders>
              <w:top w:val="nil"/>
              <w:left w:val="nil"/>
              <w:bottom w:val="nil"/>
              <w:right w:val="nil"/>
            </w:tcBorders>
            <w:shd w:val="clear" w:color="auto" w:fill="auto"/>
            <w:noWrap/>
            <w:vAlign w:val="bottom"/>
            <w:hideMark/>
          </w:tcPr>
          <w:p w14:paraId="2341B10F" w14:textId="77777777" w:rsidR="00CD529B" w:rsidRPr="00EF6E63" w:rsidRDefault="00CD529B" w:rsidP="00564572">
            <w:pPr>
              <w:rPr>
                <w:sz w:val="15"/>
                <w:szCs w:val="15"/>
                <w:lang w:eastAsia="es-CO"/>
              </w:rPr>
            </w:pPr>
          </w:p>
        </w:tc>
        <w:tc>
          <w:tcPr>
            <w:tcW w:w="284" w:type="pct"/>
            <w:tcBorders>
              <w:top w:val="nil"/>
              <w:left w:val="nil"/>
              <w:bottom w:val="nil"/>
              <w:right w:val="nil"/>
            </w:tcBorders>
            <w:shd w:val="clear" w:color="auto" w:fill="auto"/>
            <w:noWrap/>
            <w:vAlign w:val="bottom"/>
            <w:hideMark/>
          </w:tcPr>
          <w:p w14:paraId="2341B110" w14:textId="77777777" w:rsidR="00CD529B" w:rsidRPr="00EF6E63" w:rsidRDefault="00CD529B" w:rsidP="00564572">
            <w:pPr>
              <w:rPr>
                <w:sz w:val="15"/>
                <w:szCs w:val="15"/>
                <w:lang w:eastAsia="es-CO"/>
              </w:rPr>
            </w:pPr>
          </w:p>
        </w:tc>
      </w:tr>
      <w:tr w:rsidR="00CD529B" w:rsidRPr="00EF6E63" w14:paraId="2341B11F" w14:textId="77777777" w:rsidTr="00564572">
        <w:trPr>
          <w:trHeight w:val="300"/>
        </w:trPr>
        <w:tc>
          <w:tcPr>
            <w:tcW w:w="1454" w:type="pct"/>
            <w:tcBorders>
              <w:top w:val="nil"/>
              <w:left w:val="single" w:sz="4" w:space="0" w:color="auto"/>
              <w:bottom w:val="single" w:sz="4" w:space="0" w:color="auto"/>
              <w:right w:val="nil"/>
            </w:tcBorders>
            <w:shd w:val="clear" w:color="000000" w:fill="E2EFDA"/>
            <w:noWrap/>
            <w:vAlign w:val="bottom"/>
            <w:hideMark/>
          </w:tcPr>
          <w:p w14:paraId="2341B112" w14:textId="77777777" w:rsidR="00CD529B" w:rsidRPr="00EF6E63" w:rsidRDefault="00CD529B" w:rsidP="00564572">
            <w:pPr>
              <w:rPr>
                <w:rFonts w:ascii="Calibri" w:hAnsi="Calibri" w:cs="Calibri"/>
                <w:color w:val="000000"/>
                <w:sz w:val="15"/>
                <w:szCs w:val="15"/>
                <w:lang w:eastAsia="es-CO"/>
              </w:rPr>
            </w:pPr>
            <w:r w:rsidRPr="00EF6E63">
              <w:rPr>
                <w:rFonts w:ascii="Calibri" w:hAnsi="Calibri" w:cs="Calibri"/>
                <w:color w:val="000000"/>
                <w:sz w:val="15"/>
                <w:szCs w:val="15"/>
                <w:lang w:eastAsia="es-CO"/>
              </w:rPr>
              <w:t>VPN dic 2016 ($COP Millones)</w:t>
            </w:r>
          </w:p>
        </w:tc>
        <w:tc>
          <w:tcPr>
            <w:tcW w:w="317" w:type="pct"/>
            <w:tcBorders>
              <w:top w:val="nil"/>
              <w:left w:val="nil"/>
              <w:bottom w:val="single" w:sz="4" w:space="0" w:color="auto"/>
              <w:right w:val="single" w:sz="4" w:space="0" w:color="auto"/>
            </w:tcBorders>
            <w:shd w:val="clear" w:color="000000" w:fill="E2EFDA"/>
            <w:noWrap/>
            <w:vAlign w:val="bottom"/>
            <w:hideMark/>
          </w:tcPr>
          <w:p w14:paraId="2341B11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$3.756.306</w:t>
            </w:r>
          </w:p>
        </w:tc>
        <w:tc>
          <w:tcPr>
            <w:tcW w:w="317" w:type="pct"/>
            <w:tcBorders>
              <w:top w:val="nil"/>
              <w:left w:val="nil"/>
              <w:bottom w:val="single" w:sz="4" w:space="0" w:color="auto"/>
              <w:right w:val="single" w:sz="4" w:space="0" w:color="auto"/>
            </w:tcBorders>
            <w:shd w:val="clear" w:color="000000" w:fill="E2EFDA"/>
            <w:noWrap/>
            <w:vAlign w:val="bottom"/>
            <w:hideMark/>
          </w:tcPr>
          <w:p w14:paraId="2341B11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$3.604.837</w:t>
            </w:r>
          </w:p>
        </w:tc>
        <w:tc>
          <w:tcPr>
            <w:tcW w:w="288" w:type="pct"/>
            <w:tcBorders>
              <w:top w:val="nil"/>
              <w:left w:val="nil"/>
              <w:bottom w:val="single" w:sz="4" w:space="0" w:color="auto"/>
              <w:right w:val="single" w:sz="4" w:space="0" w:color="auto"/>
            </w:tcBorders>
            <w:shd w:val="clear" w:color="000000" w:fill="E2EFDA"/>
            <w:noWrap/>
            <w:vAlign w:val="bottom"/>
            <w:hideMark/>
          </w:tcPr>
          <w:p w14:paraId="2341B11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s="Calibri"/>
                <w:color w:val="000000"/>
                <w:sz w:val="15"/>
                <w:szCs w:val="15"/>
              </w:rPr>
              <w:t>$151.469</w:t>
            </w:r>
          </w:p>
        </w:tc>
        <w:tc>
          <w:tcPr>
            <w:tcW w:w="290" w:type="pct"/>
            <w:tcBorders>
              <w:top w:val="nil"/>
              <w:left w:val="nil"/>
              <w:bottom w:val="nil"/>
              <w:right w:val="nil"/>
            </w:tcBorders>
            <w:shd w:val="clear" w:color="auto" w:fill="auto"/>
            <w:noWrap/>
            <w:vAlign w:val="bottom"/>
            <w:hideMark/>
          </w:tcPr>
          <w:p w14:paraId="2341B116" w14:textId="77777777" w:rsidR="00CD529B" w:rsidRPr="00EF6E63" w:rsidRDefault="00CD529B" w:rsidP="00564572">
            <w:pPr>
              <w:jc w:val="right"/>
              <w:rPr>
                <w:rFonts w:ascii="Calibri" w:hAnsi="Calibri" w:cs="Calibri"/>
                <w:color w:val="000000"/>
                <w:sz w:val="15"/>
                <w:szCs w:val="15"/>
                <w:lang w:eastAsia="es-CO"/>
              </w:rPr>
            </w:pPr>
          </w:p>
        </w:tc>
        <w:tc>
          <w:tcPr>
            <w:tcW w:w="294" w:type="pct"/>
            <w:tcBorders>
              <w:top w:val="nil"/>
              <w:left w:val="nil"/>
              <w:bottom w:val="nil"/>
              <w:right w:val="nil"/>
            </w:tcBorders>
            <w:shd w:val="clear" w:color="auto" w:fill="auto"/>
            <w:noWrap/>
            <w:vAlign w:val="bottom"/>
            <w:hideMark/>
          </w:tcPr>
          <w:p w14:paraId="2341B117"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118"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119"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11A"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11B" w14:textId="77777777" w:rsidR="00CD529B" w:rsidRPr="00EF6E63" w:rsidRDefault="00CD529B" w:rsidP="00564572">
            <w:pPr>
              <w:rPr>
                <w:sz w:val="15"/>
                <w:szCs w:val="15"/>
                <w:lang w:eastAsia="es-CO"/>
              </w:rPr>
            </w:pPr>
          </w:p>
        </w:tc>
        <w:tc>
          <w:tcPr>
            <w:tcW w:w="294" w:type="pct"/>
            <w:tcBorders>
              <w:top w:val="nil"/>
              <w:left w:val="nil"/>
              <w:bottom w:val="nil"/>
              <w:right w:val="nil"/>
            </w:tcBorders>
            <w:shd w:val="clear" w:color="auto" w:fill="auto"/>
            <w:noWrap/>
            <w:vAlign w:val="bottom"/>
            <w:hideMark/>
          </w:tcPr>
          <w:p w14:paraId="2341B11C" w14:textId="77777777" w:rsidR="00CD529B" w:rsidRPr="00EF6E63" w:rsidRDefault="00CD529B" w:rsidP="00564572">
            <w:pPr>
              <w:rPr>
                <w:sz w:val="15"/>
                <w:szCs w:val="15"/>
                <w:lang w:eastAsia="es-CO"/>
              </w:rPr>
            </w:pPr>
          </w:p>
        </w:tc>
        <w:tc>
          <w:tcPr>
            <w:tcW w:w="286" w:type="pct"/>
            <w:tcBorders>
              <w:top w:val="nil"/>
              <w:left w:val="nil"/>
              <w:bottom w:val="nil"/>
              <w:right w:val="nil"/>
            </w:tcBorders>
            <w:shd w:val="clear" w:color="auto" w:fill="auto"/>
            <w:noWrap/>
            <w:vAlign w:val="bottom"/>
            <w:hideMark/>
          </w:tcPr>
          <w:p w14:paraId="2341B11D" w14:textId="77777777" w:rsidR="00CD529B" w:rsidRPr="00EF6E63" w:rsidRDefault="00CD529B" w:rsidP="00564572">
            <w:pPr>
              <w:rPr>
                <w:sz w:val="15"/>
                <w:szCs w:val="15"/>
                <w:lang w:eastAsia="es-CO"/>
              </w:rPr>
            </w:pPr>
          </w:p>
        </w:tc>
        <w:tc>
          <w:tcPr>
            <w:tcW w:w="284" w:type="pct"/>
            <w:tcBorders>
              <w:top w:val="nil"/>
              <w:left w:val="nil"/>
              <w:bottom w:val="nil"/>
              <w:right w:val="nil"/>
            </w:tcBorders>
            <w:shd w:val="clear" w:color="auto" w:fill="auto"/>
            <w:noWrap/>
            <w:vAlign w:val="bottom"/>
            <w:hideMark/>
          </w:tcPr>
          <w:p w14:paraId="2341B11E" w14:textId="77777777" w:rsidR="00CD529B" w:rsidRPr="00EF6E63" w:rsidRDefault="00CD529B" w:rsidP="00564572">
            <w:pPr>
              <w:rPr>
                <w:sz w:val="15"/>
                <w:szCs w:val="15"/>
                <w:lang w:eastAsia="es-CO"/>
              </w:rPr>
            </w:pPr>
          </w:p>
        </w:tc>
      </w:tr>
    </w:tbl>
    <w:p w14:paraId="2341B120" w14:textId="77777777" w:rsidR="00CD529B" w:rsidRDefault="00CD529B" w:rsidP="00564572">
      <w:pPr>
        <w:spacing w:after="160" w:line="259" w:lineRule="auto"/>
      </w:pPr>
      <w:r>
        <w:br w:type="page"/>
      </w:r>
    </w:p>
    <w:p w14:paraId="2341B121" w14:textId="77777777" w:rsidR="00CD529B" w:rsidRPr="00CD529B" w:rsidRDefault="00CD529B" w:rsidP="00564572">
      <w:pPr>
        <w:ind w:left="720"/>
        <w:jc w:val="center"/>
        <w:rPr>
          <w:b/>
          <w:lang w:val="es-ES_tradnl"/>
        </w:rPr>
      </w:pPr>
      <w:bookmarkStart w:id="121" w:name="_Toc473268565"/>
      <w:bookmarkStart w:id="122" w:name="_Toc474797071"/>
      <w:r w:rsidRPr="00CD529B">
        <w:rPr>
          <w:b/>
          <w:lang w:val="es-ES_tradnl"/>
        </w:rPr>
        <w:lastRenderedPageBreak/>
        <w:t xml:space="preserve">Tabla </w:t>
      </w:r>
      <w:r w:rsidRPr="008C12BC">
        <w:rPr>
          <w:b/>
        </w:rPr>
        <w:fldChar w:fldCharType="begin"/>
      </w:r>
      <w:r w:rsidRPr="00CD529B">
        <w:rPr>
          <w:b/>
          <w:lang w:val="es-ES_tradnl"/>
        </w:rPr>
        <w:instrText xml:space="preserve"> SEQ Tabla \* ARABIC </w:instrText>
      </w:r>
      <w:r w:rsidRPr="008C12BC">
        <w:rPr>
          <w:b/>
        </w:rPr>
        <w:fldChar w:fldCharType="separate"/>
      </w:r>
      <w:r w:rsidRPr="00CD529B">
        <w:rPr>
          <w:b/>
          <w:noProof/>
          <w:lang w:val="es-ES_tradnl"/>
        </w:rPr>
        <w:t>17</w:t>
      </w:r>
      <w:r w:rsidRPr="008C12BC">
        <w:rPr>
          <w:b/>
        </w:rPr>
        <w:fldChar w:fldCharType="end"/>
      </w:r>
      <w:r w:rsidRPr="00CD529B">
        <w:rPr>
          <w:b/>
          <w:lang w:val="es-ES_tradnl"/>
        </w:rPr>
        <w:t xml:space="preserve"> – Proyección de beneficios y costos para la medida de sustitución de estufas (Sector Residencial)</w:t>
      </w:r>
      <w:bookmarkEnd w:id="121"/>
      <w:bookmarkEnd w:id="122"/>
    </w:p>
    <w:tbl>
      <w:tblPr>
        <w:tblW w:w="5000" w:type="pct"/>
        <w:tblCellMar>
          <w:left w:w="70" w:type="dxa"/>
          <w:right w:w="70" w:type="dxa"/>
        </w:tblCellMar>
        <w:tblLook w:val="04A0" w:firstRow="1" w:lastRow="0" w:firstColumn="1" w:lastColumn="0" w:noHBand="0" w:noVBand="1"/>
      </w:tblPr>
      <w:tblGrid>
        <w:gridCol w:w="2671"/>
        <w:gridCol w:w="675"/>
        <w:gridCol w:w="523"/>
        <w:gridCol w:w="523"/>
        <w:gridCol w:w="472"/>
        <w:gridCol w:w="472"/>
        <w:gridCol w:w="472"/>
        <w:gridCol w:w="472"/>
        <w:gridCol w:w="472"/>
        <w:gridCol w:w="472"/>
        <w:gridCol w:w="472"/>
        <w:gridCol w:w="472"/>
        <w:gridCol w:w="472"/>
      </w:tblGrid>
      <w:tr w:rsidR="00CD529B" w:rsidRPr="00EF6E63" w14:paraId="2341B12F" w14:textId="77777777" w:rsidTr="00564572">
        <w:trPr>
          <w:trHeight w:val="300"/>
        </w:trPr>
        <w:tc>
          <w:tcPr>
            <w:tcW w:w="1506" w:type="pct"/>
            <w:tcBorders>
              <w:top w:val="single" w:sz="4" w:space="0" w:color="000000"/>
              <w:left w:val="nil"/>
              <w:bottom w:val="nil"/>
              <w:right w:val="nil"/>
            </w:tcBorders>
            <w:shd w:val="clear" w:color="auto" w:fill="auto"/>
            <w:noWrap/>
            <w:vAlign w:val="bottom"/>
            <w:hideMark/>
          </w:tcPr>
          <w:p w14:paraId="2341B122"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de estufas eléctricas GWh/Año/Año/Usuario</w:t>
            </w:r>
          </w:p>
        </w:tc>
        <w:tc>
          <w:tcPr>
            <w:tcW w:w="361" w:type="pct"/>
            <w:tcBorders>
              <w:top w:val="single" w:sz="4" w:space="0" w:color="000000"/>
              <w:left w:val="nil"/>
              <w:bottom w:val="nil"/>
              <w:right w:val="nil"/>
            </w:tcBorders>
            <w:shd w:val="clear" w:color="auto" w:fill="auto"/>
            <w:noWrap/>
            <w:vAlign w:val="bottom"/>
            <w:hideMark/>
          </w:tcPr>
          <w:p w14:paraId="2341B123" w14:textId="77777777" w:rsidR="00CD529B" w:rsidRPr="00EF6E63" w:rsidRDefault="00CD529B" w:rsidP="00564572">
            <w:pPr>
              <w:jc w:val="right"/>
              <w:rPr>
                <w:rFonts w:ascii="Calibri" w:hAnsi="Calibri" w:cs="Calibri"/>
                <w:color w:val="0000FF"/>
                <w:sz w:val="15"/>
                <w:szCs w:val="15"/>
                <w:lang w:eastAsia="es-CO"/>
              </w:rPr>
            </w:pPr>
            <w:r w:rsidRPr="00EF6E63">
              <w:rPr>
                <w:rFonts w:ascii="Calibri" w:hAnsi="Calibri" w:cs="Calibri"/>
                <w:color w:val="0000FF"/>
                <w:sz w:val="15"/>
                <w:szCs w:val="15"/>
                <w:lang w:eastAsia="es-CO"/>
              </w:rPr>
              <w:t>0,0063630</w:t>
            </w:r>
          </w:p>
        </w:tc>
        <w:tc>
          <w:tcPr>
            <w:tcW w:w="280" w:type="pct"/>
            <w:tcBorders>
              <w:top w:val="nil"/>
              <w:left w:val="nil"/>
              <w:bottom w:val="nil"/>
              <w:right w:val="nil"/>
            </w:tcBorders>
            <w:shd w:val="clear" w:color="auto" w:fill="auto"/>
            <w:noWrap/>
            <w:vAlign w:val="bottom"/>
            <w:hideMark/>
          </w:tcPr>
          <w:p w14:paraId="2341B124" w14:textId="77777777" w:rsidR="00CD529B" w:rsidRPr="00EF6E63" w:rsidRDefault="00CD529B" w:rsidP="00564572">
            <w:pPr>
              <w:jc w:val="right"/>
              <w:rPr>
                <w:rFonts w:ascii="Calibri" w:hAnsi="Calibri" w:cs="Calibri"/>
                <w:color w:val="0000FF"/>
                <w:sz w:val="15"/>
                <w:szCs w:val="15"/>
                <w:lang w:eastAsia="es-CO"/>
              </w:rPr>
            </w:pPr>
          </w:p>
        </w:tc>
        <w:tc>
          <w:tcPr>
            <w:tcW w:w="287" w:type="pct"/>
            <w:tcBorders>
              <w:top w:val="nil"/>
              <w:left w:val="nil"/>
              <w:bottom w:val="nil"/>
              <w:right w:val="nil"/>
            </w:tcBorders>
            <w:shd w:val="clear" w:color="auto" w:fill="auto"/>
            <w:noWrap/>
            <w:vAlign w:val="bottom"/>
            <w:hideMark/>
          </w:tcPr>
          <w:p w14:paraId="2341B125"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26"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27"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28"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29"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2A"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2B"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2C" w14:textId="77777777" w:rsidR="00CD529B" w:rsidRPr="00EF6E63"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12D" w14:textId="77777777" w:rsidR="00CD529B" w:rsidRPr="00EF6E63" w:rsidRDefault="00CD529B" w:rsidP="00564572">
            <w:pPr>
              <w:rPr>
                <w:sz w:val="15"/>
                <w:szCs w:val="15"/>
                <w:lang w:eastAsia="es-CO"/>
              </w:rPr>
            </w:pPr>
          </w:p>
        </w:tc>
        <w:tc>
          <w:tcPr>
            <w:tcW w:w="278" w:type="pct"/>
            <w:tcBorders>
              <w:top w:val="nil"/>
              <w:left w:val="nil"/>
              <w:bottom w:val="nil"/>
              <w:right w:val="nil"/>
            </w:tcBorders>
            <w:shd w:val="clear" w:color="auto" w:fill="auto"/>
            <w:noWrap/>
            <w:vAlign w:val="bottom"/>
            <w:hideMark/>
          </w:tcPr>
          <w:p w14:paraId="2341B12E" w14:textId="77777777" w:rsidR="00CD529B" w:rsidRPr="00EF6E63" w:rsidRDefault="00CD529B" w:rsidP="00564572">
            <w:pPr>
              <w:rPr>
                <w:sz w:val="15"/>
                <w:szCs w:val="15"/>
                <w:lang w:eastAsia="es-CO"/>
              </w:rPr>
            </w:pPr>
          </w:p>
        </w:tc>
      </w:tr>
      <w:tr w:rsidR="00CD529B" w:rsidRPr="00EF6E63" w14:paraId="2341B13D" w14:textId="77777777" w:rsidTr="00564572">
        <w:trPr>
          <w:trHeight w:val="300"/>
        </w:trPr>
        <w:tc>
          <w:tcPr>
            <w:tcW w:w="1506" w:type="pct"/>
            <w:tcBorders>
              <w:top w:val="nil"/>
              <w:left w:val="nil"/>
              <w:bottom w:val="single" w:sz="4" w:space="0" w:color="auto"/>
              <w:right w:val="nil"/>
            </w:tcBorders>
            <w:shd w:val="clear" w:color="auto" w:fill="auto"/>
            <w:noWrap/>
            <w:vAlign w:val="bottom"/>
            <w:hideMark/>
          </w:tcPr>
          <w:p w14:paraId="2341B130"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Potencial ahorro por cambio de una estufa GWh/Año/Usuario</w:t>
            </w:r>
          </w:p>
        </w:tc>
        <w:tc>
          <w:tcPr>
            <w:tcW w:w="361" w:type="pct"/>
            <w:tcBorders>
              <w:top w:val="nil"/>
              <w:left w:val="nil"/>
              <w:bottom w:val="single" w:sz="4" w:space="0" w:color="auto"/>
              <w:right w:val="nil"/>
            </w:tcBorders>
            <w:shd w:val="clear" w:color="auto" w:fill="auto"/>
            <w:noWrap/>
            <w:vAlign w:val="bottom"/>
            <w:hideMark/>
          </w:tcPr>
          <w:p w14:paraId="2341B131" w14:textId="77777777" w:rsidR="00CD529B" w:rsidRPr="00EF6E63" w:rsidRDefault="00CD529B" w:rsidP="00564572">
            <w:pPr>
              <w:jc w:val="right"/>
              <w:rPr>
                <w:rFonts w:ascii="Calibri" w:hAnsi="Calibri" w:cs="Calibri"/>
                <w:color w:val="0000FF"/>
                <w:sz w:val="15"/>
                <w:szCs w:val="15"/>
                <w:lang w:eastAsia="es-CO"/>
              </w:rPr>
            </w:pPr>
            <w:r w:rsidRPr="00EF6E63">
              <w:rPr>
                <w:rFonts w:ascii="Calibri" w:hAnsi="Calibri" w:cs="Calibri"/>
                <w:color w:val="0000FF"/>
                <w:sz w:val="15"/>
                <w:szCs w:val="15"/>
                <w:lang w:eastAsia="es-CO"/>
              </w:rPr>
              <w:t>27,8%</w:t>
            </w:r>
          </w:p>
        </w:tc>
        <w:tc>
          <w:tcPr>
            <w:tcW w:w="280" w:type="pct"/>
            <w:tcBorders>
              <w:top w:val="nil"/>
              <w:left w:val="nil"/>
              <w:bottom w:val="nil"/>
              <w:right w:val="nil"/>
            </w:tcBorders>
            <w:shd w:val="clear" w:color="auto" w:fill="auto"/>
            <w:noWrap/>
            <w:vAlign w:val="bottom"/>
            <w:hideMark/>
          </w:tcPr>
          <w:p w14:paraId="2341B132" w14:textId="77777777" w:rsidR="00CD529B" w:rsidRPr="00EF6E63" w:rsidRDefault="00CD529B" w:rsidP="00564572">
            <w:pPr>
              <w:jc w:val="right"/>
              <w:rPr>
                <w:rFonts w:ascii="Calibri" w:hAnsi="Calibri" w:cs="Calibri"/>
                <w:color w:val="0000FF"/>
                <w:sz w:val="15"/>
                <w:szCs w:val="15"/>
                <w:lang w:eastAsia="es-CO"/>
              </w:rPr>
            </w:pPr>
          </w:p>
        </w:tc>
        <w:tc>
          <w:tcPr>
            <w:tcW w:w="287" w:type="pct"/>
            <w:tcBorders>
              <w:top w:val="nil"/>
              <w:left w:val="nil"/>
              <w:bottom w:val="nil"/>
              <w:right w:val="nil"/>
            </w:tcBorders>
            <w:shd w:val="clear" w:color="auto" w:fill="auto"/>
            <w:noWrap/>
            <w:vAlign w:val="bottom"/>
            <w:hideMark/>
          </w:tcPr>
          <w:p w14:paraId="2341B133"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34"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35"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36"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37"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38"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39"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3A" w14:textId="77777777" w:rsidR="00CD529B" w:rsidRPr="00EF6E63"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13B" w14:textId="77777777" w:rsidR="00CD529B" w:rsidRPr="00EF6E63" w:rsidRDefault="00CD529B" w:rsidP="00564572">
            <w:pPr>
              <w:rPr>
                <w:sz w:val="15"/>
                <w:szCs w:val="15"/>
                <w:lang w:eastAsia="es-CO"/>
              </w:rPr>
            </w:pPr>
          </w:p>
        </w:tc>
        <w:tc>
          <w:tcPr>
            <w:tcW w:w="278" w:type="pct"/>
            <w:tcBorders>
              <w:top w:val="nil"/>
              <w:left w:val="nil"/>
              <w:bottom w:val="nil"/>
              <w:right w:val="nil"/>
            </w:tcBorders>
            <w:shd w:val="clear" w:color="auto" w:fill="auto"/>
            <w:noWrap/>
            <w:vAlign w:val="bottom"/>
            <w:hideMark/>
          </w:tcPr>
          <w:p w14:paraId="2341B13C" w14:textId="77777777" w:rsidR="00CD529B" w:rsidRPr="00EF6E63" w:rsidRDefault="00CD529B" w:rsidP="00564572">
            <w:pPr>
              <w:rPr>
                <w:sz w:val="15"/>
                <w:szCs w:val="15"/>
                <w:lang w:eastAsia="es-CO"/>
              </w:rPr>
            </w:pPr>
          </w:p>
        </w:tc>
      </w:tr>
      <w:tr w:rsidR="00CD529B" w:rsidRPr="00EF6E63" w14:paraId="2341B14B" w14:textId="77777777" w:rsidTr="00564572">
        <w:trPr>
          <w:trHeight w:val="300"/>
        </w:trPr>
        <w:tc>
          <w:tcPr>
            <w:tcW w:w="1506" w:type="pct"/>
            <w:tcBorders>
              <w:top w:val="nil"/>
              <w:left w:val="nil"/>
              <w:bottom w:val="single" w:sz="4" w:space="0" w:color="auto"/>
              <w:right w:val="nil"/>
            </w:tcBorders>
            <w:shd w:val="clear" w:color="auto" w:fill="auto"/>
            <w:noWrap/>
            <w:vAlign w:val="bottom"/>
            <w:hideMark/>
          </w:tcPr>
          <w:p w14:paraId="2341B13E"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Costo de una estufa eficiente ($COP)</w:t>
            </w:r>
          </w:p>
        </w:tc>
        <w:tc>
          <w:tcPr>
            <w:tcW w:w="361" w:type="pct"/>
            <w:tcBorders>
              <w:top w:val="nil"/>
              <w:left w:val="nil"/>
              <w:bottom w:val="single" w:sz="4" w:space="0" w:color="auto"/>
              <w:right w:val="nil"/>
            </w:tcBorders>
            <w:shd w:val="clear" w:color="auto" w:fill="auto"/>
            <w:noWrap/>
            <w:vAlign w:val="bottom"/>
            <w:hideMark/>
          </w:tcPr>
          <w:p w14:paraId="2341B13F" w14:textId="77777777" w:rsidR="00CD529B" w:rsidRPr="00EF6E63" w:rsidRDefault="00CD529B" w:rsidP="00564572">
            <w:pPr>
              <w:jc w:val="right"/>
              <w:rPr>
                <w:rFonts w:ascii="Calibri" w:hAnsi="Calibri" w:cs="Calibri"/>
                <w:color w:val="0000FF"/>
                <w:sz w:val="15"/>
                <w:szCs w:val="15"/>
                <w:lang w:eastAsia="es-CO"/>
              </w:rPr>
            </w:pPr>
            <w:r w:rsidRPr="00EF6E63">
              <w:rPr>
                <w:rFonts w:ascii="Calibri" w:hAnsi="Calibri" w:cs="Calibri"/>
                <w:color w:val="0000FF"/>
                <w:sz w:val="15"/>
                <w:szCs w:val="15"/>
                <w:lang w:eastAsia="es-CO"/>
              </w:rPr>
              <w:t>1.600.000,00</w:t>
            </w:r>
          </w:p>
        </w:tc>
        <w:tc>
          <w:tcPr>
            <w:tcW w:w="280" w:type="pct"/>
            <w:tcBorders>
              <w:top w:val="nil"/>
              <w:left w:val="nil"/>
              <w:bottom w:val="nil"/>
              <w:right w:val="nil"/>
            </w:tcBorders>
            <w:shd w:val="clear" w:color="auto" w:fill="auto"/>
            <w:noWrap/>
            <w:vAlign w:val="bottom"/>
            <w:hideMark/>
          </w:tcPr>
          <w:p w14:paraId="2341B140" w14:textId="77777777" w:rsidR="00CD529B" w:rsidRPr="00EF6E63" w:rsidRDefault="00CD529B" w:rsidP="00564572">
            <w:pPr>
              <w:jc w:val="right"/>
              <w:rPr>
                <w:rFonts w:ascii="Calibri" w:hAnsi="Calibri" w:cs="Calibri"/>
                <w:color w:val="0000FF"/>
                <w:sz w:val="15"/>
                <w:szCs w:val="15"/>
                <w:lang w:eastAsia="es-CO"/>
              </w:rPr>
            </w:pPr>
          </w:p>
        </w:tc>
        <w:tc>
          <w:tcPr>
            <w:tcW w:w="287" w:type="pct"/>
            <w:tcBorders>
              <w:top w:val="nil"/>
              <w:left w:val="nil"/>
              <w:bottom w:val="nil"/>
              <w:right w:val="nil"/>
            </w:tcBorders>
            <w:shd w:val="clear" w:color="auto" w:fill="auto"/>
            <w:noWrap/>
            <w:vAlign w:val="bottom"/>
            <w:hideMark/>
          </w:tcPr>
          <w:p w14:paraId="2341B141"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42"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43"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44"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45"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46"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47"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48" w14:textId="77777777" w:rsidR="00CD529B" w:rsidRPr="00EF6E63"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149" w14:textId="77777777" w:rsidR="00CD529B" w:rsidRPr="00EF6E63" w:rsidRDefault="00CD529B" w:rsidP="00564572">
            <w:pPr>
              <w:rPr>
                <w:sz w:val="15"/>
                <w:szCs w:val="15"/>
                <w:lang w:eastAsia="es-CO"/>
              </w:rPr>
            </w:pPr>
          </w:p>
        </w:tc>
        <w:tc>
          <w:tcPr>
            <w:tcW w:w="278" w:type="pct"/>
            <w:tcBorders>
              <w:top w:val="nil"/>
              <w:left w:val="nil"/>
              <w:bottom w:val="nil"/>
              <w:right w:val="nil"/>
            </w:tcBorders>
            <w:shd w:val="clear" w:color="auto" w:fill="auto"/>
            <w:noWrap/>
            <w:vAlign w:val="bottom"/>
            <w:hideMark/>
          </w:tcPr>
          <w:p w14:paraId="2341B14A" w14:textId="77777777" w:rsidR="00CD529B" w:rsidRPr="00EF6E63" w:rsidRDefault="00CD529B" w:rsidP="00564572">
            <w:pPr>
              <w:rPr>
                <w:sz w:val="15"/>
                <w:szCs w:val="15"/>
                <w:lang w:eastAsia="es-CO"/>
              </w:rPr>
            </w:pPr>
          </w:p>
        </w:tc>
      </w:tr>
      <w:tr w:rsidR="00CD529B" w:rsidRPr="00EF6E63" w14:paraId="2341B159" w14:textId="77777777" w:rsidTr="00564572">
        <w:trPr>
          <w:trHeight w:val="300"/>
        </w:trPr>
        <w:tc>
          <w:tcPr>
            <w:tcW w:w="1506" w:type="pct"/>
            <w:tcBorders>
              <w:top w:val="nil"/>
              <w:left w:val="nil"/>
              <w:bottom w:val="nil"/>
              <w:right w:val="nil"/>
            </w:tcBorders>
            <w:shd w:val="clear" w:color="auto" w:fill="auto"/>
            <w:noWrap/>
            <w:vAlign w:val="bottom"/>
            <w:hideMark/>
          </w:tcPr>
          <w:p w14:paraId="2341B14C" w14:textId="77777777" w:rsidR="00CD529B" w:rsidRPr="00EF6E63" w:rsidRDefault="00CD529B" w:rsidP="00564572">
            <w:pPr>
              <w:rPr>
                <w:sz w:val="15"/>
                <w:szCs w:val="15"/>
                <w:lang w:eastAsia="es-CO"/>
              </w:rPr>
            </w:pPr>
          </w:p>
        </w:tc>
        <w:tc>
          <w:tcPr>
            <w:tcW w:w="361" w:type="pct"/>
            <w:tcBorders>
              <w:top w:val="nil"/>
              <w:left w:val="nil"/>
              <w:bottom w:val="nil"/>
              <w:right w:val="nil"/>
            </w:tcBorders>
            <w:shd w:val="clear" w:color="auto" w:fill="auto"/>
            <w:noWrap/>
            <w:vAlign w:val="bottom"/>
            <w:hideMark/>
          </w:tcPr>
          <w:p w14:paraId="2341B14D" w14:textId="77777777" w:rsidR="00CD529B" w:rsidRPr="00EF6E63"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14E"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4F"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50"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51"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52"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53"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54"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55"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56" w14:textId="77777777" w:rsidR="00CD529B" w:rsidRPr="00EF6E63"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157" w14:textId="77777777" w:rsidR="00CD529B" w:rsidRPr="00EF6E63" w:rsidRDefault="00CD529B" w:rsidP="00564572">
            <w:pPr>
              <w:rPr>
                <w:sz w:val="15"/>
                <w:szCs w:val="15"/>
                <w:lang w:eastAsia="es-CO"/>
              </w:rPr>
            </w:pPr>
          </w:p>
        </w:tc>
        <w:tc>
          <w:tcPr>
            <w:tcW w:w="278" w:type="pct"/>
            <w:tcBorders>
              <w:top w:val="nil"/>
              <w:left w:val="nil"/>
              <w:bottom w:val="nil"/>
              <w:right w:val="nil"/>
            </w:tcBorders>
            <w:shd w:val="clear" w:color="auto" w:fill="auto"/>
            <w:noWrap/>
            <w:vAlign w:val="bottom"/>
            <w:hideMark/>
          </w:tcPr>
          <w:p w14:paraId="2341B158" w14:textId="77777777" w:rsidR="00CD529B" w:rsidRPr="00EF6E63" w:rsidRDefault="00CD529B" w:rsidP="00564572">
            <w:pPr>
              <w:rPr>
                <w:sz w:val="15"/>
                <w:szCs w:val="15"/>
                <w:lang w:eastAsia="es-CO"/>
              </w:rPr>
            </w:pPr>
          </w:p>
        </w:tc>
      </w:tr>
      <w:tr w:rsidR="00CD529B" w:rsidRPr="00EF6E63" w14:paraId="2341B167" w14:textId="77777777" w:rsidTr="00564572">
        <w:trPr>
          <w:trHeight w:val="300"/>
        </w:trPr>
        <w:tc>
          <w:tcPr>
            <w:tcW w:w="1506" w:type="pct"/>
            <w:tcBorders>
              <w:top w:val="nil"/>
              <w:left w:val="nil"/>
              <w:bottom w:val="single" w:sz="4" w:space="0" w:color="auto"/>
              <w:right w:val="nil"/>
            </w:tcBorders>
            <w:shd w:val="clear" w:color="auto" w:fill="auto"/>
            <w:noWrap/>
            <w:vAlign w:val="bottom"/>
            <w:hideMark/>
          </w:tcPr>
          <w:p w14:paraId="2341B15A" w14:textId="77777777" w:rsidR="00CD529B" w:rsidRPr="00EF6E63" w:rsidRDefault="00CD529B" w:rsidP="00564572">
            <w:pPr>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$COP (2016)</w:t>
            </w:r>
          </w:p>
        </w:tc>
        <w:tc>
          <w:tcPr>
            <w:tcW w:w="361" w:type="pct"/>
            <w:tcBorders>
              <w:top w:val="single" w:sz="4" w:space="0" w:color="FFFFFF"/>
              <w:left w:val="nil"/>
              <w:bottom w:val="single" w:sz="4" w:space="0" w:color="auto"/>
              <w:right w:val="single" w:sz="4" w:space="0" w:color="FFFFFF"/>
            </w:tcBorders>
            <w:shd w:val="clear" w:color="000000" w:fill="203764"/>
            <w:noWrap/>
            <w:vAlign w:val="bottom"/>
            <w:hideMark/>
          </w:tcPr>
          <w:p w14:paraId="2341B15B"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2016</w:t>
            </w:r>
          </w:p>
        </w:tc>
        <w:tc>
          <w:tcPr>
            <w:tcW w:w="280" w:type="pct"/>
            <w:tcBorders>
              <w:top w:val="single" w:sz="4" w:space="0" w:color="FFFFFF"/>
              <w:left w:val="nil"/>
              <w:bottom w:val="single" w:sz="4" w:space="0" w:color="auto"/>
              <w:right w:val="single" w:sz="4" w:space="0" w:color="FFFFFF"/>
            </w:tcBorders>
            <w:shd w:val="clear" w:color="000000" w:fill="203764"/>
            <w:noWrap/>
            <w:vAlign w:val="bottom"/>
            <w:hideMark/>
          </w:tcPr>
          <w:p w14:paraId="2341B15C"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2017</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2341B15D"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2018</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2341B15E"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2019</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2341B15F"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2020</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2341B160"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2021</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2341B161"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2022</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2341B162"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2023</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2341B163"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2024</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2341B164"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2025</w:t>
            </w:r>
          </w:p>
        </w:tc>
        <w:tc>
          <w:tcPr>
            <w:tcW w:w="280" w:type="pct"/>
            <w:tcBorders>
              <w:top w:val="single" w:sz="4" w:space="0" w:color="FFFFFF"/>
              <w:left w:val="nil"/>
              <w:bottom w:val="single" w:sz="4" w:space="0" w:color="auto"/>
              <w:right w:val="single" w:sz="4" w:space="0" w:color="FFFFFF"/>
            </w:tcBorders>
            <w:shd w:val="clear" w:color="000000" w:fill="203764"/>
            <w:noWrap/>
            <w:vAlign w:val="bottom"/>
            <w:hideMark/>
          </w:tcPr>
          <w:p w14:paraId="2341B165"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2026</w:t>
            </w:r>
          </w:p>
        </w:tc>
        <w:tc>
          <w:tcPr>
            <w:tcW w:w="278" w:type="pct"/>
            <w:tcBorders>
              <w:top w:val="single" w:sz="4" w:space="0" w:color="FFFFFF"/>
              <w:left w:val="nil"/>
              <w:bottom w:val="single" w:sz="4" w:space="0" w:color="auto"/>
              <w:right w:val="single" w:sz="4" w:space="0" w:color="FFFFFF"/>
            </w:tcBorders>
            <w:shd w:val="clear" w:color="000000" w:fill="203764"/>
            <w:noWrap/>
            <w:vAlign w:val="bottom"/>
            <w:hideMark/>
          </w:tcPr>
          <w:p w14:paraId="2341B166"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2027</w:t>
            </w:r>
          </w:p>
        </w:tc>
      </w:tr>
      <w:tr w:rsidR="00CD529B" w:rsidRPr="00EF6E63" w14:paraId="2341B175" w14:textId="77777777" w:rsidTr="00564572">
        <w:trPr>
          <w:trHeight w:val="300"/>
        </w:trPr>
        <w:tc>
          <w:tcPr>
            <w:tcW w:w="1506" w:type="pct"/>
            <w:tcBorders>
              <w:top w:val="nil"/>
              <w:left w:val="nil"/>
              <w:bottom w:val="nil"/>
              <w:right w:val="nil"/>
            </w:tcBorders>
            <w:shd w:val="clear" w:color="auto" w:fill="auto"/>
            <w:noWrap/>
            <w:vAlign w:val="bottom"/>
            <w:hideMark/>
          </w:tcPr>
          <w:p w14:paraId="2341B168"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de cocción (GWh/Año)</w:t>
            </w:r>
          </w:p>
        </w:tc>
        <w:tc>
          <w:tcPr>
            <w:tcW w:w="361" w:type="pct"/>
            <w:tcBorders>
              <w:top w:val="nil"/>
              <w:left w:val="nil"/>
              <w:bottom w:val="nil"/>
              <w:right w:val="nil"/>
            </w:tcBorders>
            <w:shd w:val="clear" w:color="auto" w:fill="auto"/>
            <w:noWrap/>
            <w:vAlign w:val="bottom"/>
            <w:hideMark/>
          </w:tcPr>
          <w:p w14:paraId="2341B16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2.122</w:t>
            </w:r>
          </w:p>
        </w:tc>
        <w:tc>
          <w:tcPr>
            <w:tcW w:w="280" w:type="pct"/>
            <w:tcBorders>
              <w:top w:val="nil"/>
              <w:left w:val="nil"/>
              <w:bottom w:val="nil"/>
              <w:right w:val="nil"/>
            </w:tcBorders>
            <w:shd w:val="clear" w:color="auto" w:fill="auto"/>
            <w:noWrap/>
            <w:vAlign w:val="bottom"/>
            <w:hideMark/>
          </w:tcPr>
          <w:p w14:paraId="2341B16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2.004</w:t>
            </w:r>
          </w:p>
        </w:tc>
        <w:tc>
          <w:tcPr>
            <w:tcW w:w="287" w:type="pct"/>
            <w:tcBorders>
              <w:top w:val="nil"/>
              <w:left w:val="nil"/>
              <w:bottom w:val="nil"/>
              <w:right w:val="nil"/>
            </w:tcBorders>
            <w:shd w:val="clear" w:color="auto" w:fill="auto"/>
            <w:noWrap/>
            <w:vAlign w:val="bottom"/>
            <w:hideMark/>
          </w:tcPr>
          <w:p w14:paraId="2341B16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1.886</w:t>
            </w:r>
          </w:p>
        </w:tc>
        <w:tc>
          <w:tcPr>
            <w:tcW w:w="287" w:type="pct"/>
            <w:tcBorders>
              <w:top w:val="nil"/>
              <w:left w:val="nil"/>
              <w:bottom w:val="nil"/>
              <w:right w:val="nil"/>
            </w:tcBorders>
            <w:shd w:val="clear" w:color="auto" w:fill="auto"/>
            <w:noWrap/>
            <w:vAlign w:val="bottom"/>
            <w:hideMark/>
          </w:tcPr>
          <w:p w14:paraId="2341B16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1.768</w:t>
            </w:r>
          </w:p>
        </w:tc>
        <w:tc>
          <w:tcPr>
            <w:tcW w:w="287" w:type="pct"/>
            <w:tcBorders>
              <w:top w:val="nil"/>
              <w:left w:val="nil"/>
              <w:bottom w:val="nil"/>
              <w:right w:val="nil"/>
            </w:tcBorders>
            <w:shd w:val="clear" w:color="auto" w:fill="auto"/>
            <w:noWrap/>
            <w:vAlign w:val="bottom"/>
            <w:hideMark/>
          </w:tcPr>
          <w:p w14:paraId="2341B16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1.650</w:t>
            </w:r>
          </w:p>
        </w:tc>
        <w:tc>
          <w:tcPr>
            <w:tcW w:w="287" w:type="pct"/>
            <w:tcBorders>
              <w:top w:val="nil"/>
              <w:left w:val="nil"/>
              <w:bottom w:val="nil"/>
              <w:right w:val="nil"/>
            </w:tcBorders>
            <w:shd w:val="clear" w:color="auto" w:fill="auto"/>
            <w:noWrap/>
            <w:vAlign w:val="bottom"/>
            <w:hideMark/>
          </w:tcPr>
          <w:p w14:paraId="2341B16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1.532</w:t>
            </w:r>
          </w:p>
        </w:tc>
        <w:tc>
          <w:tcPr>
            <w:tcW w:w="287" w:type="pct"/>
            <w:tcBorders>
              <w:top w:val="nil"/>
              <w:left w:val="nil"/>
              <w:bottom w:val="nil"/>
              <w:right w:val="nil"/>
            </w:tcBorders>
            <w:shd w:val="clear" w:color="auto" w:fill="auto"/>
            <w:noWrap/>
            <w:vAlign w:val="bottom"/>
            <w:hideMark/>
          </w:tcPr>
          <w:p w14:paraId="2341B16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1.532</w:t>
            </w:r>
          </w:p>
        </w:tc>
        <w:tc>
          <w:tcPr>
            <w:tcW w:w="287" w:type="pct"/>
            <w:tcBorders>
              <w:top w:val="nil"/>
              <w:left w:val="nil"/>
              <w:bottom w:val="nil"/>
              <w:right w:val="nil"/>
            </w:tcBorders>
            <w:shd w:val="clear" w:color="auto" w:fill="auto"/>
            <w:noWrap/>
            <w:vAlign w:val="bottom"/>
            <w:hideMark/>
          </w:tcPr>
          <w:p w14:paraId="2341B17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1.532</w:t>
            </w:r>
          </w:p>
        </w:tc>
        <w:tc>
          <w:tcPr>
            <w:tcW w:w="287" w:type="pct"/>
            <w:tcBorders>
              <w:top w:val="nil"/>
              <w:left w:val="nil"/>
              <w:bottom w:val="nil"/>
              <w:right w:val="nil"/>
            </w:tcBorders>
            <w:shd w:val="clear" w:color="auto" w:fill="auto"/>
            <w:noWrap/>
            <w:vAlign w:val="bottom"/>
            <w:hideMark/>
          </w:tcPr>
          <w:p w14:paraId="2341B17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1.532</w:t>
            </w:r>
          </w:p>
        </w:tc>
        <w:tc>
          <w:tcPr>
            <w:tcW w:w="287" w:type="pct"/>
            <w:tcBorders>
              <w:top w:val="nil"/>
              <w:left w:val="nil"/>
              <w:bottom w:val="nil"/>
              <w:right w:val="nil"/>
            </w:tcBorders>
            <w:shd w:val="clear" w:color="auto" w:fill="auto"/>
            <w:noWrap/>
            <w:vAlign w:val="bottom"/>
            <w:hideMark/>
          </w:tcPr>
          <w:p w14:paraId="2341B17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1.532</w:t>
            </w:r>
          </w:p>
        </w:tc>
        <w:tc>
          <w:tcPr>
            <w:tcW w:w="280" w:type="pct"/>
            <w:tcBorders>
              <w:top w:val="nil"/>
              <w:left w:val="nil"/>
              <w:bottom w:val="nil"/>
              <w:right w:val="nil"/>
            </w:tcBorders>
            <w:shd w:val="clear" w:color="auto" w:fill="auto"/>
            <w:noWrap/>
            <w:vAlign w:val="bottom"/>
            <w:hideMark/>
          </w:tcPr>
          <w:p w14:paraId="2341B173" w14:textId="77777777" w:rsidR="00CD529B" w:rsidRPr="00980C81" w:rsidRDefault="00CD529B" w:rsidP="00564572">
            <w:pPr>
              <w:jc w:val="right"/>
              <w:rPr>
                <w:rFonts w:ascii="Calibri" w:hAnsi="Calibri" w:cs="Calibri"/>
                <w:color w:val="806000"/>
                <w:sz w:val="15"/>
                <w:szCs w:val="15"/>
                <w:lang w:eastAsia="es-CO"/>
              </w:rPr>
            </w:pPr>
            <w:r w:rsidRPr="00980C81">
              <w:rPr>
                <w:rFonts w:ascii="Calibri" w:hAnsi="Calibri"/>
                <w:color w:val="806000"/>
                <w:sz w:val="15"/>
                <w:szCs w:val="15"/>
              </w:rPr>
              <w:t>1.532</w:t>
            </w:r>
          </w:p>
        </w:tc>
        <w:tc>
          <w:tcPr>
            <w:tcW w:w="278" w:type="pct"/>
            <w:tcBorders>
              <w:top w:val="nil"/>
              <w:left w:val="nil"/>
              <w:bottom w:val="nil"/>
              <w:right w:val="nil"/>
            </w:tcBorders>
            <w:shd w:val="clear" w:color="auto" w:fill="auto"/>
            <w:noWrap/>
            <w:vAlign w:val="bottom"/>
            <w:hideMark/>
          </w:tcPr>
          <w:p w14:paraId="2341B174" w14:textId="77777777" w:rsidR="00CD529B" w:rsidRPr="00980C81" w:rsidRDefault="00CD529B" w:rsidP="00564572">
            <w:pPr>
              <w:jc w:val="right"/>
              <w:rPr>
                <w:rFonts w:ascii="Calibri" w:hAnsi="Calibri" w:cs="Calibri"/>
                <w:color w:val="806000"/>
                <w:sz w:val="15"/>
                <w:szCs w:val="15"/>
                <w:lang w:eastAsia="es-CO"/>
              </w:rPr>
            </w:pPr>
            <w:r w:rsidRPr="00980C81">
              <w:rPr>
                <w:rFonts w:ascii="Calibri" w:hAnsi="Calibri"/>
                <w:color w:val="806000"/>
                <w:sz w:val="15"/>
                <w:szCs w:val="15"/>
              </w:rPr>
              <w:t>1.532</w:t>
            </w:r>
          </w:p>
        </w:tc>
      </w:tr>
      <w:tr w:rsidR="00CD529B" w:rsidRPr="00EF6E63" w14:paraId="2341B183" w14:textId="77777777" w:rsidTr="00564572">
        <w:trPr>
          <w:trHeight w:val="300"/>
        </w:trPr>
        <w:tc>
          <w:tcPr>
            <w:tcW w:w="1506" w:type="pct"/>
            <w:tcBorders>
              <w:top w:val="nil"/>
              <w:left w:val="nil"/>
              <w:bottom w:val="single" w:sz="4" w:space="0" w:color="auto"/>
              <w:right w:val="nil"/>
            </w:tcBorders>
            <w:shd w:val="clear" w:color="auto" w:fill="auto"/>
            <w:noWrap/>
            <w:vAlign w:val="bottom"/>
            <w:hideMark/>
          </w:tcPr>
          <w:p w14:paraId="2341B176" w14:textId="77777777" w:rsidR="00CD529B" w:rsidRPr="00EF6E63" w:rsidRDefault="00CD529B" w:rsidP="00564572">
            <w:pPr>
              <w:rPr>
                <w:rFonts w:ascii="Calibri" w:hAnsi="Calibri" w:cs="Calibri"/>
                <w:color w:val="000000"/>
                <w:sz w:val="15"/>
                <w:szCs w:val="15"/>
                <w:lang w:eastAsia="es-CO"/>
              </w:rPr>
            </w:pPr>
            <w:r w:rsidRPr="00EF6E63">
              <w:rPr>
                <w:rFonts w:ascii="Calibri" w:hAnsi="Calibri" w:cs="Calibri"/>
                <w:color w:val="000000"/>
                <w:sz w:val="15"/>
                <w:szCs w:val="15"/>
                <w:lang w:eastAsia="es-CO"/>
              </w:rPr>
              <w:t>Número de estufas a cambiar</w:t>
            </w:r>
          </w:p>
        </w:tc>
        <w:tc>
          <w:tcPr>
            <w:tcW w:w="361" w:type="pct"/>
            <w:tcBorders>
              <w:top w:val="nil"/>
              <w:left w:val="nil"/>
              <w:bottom w:val="single" w:sz="4" w:space="0" w:color="auto"/>
              <w:right w:val="nil"/>
            </w:tcBorders>
            <w:shd w:val="clear" w:color="auto" w:fill="auto"/>
            <w:noWrap/>
            <w:vAlign w:val="bottom"/>
            <w:hideMark/>
          </w:tcPr>
          <w:p w14:paraId="2341B177" w14:textId="77777777" w:rsidR="00CD529B" w:rsidRPr="00980C81" w:rsidRDefault="00CD529B" w:rsidP="00564572">
            <w:pPr>
              <w:rPr>
                <w:rFonts w:ascii="Calibri" w:hAnsi="Calibri" w:cs="Calibri"/>
                <w:color w:val="000000"/>
                <w:sz w:val="15"/>
                <w:szCs w:val="15"/>
                <w:lang w:eastAsia="es-CO"/>
              </w:rPr>
            </w:pPr>
            <w:r w:rsidRPr="00980C81">
              <w:rPr>
                <w:rFonts w:ascii="Calibri" w:hAnsi="Calibri"/>
                <w:color w:val="000000"/>
                <w:sz w:val="15"/>
                <w:szCs w:val="15"/>
              </w:rPr>
              <w:t> </w:t>
            </w:r>
          </w:p>
        </w:tc>
        <w:tc>
          <w:tcPr>
            <w:tcW w:w="280" w:type="pct"/>
            <w:tcBorders>
              <w:top w:val="nil"/>
              <w:left w:val="nil"/>
              <w:bottom w:val="single" w:sz="4" w:space="0" w:color="auto"/>
              <w:right w:val="nil"/>
            </w:tcBorders>
            <w:shd w:val="clear" w:color="auto" w:fill="auto"/>
            <w:noWrap/>
            <w:vAlign w:val="bottom"/>
            <w:hideMark/>
          </w:tcPr>
          <w:p w14:paraId="2341B17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66.696</w:t>
            </w:r>
          </w:p>
        </w:tc>
        <w:tc>
          <w:tcPr>
            <w:tcW w:w="287" w:type="pct"/>
            <w:tcBorders>
              <w:top w:val="nil"/>
              <w:left w:val="nil"/>
              <w:bottom w:val="single" w:sz="4" w:space="0" w:color="auto"/>
              <w:right w:val="nil"/>
            </w:tcBorders>
            <w:shd w:val="clear" w:color="auto" w:fill="auto"/>
            <w:noWrap/>
            <w:vAlign w:val="bottom"/>
            <w:hideMark/>
          </w:tcPr>
          <w:p w14:paraId="2341B17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66.696</w:t>
            </w:r>
          </w:p>
        </w:tc>
        <w:tc>
          <w:tcPr>
            <w:tcW w:w="287" w:type="pct"/>
            <w:tcBorders>
              <w:top w:val="nil"/>
              <w:left w:val="nil"/>
              <w:bottom w:val="single" w:sz="4" w:space="0" w:color="auto"/>
              <w:right w:val="nil"/>
            </w:tcBorders>
            <w:shd w:val="clear" w:color="auto" w:fill="auto"/>
            <w:noWrap/>
            <w:vAlign w:val="bottom"/>
            <w:hideMark/>
          </w:tcPr>
          <w:p w14:paraId="2341B17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66.696</w:t>
            </w:r>
          </w:p>
        </w:tc>
        <w:tc>
          <w:tcPr>
            <w:tcW w:w="287" w:type="pct"/>
            <w:tcBorders>
              <w:top w:val="nil"/>
              <w:left w:val="nil"/>
              <w:bottom w:val="single" w:sz="4" w:space="0" w:color="auto"/>
              <w:right w:val="nil"/>
            </w:tcBorders>
            <w:shd w:val="clear" w:color="auto" w:fill="auto"/>
            <w:noWrap/>
            <w:vAlign w:val="bottom"/>
            <w:hideMark/>
          </w:tcPr>
          <w:p w14:paraId="2341B17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66.696</w:t>
            </w:r>
          </w:p>
        </w:tc>
        <w:tc>
          <w:tcPr>
            <w:tcW w:w="287" w:type="pct"/>
            <w:tcBorders>
              <w:top w:val="nil"/>
              <w:left w:val="nil"/>
              <w:bottom w:val="single" w:sz="4" w:space="0" w:color="auto"/>
              <w:right w:val="nil"/>
            </w:tcBorders>
            <w:shd w:val="clear" w:color="auto" w:fill="auto"/>
            <w:noWrap/>
            <w:vAlign w:val="bottom"/>
            <w:hideMark/>
          </w:tcPr>
          <w:p w14:paraId="2341B17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66.696</w:t>
            </w:r>
          </w:p>
        </w:tc>
        <w:tc>
          <w:tcPr>
            <w:tcW w:w="287" w:type="pct"/>
            <w:tcBorders>
              <w:top w:val="nil"/>
              <w:left w:val="nil"/>
              <w:bottom w:val="single" w:sz="4" w:space="0" w:color="auto"/>
              <w:right w:val="nil"/>
            </w:tcBorders>
            <w:shd w:val="clear" w:color="auto" w:fill="auto"/>
            <w:noWrap/>
            <w:vAlign w:val="bottom"/>
            <w:hideMark/>
          </w:tcPr>
          <w:p w14:paraId="2341B17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17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17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18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0" w:type="pct"/>
            <w:tcBorders>
              <w:top w:val="nil"/>
              <w:left w:val="nil"/>
              <w:bottom w:val="single" w:sz="4" w:space="0" w:color="auto"/>
              <w:right w:val="nil"/>
            </w:tcBorders>
            <w:shd w:val="clear" w:color="auto" w:fill="auto"/>
            <w:noWrap/>
            <w:vAlign w:val="bottom"/>
            <w:hideMark/>
          </w:tcPr>
          <w:p w14:paraId="2341B18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78" w:type="pct"/>
            <w:tcBorders>
              <w:top w:val="nil"/>
              <w:left w:val="nil"/>
              <w:bottom w:val="single" w:sz="4" w:space="0" w:color="auto"/>
              <w:right w:val="nil"/>
            </w:tcBorders>
            <w:shd w:val="clear" w:color="auto" w:fill="auto"/>
            <w:noWrap/>
            <w:vAlign w:val="bottom"/>
            <w:hideMark/>
          </w:tcPr>
          <w:p w14:paraId="2341B18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r>
      <w:tr w:rsidR="00CD529B" w:rsidRPr="00EF6E63" w14:paraId="2341B191" w14:textId="77777777" w:rsidTr="00564572">
        <w:trPr>
          <w:trHeight w:val="300"/>
        </w:trPr>
        <w:tc>
          <w:tcPr>
            <w:tcW w:w="1506" w:type="pct"/>
            <w:tcBorders>
              <w:top w:val="nil"/>
              <w:left w:val="nil"/>
              <w:bottom w:val="nil"/>
              <w:right w:val="nil"/>
            </w:tcBorders>
            <w:shd w:val="clear" w:color="auto" w:fill="auto"/>
            <w:noWrap/>
            <w:vAlign w:val="bottom"/>
            <w:hideMark/>
          </w:tcPr>
          <w:p w14:paraId="2341B184" w14:textId="77777777" w:rsidR="00CD529B" w:rsidRPr="00EF6E63" w:rsidRDefault="00CD529B" w:rsidP="00564572">
            <w:pPr>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Beneficios</w:t>
            </w:r>
          </w:p>
        </w:tc>
        <w:tc>
          <w:tcPr>
            <w:tcW w:w="361" w:type="pct"/>
            <w:tcBorders>
              <w:top w:val="nil"/>
              <w:left w:val="nil"/>
              <w:bottom w:val="nil"/>
              <w:right w:val="nil"/>
            </w:tcBorders>
            <w:shd w:val="clear" w:color="auto" w:fill="auto"/>
            <w:noWrap/>
            <w:vAlign w:val="bottom"/>
            <w:hideMark/>
          </w:tcPr>
          <w:p w14:paraId="2341B185" w14:textId="77777777" w:rsidR="00CD529B" w:rsidRPr="00980C81" w:rsidRDefault="00CD529B" w:rsidP="00564572">
            <w:pPr>
              <w:rPr>
                <w:rFonts w:ascii="Calibri" w:hAnsi="Calibri" w:cs="Calibri"/>
                <w:b/>
                <w:bCs/>
                <w:color w:val="000000"/>
                <w:sz w:val="15"/>
                <w:szCs w:val="15"/>
                <w:lang w:eastAsia="es-CO"/>
              </w:rPr>
            </w:pPr>
          </w:p>
        </w:tc>
        <w:tc>
          <w:tcPr>
            <w:tcW w:w="280" w:type="pct"/>
            <w:tcBorders>
              <w:top w:val="nil"/>
              <w:left w:val="nil"/>
              <w:bottom w:val="nil"/>
              <w:right w:val="nil"/>
            </w:tcBorders>
            <w:shd w:val="clear" w:color="auto" w:fill="auto"/>
            <w:noWrap/>
            <w:vAlign w:val="bottom"/>
            <w:hideMark/>
          </w:tcPr>
          <w:p w14:paraId="2341B186"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87"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88"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89"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8A"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8B"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8C"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8D"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8E" w14:textId="77777777" w:rsidR="00CD529B" w:rsidRPr="00980C81"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18F" w14:textId="77777777" w:rsidR="00CD529B" w:rsidRPr="00980C81" w:rsidRDefault="00CD529B" w:rsidP="00564572">
            <w:pPr>
              <w:rPr>
                <w:sz w:val="15"/>
                <w:szCs w:val="15"/>
                <w:lang w:eastAsia="es-CO"/>
              </w:rPr>
            </w:pPr>
          </w:p>
        </w:tc>
        <w:tc>
          <w:tcPr>
            <w:tcW w:w="278" w:type="pct"/>
            <w:tcBorders>
              <w:top w:val="nil"/>
              <w:left w:val="nil"/>
              <w:bottom w:val="nil"/>
              <w:right w:val="nil"/>
            </w:tcBorders>
            <w:shd w:val="clear" w:color="auto" w:fill="auto"/>
            <w:noWrap/>
            <w:vAlign w:val="bottom"/>
            <w:hideMark/>
          </w:tcPr>
          <w:p w14:paraId="2341B190" w14:textId="77777777" w:rsidR="00CD529B" w:rsidRPr="00980C81" w:rsidRDefault="00CD529B" w:rsidP="00564572">
            <w:pPr>
              <w:rPr>
                <w:sz w:val="15"/>
                <w:szCs w:val="15"/>
                <w:lang w:eastAsia="es-CO"/>
              </w:rPr>
            </w:pPr>
          </w:p>
        </w:tc>
      </w:tr>
      <w:tr w:rsidR="00CD529B" w:rsidRPr="00EF6E63" w14:paraId="2341B19F" w14:textId="77777777" w:rsidTr="00564572">
        <w:trPr>
          <w:trHeight w:val="300"/>
        </w:trPr>
        <w:tc>
          <w:tcPr>
            <w:tcW w:w="1506" w:type="pct"/>
            <w:tcBorders>
              <w:top w:val="nil"/>
              <w:left w:val="nil"/>
              <w:bottom w:val="nil"/>
              <w:right w:val="nil"/>
            </w:tcBorders>
            <w:shd w:val="clear" w:color="auto" w:fill="auto"/>
            <w:noWrap/>
            <w:vAlign w:val="bottom"/>
            <w:hideMark/>
          </w:tcPr>
          <w:p w14:paraId="2341B192" w14:textId="77777777" w:rsidR="00CD529B" w:rsidRPr="00EF6E63" w:rsidRDefault="00CD529B" w:rsidP="00564572">
            <w:pPr>
              <w:ind w:firstLineChars="100" w:firstLine="150"/>
              <w:rPr>
                <w:rFonts w:ascii="Calibri" w:hAnsi="Calibri" w:cs="Calibri"/>
                <w:color w:val="000000"/>
                <w:sz w:val="15"/>
                <w:szCs w:val="15"/>
                <w:lang w:eastAsia="es-CO"/>
              </w:rPr>
            </w:pPr>
            <w:r w:rsidRPr="00EF6E63">
              <w:rPr>
                <w:rFonts w:ascii="Calibri" w:hAnsi="Calibri" w:cs="Calibri"/>
                <w:color w:val="000000"/>
                <w:sz w:val="15"/>
                <w:szCs w:val="15"/>
                <w:lang w:eastAsia="es-CO"/>
              </w:rPr>
              <w:t>Ahorro GWh/año</w:t>
            </w:r>
          </w:p>
        </w:tc>
        <w:tc>
          <w:tcPr>
            <w:tcW w:w="361" w:type="pct"/>
            <w:tcBorders>
              <w:top w:val="nil"/>
              <w:left w:val="nil"/>
              <w:bottom w:val="nil"/>
              <w:right w:val="nil"/>
            </w:tcBorders>
            <w:shd w:val="clear" w:color="auto" w:fill="auto"/>
            <w:noWrap/>
            <w:vAlign w:val="bottom"/>
            <w:hideMark/>
          </w:tcPr>
          <w:p w14:paraId="2341B193" w14:textId="77777777" w:rsidR="00CD529B" w:rsidRPr="00980C81" w:rsidRDefault="00CD529B" w:rsidP="00564572">
            <w:pPr>
              <w:ind w:firstLineChars="100" w:firstLine="150"/>
              <w:rPr>
                <w:rFonts w:ascii="Calibri" w:hAnsi="Calibri" w:cs="Calibri"/>
                <w:color w:val="000000"/>
                <w:sz w:val="15"/>
                <w:szCs w:val="15"/>
                <w:lang w:eastAsia="es-CO"/>
              </w:rPr>
            </w:pPr>
          </w:p>
        </w:tc>
        <w:tc>
          <w:tcPr>
            <w:tcW w:w="280" w:type="pct"/>
            <w:tcBorders>
              <w:top w:val="nil"/>
              <w:left w:val="nil"/>
              <w:bottom w:val="nil"/>
              <w:right w:val="nil"/>
            </w:tcBorders>
            <w:shd w:val="clear" w:color="auto" w:fill="auto"/>
            <w:noWrap/>
            <w:vAlign w:val="bottom"/>
            <w:hideMark/>
          </w:tcPr>
          <w:p w14:paraId="2341B19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118</w:t>
            </w:r>
          </w:p>
        </w:tc>
        <w:tc>
          <w:tcPr>
            <w:tcW w:w="287" w:type="pct"/>
            <w:tcBorders>
              <w:top w:val="nil"/>
              <w:left w:val="nil"/>
              <w:bottom w:val="nil"/>
              <w:right w:val="nil"/>
            </w:tcBorders>
            <w:shd w:val="clear" w:color="auto" w:fill="auto"/>
            <w:noWrap/>
            <w:vAlign w:val="bottom"/>
            <w:hideMark/>
          </w:tcPr>
          <w:p w14:paraId="2341B19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236</w:t>
            </w:r>
          </w:p>
        </w:tc>
        <w:tc>
          <w:tcPr>
            <w:tcW w:w="287" w:type="pct"/>
            <w:tcBorders>
              <w:top w:val="nil"/>
              <w:left w:val="nil"/>
              <w:bottom w:val="nil"/>
              <w:right w:val="nil"/>
            </w:tcBorders>
            <w:shd w:val="clear" w:color="auto" w:fill="auto"/>
            <w:noWrap/>
            <w:vAlign w:val="bottom"/>
            <w:hideMark/>
          </w:tcPr>
          <w:p w14:paraId="2341B19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354</w:t>
            </w:r>
          </w:p>
        </w:tc>
        <w:tc>
          <w:tcPr>
            <w:tcW w:w="287" w:type="pct"/>
            <w:tcBorders>
              <w:top w:val="nil"/>
              <w:left w:val="nil"/>
              <w:bottom w:val="nil"/>
              <w:right w:val="nil"/>
            </w:tcBorders>
            <w:shd w:val="clear" w:color="auto" w:fill="auto"/>
            <w:noWrap/>
            <w:vAlign w:val="bottom"/>
            <w:hideMark/>
          </w:tcPr>
          <w:p w14:paraId="2341B19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472</w:t>
            </w:r>
          </w:p>
        </w:tc>
        <w:tc>
          <w:tcPr>
            <w:tcW w:w="287" w:type="pct"/>
            <w:tcBorders>
              <w:top w:val="nil"/>
              <w:left w:val="nil"/>
              <w:bottom w:val="nil"/>
              <w:right w:val="nil"/>
            </w:tcBorders>
            <w:shd w:val="clear" w:color="auto" w:fill="auto"/>
            <w:noWrap/>
            <w:vAlign w:val="bottom"/>
            <w:hideMark/>
          </w:tcPr>
          <w:p w14:paraId="2341B19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589</w:t>
            </w:r>
          </w:p>
        </w:tc>
        <w:tc>
          <w:tcPr>
            <w:tcW w:w="287" w:type="pct"/>
            <w:tcBorders>
              <w:top w:val="nil"/>
              <w:left w:val="nil"/>
              <w:bottom w:val="nil"/>
              <w:right w:val="nil"/>
            </w:tcBorders>
            <w:shd w:val="clear" w:color="auto" w:fill="auto"/>
            <w:noWrap/>
            <w:vAlign w:val="bottom"/>
            <w:hideMark/>
          </w:tcPr>
          <w:p w14:paraId="2341B19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589</w:t>
            </w:r>
          </w:p>
        </w:tc>
        <w:tc>
          <w:tcPr>
            <w:tcW w:w="287" w:type="pct"/>
            <w:tcBorders>
              <w:top w:val="nil"/>
              <w:left w:val="nil"/>
              <w:bottom w:val="nil"/>
              <w:right w:val="nil"/>
            </w:tcBorders>
            <w:shd w:val="clear" w:color="auto" w:fill="auto"/>
            <w:noWrap/>
            <w:vAlign w:val="bottom"/>
            <w:hideMark/>
          </w:tcPr>
          <w:p w14:paraId="2341B19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589</w:t>
            </w:r>
          </w:p>
        </w:tc>
        <w:tc>
          <w:tcPr>
            <w:tcW w:w="287" w:type="pct"/>
            <w:tcBorders>
              <w:top w:val="nil"/>
              <w:left w:val="nil"/>
              <w:bottom w:val="nil"/>
              <w:right w:val="nil"/>
            </w:tcBorders>
            <w:shd w:val="clear" w:color="auto" w:fill="auto"/>
            <w:noWrap/>
            <w:vAlign w:val="bottom"/>
            <w:hideMark/>
          </w:tcPr>
          <w:p w14:paraId="2341B19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589</w:t>
            </w:r>
          </w:p>
        </w:tc>
        <w:tc>
          <w:tcPr>
            <w:tcW w:w="287" w:type="pct"/>
            <w:tcBorders>
              <w:top w:val="nil"/>
              <w:left w:val="nil"/>
              <w:bottom w:val="nil"/>
              <w:right w:val="nil"/>
            </w:tcBorders>
            <w:shd w:val="clear" w:color="auto" w:fill="auto"/>
            <w:noWrap/>
            <w:vAlign w:val="bottom"/>
            <w:hideMark/>
          </w:tcPr>
          <w:p w14:paraId="2341B19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589</w:t>
            </w:r>
          </w:p>
        </w:tc>
        <w:tc>
          <w:tcPr>
            <w:tcW w:w="280" w:type="pct"/>
            <w:tcBorders>
              <w:top w:val="nil"/>
              <w:left w:val="nil"/>
              <w:bottom w:val="nil"/>
              <w:right w:val="nil"/>
            </w:tcBorders>
            <w:shd w:val="clear" w:color="auto" w:fill="auto"/>
            <w:noWrap/>
            <w:vAlign w:val="bottom"/>
            <w:hideMark/>
          </w:tcPr>
          <w:p w14:paraId="2341B19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589</w:t>
            </w:r>
          </w:p>
        </w:tc>
        <w:tc>
          <w:tcPr>
            <w:tcW w:w="278" w:type="pct"/>
            <w:tcBorders>
              <w:top w:val="nil"/>
              <w:left w:val="nil"/>
              <w:bottom w:val="nil"/>
              <w:right w:val="nil"/>
            </w:tcBorders>
            <w:shd w:val="clear" w:color="auto" w:fill="auto"/>
            <w:noWrap/>
            <w:vAlign w:val="bottom"/>
            <w:hideMark/>
          </w:tcPr>
          <w:p w14:paraId="2341B19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589</w:t>
            </w:r>
          </w:p>
        </w:tc>
      </w:tr>
      <w:tr w:rsidR="00CD529B" w:rsidRPr="00EF6E63" w14:paraId="2341B1AD" w14:textId="77777777" w:rsidTr="00564572">
        <w:trPr>
          <w:trHeight w:val="300"/>
        </w:trPr>
        <w:tc>
          <w:tcPr>
            <w:tcW w:w="1506" w:type="pct"/>
            <w:tcBorders>
              <w:top w:val="nil"/>
              <w:left w:val="nil"/>
              <w:bottom w:val="single" w:sz="4" w:space="0" w:color="BFBFBF"/>
              <w:right w:val="nil"/>
            </w:tcBorders>
            <w:shd w:val="clear" w:color="auto" w:fill="auto"/>
            <w:noWrap/>
            <w:vAlign w:val="bottom"/>
            <w:hideMark/>
          </w:tcPr>
          <w:p w14:paraId="2341B1A0"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evitadas (TonCO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w:t>
            </w:r>
          </w:p>
        </w:tc>
        <w:tc>
          <w:tcPr>
            <w:tcW w:w="361" w:type="pct"/>
            <w:tcBorders>
              <w:top w:val="nil"/>
              <w:left w:val="nil"/>
              <w:bottom w:val="single" w:sz="4" w:space="0" w:color="BFBFBF"/>
              <w:right w:val="nil"/>
            </w:tcBorders>
            <w:shd w:val="clear" w:color="auto" w:fill="auto"/>
            <w:noWrap/>
            <w:vAlign w:val="bottom"/>
            <w:hideMark/>
          </w:tcPr>
          <w:p w14:paraId="2341B1A1"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olor w:val="000000"/>
                <w:sz w:val="15"/>
                <w:szCs w:val="15"/>
                <w:lang w:val="es-ES_tradnl"/>
              </w:rPr>
              <w:t> </w:t>
            </w:r>
          </w:p>
        </w:tc>
        <w:tc>
          <w:tcPr>
            <w:tcW w:w="280" w:type="pct"/>
            <w:tcBorders>
              <w:top w:val="nil"/>
              <w:left w:val="nil"/>
              <w:bottom w:val="single" w:sz="4" w:space="0" w:color="BFBFBF"/>
              <w:right w:val="nil"/>
            </w:tcBorders>
            <w:shd w:val="clear" w:color="auto" w:fill="auto"/>
            <w:noWrap/>
            <w:vAlign w:val="bottom"/>
            <w:hideMark/>
          </w:tcPr>
          <w:p w14:paraId="2341B1A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16.537</w:t>
            </w:r>
          </w:p>
        </w:tc>
        <w:tc>
          <w:tcPr>
            <w:tcW w:w="287" w:type="pct"/>
            <w:tcBorders>
              <w:top w:val="nil"/>
              <w:left w:val="nil"/>
              <w:bottom w:val="single" w:sz="4" w:space="0" w:color="BFBFBF"/>
              <w:right w:val="nil"/>
            </w:tcBorders>
            <w:shd w:val="clear" w:color="auto" w:fill="auto"/>
            <w:noWrap/>
            <w:vAlign w:val="bottom"/>
            <w:hideMark/>
          </w:tcPr>
          <w:p w14:paraId="2341B1A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33.073</w:t>
            </w:r>
          </w:p>
        </w:tc>
        <w:tc>
          <w:tcPr>
            <w:tcW w:w="287" w:type="pct"/>
            <w:tcBorders>
              <w:top w:val="nil"/>
              <w:left w:val="nil"/>
              <w:bottom w:val="single" w:sz="4" w:space="0" w:color="BFBFBF"/>
              <w:right w:val="nil"/>
            </w:tcBorders>
            <w:shd w:val="clear" w:color="auto" w:fill="auto"/>
            <w:noWrap/>
            <w:vAlign w:val="bottom"/>
            <w:hideMark/>
          </w:tcPr>
          <w:p w14:paraId="2341B1A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49.610</w:t>
            </w:r>
          </w:p>
        </w:tc>
        <w:tc>
          <w:tcPr>
            <w:tcW w:w="287" w:type="pct"/>
            <w:tcBorders>
              <w:top w:val="nil"/>
              <w:left w:val="nil"/>
              <w:bottom w:val="single" w:sz="4" w:space="0" w:color="BFBFBF"/>
              <w:right w:val="nil"/>
            </w:tcBorders>
            <w:shd w:val="clear" w:color="auto" w:fill="auto"/>
            <w:noWrap/>
            <w:vAlign w:val="bottom"/>
            <w:hideMark/>
          </w:tcPr>
          <w:p w14:paraId="2341B1A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66.146</w:t>
            </w:r>
          </w:p>
        </w:tc>
        <w:tc>
          <w:tcPr>
            <w:tcW w:w="287" w:type="pct"/>
            <w:tcBorders>
              <w:top w:val="nil"/>
              <w:left w:val="nil"/>
              <w:bottom w:val="single" w:sz="4" w:space="0" w:color="BFBFBF"/>
              <w:right w:val="nil"/>
            </w:tcBorders>
            <w:shd w:val="clear" w:color="auto" w:fill="auto"/>
            <w:noWrap/>
            <w:vAlign w:val="bottom"/>
            <w:hideMark/>
          </w:tcPr>
          <w:p w14:paraId="2341B1A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82.683</w:t>
            </w:r>
          </w:p>
        </w:tc>
        <w:tc>
          <w:tcPr>
            <w:tcW w:w="287" w:type="pct"/>
            <w:tcBorders>
              <w:top w:val="nil"/>
              <w:left w:val="nil"/>
              <w:bottom w:val="single" w:sz="4" w:space="0" w:color="BFBFBF"/>
              <w:right w:val="nil"/>
            </w:tcBorders>
            <w:shd w:val="clear" w:color="auto" w:fill="auto"/>
            <w:noWrap/>
            <w:vAlign w:val="bottom"/>
            <w:hideMark/>
          </w:tcPr>
          <w:p w14:paraId="2341B1A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82.683</w:t>
            </w:r>
          </w:p>
        </w:tc>
        <w:tc>
          <w:tcPr>
            <w:tcW w:w="287" w:type="pct"/>
            <w:tcBorders>
              <w:top w:val="nil"/>
              <w:left w:val="nil"/>
              <w:bottom w:val="single" w:sz="4" w:space="0" w:color="BFBFBF"/>
              <w:right w:val="nil"/>
            </w:tcBorders>
            <w:shd w:val="clear" w:color="auto" w:fill="auto"/>
            <w:noWrap/>
            <w:vAlign w:val="bottom"/>
            <w:hideMark/>
          </w:tcPr>
          <w:p w14:paraId="2341B1A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82.683</w:t>
            </w:r>
          </w:p>
        </w:tc>
        <w:tc>
          <w:tcPr>
            <w:tcW w:w="287" w:type="pct"/>
            <w:tcBorders>
              <w:top w:val="nil"/>
              <w:left w:val="nil"/>
              <w:bottom w:val="single" w:sz="4" w:space="0" w:color="BFBFBF"/>
              <w:right w:val="nil"/>
            </w:tcBorders>
            <w:shd w:val="clear" w:color="auto" w:fill="auto"/>
            <w:noWrap/>
            <w:vAlign w:val="bottom"/>
            <w:hideMark/>
          </w:tcPr>
          <w:p w14:paraId="2341B1A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82.683</w:t>
            </w:r>
          </w:p>
        </w:tc>
        <w:tc>
          <w:tcPr>
            <w:tcW w:w="287" w:type="pct"/>
            <w:tcBorders>
              <w:top w:val="nil"/>
              <w:left w:val="nil"/>
              <w:bottom w:val="single" w:sz="4" w:space="0" w:color="BFBFBF"/>
              <w:right w:val="nil"/>
            </w:tcBorders>
            <w:shd w:val="clear" w:color="auto" w:fill="auto"/>
            <w:noWrap/>
            <w:vAlign w:val="bottom"/>
            <w:hideMark/>
          </w:tcPr>
          <w:p w14:paraId="2341B1A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82.683</w:t>
            </w:r>
          </w:p>
        </w:tc>
        <w:tc>
          <w:tcPr>
            <w:tcW w:w="280" w:type="pct"/>
            <w:tcBorders>
              <w:top w:val="nil"/>
              <w:left w:val="nil"/>
              <w:bottom w:val="single" w:sz="4" w:space="0" w:color="BFBFBF"/>
              <w:right w:val="nil"/>
            </w:tcBorders>
            <w:shd w:val="clear" w:color="auto" w:fill="auto"/>
            <w:noWrap/>
            <w:vAlign w:val="bottom"/>
            <w:hideMark/>
          </w:tcPr>
          <w:p w14:paraId="2341B1A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82.683</w:t>
            </w:r>
          </w:p>
        </w:tc>
        <w:tc>
          <w:tcPr>
            <w:tcW w:w="278" w:type="pct"/>
            <w:tcBorders>
              <w:top w:val="nil"/>
              <w:left w:val="nil"/>
              <w:bottom w:val="single" w:sz="4" w:space="0" w:color="BFBFBF"/>
              <w:right w:val="nil"/>
            </w:tcBorders>
            <w:shd w:val="clear" w:color="auto" w:fill="auto"/>
            <w:noWrap/>
            <w:vAlign w:val="bottom"/>
            <w:hideMark/>
          </w:tcPr>
          <w:p w14:paraId="2341B1A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82.683</w:t>
            </w:r>
          </w:p>
        </w:tc>
      </w:tr>
      <w:tr w:rsidR="00CD529B" w:rsidRPr="00EF6E63" w14:paraId="2341B1BB" w14:textId="77777777" w:rsidTr="00564572">
        <w:trPr>
          <w:trHeight w:val="300"/>
        </w:trPr>
        <w:tc>
          <w:tcPr>
            <w:tcW w:w="1506" w:type="pct"/>
            <w:tcBorders>
              <w:top w:val="nil"/>
              <w:left w:val="nil"/>
              <w:bottom w:val="nil"/>
              <w:right w:val="nil"/>
            </w:tcBorders>
            <w:shd w:val="clear" w:color="auto" w:fill="auto"/>
            <w:noWrap/>
            <w:vAlign w:val="bottom"/>
            <w:hideMark/>
          </w:tcPr>
          <w:p w14:paraId="2341B1AE"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en Tarifa Usuario ($COP Millones)</w:t>
            </w:r>
          </w:p>
        </w:tc>
        <w:tc>
          <w:tcPr>
            <w:tcW w:w="361" w:type="pct"/>
            <w:tcBorders>
              <w:top w:val="nil"/>
              <w:left w:val="nil"/>
              <w:bottom w:val="nil"/>
              <w:right w:val="nil"/>
            </w:tcBorders>
            <w:shd w:val="clear" w:color="auto" w:fill="auto"/>
            <w:noWrap/>
            <w:vAlign w:val="bottom"/>
            <w:hideMark/>
          </w:tcPr>
          <w:p w14:paraId="2341B1AF"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0" w:type="pct"/>
            <w:tcBorders>
              <w:top w:val="nil"/>
              <w:left w:val="nil"/>
              <w:bottom w:val="nil"/>
              <w:right w:val="nil"/>
            </w:tcBorders>
            <w:shd w:val="clear" w:color="auto" w:fill="auto"/>
            <w:noWrap/>
            <w:vAlign w:val="bottom"/>
            <w:hideMark/>
          </w:tcPr>
          <w:p w14:paraId="2341B1B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2341B1B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20.863</w:t>
            </w:r>
          </w:p>
        </w:tc>
        <w:tc>
          <w:tcPr>
            <w:tcW w:w="287" w:type="pct"/>
            <w:tcBorders>
              <w:top w:val="nil"/>
              <w:left w:val="nil"/>
              <w:bottom w:val="nil"/>
              <w:right w:val="nil"/>
            </w:tcBorders>
            <w:shd w:val="clear" w:color="auto" w:fill="auto"/>
            <w:noWrap/>
            <w:vAlign w:val="bottom"/>
            <w:hideMark/>
          </w:tcPr>
          <w:p w14:paraId="2341B1B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41.726</w:t>
            </w:r>
          </w:p>
        </w:tc>
        <w:tc>
          <w:tcPr>
            <w:tcW w:w="287" w:type="pct"/>
            <w:tcBorders>
              <w:top w:val="nil"/>
              <w:left w:val="nil"/>
              <w:bottom w:val="nil"/>
              <w:right w:val="nil"/>
            </w:tcBorders>
            <w:shd w:val="clear" w:color="auto" w:fill="auto"/>
            <w:noWrap/>
            <w:vAlign w:val="bottom"/>
            <w:hideMark/>
          </w:tcPr>
          <w:p w14:paraId="2341B1B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62.589</w:t>
            </w:r>
          </w:p>
        </w:tc>
        <w:tc>
          <w:tcPr>
            <w:tcW w:w="287" w:type="pct"/>
            <w:tcBorders>
              <w:top w:val="nil"/>
              <w:left w:val="nil"/>
              <w:bottom w:val="nil"/>
              <w:right w:val="nil"/>
            </w:tcBorders>
            <w:shd w:val="clear" w:color="auto" w:fill="auto"/>
            <w:noWrap/>
            <w:vAlign w:val="bottom"/>
            <w:hideMark/>
          </w:tcPr>
          <w:p w14:paraId="2341B1B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83.452</w:t>
            </w:r>
          </w:p>
        </w:tc>
        <w:tc>
          <w:tcPr>
            <w:tcW w:w="287" w:type="pct"/>
            <w:tcBorders>
              <w:top w:val="nil"/>
              <w:left w:val="nil"/>
              <w:bottom w:val="nil"/>
              <w:right w:val="nil"/>
            </w:tcBorders>
            <w:shd w:val="clear" w:color="auto" w:fill="auto"/>
            <w:noWrap/>
            <w:vAlign w:val="bottom"/>
            <w:hideMark/>
          </w:tcPr>
          <w:p w14:paraId="2341B1B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104.315</w:t>
            </w:r>
          </w:p>
        </w:tc>
        <w:tc>
          <w:tcPr>
            <w:tcW w:w="287" w:type="pct"/>
            <w:tcBorders>
              <w:top w:val="nil"/>
              <w:left w:val="nil"/>
              <w:bottom w:val="nil"/>
              <w:right w:val="nil"/>
            </w:tcBorders>
            <w:shd w:val="clear" w:color="auto" w:fill="auto"/>
            <w:noWrap/>
            <w:vAlign w:val="bottom"/>
            <w:hideMark/>
          </w:tcPr>
          <w:p w14:paraId="2341B1B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104.315</w:t>
            </w:r>
          </w:p>
        </w:tc>
        <w:tc>
          <w:tcPr>
            <w:tcW w:w="287" w:type="pct"/>
            <w:tcBorders>
              <w:top w:val="nil"/>
              <w:left w:val="nil"/>
              <w:bottom w:val="nil"/>
              <w:right w:val="nil"/>
            </w:tcBorders>
            <w:shd w:val="clear" w:color="auto" w:fill="auto"/>
            <w:noWrap/>
            <w:vAlign w:val="bottom"/>
            <w:hideMark/>
          </w:tcPr>
          <w:p w14:paraId="2341B1B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104.315</w:t>
            </w:r>
          </w:p>
        </w:tc>
        <w:tc>
          <w:tcPr>
            <w:tcW w:w="287" w:type="pct"/>
            <w:tcBorders>
              <w:top w:val="nil"/>
              <w:left w:val="nil"/>
              <w:bottom w:val="nil"/>
              <w:right w:val="nil"/>
            </w:tcBorders>
            <w:shd w:val="clear" w:color="auto" w:fill="auto"/>
            <w:noWrap/>
            <w:vAlign w:val="bottom"/>
            <w:hideMark/>
          </w:tcPr>
          <w:p w14:paraId="2341B1B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104.315</w:t>
            </w:r>
          </w:p>
        </w:tc>
        <w:tc>
          <w:tcPr>
            <w:tcW w:w="280" w:type="pct"/>
            <w:tcBorders>
              <w:top w:val="nil"/>
              <w:left w:val="nil"/>
              <w:bottom w:val="nil"/>
              <w:right w:val="nil"/>
            </w:tcBorders>
            <w:shd w:val="clear" w:color="auto" w:fill="auto"/>
            <w:noWrap/>
            <w:vAlign w:val="bottom"/>
            <w:hideMark/>
          </w:tcPr>
          <w:p w14:paraId="2341B1B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104.315</w:t>
            </w:r>
          </w:p>
        </w:tc>
        <w:tc>
          <w:tcPr>
            <w:tcW w:w="278" w:type="pct"/>
            <w:tcBorders>
              <w:top w:val="nil"/>
              <w:left w:val="nil"/>
              <w:bottom w:val="nil"/>
              <w:right w:val="nil"/>
            </w:tcBorders>
            <w:shd w:val="clear" w:color="auto" w:fill="auto"/>
            <w:noWrap/>
            <w:vAlign w:val="bottom"/>
            <w:hideMark/>
          </w:tcPr>
          <w:p w14:paraId="2341B1B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104.315</w:t>
            </w:r>
          </w:p>
        </w:tc>
      </w:tr>
      <w:tr w:rsidR="00CD529B" w:rsidRPr="00EF6E63" w14:paraId="2341B1C9" w14:textId="77777777" w:rsidTr="00564572">
        <w:trPr>
          <w:trHeight w:val="300"/>
        </w:trPr>
        <w:tc>
          <w:tcPr>
            <w:tcW w:w="1506" w:type="pct"/>
            <w:tcBorders>
              <w:top w:val="nil"/>
              <w:left w:val="nil"/>
              <w:bottom w:val="nil"/>
              <w:right w:val="nil"/>
            </w:tcBorders>
            <w:shd w:val="clear" w:color="auto" w:fill="auto"/>
            <w:noWrap/>
            <w:vAlign w:val="bottom"/>
            <w:hideMark/>
          </w:tcPr>
          <w:p w14:paraId="2341B1BC"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subsidios PGN ($COP Millones)</w:t>
            </w:r>
          </w:p>
        </w:tc>
        <w:tc>
          <w:tcPr>
            <w:tcW w:w="361" w:type="pct"/>
            <w:tcBorders>
              <w:top w:val="nil"/>
              <w:left w:val="nil"/>
              <w:bottom w:val="nil"/>
              <w:right w:val="nil"/>
            </w:tcBorders>
            <w:shd w:val="clear" w:color="auto" w:fill="auto"/>
            <w:noWrap/>
            <w:vAlign w:val="bottom"/>
            <w:hideMark/>
          </w:tcPr>
          <w:p w14:paraId="2341B1BD"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0" w:type="pct"/>
            <w:tcBorders>
              <w:top w:val="nil"/>
              <w:left w:val="nil"/>
              <w:bottom w:val="nil"/>
              <w:right w:val="nil"/>
            </w:tcBorders>
            <w:shd w:val="clear" w:color="auto" w:fill="auto"/>
            <w:noWrap/>
            <w:vAlign w:val="bottom"/>
            <w:hideMark/>
          </w:tcPr>
          <w:p w14:paraId="2341B1B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10.975</w:t>
            </w:r>
          </w:p>
        </w:tc>
        <w:tc>
          <w:tcPr>
            <w:tcW w:w="287" w:type="pct"/>
            <w:tcBorders>
              <w:top w:val="nil"/>
              <w:left w:val="nil"/>
              <w:bottom w:val="nil"/>
              <w:right w:val="nil"/>
            </w:tcBorders>
            <w:shd w:val="clear" w:color="auto" w:fill="auto"/>
            <w:noWrap/>
            <w:vAlign w:val="bottom"/>
            <w:hideMark/>
          </w:tcPr>
          <w:p w14:paraId="2341B1B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21.950</w:t>
            </w:r>
          </w:p>
        </w:tc>
        <w:tc>
          <w:tcPr>
            <w:tcW w:w="287" w:type="pct"/>
            <w:tcBorders>
              <w:top w:val="nil"/>
              <w:left w:val="nil"/>
              <w:bottom w:val="nil"/>
              <w:right w:val="nil"/>
            </w:tcBorders>
            <w:shd w:val="clear" w:color="auto" w:fill="auto"/>
            <w:noWrap/>
            <w:vAlign w:val="bottom"/>
            <w:hideMark/>
          </w:tcPr>
          <w:p w14:paraId="2341B1C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32.925</w:t>
            </w:r>
          </w:p>
        </w:tc>
        <w:tc>
          <w:tcPr>
            <w:tcW w:w="287" w:type="pct"/>
            <w:tcBorders>
              <w:top w:val="nil"/>
              <w:left w:val="nil"/>
              <w:bottom w:val="nil"/>
              <w:right w:val="nil"/>
            </w:tcBorders>
            <w:shd w:val="clear" w:color="auto" w:fill="auto"/>
            <w:noWrap/>
            <w:vAlign w:val="bottom"/>
            <w:hideMark/>
          </w:tcPr>
          <w:p w14:paraId="2341B1C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43.900</w:t>
            </w:r>
          </w:p>
        </w:tc>
        <w:tc>
          <w:tcPr>
            <w:tcW w:w="287" w:type="pct"/>
            <w:tcBorders>
              <w:top w:val="nil"/>
              <w:left w:val="nil"/>
              <w:bottom w:val="nil"/>
              <w:right w:val="nil"/>
            </w:tcBorders>
            <w:shd w:val="clear" w:color="auto" w:fill="auto"/>
            <w:noWrap/>
            <w:vAlign w:val="bottom"/>
            <w:hideMark/>
          </w:tcPr>
          <w:p w14:paraId="2341B1C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54.874</w:t>
            </w:r>
          </w:p>
        </w:tc>
        <w:tc>
          <w:tcPr>
            <w:tcW w:w="287" w:type="pct"/>
            <w:tcBorders>
              <w:top w:val="nil"/>
              <w:left w:val="nil"/>
              <w:bottom w:val="nil"/>
              <w:right w:val="nil"/>
            </w:tcBorders>
            <w:shd w:val="clear" w:color="auto" w:fill="auto"/>
            <w:noWrap/>
            <w:vAlign w:val="bottom"/>
            <w:hideMark/>
          </w:tcPr>
          <w:p w14:paraId="2341B1C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54.874</w:t>
            </w:r>
          </w:p>
        </w:tc>
        <w:tc>
          <w:tcPr>
            <w:tcW w:w="287" w:type="pct"/>
            <w:tcBorders>
              <w:top w:val="nil"/>
              <w:left w:val="nil"/>
              <w:bottom w:val="nil"/>
              <w:right w:val="nil"/>
            </w:tcBorders>
            <w:shd w:val="clear" w:color="auto" w:fill="auto"/>
            <w:noWrap/>
            <w:vAlign w:val="bottom"/>
            <w:hideMark/>
          </w:tcPr>
          <w:p w14:paraId="2341B1C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54.874</w:t>
            </w:r>
          </w:p>
        </w:tc>
        <w:tc>
          <w:tcPr>
            <w:tcW w:w="287" w:type="pct"/>
            <w:tcBorders>
              <w:top w:val="nil"/>
              <w:left w:val="nil"/>
              <w:bottom w:val="nil"/>
              <w:right w:val="nil"/>
            </w:tcBorders>
            <w:shd w:val="clear" w:color="auto" w:fill="auto"/>
            <w:noWrap/>
            <w:vAlign w:val="bottom"/>
            <w:hideMark/>
          </w:tcPr>
          <w:p w14:paraId="2341B1C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54.874</w:t>
            </w:r>
          </w:p>
        </w:tc>
        <w:tc>
          <w:tcPr>
            <w:tcW w:w="287" w:type="pct"/>
            <w:tcBorders>
              <w:top w:val="nil"/>
              <w:left w:val="nil"/>
              <w:bottom w:val="nil"/>
              <w:right w:val="nil"/>
            </w:tcBorders>
            <w:shd w:val="clear" w:color="auto" w:fill="auto"/>
            <w:noWrap/>
            <w:vAlign w:val="bottom"/>
            <w:hideMark/>
          </w:tcPr>
          <w:p w14:paraId="2341B1C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54.874</w:t>
            </w:r>
          </w:p>
        </w:tc>
        <w:tc>
          <w:tcPr>
            <w:tcW w:w="280" w:type="pct"/>
            <w:tcBorders>
              <w:top w:val="nil"/>
              <w:left w:val="nil"/>
              <w:bottom w:val="nil"/>
              <w:right w:val="nil"/>
            </w:tcBorders>
            <w:shd w:val="clear" w:color="auto" w:fill="auto"/>
            <w:noWrap/>
            <w:vAlign w:val="bottom"/>
            <w:hideMark/>
          </w:tcPr>
          <w:p w14:paraId="2341B1C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54.874</w:t>
            </w:r>
          </w:p>
        </w:tc>
        <w:tc>
          <w:tcPr>
            <w:tcW w:w="278" w:type="pct"/>
            <w:tcBorders>
              <w:top w:val="nil"/>
              <w:left w:val="nil"/>
              <w:bottom w:val="nil"/>
              <w:right w:val="nil"/>
            </w:tcBorders>
            <w:shd w:val="clear" w:color="auto" w:fill="auto"/>
            <w:noWrap/>
            <w:vAlign w:val="bottom"/>
            <w:hideMark/>
          </w:tcPr>
          <w:p w14:paraId="2341B1C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54.874</w:t>
            </w:r>
          </w:p>
        </w:tc>
      </w:tr>
      <w:tr w:rsidR="00CD529B" w:rsidRPr="00EF6E63" w14:paraId="2341B1D7" w14:textId="77777777" w:rsidTr="00564572">
        <w:trPr>
          <w:trHeight w:val="300"/>
        </w:trPr>
        <w:tc>
          <w:tcPr>
            <w:tcW w:w="1506" w:type="pct"/>
            <w:tcBorders>
              <w:top w:val="nil"/>
              <w:left w:val="nil"/>
              <w:bottom w:val="nil"/>
              <w:right w:val="nil"/>
            </w:tcBorders>
            <w:shd w:val="clear" w:color="auto" w:fill="auto"/>
            <w:noWrap/>
            <w:vAlign w:val="bottom"/>
            <w:hideMark/>
          </w:tcPr>
          <w:p w14:paraId="2341B1CA"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($COP Millones)</w:t>
            </w:r>
          </w:p>
        </w:tc>
        <w:tc>
          <w:tcPr>
            <w:tcW w:w="361" w:type="pct"/>
            <w:tcBorders>
              <w:top w:val="nil"/>
              <w:left w:val="nil"/>
              <w:bottom w:val="nil"/>
              <w:right w:val="nil"/>
            </w:tcBorders>
            <w:shd w:val="clear" w:color="auto" w:fill="auto"/>
            <w:noWrap/>
            <w:vAlign w:val="bottom"/>
            <w:hideMark/>
          </w:tcPr>
          <w:p w14:paraId="2341B1CB"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0" w:type="pct"/>
            <w:tcBorders>
              <w:top w:val="nil"/>
              <w:left w:val="nil"/>
              <w:bottom w:val="nil"/>
              <w:right w:val="nil"/>
            </w:tcBorders>
            <w:shd w:val="clear" w:color="auto" w:fill="auto"/>
            <w:noWrap/>
            <w:vAlign w:val="bottom"/>
            <w:hideMark/>
          </w:tcPr>
          <w:p w14:paraId="2341B1C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298</w:t>
            </w:r>
          </w:p>
        </w:tc>
        <w:tc>
          <w:tcPr>
            <w:tcW w:w="287" w:type="pct"/>
            <w:tcBorders>
              <w:top w:val="nil"/>
              <w:left w:val="nil"/>
              <w:bottom w:val="nil"/>
              <w:right w:val="nil"/>
            </w:tcBorders>
            <w:shd w:val="clear" w:color="auto" w:fill="auto"/>
            <w:noWrap/>
            <w:vAlign w:val="bottom"/>
            <w:hideMark/>
          </w:tcPr>
          <w:p w14:paraId="2341B1C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596</w:t>
            </w:r>
          </w:p>
        </w:tc>
        <w:tc>
          <w:tcPr>
            <w:tcW w:w="287" w:type="pct"/>
            <w:tcBorders>
              <w:top w:val="nil"/>
              <w:left w:val="nil"/>
              <w:bottom w:val="nil"/>
              <w:right w:val="nil"/>
            </w:tcBorders>
            <w:shd w:val="clear" w:color="auto" w:fill="auto"/>
            <w:noWrap/>
            <w:vAlign w:val="bottom"/>
            <w:hideMark/>
          </w:tcPr>
          <w:p w14:paraId="2341B1C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894</w:t>
            </w:r>
          </w:p>
        </w:tc>
        <w:tc>
          <w:tcPr>
            <w:tcW w:w="287" w:type="pct"/>
            <w:tcBorders>
              <w:top w:val="nil"/>
              <w:left w:val="nil"/>
              <w:bottom w:val="nil"/>
              <w:right w:val="nil"/>
            </w:tcBorders>
            <w:shd w:val="clear" w:color="auto" w:fill="auto"/>
            <w:noWrap/>
            <w:vAlign w:val="bottom"/>
            <w:hideMark/>
          </w:tcPr>
          <w:p w14:paraId="2341B1C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1.193</w:t>
            </w:r>
          </w:p>
        </w:tc>
        <w:tc>
          <w:tcPr>
            <w:tcW w:w="287" w:type="pct"/>
            <w:tcBorders>
              <w:top w:val="nil"/>
              <w:left w:val="nil"/>
              <w:bottom w:val="nil"/>
              <w:right w:val="nil"/>
            </w:tcBorders>
            <w:shd w:val="clear" w:color="auto" w:fill="auto"/>
            <w:noWrap/>
            <w:vAlign w:val="bottom"/>
            <w:hideMark/>
          </w:tcPr>
          <w:p w14:paraId="2341B1D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1.491</w:t>
            </w:r>
          </w:p>
        </w:tc>
        <w:tc>
          <w:tcPr>
            <w:tcW w:w="287" w:type="pct"/>
            <w:tcBorders>
              <w:top w:val="nil"/>
              <w:left w:val="nil"/>
              <w:bottom w:val="nil"/>
              <w:right w:val="nil"/>
            </w:tcBorders>
            <w:shd w:val="clear" w:color="auto" w:fill="auto"/>
            <w:noWrap/>
            <w:vAlign w:val="bottom"/>
            <w:hideMark/>
          </w:tcPr>
          <w:p w14:paraId="2341B1D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1.491</w:t>
            </w:r>
          </w:p>
        </w:tc>
        <w:tc>
          <w:tcPr>
            <w:tcW w:w="287" w:type="pct"/>
            <w:tcBorders>
              <w:top w:val="nil"/>
              <w:left w:val="nil"/>
              <w:bottom w:val="nil"/>
              <w:right w:val="nil"/>
            </w:tcBorders>
            <w:shd w:val="clear" w:color="auto" w:fill="auto"/>
            <w:noWrap/>
            <w:vAlign w:val="bottom"/>
            <w:hideMark/>
          </w:tcPr>
          <w:p w14:paraId="2341B1D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1.491</w:t>
            </w:r>
          </w:p>
        </w:tc>
        <w:tc>
          <w:tcPr>
            <w:tcW w:w="287" w:type="pct"/>
            <w:tcBorders>
              <w:top w:val="nil"/>
              <w:left w:val="nil"/>
              <w:bottom w:val="nil"/>
              <w:right w:val="nil"/>
            </w:tcBorders>
            <w:shd w:val="clear" w:color="auto" w:fill="auto"/>
            <w:noWrap/>
            <w:vAlign w:val="bottom"/>
            <w:hideMark/>
          </w:tcPr>
          <w:p w14:paraId="2341B1D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1.491</w:t>
            </w:r>
          </w:p>
        </w:tc>
        <w:tc>
          <w:tcPr>
            <w:tcW w:w="287" w:type="pct"/>
            <w:tcBorders>
              <w:top w:val="nil"/>
              <w:left w:val="nil"/>
              <w:bottom w:val="nil"/>
              <w:right w:val="nil"/>
            </w:tcBorders>
            <w:shd w:val="clear" w:color="auto" w:fill="auto"/>
            <w:noWrap/>
            <w:vAlign w:val="bottom"/>
            <w:hideMark/>
          </w:tcPr>
          <w:p w14:paraId="2341B1D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1.491</w:t>
            </w:r>
          </w:p>
        </w:tc>
        <w:tc>
          <w:tcPr>
            <w:tcW w:w="280" w:type="pct"/>
            <w:tcBorders>
              <w:top w:val="nil"/>
              <w:left w:val="nil"/>
              <w:bottom w:val="nil"/>
              <w:right w:val="nil"/>
            </w:tcBorders>
            <w:shd w:val="clear" w:color="auto" w:fill="auto"/>
            <w:noWrap/>
            <w:vAlign w:val="bottom"/>
            <w:hideMark/>
          </w:tcPr>
          <w:p w14:paraId="2341B1D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1.491</w:t>
            </w:r>
          </w:p>
        </w:tc>
        <w:tc>
          <w:tcPr>
            <w:tcW w:w="278" w:type="pct"/>
            <w:tcBorders>
              <w:top w:val="nil"/>
              <w:left w:val="nil"/>
              <w:bottom w:val="nil"/>
              <w:right w:val="nil"/>
            </w:tcBorders>
            <w:shd w:val="clear" w:color="auto" w:fill="auto"/>
            <w:noWrap/>
            <w:vAlign w:val="bottom"/>
            <w:hideMark/>
          </w:tcPr>
          <w:p w14:paraId="2341B1D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1.491</w:t>
            </w:r>
          </w:p>
        </w:tc>
      </w:tr>
      <w:tr w:rsidR="00CD529B" w:rsidRPr="00EF6E63" w14:paraId="2341B1E5" w14:textId="77777777" w:rsidTr="00564572">
        <w:trPr>
          <w:trHeight w:val="300"/>
        </w:trPr>
        <w:tc>
          <w:tcPr>
            <w:tcW w:w="1506" w:type="pct"/>
            <w:tcBorders>
              <w:top w:val="nil"/>
              <w:left w:val="nil"/>
              <w:bottom w:val="single" w:sz="4" w:space="0" w:color="auto"/>
              <w:right w:val="nil"/>
            </w:tcBorders>
            <w:shd w:val="clear" w:color="auto" w:fill="auto"/>
            <w:noWrap/>
            <w:vAlign w:val="bottom"/>
            <w:hideMark/>
          </w:tcPr>
          <w:p w14:paraId="2341B1D8"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planta de generación evitada ($COP Millones)</w:t>
            </w:r>
          </w:p>
        </w:tc>
        <w:tc>
          <w:tcPr>
            <w:tcW w:w="361" w:type="pct"/>
            <w:tcBorders>
              <w:top w:val="nil"/>
              <w:left w:val="nil"/>
              <w:bottom w:val="single" w:sz="4" w:space="0" w:color="auto"/>
              <w:right w:val="nil"/>
            </w:tcBorders>
            <w:shd w:val="clear" w:color="auto" w:fill="auto"/>
            <w:noWrap/>
            <w:vAlign w:val="bottom"/>
            <w:hideMark/>
          </w:tcPr>
          <w:p w14:paraId="2341B1D9"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olor w:val="000000"/>
                <w:sz w:val="15"/>
                <w:szCs w:val="15"/>
                <w:lang w:val="es-ES_tradnl"/>
              </w:rPr>
              <w:t> </w:t>
            </w:r>
          </w:p>
        </w:tc>
        <w:tc>
          <w:tcPr>
            <w:tcW w:w="280" w:type="pct"/>
            <w:tcBorders>
              <w:top w:val="nil"/>
              <w:left w:val="nil"/>
              <w:bottom w:val="single" w:sz="4" w:space="0" w:color="auto"/>
              <w:right w:val="nil"/>
            </w:tcBorders>
            <w:shd w:val="clear" w:color="auto" w:fill="auto"/>
            <w:noWrap/>
            <w:vAlign w:val="bottom"/>
            <w:hideMark/>
          </w:tcPr>
          <w:p w14:paraId="2341B1D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1D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1D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1D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769.455</w:t>
            </w:r>
          </w:p>
        </w:tc>
        <w:tc>
          <w:tcPr>
            <w:tcW w:w="287" w:type="pct"/>
            <w:tcBorders>
              <w:top w:val="nil"/>
              <w:left w:val="nil"/>
              <w:bottom w:val="single" w:sz="4" w:space="0" w:color="auto"/>
              <w:right w:val="nil"/>
            </w:tcBorders>
            <w:shd w:val="clear" w:color="auto" w:fill="auto"/>
            <w:noWrap/>
            <w:vAlign w:val="bottom"/>
            <w:hideMark/>
          </w:tcPr>
          <w:p w14:paraId="2341B1D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1D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1E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1E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1E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0" w:type="pct"/>
            <w:tcBorders>
              <w:top w:val="nil"/>
              <w:left w:val="nil"/>
              <w:bottom w:val="single" w:sz="4" w:space="0" w:color="auto"/>
              <w:right w:val="nil"/>
            </w:tcBorders>
            <w:shd w:val="clear" w:color="auto" w:fill="auto"/>
            <w:noWrap/>
            <w:vAlign w:val="bottom"/>
            <w:hideMark/>
          </w:tcPr>
          <w:p w14:paraId="2341B1E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78" w:type="pct"/>
            <w:tcBorders>
              <w:top w:val="nil"/>
              <w:left w:val="nil"/>
              <w:bottom w:val="single" w:sz="4" w:space="0" w:color="auto"/>
              <w:right w:val="nil"/>
            </w:tcBorders>
            <w:shd w:val="clear" w:color="auto" w:fill="auto"/>
            <w:noWrap/>
            <w:vAlign w:val="bottom"/>
            <w:hideMark/>
          </w:tcPr>
          <w:p w14:paraId="2341B1E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r>
      <w:tr w:rsidR="00CD529B" w:rsidRPr="00EF6E63" w14:paraId="2341B1F3" w14:textId="77777777" w:rsidTr="00564572">
        <w:trPr>
          <w:trHeight w:val="300"/>
        </w:trPr>
        <w:tc>
          <w:tcPr>
            <w:tcW w:w="1506" w:type="pct"/>
            <w:tcBorders>
              <w:top w:val="nil"/>
              <w:left w:val="nil"/>
              <w:bottom w:val="single" w:sz="4" w:space="0" w:color="auto"/>
              <w:right w:val="nil"/>
            </w:tcBorders>
            <w:shd w:val="clear" w:color="auto" w:fill="auto"/>
            <w:noWrap/>
            <w:vAlign w:val="bottom"/>
            <w:hideMark/>
          </w:tcPr>
          <w:p w14:paraId="2341B1E6" w14:textId="77777777" w:rsidR="00CD529B" w:rsidRPr="00EF6E63" w:rsidRDefault="00CD529B" w:rsidP="00564572">
            <w:pPr>
              <w:ind w:firstLineChars="100" w:firstLine="150"/>
              <w:rPr>
                <w:rFonts w:ascii="Calibri" w:hAnsi="Calibri" w:cs="Calibri"/>
                <w:color w:val="000000"/>
                <w:sz w:val="15"/>
                <w:szCs w:val="15"/>
                <w:lang w:eastAsia="es-CO"/>
              </w:rPr>
            </w:pPr>
            <w:r w:rsidRPr="00EF6E63">
              <w:rPr>
                <w:rFonts w:ascii="Calibri" w:hAnsi="Calibri" w:cs="Calibri"/>
                <w:color w:val="000000"/>
                <w:sz w:val="15"/>
                <w:szCs w:val="15"/>
                <w:lang w:eastAsia="es-CO"/>
              </w:rPr>
              <w:t>Total Beneficios ($COP Millones)</w:t>
            </w:r>
          </w:p>
        </w:tc>
        <w:tc>
          <w:tcPr>
            <w:tcW w:w="361" w:type="pct"/>
            <w:tcBorders>
              <w:top w:val="nil"/>
              <w:left w:val="nil"/>
              <w:bottom w:val="single" w:sz="4" w:space="0" w:color="auto"/>
              <w:right w:val="nil"/>
            </w:tcBorders>
            <w:shd w:val="clear" w:color="auto" w:fill="auto"/>
            <w:noWrap/>
            <w:vAlign w:val="bottom"/>
            <w:hideMark/>
          </w:tcPr>
          <w:p w14:paraId="2341B1E7" w14:textId="77777777" w:rsidR="00CD529B" w:rsidRPr="00980C81" w:rsidRDefault="00CD529B" w:rsidP="00564572">
            <w:pPr>
              <w:rPr>
                <w:rFonts w:ascii="Calibri" w:hAnsi="Calibri" w:cs="Calibri"/>
                <w:color w:val="000000"/>
                <w:sz w:val="15"/>
                <w:szCs w:val="15"/>
                <w:lang w:eastAsia="es-CO"/>
              </w:rPr>
            </w:pPr>
            <w:r w:rsidRPr="00980C81">
              <w:rPr>
                <w:rFonts w:ascii="Calibri" w:hAnsi="Calibri"/>
                <w:color w:val="000000"/>
                <w:sz w:val="15"/>
                <w:szCs w:val="15"/>
              </w:rPr>
              <w:t> </w:t>
            </w:r>
          </w:p>
        </w:tc>
        <w:tc>
          <w:tcPr>
            <w:tcW w:w="280" w:type="pct"/>
            <w:tcBorders>
              <w:top w:val="nil"/>
              <w:left w:val="nil"/>
              <w:bottom w:val="single" w:sz="4" w:space="0" w:color="auto"/>
              <w:right w:val="nil"/>
            </w:tcBorders>
            <w:shd w:val="clear" w:color="auto" w:fill="auto"/>
            <w:noWrap/>
            <w:vAlign w:val="bottom"/>
            <w:hideMark/>
          </w:tcPr>
          <w:p w14:paraId="2341B1E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11.273</w:t>
            </w:r>
          </w:p>
        </w:tc>
        <w:tc>
          <w:tcPr>
            <w:tcW w:w="287" w:type="pct"/>
            <w:tcBorders>
              <w:top w:val="nil"/>
              <w:left w:val="nil"/>
              <w:bottom w:val="single" w:sz="4" w:space="0" w:color="auto"/>
              <w:right w:val="nil"/>
            </w:tcBorders>
            <w:shd w:val="clear" w:color="auto" w:fill="auto"/>
            <w:noWrap/>
            <w:vAlign w:val="bottom"/>
            <w:hideMark/>
          </w:tcPr>
          <w:p w14:paraId="2341B1E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43.409</w:t>
            </w:r>
          </w:p>
        </w:tc>
        <w:tc>
          <w:tcPr>
            <w:tcW w:w="287" w:type="pct"/>
            <w:tcBorders>
              <w:top w:val="nil"/>
              <w:left w:val="nil"/>
              <w:bottom w:val="single" w:sz="4" w:space="0" w:color="auto"/>
              <w:right w:val="nil"/>
            </w:tcBorders>
            <w:shd w:val="clear" w:color="auto" w:fill="auto"/>
            <w:noWrap/>
            <w:vAlign w:val="bottom"/>
            <w:hideMark/>
          </w:tcPr>
          <w:p w14:paraId="2341B1E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75.545</w:t>
            </w:r>
          </w:p>
        </w:tc>
        <w:tc>
          <w:tcPr>
            <w:tcW w:w="287" w:type="pct"/>
            <w:tcBorders>
              <w:top w:val="nil"/>
              <w:left w:val="nil"/>
              <w:bottom w:val="single" w:sz="4" w:space="0" w:color="auto"/>
              <w:right w:val="nil"/>
            </w:tcBorders>
            <w:shd w:val="clear" w:color="auto" w:fill="auto"/>
            <w:noWrap/>
            <w:vAlign w:val="bottom"/>
            <w:hideMark/>
          </w:tcPr>
          <w:p w14:paraId="2341B1E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877.136</w:t>
            </w:r>
          </w:p>
        </w:tc>
        <w:tc>
          <w:tcPr>
            <w:tcW w:w="287" w:type="pct"/>
            <w:tcBorders>
              <w:top w:val="nil"/>
              <w:left w:val="nil"/>
              <w:bottom w:val="single" w:sz="4" w:space="0" w:color="auto"/>
              <w:right w:val="nil"/>
            </w:tcBorders>
            <w:shd w:val="clear" w:color="auto" w:fill="auto"/>
            <w:noWrap/>
            <w:vAlign w:val="bottom"/>
            <w:hideMark/>
          </w:tcPr>
          <w:p w14:paraId="2341B1E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139.817</w:t>
            </w:r>
          </w:p>
        </w:tc>
        <w:tc>
          <w:tcPr>
            <w:tcW w:w="287" w:type="pct"/>
            <w:tcBorders>
              <w:top w:val="nil"/>
              <w:left w:val="nil"/>
              <w:bottom w:val="single" w:sz="4" w:space="0" w:color="auto"/>
              <w:right w:val="nil"/>
            </w:tcBorders>
            <w:shd w:val="clear" w:color="auto" w:fill="auto"/>
            <w:noWrap/>
            <w:vAlign w:val="bottom"/>
            <w:hideMark/>
          </w:tcPr>
          <w:p w14:paraId="2341B1E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7" w:type="pct"/>
            <w:tcBorders>
              <w:top w:val="nil"/>
              <w:left w:val="nil"/>
              <w:bottom w:val="single" w:sz="4" w:space="0" w:color="auto"/>
              <w:right w:val="nil"/>
            </w:tcBorders>
            <w:shd w:val="clear" w:color="auto" w:fill="auto"/>
            <w:noWrap/>
            <w:vAlign w:val="bottom"/>
            <w:hideMark/>
          </w:tcPr>
          <w:p w14:paraId="2341B1E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7" w:type="pct"/>
            <w:tcBorders>
              <w:top w:val="nil"/>
              <w:left w:val="nil"/>
              <w:bottom w:val="single" w:sz="4" w:space="0" w:color="auto"/>
              <w:right w:val="nil"/>
            </w:tcBorders>
            <w:shd w:val="clear" w:color="auto" w:fill="auto"/>
            <w:noWrap/>
            <w:vAlign w:val="bottom"/>
            <w:hideMark/>
          </w:tcPr>
          <w:p w14:paraId="2341B1EF"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7" w:type="pct"/>
            <w:tcBorders>
              <w:top w:val="nil"/>
              <w:left w:val="nil"/>
              <w:bottom w:val="single" w:sz="4" w:space="0" w:color="auto"/>
              <w:right w:val="nil"/>
            </w:tcBorders>
            <w:shd w:val="clear" w:color="auto" w:fill="auto"/>
            <w:noWrap/>
            <w:vAlign w:val="bottom"/>
            <w:hideMark/>
          </w:tcPr>
          <w:p w14:paraId="2341B1F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0" w:type="pct"/>
            <w:tcBorders>
              <w:top w:val="nil"/>
              <w:left w:val="nil"/>
              <w:bottom w:val="single" w:sz="4" w:space="0" w:color="auto"/>
              <w:right w:val="nil"/>
            </w:tcBorders>
            <w:shd w:val="clear" w:color="auto" w:fill="auto"/>
            <w:noWrap/>
            <w:vAlign w:val="bottom"/>
            <w:hideMark/>
          </w:tcPr>
          <w:p w14:paraId="2341B1F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78" w:type="pct"/>
            <w:tcBorders>
              <w:top w:val="nil"/>
              <w:left w:val="nil"/>
              <w:bottom w:val="single" w:sz="4" w:space="0" w:color="auto"/>
              <w:right w:val="nil"/>
            </w:tcBorders>
            <w:shd w:val="clear" w:color="auto" w:fill="auto"/>
            <w:noWrap/>
            <w:vAlign w:val="bottom"/>
            <w:hideMark/>
          </w:tcPr>
          <w:p w14:paraId="2341B1F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160.680</w:t>
            </w:r>
          </w:p>
        </w:tc>
      </w:tr>
      <w:tr w:rsidR="00CD529B" w:rsidRPr="00EF6E63" w14:paraId="2341B201" w14:textId="77777777" w:rsidTr="00564572">
        <w:trPr>
          <w:trHeight w:val="300"/>
        </w:trPr>
        <w:tc>
          <w:tcPr>
            <w:tcW w:w="1506" w:type="pct"/>
            <w:tcBorders>
              <w:top w:val="nil"/>
              <w:left w:val="nil"/>
              <w:bottom w:val="nil"/>
              <w:right w:val="nil"/>
            </w:tcBorders>
            <w:shd w:val="clear" w:color="auto" w:fill="auto"/>
            <w:noWrap/>
            <w:vAlign w:val="bottom"/>
            <w:hideMark/>
          </w:tcPr>
          <w:p w14:paraId="2341B1F4" w14:textId="77777777" w:rsidR="00CD529B" w:rsidRPr="00EF6E63" w:rsidRDefault="00CD529B" w:rsidP="00564572">
            <w:pPr>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Inversión y Costos</w:t>
            </w:r>
          </w:p>
        </w:tc>
        <w:tc>
          <w:tcPr>
            <w:tcW w:w="361" w:type="pct"/>
            <w:tcBorders>
              <w:top w:val="nil"/>
              <w:left w:val="nil"/>
              <w:bottom w:val="nil"/>
              <w:right w:val="nil"/>
            </w:tcBorders>
            <w:shd w:val="clear" w:color="auto" w:fill="auto"/>
            <w:noWrap/>
            <w:vAlign w:val="bottom"/>
            <w:hideMark/>
          </w:tcPr>
          <w:p w14:paraId="2341B1F5" w14:textId="77777777" w:rsidR="00CD529B" w:rsidRPr="00980C81" w:rsidRDefault="00CD529B" w:rsidP="00564572">
            <w:pPr>
              <w:rPr>
                <w:rFonts w:ascii="Calibri" w:hAnsi="Calibri" w:cs="Calibri"/>
                <w:b/>
                <w:bCs/>
                <w:color w:val="000000"/>
                <w:sz w:val="15"/>
                <w:szCs w:val="15"/>
                <w:lang w:eastAsia="es-CO"/>
              </w:rPr>
            </w:pPr>
          </w:p>
        </w:tc>
        <w:tc>
          <w:tcPr>
            <w:tcW w:w="280" w:type="pct"/>
            <w:tcBorders>
              <w:top w:val="nil"/>
              <w:left w:val="nil"/>
              <w:bottom w:val="nil"/>
              <w:right w:val="nil"/>
            </w:tcBorders>
            <w:shd w:val="clear" w:color="auto" w:fill="auto"/>
            <w:noWrap/>
            <w:vAlign w:val="bottom"/>
            <w:hideMark/>
          </w:tcPr>
          <w:p w14:paraId="2341B1F6"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F7"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F8"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F9"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FA"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FB"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FC"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FD" w14:textId="77777777" w:rsidR="00CD529B" w:rsidRPr="00980C81"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1FE" w14:textId="77777777" w:rsidR="00CD529B" w:rsidRPr="00980C81"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1FF" w14:textId="77777777" w:rsidR="00CD529B" w:rsidRPr="00980C81" w:rsidRDefault="00CD529B" w:rsidP="00564572">
            <w:pPr>
              <w:rPr>
                <w:sz w:val="15"/>
                <w:szCs w:val="15"/>
                <w:lang w:eastAsia="es-CO"/>
              </w:rPr>
            </w:pPr>
          </w:p>
        </w:tc>
        <w:tc>
          <w:tcPr>
            <w:tcW w:w="278" w:type="pct"/>
            <w:tcBorders>
              <w:top w:val="nil"/>
              <w:left w:val="nil"/>
              <w:bottom w:val="nil"/>
              <w:right w:val="nil"/>
            </w:tcBorders>
            <w:shd w:val="clear" w:color="auto" w:fill="auto"/>
            <w:noWrap/>
            <w:vAlign w:val="bottom"/>
            <w:hideMark/>
          </w:tcPr>
          <w:p w14:paraId="2341B200" w14:textId="77777777" w:rsidR="00CD529B" w:rsidRPr="00980C81" w:rsidRDefault="00CD529B" w:rsidP="00564572">
            <w:pPr>
              <w:rPr>
                <w:sz w:val="15"/>
                <w:szCs w:val="15"/>
                <w:lang w:eastAsia="es-CO"/>
              </w:rPr>
            </w:pPr>
          </w:p>
        </w:tc>
      </w:tr>
      <w:tr w:rsidR="00CD529B" w:rsidRPr="00EF6E63" w14:paraId="2341B20F" w14:textId="77777777" w:rsidTr="00564572">
        <w:trPr>
          <w:trHeight w:val="300"/>
        </w:trPr>
        <w:tc>
          <w:tcPr>
            <w:tcW w:w="1506" w:type="pct"/>
            <w:tcBorders>
              <w:top w:val="nil"/>
              <w:left w:val="nil"/>
              <w:bottom w:val="nil"/>
              <w:right w:val="nil"/>
            </w:tcBorders>
            <w:shd w:val="clear" w:color="auto" w:fill="auto"/>
            <w:noWrap/>
            <w:vAlign w:val="bottom"/>
            <w:hideMark/>
          </w:tcPr>
          <w:p w14:paraId="2341B202" w14:textId="77777777" w:rsidR="00CD529B" w:rsidRPr="00EF6E63" w:rsidRDefault="00CD529B" w:rsidP="00564572">
            <w:pPr>
              <w:ind w:firstLineChars="100" w:firstLine="150"/>
              <w:rPr>
                <w:rFonts w:ascii="Calibri" w:hAnsi="Calibri" w:cs="Calibri"/>
                <w:color w:val="000000"/>
                <w:sz w:val="15"/>
                <w:szCs w:val="15"/>
                <w:lang w:eastAsia="es-CO"/>
              </w:rPr>
            </w:pPr>
            <w:r w:rsidRPr="00EF6E63">
              <w:rPr>
                <w:rFonts w:ascii="Calibri" w:hAnsi="Calibri" w:cs="Calibri"/>
                <w:color w:val="000000"/>
                <w:sz w:val="15"/>
                <w:szCs w:val="15"/>
                <w:lang w:eastAsia="es-CO"/>
              </w:rPr>
              <w:t>Inversión en estufas eficientes</w:t>
            </w:r>
          </w:p>
        </w:tc>
        <w:tc>
          <w:tcPr>
            <w:tcW w:w="361" w:type="pct"/>
            <w:tcBorders>
              <w:top w:val="nil"/>
              <w:left w:val="nil"/>
              <w:bottom w:val="nil"/>
              <w:right w:val="nil"/>
            </w:tcBorders>
            <w:shd w:val="clear" w:color="auto" w:fill="auto"/>
            <w:noWrap/>
            <w:vAlign w:val="bottom"/>
            <w:hideMark/>
          </w:tcPr>
          <w:p w14:paraId="2341B203" w14:textId="77777777" w:rsidR="00CD529B" w:rsidRPr="00980C81" w:rsidRDefault="00CD529B" w:rsidP="00564572">
            <w:pPr>
              <w:ind w:firstLineChars="100" w:firstLine="150"/>
              <w:rPr>
                <w:rFonts w:ascii="Calibri" w:hAnsi="Calibri" w:cs="Calibri"/>
                <w:color w:val="000000"/>
                <w:sz w:val="15"/>
                <w:szCs w:val="15"/>
                <w:lang w:eastAsia="es-CO"/>
              </w:rPr>
            </w:pPr>
          </w:p>
        </w:tc>
        <w:tc>
          <w:tcPr>
            <w:tcW w:w="280" w:type="pct"/>
            <w:tcBorders>
              <w:top w:val="nil"/>
              <w:left w:val="nil"/>
              <w:bottom w:val="nil"/>
              <w:right w:val="nil"/>
            </w:tcBorders>
            <w:shd w:val="clear" w:color="auto" w:fill="auto"/>
            <w:noWrap/>
            <w:vAlign w:val="bottom"/>
            <w:hideMark/>
          </w:tcPr>
          <w:p w14:paraId="2341B20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nil"/>
              <w:left w:val="nil"/>
              <w:bottom w:val="nil"/>
              <w:right w:val="nil"/>
            </w:tcBorders>
            <w:shd w:val="clear" w:color="auto" w:fill="auto"/>
            <w:noWrap/>
            <w:vAlign w:val="bottom"/>
            <w:hideMark/>
          </w:tcPr>
          <w:p w14:paraId="2341B20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nil"/>
              <w:left w:val="nil"/>
              <w:bottom w:val="nil"/>
              <w:right w:val="nil"/>
            </w:tcBorders>
            <w:shd w:val="clear" w:color="auto" w:fill="auto"/>
            <w:noWrap/>
            <w:vAlign w:val="bottom"/>
            <w:hideMark/>
          </w:tcPr>
          <w:p w14:paraId="2341B20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nil"/>
              <w:left w:val="nil"/>
              <w:bottom w:val="nil"/>
              <w:right w:val="nil"/>
            </w:tcBorders>
            <w:shd w:val="clear" w:color="auto" w:fill="auto"/>
            <w:noWrap/>
            <w:vAlign w:val="bottom"/>
            <w:hideMark/>
          </w:tcPr>
          <w:p w14:paraId="2341B20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nil"/>
              <w:left w:val="nil"/>
              <w:bottom w:val="nil"/>
              <w:right w:val="nil"/>
            </w:tcBorders>
            <w:shd w:val="clear" w:color="auto" w:fill="auto"/>
            <w:noWrap/>
            <w:vAlign w:val="bottom"/>
            <w:hideMark/>
          </w:tcPr>
          <w:p w14:paraId="2341B20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nil"/>
              <w:left w:val="nil"/>
              <w:bottom w:val="nil"/>
              <w:right w:val="nil"/>
            </w:tcBorders>
            <w:shd w:val="clear" w:color="auto" w:fill="auto"/>
            <w:noWrap/>
            <w:vAlign w:val="bottom"/>
            <w:hideMark/>
          </w:tcPr>
          <w:p w14:paraId="2341B20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2341B20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2341B20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2341B20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0" w:type="pct"/>
            <w:tcBorders>
              <w:top w:val="nil"/>
              <w:left w:val="nil"/>
              <w:bottom w:val="nil"/>
              <w:right w:val="nil"/>
            </w:tcBorders>
            <w:shd w:val="clear" w:color="auto" w:fill="auto"/>
            <w:noWrap/>
            <w:vAlign w:val="bottom"/>
            <w:hideMark/>
          </w:tcPr>
          <w:p w14:paraId="2341B20D"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78" w:type="pct"/>
            <w:tcBorders>
              <w:top w:val="nil"/>
              <w:left w:val="nil"/>
              <w:bottom w:val="nil"/>
              <w:right w:val="nil"/>
            </w:tcBorders>
            <w:shd w:val="clear" w:color="auto" w:fill="auto"/>
            <w:noWrap/>
            <w:vAlign w:val="bottom"/>
            <w:hideMark/>
          </w:tcPr>
          <w:p w14:paraId="2341B20E"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r>
      <w:tr w:rsidR="00CD529B" w:rsidRPr="00EF6E63" w14:paraId="2341B21D" w14:textId="77777777" w:rsidTr="00564572">
        <w:trPr>
          <w:trHeight w:val="300"/>
        </w:trPr>
        <w:tc>
          <w:tcPr>
            <w:tcW w:w="1506" w:type="pct"/>
            <w:tcBorders>
              <w:top w:val="single" w:sz="4" w:space="0" w:color="auto"/>
              <w:left w:val="nil"/>
              <w:bottom w:val="single" w:sz="4" w:space="0" w:color="auto"/>
              <w:right w:val="nil"/>
            </w:tcBorders>
            <w:shd w:val="clear" w:color="auto" w:fill="auto"/>
            <w:noWrap/>
            <w:vAlign w:val="bottom"/>
            <w:hideMark/>
          </w:tcPr>
          <w:p w14:paraId="2341B210"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Total Inversión y Costos ($COP Millones)</w:t>
            </w:r>
          </w:p>
        </w:tc>
        <w:tc>
          <w:tcPr>
            <w:tcW w:w="361" w:type="pct"/>
            <w:tcBorders>
              <w:top w:val="single" w:sz="4" w:space="0" w:color="auto"/>
              <w:left w:val="nil"/>
              <w:bottom w:val="single" w:sz="4" w:space="0" w:color="auto"/>
              <w:right w:val="nil"/>
            </w:tcBorders>
            <w:shd w:val="clear" w:color="auto" w:fill="auto"/>
            <w:noWrap/>
            <w:vAlign w:val="bottom"/>
            <w:hideMark/>
          </w:tcPr>
          <w:p w14:paraId="2341B211"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olor w:val="000000"/>
                <w:sz w:val="15"/>
                <w:szCs w:val="15"/>
                <w:lang w:val="es-ES_tradnl"/>
              </w:rPr>
              <w:t> </w:t>
            </w:r>
          </w:p>
        </w:tc>
        <w:tc>
          <w:tcPr>
            <w:tcW w:w="280" w:type="pct"/>
            <w:tcBorders>
              <w:top w:val="single" w:sz="4" w:space="0" w:color="auto"/>
              <w:left w:val="nil"/>
              <w:bottom w:val="single" w:sz="4" w:space="0" w:color="auto"/>
              <w:right w:val="nil"/>
            </w:tcBorders>
            <w:shd w:val="clear" w:color="auto" w:fill="auto"/>
            <w:noWrap/>
            <w:vAlign w:val="bottom"/>
            <w:hideMark/>
          </w:tcPr>
          <w:p w14:paraId="2341B21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single" w:sz="4" w:space="0" w:color="auto"/>
              <w:left w:val="nil"/>
              <w:bottom w:val="single" w:sz="4" w:space="0" w:color="auto"/>
              <w:right w:val="nil"/>
            </w:tcBorders>
            <w:shd w:val="clear" w:color="auto" w:fill="auto"/>
            <w:noWrap/>
            <w:vAlign w:val="bottom"/>
            <w:hideMark/>
          </w:tcPr>
          <w:p w14:paraId="2341B21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single" w:sz="4" w:space="0" w:color="auto"/>
              <w:left w:val="nil"/>
              <w:bottom w:val="single" w:sz="4" w:space="0" w:color="auto"/>
              <w:right w:val="nil"/>
            </w:tcBorders>
            <w:shd w:val="clear" w:color="auto" w:fill="auto"/>
            <w:noWrap/>
            <w:vAlign w:val="bottom"/>
            <w:hideMark/>
          </w:tcPr>
          <w:p w14:paraId="2341B21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single" w:sz="4" w:space="0" w:color="auto"/>
              <w:left w:val="nil"/>
              <w:bottom w:val="single" w:sz="4" w:space="0" w:color="auto"/>
              <w:right w:val="nil"/>
            </w:tcBorders>
            <w:shd w:val="clear" w:color="auto" w:fill="auto"/>
            <w:noWrap/>
            <w:vAlign w:val="bottom"/>
            <w:hideMark/>
          </w:tcPr>
          <w:p w14:paraId="2341B21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single" w:sz="4" w:space="0" w:color="auto"/>
              <w:left w:val="nil"/>
              <w:bottom w:val="single" w:sz="4" w:space="0" w:color="auto"/>
              <w:right w:val="nil"/>
            </w:tcBorders>
            <w:shd w:val="clear" w:color="auto" w:fill="auto"/>
            <w:noWrap/>
            <w:vAlign w:val="bottom"/>
            <w:hideMark/>
          </w:tcPr>
          <w:p w14:paraId="2341B21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126.989</w:t>
            </w:r>
          </w:p>
        </w:tc>
        <w:tc>
          <w:tcPr>
            <w:tcW w:w="287" w:type="pct"/>
            <w:tcBorders>
              <w:top w:val="single" w:sz="4" w:space="0" w:color="auto"/>
              <w:left w:val="nil"/>
              <w:bottom w:val="single" w:sz="4" w:space="0" w:color="auto"/>
              <w:right w:val="nil"/>
            </w:tcBorders>
            <w:shd w:val="clear" w:color="auto" w:fill="auto"/>
            <w:noWrap/>
            <w:vAlign w:val="bottom"/>
            <w:hideMark/>
          </w:tcPr>
          <w:p w14:paraId="2341B21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2341B21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2341B21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2341B21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80" w:type="pct"/>
            <w:tcBorders>
              <w:top w:val="single" w:sz="4" w:space="0" w:color="auto"/>
              <w:left w:val="nil"/>
              <w:bottom w:val="single" w:sz="4" w:space="0" w:color="auto"/>
              <w:right w:val="nil"/>
            </w:tcBorders>
            <w:shd w:val="clear" w:color="auto" w:fill="auto"/>
            <w:noWrap/>
            <w:vAlign w:val="bottom"/>
            <w:hideMark/>
          </w:tcPr>
          <w:p w14:paraId="2341B21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c>
          <w:tcPr>
            <w:tcW w:w="278" w:type="pct"/>
            <w:tcBorders>
              <w:top w:val="single" w:sz="4" w:space="0" w:color="auto"/>
              <w:left w:val="nil"/>
              <w:bottom w:val="single" w:sz="4" w:space="0" w:color="auto"/>
              <w:right w:val="nil"/>
            </w:tcBorders>
            <w:shd w:val="clear" w:color="auto" w:fill="auto"/>
            <w:noWrap/>
            <w:vAlign w:val="bottom"/>
            <w:hideMark/>
          </w:tcPr>
          <w:p w14:paraId="2341B21C"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0</w:t>
            </w:r>
          </w:p>
        </w:tc>
      </w:tr>
      <w:tr w:rsidR="00CD529B" w:rsidRPr="00EF6E63" w14:paraId="2341B22B" w14:textId="77777777" w:rsidTr="00564572">
        <w:trPr>
          <w:trHeight w:val="300"/>
        </w:trPr>
        <w:tc>
          <w:tcPr>
            <w:tcW w:w="1506" w:type="pct"/>
            <w:tcBorders>
              <w:top w:val="nil"/>
              <w:left w:val="nil"/>
              <w:bottom w:val="single" w:sz="4" w:space="0" w:color="auto"/>
              <w:right w:val="nil"/>
            </w:tcBorders>
            <w:shd w:val="clear" w:color="auto" w:fill="auto"/>
            <w:noWrap/>
            <w:vAlign w:val="bottom"/>
            <w:hideMark/>
          </w:tcPr>
          <w:p w14:paraId="2341B21E" w14:textId="77777777" w:rsidR="00CD529B" w:rsidRPr="00EF6E63" w:rsidRDefault="00CD529B" w:rsidP="00564572">
            <w:pPr>
              <w:rPr>
                <w:rFonts w:ascii="Calibri" w:hAnsi="Calibri" w:cs="Calibri"/>
                <w:b/>
                <w:bCs/>
                <w:color w:val="000000"/>
                <w:sz w:val="15"/>
                <w:szCs w:val="15"/>
                <w:lang w:eastAsia="es-CO"/>
              </w:rPr>
            </w:pPr>
            <w:r w:rsidRPr="00EF6E63">
              <w:rPr>
                <w:rFonts w:ascii="Calibri" w:hAnsi="Calibri" w:cs="Calibri"/>
                <w:b/>
                <w:bCs/>
                <w:color w:val="000000"/>
                <w:sz w:val="15"/>
                <w:szCs w:val="15"/>
                <w:lang w:eastAsia="es-CO"/>
              </w:rPr>
              <w:t>Flujo Neto</w:t>
            </w:r>
          </w:p>
        </w:tc>
        <w:tc>
          <w:tcPr>
            <w:tcW w:w="361" w:type="pct"/>
            <w:tcBorders>
              <w:top w:val="nil"/>
              <w:left w:val="nil"/>
              <w:bottom w:val="single" w:sz="4" w:space="0" w:color="auto"/>
              <w:right w:val="nil"/>
            </w:tcBorders>
            <w:shd w:val="clear" w:color="auto" w:fill="auto"/>
            <w:noWrap/>
            <w:vAlign w:val="bottom"/>
            <w:hideMark/>
          </w:tcPr>
          <w:p w14:paraId="2341B21F" w14:textId="77777777" w:rsidR="00CD529B" w:rsidRPr="00980C81" w:rsidRDefault="00CD529B" w:rsidP="00564572">
            <w:pPr>
              <w:rPr>
                <w:rFonts w:ascii="Calibri" w:hAnsi="Calibri" w:cs="Calibri"/>
                <w:color w:val="000000"/>
                <w:sz w:val="15"/>
                <w:szCs w:val="15"/>
                <w:lang w:eastAsia="es-CO"/>
              </w:rPr>
            </w:pPr>
            <w:r w:rsidRPr="00980C81">
              <w:rPr>
                <w:rFonts w:ascii="Calibri" w:hAnsi="Calibri"/>
                <w:color w:val="000000"/>
                <w:sz w:val="15"/>
                <w:szCs w:val="15"/>
              </w:rPr>
              <w:t> </w:t>
            </w:r>
          </w:p>
        </w:tc>
        <w:tc>
          <w:tcPr>
            <w:tcW w:w="280" w:type="pct"/>
            <w:tcBorders>
              <w:top w:val="nil"/>
              <w:left w:val="nil"/>
              <w:bottom w:val="single" w:sz="4" w:space="0" w:color="auto"/>
              <w:right w:val="nil"/>
            </w:tcBorders>
            <w:shd w:val="clear" w:color="auto" w:fill="auto"/>
            <w:noWrap/>
            <w:vAlign w:val="bottom"/>
            <w:hideMark/>
          </w:tcPr>
          <w:p w14:paraId="2341B220"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-115.716</w:t>
            </w:r>
          </w:p>
        </w:tc>
        <w:tc>
          <w:tcPr>
            <w:tcW w:w="287" w:type="pct"/>
            <w:tcBorders>
              <w:top w:val="nil"/>
              <w:left w:val="nil"/>
              <w:bottom w:val="single" w:sz="4" w:space="0" w:color="auto"/>
              <w:right w:val="nil"/>
            </w:tcBorders>
            <w:shd w:val="clear" w:color="auto" w:fill="auto"/>
            <w:noWrap/>
            <w:vAlign w:val="bottom"/>
            <w:hideMark/>
          </w:tcPr>
          <w:p w14:paraId="2341B221"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-83.580</w:t>
            </w:r>
          </w:p>
        </w:tc>
        <w:tc>
          <w:tcPr>
            <w:tcW w:w="287" w:type="pct"/>
            <w:tcBorders>
              <w:top w:val="nil"/>
              <w:left w:val="nil"/>
              <w:bottom w:val="single" w:sz="4" w:space="0" w:color="auto"/>
              <w:right w:val="nil"/>
            </w:tcBorders>
            <w:shd w:val="clear" w:color="auto" w:fill="auto"/>
            <w:noWrap/>
            <w:vAlign w:val="bottom"/>
            <w:hideMark/>
          </w:tcPr>
          <w:p w14:paraId="2341B222"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-51.444</w:t>
            </w:r>
          </w:p>
        </w:tc>
        <w:tc>
          <w:tcPr>
            <w:tcW w:w="287" w:type="pct"/>
            <w:tcBorders>
              <w:top w:val="nil"/>
              <w:left w:val="nil"/>
              <w:bottom w:val="single" w:sz="4" w:space="0" w:color="auto"/>
              <w:right w:val="nil"/>
            </w:tcBorders>
            <w:shd w:val="clear" w:color="auto" w:fill="auto"/>
            <w:noWrap/>
            <w:vAlign w:val="bottom"/>
            <w:hideMark/>
          </w:tcPr>
          <w:p w14:paraId="2341B223"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750.147</w:t>
            </w:r>
          </w:p>
        </w:tc>
        <w:tc>
          <w:tcPr>
            <w:tcW w:w="287" w:type="pct"/>
            <w:tcBorders>
              <w:top w:val="nil"/>
              <w:left w:val="nil"/>
              <w:bottom w:val="single" w:sz="4" w:space="0" w:color="auto"/>
              <w:right w:val="nil"/>
            </w:tcBorders>
            <w:shd w:val="clear" w:color="auto" w:fill="auto"/>
            <w:noWrap/>
            <w:vAlign w:val="bottom"/>
            <w:hideMark/>
          </w:tcPr>
          <w:p w14:paraId="2341B224"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12.828</w:t>
            </w:r>
          </w:p>
        </w:tc>
        <w:tc>
          <w:tcPr>
            <w:tcW w:w="287" w:type="pct"/>
            <w:tcBorders>
              <w:top w:val="nil"/>
              <w:left w:val="nil"/>
              <w:bottom w:val="single" w:sz="4" w:space="0" w:color="auto"/>
              <w:right w:val="nil"/>
            </w:tcBorders>
            <w:shd w:val="clear" w:color="auto" w:fill="auto"/>
            <w:noWrap/>
            <w:vAlign w:val="bottom"/>
            <w:hideMark/>
          </w:tcPr>
          <w:p w14:paraId="2341B225"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7" w:type="pct"/>
            <w:tcBorders>
              <w:top w:val="nil"/>
              <w:left w:val="nil"/>
              <w:bottom w:val="single" w:sz="4" w:space="0" w:color="auto"/>
              <w:right w:val="nil"/>
            </w:tcBorders>
            <w:shd w:val="clear" w:color="auto" w:fill="auto"/>
            <w:noWrap/>
            <w:vAlign w:val="bottom"/>
            <w:hideMark/>
          </w:tcPr>
          <w:p w14:paraId="2341B226"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7" w:type="pct"/>
            <w:tcBorders>
              <w:top w:val="nil"/>
              <w:left w:val="nil"/>
              <w:bottom w:val="single" w:sz="4" w:space="0" w:color="auto"/>
              <w:right w:val="nil"/>
            </w:tcBorders>
            <w:shd w:val="clear" w:color="auto" w:fill="auto"/>
            <w:noWrap/>
            <w:vAlign w:val="bottom"/>
            <w:hideMark/>
          </w:tcPr>
          <w:p w14:paraId="2341B22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7" w:type="pct"/>
            <w:tcBorders>
              <w:top w:val="nil"/>
              <w:left w:val="nil"/>
              <w:bottom w:val="single" w:sz="4" w:space="0" w:color="auto"/>
              <w:right w:val="nil"/>
            </w:tcBorders>
            <w:shd w:val="clear" w:color="auto" w:fill="auto"/>
            <w:noWrap/>
            <w:vAlign w:val="bottom"/>
            <w:hideMark/>
          </w:tcPr>
          <w:p w14:paraId="2341B22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80" w:type="pct"/>
            <w:tcBorders>
              <w:top w:val="nil"/>
              <w:left w:val="nil"/>
              <w:bottom w:val="single" w:sz="4" w:space="0" w:color="auto"/>
              <w:right w:val="nil"/>
            </w:tcBorders>
            <w:shd w:val="clear" w:color="auto" w:fill="auto"/>
            <w:noWrap/>
            <w:vAlign w:val="bottom"/>
            <w:hideMark/>
          </w:tcPr>
          <w:p w14:paraId="2341B22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160.680</w:t>
            </w:r>
          </w:p>
        </w:tc>
        <w:tc>
          <w:tcPr>
            <w:tcW w:w="278" w:type="pct"/>
            <w:tcBorders>
              <w:top w:val="nil"/>
              <w:left w:val="nil"/>
              <w:bottom w:val="single" w:sz="4" w:space="0" w:color="auto"/>
              <w:right w:val="nil"/>
            </w:tcBorders>
            <w:shd w:val="clear" w:color="auto" w:fill="auto"/>
            <w:noWrap/>
            <w:vAlign w:val="bottom"/>
            <w:hideMark/>
          </w:tcPr>
          <w:p w14:paraId="2341B22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160.680</w:t>
            </w:r>
          </w:p>
        </w:tc>
      </w:tr>
      <w:tr w:rsidR="00CD529B" w:rsidRPr="00EF6E63" w14:paraId="2341B239" w14:textId="77777777" w:rsidTr="00564572">
        <w:trPr>
          <w:trHeight w:val="300"/>
        </w:trPr>
        <w:tc>
          <w:tcPr>
            <w:tcW w:w="1506" w:type="pct"/>
            <w:tcBorders>
              <w:top w:val="nil"/>
              <w:left w:val="nil"/>
              <w:bottom w:val="nil"/>
              <w:right w:val="nil"/>
            </w:tcBorders>
            <w:shd w:val="clear" w:color="auto" w:fill="auto"/>
            <w:noWrap/>
            <w:vAlign w:val="bottom"/>
            <w:hideMark/>
          </w:tcPr>
          <w:p w14:paraId="2341B22C" w14:textId="77777777" w:rsidR="00CD529B" w:rsidRPr="00EF6E63" w:rsidRDefault="00CD529B" w:rsidP="00564572">
            <w:pPr>
              <w:jc w:val="right"/>
              <w:rPr>
                <w:rFonts w:ascii="Calibri" w:hAnsi="Calibri" w:cs="Calibri"/>
                <w:color w:val="000000"/>
                <w:sz w:val="15"/>
                <w:szCs w:val="15"/>
                <w:lang w:eastAsia="es-CO"/>
              </w:rPr>
            </w:pPr>
          </w:p>
        </w:tc>
        <w:tc>
          <w:tcPr>
            <w:tcW w:w="361" w:type="pct"/>
            <w:tcBorders>
              <w:top w:val="nil"/>
              <w:left w:val="nil"/>
              <w:bottom w:val="nil"/>
              <w:right w:val="nil"/>
            </w:tcBorders>
            <w:shd w:val="clear" w:color="auto" w:fill="auto"/>
            <w:noWrap/>
            <w:vAlign w:val="bottom"/>
            <w:hideMark/>
          </w:tcPr>
          <w:p w14:paraId="2341B22D" w14:textId="77777777" w:rsidR="00CD529B" w:rsidRPr="00EF6E63"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22E"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2F"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30"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31"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32"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33"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34"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35"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36" w14:textId="77777777" w:rsidR="00CD529B" w:rsidRPr="00EF6E63"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237" w14:textId="77777777" w:rsidR="00CD529B" w:rsidRPr="00EF6E63" w:rsidRDefault="00CD529B" w:rsidP="00564572">
            <w:pPr>
              <w:rPr>
                <w:sz w:val="15"/>
                <w:szCs w:val="15"/>
                <w:lang w:eastAsia="es-CO"/>
              </w:rPr>
            </w:pPr>
          </w:p>
        </w:tc>
        <w:tc>
          <w:tcPr>
            <w:tcW w:w="278" w:type="pct"/>
            <w:tcBorders>
              <w:top w:val="nil"/>
              <w:left w:val="nil"/>
              <w:bottom w:val="nil"/>
              <w:right w:val="nil"/>
            </w:tcBorders>
            <w:shd w:val="clear" w:color="auto" w:fill="auto"/>
            <w:noWrap/>
            <w:vAlign w:val="bottom"/>
            <w:hideMark/>
          </w:tcPr>
          <w:p w14:paraId="2341B238" w14:textId="77777777" w:rsidR="00CD529B" w:rsidRPr="00EF6E63" w:rsidRDefault="00CD529B" w:rsidP="00564572">
            <w:pPr>
              <w:rPr>
                <w:sz w:val="15"/>
                <w:szCs w:val="15"/>
                <w:lang w:eastAsia="es-CO"/>
              </w:rPr>
            </w:pPr>
          </w:p>
        </w:tc>
      </w:tr>
      <w:tr w:rsidR="00CD529B" w:rsidRPr="00EF6E63" w14:paraId="2341B247" w14:textId="77777777" w:rsidTr="00564572">
        <w:trPr>
          <w:trHeight w:val="300"/>
        </w:trPr>
        <w:tc>
          <w:tcPr>
            <w:tcW w:w="1506" w:type="pct"/>
            <w:tcBorders>
              <w:top w:val="nil"/>
              <w:left w:val="nil"/>
              <w:bottom w:val="nil"/>
              <w:right w:val="nil"/>
            </w:tcBorders>
            <w:shd w:val="clear" w:color="auto" w:fill="auto"/>
            <w:noWrap/>
            <w:vAlign w:val="bottom"/>
            <w:hideMark/>
          </w:tcPr>
          <w:p w14:paraId="2341B23A" w14:textId="77777777" w:rsidR="00CD529B" w:rsidRPr="00EF6E63" w:rsidRDefault="00CD529B" w:rsidP="00564572">
            <w:pPr>
              <w:rPr>
                <w:sz w:val="15"/>
                <w:szCs w:val="15"/>
                <w:lang w:eastAsia="es-CO"/>
              </w:rPr>
            </w:pPr>
          </w:p>
        </w:tc>
        <w:tc>
          <w:tcPr>
            <w:tcW w:w="361" w:type="pct"/>
            <w:tcBorders>
              <w:top w:val="single" w:sz="4" w:space="0" w:color="FFFFFF"/>
              <w:left w:val="nil"/>
              <w:bottom w:val="single" w:sz="4" w:space="0" w:color="auto"/>
              <w:right w:val="single" w:sz="4" w:space="0" w:color="FFFFFF"/>
            </w:tcBorders>
            <w:shd w:val="clear" w:color="000000" w:fill="203764"/>
            <w:noWrap/>
            <w:vAlign w:val="bottom"/>
            <w:hideMark/>
          </w:tcPr>
          <w:p w14:paraId="2341B23B"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Beneficios</w:t>
            </w:r>
          </w:p>
        </w:tc>
        <w:tc>
          <w:tcPr>
            <w:tcW w:w="280" w:type="pct"/>
            <w:tcBorders>
              <w:top w:val="single" w:sz="4" w:space="0" w:color="FFFFFF"/>
              <w:left w:val="nil"/>
              <w:bottom w:val="single" w:sz="4" w:space="0" w:color="auto"/>
              <w:right w:val="single" w:sz="4" w:space="0" w:color="FFFFFF"/>
            </w:tcBorders>
            <w:shd w:val="clear" w:color="000000" w:fill="203764"/>
            <w:noWrap/>
            <w:vAlign w:val="bottom"/>
            <w:hideMark/>
          </w:tcPr>
          <w:p w14:paraId="2341B23C"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Costos</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2341B23D" w14:textId="77777777" w:rsidR="00CD529B" w:rsidRPr="00EF6E63" w:rsidRDefault="00CD529B" w:rsidP="00564572">
            <w:pPr>
              <w:jc w:val="center"/>
              <w:rPr>
                <w:rFonts w:ascii="Calibri" w:hAnsi="Calibri" w:cs="Calibri"/>
                <w:color w:val="FFFFFF"/>
                <w:sz w:val="15"/>
                <w:szCs w:val="15"/>
                <w:lang w:eastAsia="es-CO"/>
              </w:rPr>
            </w:pPr>
            <w:r w:rsidRPr="00EF6E63">
              <w:rPr>
                <w:rFonts w:ascii="Calibri" w:hAnsi="Calibri" w:cs="Calibri"/>
                <w:color w:val="FFFFFF"/>
                <w:sz w:val="15"/>
                <w:szCs w:val="15"/>
                <w:lang w:eastAsia="es-CO"/>
              </w:rPr>
              <w:t>Neto</w:t>
            </w:r>
          </w:p>
        </w:tc>
        <w:tc>
          <w:tcPr>
            <w:tcW w:w="287" w:type="pct"/>
            <w:tcBorders>
              <w:top w:val="nil"/>
              <w:left w:val="nil"/>
              <w:bottom w:val="nil"/>
              <w:right w:val="nil"/>
            </w:tcBorders>
            <w:shd w:val="clear" w:color="auto" w:fill="auto"/>
            <w:noWrap/>
            <w:vAlign w:val="bottom"/>
            <w:hideMark/>
          </w:tcPr>
          <w:p w14:paraId="2341B23E" w14:textId="77777777" w:rsidR="00CD529B" w:rsidRPr="00EF6E63" w:rsidRDefault="00CD529B" w:rsidP="00564572">
            <w:pPr>
              <w:jc w:val="center"/>
              <w:rPr>
                <w:rFonts w:ascii="Calibri" w:hAnsi="Calibri" w:cs="Calibri"/>
                <w:color w:val="FFFFFF"/>
                <w:sz w:val="15"/>
                <w:szCs w:val="15"/>
                <w:lang w:eastAsia="es-CO"/>
              </w:rPr>
            </w:pPr>
          </w:p>
        </w:tc>
        <w:tc>
          <w:tcPr>
            <w:tcW w:w="287" w:type="pct"/>
            <w:tcBorders>
              <w:top w:val="nil"/>
              <w:left w:val="nil"/>
              <w:bottom w:val="nil"/>
              <w:right w:val="nil"/>
            </w:tcBorders>
            <w:shd w:val="clear" w:color="auto" w:fill="auto"/>
            <w:noWrap/>
            <w:vAlign w:val="bottom"/>
            <w:hideMark/>
          </w:tcPr>
          <w:p w14:paraId="2341B23F"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40"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41"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42"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43"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44" w14:textId="77777777" w:rsidR="00CD529B" w:rsidRPr="00EF6E63"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245" w14:textId="77777777" w:rsidR="00CD529B" w:rsidRPr="00EF6E63" w:rsidRDefault="00CD529B" w:rsidP="00564572">
            <w:pPr>
              <w:rPr>
                <w:sz w:val="15"/>
                <w:szCs w:val="15"/>
                <w:lang w:eastAsia="es-CO"/>
              </w:rPr>
            </w:pPr>
          </w:p>
        </w:tc>
        <w:tc>
          <w:tcPr>
            <w:tcW w:w="278" w:type="pct"/>
            <w:tcBorders>
              <w:top w:val="nil"/>
              <w:left w:val="nil"/>
              <w:bottom w:val="nil"/>
              <w:right w:val="nil"/>
            </w:tcBorders>
            <w:shd w:val="clear" w:color="auto" w:fill="auto"/>
            <w:noWrap/>
            <w:vAlign w:val="bottom"/>
            <w:hideMark/>
          </w:tcPr>
          <w:p w14:paraId="2341B246" w14:textId="77777777" w:rsidR="00CD529B" w:rsidRPr="00EF6E63" w:rsidRDefault="00CD529B" w:rsidP="00564572">
            <w:pPr>
              <w:rPr>
                <w:sz w:val="15"/>
                <w:szCs w:val="15"/>
                <w:lang w:eastAsia="es-CO"/>
              </w:rPr>
            </w:pPr>
          </w:p>
        </w:tc>
      </w:tr>
      <w:tr w:rsidR="00CD529B" w:rsidRPr="00EF6E63" w14:paraId="2341B255" w14:textId="77777777" w:rsidTr="00564572">
        <w:trPr>
          <w:trHeight w:val="300"/>
        </w:trPr>
        <w:tc>
          <w:tcPr>
            <w:tcW w:w="1506" w:type="pct"/>
            <w:tcBorders>
              <w:top w:val="single" w:sz="4" w:space="0" w:color="auto"/>
              <w:left w:val="single" w:sz="4" w:space="0" w:color="auto"/>
              <w:bottom w:val="single" w:sz="4" w:space="0" w:color="auto"/>
              <w:right w:val="nil"/>
            </w:tcBorders>
            <w:shd w:val="clear" w:color="000000" w:fill="E2EFDA"/>
            <w:noWrap/>
            <w:vAlign w:val="bottom"/>
            <w:hideMark/>
          </w:tcPr>
          <w:p w14:paraId="2341B248" w14:textId="77777777" w:rsidR="00CD529B" w:rsidRPr="00EF6E63" w:rsidRDefault="00CD529B" w:rsidP="00564572">
            <w:pPr>
              <w:rPr>
                <w:rFonts w:ascii="Calibri" w:hAnsi="Calibri" w:cs="Calibri"/>
                <w:color w:val="000000"/>
                <w:sz w:val="15"/>
                <w:szCs w:val="15"/>
                <w:lang w:eastAsia="es-CO"/>
              </w:rPr>
            </w:pPr>
            <w:r w:rsidRPr="00EF6E63">
              <w:rPr>
                <w:rFonts w:ascii="Calibri" w:hAnsi="Calibri" w:cs="Calibri"/>
                <w:color w:val="000000"/>
                <w:sz w:val="15"/>
                <w:szCs w:val="15"/>
                <w:lang w:eastAsia="es-CO"/>
              </w:rPr>
              <w:t>VPN dic 2016 ($USD Millones)</w:t>
            </w:r>
          </w:p>
        </w:tc>
        <w:tc>
          <w:tcPr>
            <w:tcW w:w="361" w:type="pct"/>
            <w:tcBorders>
              <w:top w:val="nil"/>
              <w:left w:val="nil"/>
              <w:bottom w:val="single" w:sz="4" w:space="0" w:color="auto"/>
              <w:right w:val="single" w:sz="4" w:space="0" w:color="auto"/>
            </w:tcBorders>
            <w:shd w:val="clear" w:color="000000" w:fill="E2EFDA"/>
            <w:noWrap/>
            <w:vAlign w:val="bottom"/>
            <w:hideMark/>
          </w:tcPr>
          <w:p w14:paraId="2341B24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$370</w:t>
            </w:r>
          </w:p>
        </w:tc>
        <w:tc>
          <w:tcPr>
            <w:tcW w:w="280" w:type="pct"/>
            <w:tcBorders>
              <w:top w:val="nil"/>
              <w:left w:val="nil"/>
              <w:bottom w:val="single" w:sz="4" w:space="0" w:color="auto"/>
              <w:right w:val="single" w:sz="4" w:space="0" w:color="auto"/>
            </w:tcBorders>
            <w:shd w:val="clear" w:color="000000" w:fill="E2EFDA"/>
            <w:noWrap/>
            <w:vAlign w:val="bottom"/>
            <w:hideMark/>
          </w:tcPr>
          <w:p w14:paraId="2341B24A"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$153</w:t>
            </w:r>
          </w:p>
        </w:tc>
        <w:tc>
          <w:tcPr>
            <w:tcW w:w="287" w:type="pct"/>
            <w:tcBorders>
              <w:top w:val="nil"/>
              <w:left w:val="nil"/>
              <w:bottom w:val="single" w:sz="4" w:space="0" w:color="auto"/>
              <w:right w:val="single" w:sz="4" w:space="0" w:color="auto"/>
            </w:tcBorders>
            <w:shd w:val="clear" w:color="000000" w:fill="E2EFDA"/>
            <w:noWrap/>
            <w:vAlign w:val="bottom"/>
            <w:hideMark/>
          </w:tcPr>
          <w:p w14:paraId="2341B24B"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$217</w:t>
            </w:r>
          </w:p>
        </w:tc>
        <w:tc>
          <w:tcPr>
            <w:tcW w:w="287" w:type="pct"/>
            <w:tcBorders>
              <w:top w:val="nil"/>
              <w:left w:val="nil"/>
              <w:bottom w:val="nil"/>
              <w:right w:val="nil"/>
            </w:tcBorders>
            <w:shd w:val="clear" w:color="auto" w:fill="auto"/>
            <w:noWrap/>
            <w:vAlign w:val="bottom"/>
            <w:hideMark/>
          </w:tcPr>
          <w:p w14:paraId="2341B24C" w14:textId="77777777" w:rsidR="00CD529B" w:rsidRPr="00EF6E63" w:rsidRDefault="00CD529B" w:rsidP="00564572">
            <w:pPr>
              <w:jc w:val="right"/>
              <w:rPr>
                <w:rFonts w:ascii="Calibri" w:hAnsi="Calibri" w:cs="Calibri"/>
                <w:color w:val="000000"/>
                <w:sz w:val="15"/>
                <w:szCs w:val="15"/>
                <w:lang w:eastAsia="es-CO"/>
              </w:rPr>
            </w:pPr>
          </w:p>
        </w:tc>
        <w:tc>
          <w:tcPr>
            <w:tcW w:w="287" w:type="pct"/>
            <w:tcBorders>
              <w:top w:val="nil"/>
              <w:left w:val="nil"/>
              <w:bottom w:val="nil"/>
              <w:right w:val="nil"/>
            </w:tcBorders>
            <w:shd w:val="clear" w:color="auto" w:fill="auto"/>
            <w:noWrap/>
            <w:vAlign w:val="bottom"/>
            <w:hideMark/>
          </w:tcPr>
          <w:p w14:paraId="2341B24D"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4E"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4F"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50"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51"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52" w14:textId="77777777" w:rsidR="00CD529B" w:rsidRPr="00EF6E63"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253" w14:textId="77777777" w:rsidR="00CD529B" w:rsidRPr="00EF6E63" w:rsidRDefault="00CD529B" w:rsidP="00564572">
            <w:pPr>
              <w:rPr>
                <w:sz w:val="15"/>
                <w:szCs w:val="15"/>
                <w:lang w:eastAsia="es-CO"/>
              </w:rPr>
            </w:pPr>
          </w:p>
        </w:tc>
        <w:tc>
          <w:tcPr>
            <w:tcW w:w="278" w:type="pct"/>
            <w:tcBorders>
              <w:top w:val="nil"/>
              <w:left w:val="nil"/>
              <w:bottom w:val="nil"/>
              <w:right w:val="nil"/>
            </w:tcBorders>
            <w:shd w:val="clear" w:color="auto" w:fill="auto"/>
            <w:noWrap/>
            <w:vAlign w:val="bottom"/>
            <w:hideMark/>
          </w:tcPr>
          <w:p w14:paraId="2341B254" w14:textId="77777777" w:rsidR="00CD529B" w:rsidRPr="00EF6E63" w:rsidRDefault="00CD529B" w:rsidP="00564572">
            <w:pPr>
              <w:rPr>
                <w:sz w:val="15"/>
                <w:szCs w:val="15"/>
                <w:lang w:eastAsia="es-CO"/>
              </w:rPr>
            </w:pPr>
          </w:p>
        </w:tc>
      </w:tr>
      <w:tr w:rsidR="00CD529B" w:rsidRPr="00EF6E63" w14:paraId="2341B263" w14:textId="77777777" w:rsidTr="00564572">
        <w:trPr>
          <w:trHeight w:val="300"/>
        </w:trPr>
        <w:tc>
          <w:tcPr>
            <w:tcW w:w="1506" w:type="pct"/>
            <w:tcBorders>
              <w:top w:val="nil"/>
              <w:left w:val="single" w:sz="4" w:space="0" w:color="auto"/>
              <w:bottom w:val="single" w:sz="4" w:space="0" w:color="auto"/>
              <w:right w:val="nil"/>
            </w:tcBorders>
            <w:shd w:val="clear" w:color="000000" w:fill="E2EFDA"/>
            <w:noWrap/>
            <w:vAlign w:val="bottom"/>
            <w:hideMark/>
          </w:tcPr>
          <w:p w14:paraId="2341B256" w14:textId="77777777" w:rsidR="00CD529B" w:rsidRPr="00EF6E63" w:rsidRDefault="00CD529B" w:rsidP="00564572">
            <w:pPr>
              <w:rPr>
                <w:rFonts w:ascii="Calibri" w:hAnsi="Calibri" w:cs="Calibri"/>
                <w:color w:val="000000"/>
                <w:sz w:val="15"/>
                <w:szCs w:val="15"/>
                <w:lang w:eastAsia="es-CO"/>
              </w:rPr>
            </w:pPr>
            <w:r w:rsidRPr="00EF6E63">
              <w:rPr>
                <w:rFonts w:ascii="Calibri" w:hAnsi="Calibri" w:cs="Calibri"/>
                <w:color w:val="000000"/>
                <w:sz w:val="15"/>
                <w:szCs w:val="15"/>
                <w:lang w:eastAsia="es-CO"/>
              </w:rPr>
              <w:t>VPN dic 2016 ($COP Millones)</w:t>
            </w:r>
          </w:p>
        </w:tc>
        <w:tc>
          <w:tcPr>
            <w:tcW w:w="361" w:type="pct"/>
            <w:tcBorders>
              <w:top w:val="nil"/>
              <w:left w:val="nil"/>
              <w:bottom w:val="single" w:sz="4" w:space="0" w:color="auto"/>
              <w:right w:val="single" w:sz="4" w:space="0" w:color="auto"/>
            </w:tcBorders>
            <w:shd w:val="clear" w:color="000000" w:fill="E2EFDA"/>
            <w:noWrap/>
            <w:vAlign w:val="bottom"/>
            <w:hideMark/>
          </w:tcPr>
          <w:p w14:paraId="2341B257"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$1.110.067</w:t>
            </w:r>
          </w:p>
        </w:tc>
        <w:tc>
          <w:tcPr>
            <w:tcW w:w="280" w:type="pct"/>
            <w:tcBorders>
              <w:top w:val="nil"/>
              <w:left w:val="nil"/>
              <w:bottom w:val="single" w:sz="4" w:space="0" w:color="auto"/>
              <w:right w:val="single" w:sz="4" w:space="0" w:color="auto"/>
            </w:tcBorders>
            <w:shd w:val="clear" w:color="000000" w:fill="E2EFDA"/>
            <w:noWrap/>
            <w:vAlign w:val="bottom"/>
            <w:hideMark/>
          </w:tcPr>
          <w:p w14:paraId="2341B258"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$457.766</w:t>
            </w:r>
          </w:p>
        </w:tc>
        <w:tc>
          <w:tcPr>
            <w:tcW w:w="287" w:type="pct"/>
            <w:tcBorders>
              <w:top w:val="nil"/>
              <w:left w:val="nil"/>
              <w:bottom w:val="single" w:sz="4" w:space="0" w:color="auto"/>
              <w:right w:val="single" w:sz="4" w:space="0" w:color="auto"/>
            </w:tcBorders>
            <w:shd w:val="clear" w:color="000000" w:fill="E2EFDA"/>
            <w:noWrap/>
            <w:vAlign w:val="bottom"/>
            <w:hideMark/>
          </w:tcPr>
          <w:p w14:paraId="2341B259" w14:textId="77777777" w:rsidR="00CD529B" w:rsidRPr="00980C81" w:rsidRDefault="00CD529B" w:rsidP="00564572">
            <w:pPr>
              <w:jc w:val="right"/>
              <w:rPr>
                <w:rFonts w:ascii="Calibri" w:hAnsi="Calibri" w:cs="Calibri"/>
                <w:color w:val="000000"/>
                <w:sz w:val="15"/>
                <w:szCs w:val="15"/>
                <w:lang w:eastAsia="es-CO"/>
              </w:rPr>
            </w:pPr>
            <w:r w:rsidRPr="00980C81">
              <w:rPr>
                <w:rFonts w:ascii="Calibri" w:hAnsi="Calibri"/>
                <w:color w:val="000000"/>
                <w:sz w:val="15"/>
                <w:szCs w:val="15"/>
              </w:rPr>
              <w:t>$652.301</w:t>
            </w:r>
          </w:p>
        </w:tc>
        <w:tc>
          <w:tcPr>
            <w:tcW w:w="287" w:type="pct"/>
            <w:tcBorders>
              <w:top w:val="nil"/>
              <w:left w:val="nil"/>
              <w:bottom w:val="nil"/>
              <w:right w:val="nil"/>
            </w:tcBorders>
            <w:shd w:val="clear" w:color="auto" w:fill="auto"/>
            <w:noWrap/>
            <w:vAlign w:val="bottom"/>
            <w:hideMark/>
          </w:tcPr>
          <w:p w14:paraId="2341B25A" w14:textId="77777777" w:rsidR="00CD529B" w:rsidRPr="00EF6E63" w:rsidRDefault="00CD529B" w:rsidP="00564572">
            <w:pPr>
              <w:jc w:val="right"/>
              <w:rPr>
                <w:rFonts w:ascii="Calibri" w:hAnsi="Calibri" w:cs="Calibri"/>
                <w:color w:val="000000"/>
                <w:sz w:val="15"/>
                <w:szCs w:val="15"/>
                <w:lang w:eastAsia="es-CO"/>
              </w:rPr>
            </w:pPr>
          </w:p>
        </w:tc>
        <w:tc>
          <w:tcPr>
            <w:tcW w:w="287" w:type="pct"/>
            <w:tcBorders>
              <w:top w:val="nil"/>
              <w:left w:val="nil"/>
              <w:bottom w:val="nil"/>
              <w:right w:val="nil"/>
            </w:tcBorders>
            <w:shd w:val="clear" w:color="auto" w:fill="auto"/>
            <w:noWrap/>
            <w:vAlign w:val="bottom"/>
            <w:hideMark/>
          </w:tcPr>
          <w:p w14:paraId="2341B25B"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5C"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5D"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5E"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5F" w14:textId="77777777" w:rsidR="00CD529B" w:rsidRPr="00EF6E63"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260" w14:textId="77777777" w:rsidR="00CD529B" w:rsidRPr="00EF6E63"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261" w14:textId="77777777" w:rsidR="00CD529B" w:rsidRPr="00EF6E63" w:rsidRDefault="00CD529B" w:rsidP="00564572">
            <w:pPr>
              <w:rPr>
                <w:sz w:val="15"/>
                <w:szCs w:val="15"/>
                <w:lang w:eastAsia="es-CO"/>
              </w:rPr>
            </w:pPr>
          </w:p>
        </w:tc>
        <w:tc>
          <w:tcPr>
            <w:tcW w:w="278" w:type="pct"/>
            <w:tcBorders>
              <w:top w:val="nil"/>
              <w:left w:val="nil"/>
              <w:bottom w:val="nil"/>
              <w:right w:val="nil"/>
            </w:tcBorders>
            <w:shd w:val="clear" w:color="auto" w:fill="auto"/>
            <w:noWrap/>
            <w:vAlign w:val="bottom"/>
            <w:hideMark/>
          </w:tcPr>
          <w:p w14:paraId="2341B262" w14:textId="77777777" w:rsidR="00CD529B" w:rsidRPr="00EF6E63" w:rsidRDefault="00CD529B" w:rsidP="00564572">
            <w:pPr>
              <w:rPr>
                <w:sz w:val="15"/>
                <w:szCs w:val="15"/>
                <w:lang w:eastAsia="es-CO"/>
              </w:rPr>
            </w:pPr>
          </w:p>
        </w:tc>
      </w:tr>
    </w:tbl>
    <w:p w14:paraId="2341B264" w14:textId="77777777" w:rsidR="00CD529B" w:rsidRDefault="00CD529B" w:rsidP="00564572"/>
    <w:p w14:paraId="2341B265" w14:textId="77777777" w:rsidR="00CD529B" w:rsidRDefault="00CD529B" w:rsidP="00564572">
      <w:pPr>
        <w:spacing w:after="160" w:line="259" w:lineRule="auto"/>
      </w:pPr>
      <w:r>
        <w:br w:type="page"/>
      </w:r>
    </w:p>
    <w:p w14:paraId="2341B266" w14:textId="77777777" w:rsidR="00CD529B" w:rsidRPr="00CD529B" w:rsidRDefault="00CD529B" w:rsidP="00564572">
      <w:pPr>
        <w:ind w:left="720"/>
        <w:jc w:val="center"/>
        <w:rPr>
          <w:b/>
          <w:lang w:val="es-ES_tradnl"/>
        </w:rPr>
      </w:pPr>
      <w:bookmarkStart w:id="123" w:name="_Toc473268566"/>
      <w:bookmarkStart w:id="124" w:name="_Toc474797072"/>
      <w:r w:rsidRPr="00CD529B">
        <w:rPr>
          <w:b/>
          <w:lang w:val="es-ES_tradnl"/>
        </w:rPr>
        <w:lastRenderedPageBreak/>
        <w:t xml:space="preserve">Tabla </w:t>
      </w:r>
      <w:r w:rsidRPr="008C12BC">
        <w:rPr>
          <w:b/>
        </w:rPr>
        <w:fldChar w:fldCharType="begin"/>
      </w:r>
      <w:r w:rsidRPr="00CD529B">
        <w:rPr>
          <w:b/>
          <w:lang w:val="es-ES_tradnl"/>
        </w:rPr>
        <w:instrText xml:space="preserve"> SEQ Tabla \* ARABIC </w:instrText>
      </w:r>
      <w:r w:rsidRPr="008C12BC">
        <w:rPr>
          <w:b/>
        </w:rPr>
        <w:fldChar w:fldCharType="separate"/>
      </w:r>
      <w:r w:rsidRPr="00CD529B">
        <w:rPr>
          <w:b/>
          <w:noProof/>
          <w:lang w:val="es-ES_tradnl"/>
        </w:rPr>
        <w:t>18</w:t>
      </w:r>
      <w:r w:rsidRPr="008C12BC">
        <w:rPr>
          <w:b/>
        </w:rPr>
        <w:fldChar w:fldCharType="end"/>
      </w:r>
      <w:r w:rsidRPr="00CD529B">
        <w:rPr>
          <w:b/>
          <w:lang w:val="es-ES_tradnl"/>
        </w:rPr>
        <w:t xml:space="preserve"> – Proyecciones para la medida de sustitución equipos de climatización (Sector Comercial)</w:t>
      </w:r>
      <w:bookmarkEnd w:id="123"/>
      <w:bookmarkEnd w:id="124"/>
    </w:p>
    <w:tbl>
      <w:tblPr>
        <w:tblW w:w="5000" w:type="pct"/>
        <w:tblCellMar>
          <w:left w:w="70" w:type="dxa"/>
          <w:right w:w="70" w:type="dxa"/>
        </w:tblCellMar>
        <w:tblLook w:val="04A0" w:firstRow="1" w:lastRow="0" w:firstColumn="1" w:lastColumn="0" w:noHBand="0" w:noVBand="1"/>
      </w:tblPr>
      <w:tblGrid>
        <w:gridCol w:w="2678"/>
        <w:gridCol w:w="589"/>
        <w:gridCol w:w="515"/>
        <w:gridCol w:w="590"/>
        <w:gridCol w:w="466"/>
        <w:gridCol w:w="540"/>
        <w:gridCol w:w="466"/>
        <w:gridCol w:w="466"/>
        <w:gridCol w:w="466"/>
        <w:gridCol w:w="466"/>
        <w:gridCol w:w="466"/>
        <w:gridCol w:w="466"/>
        <w:gridCol w:w="466"/>
      </w:tblGrid>
      <w:tr w:rsidR="00CD529B" w:rsidRPr="0059560B" w14:paraId="2341B274" w14:textId="77777777" w:rsidTr="00564572">
        <w:trPr>
          <w:trHeight w:val="262"/>
        </w:trPr>
        <w:tc>
          <w:tcPr>
            <w:tcW w:w="1641" w:type="pct"/>
            <w:tcBorders>
              <w:top w:val="single" w:sz="4" w:space="0" w:color="000000"/>
              <w:left w:val="nil"/>
              <w:bottom w:val="nil"/>
              <w:right w:val="nil"/>
            </w:tcBorders>
            <w:shd w:val="clear" w:color="auto" w:fill="auto"/>
            <w:noWrap/>
            <w:vAlign w:val="bottom"/>
            <w:hideMark/>
          </w:tcPr>
          <w:p w14:paraId="2341B267"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de un Equipo chiller refrigerado por aire  Gwh/Año</w:t>
            </w:r>
          </w:p>
        </w:tc>
        <w:tc>
          <w:tcPr>
            <w:tcW w:w="338" w:type="pct"/>
            <w:tcBorders>
              <w:top w:val="single" w:sz="4" w:space="0" w:color="000000"/>
              <w:left w:val="nil"/>
              <w:bottom w:val="nil"/>
              <w:right w:val="nil"/>
            </w:tcBorders>
            <w:shd w:val="clear" w:color="auto" w:fill="auto"/>
            <w:noWrap/>
            <w:vAlign w:val="bottom"/>
            <w:hideMark/>
          </w:tcPr>
          <w:p w14:paraId="2341B268" w14:textId="77777777" w:rsidR="00CD529B" w:rsidRPr="0059560B" w:rsidRDefault="00CD529B" w:rsidP="00564572">
            <w:pPr>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0,0359610</w:t>
            </w:r>
          </w:p>
        </w:tc>
        <w:tc>
          <w:tcPr>
            <w:tcW w:w="292" w:type="pct"/>
            <w:tcBorders>
              <w:top w:val="nil"/>
              <w:left w:val="nil"/>
              <w:bottom w:val="nil"/>
              <w:right w:val="nil"/>
            </w:tcBorders>
            <w:shd w:val="clear" w:color="auto" w:fill="auto"/>
            <w:noWrap/>
            <w:vAlign w:val="bottom"/>
            <w:hideMark/>
          </w:tcPr>
          <w:p w14:paraId="2341B269" w14:textId="77777777" w:rsidR="00CD529B" w:rsidRPr="0059560B" w:rsidRDefault="00CD529B" w:rsidP="00564572">
            <w:pPr>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2341B26A"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6B" w14:textId="77777777" w:rsidR="00CD529B" w:rsidRPr="0059560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26C"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6D"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6E"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6F"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70"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71"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72"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273" w14:textId="77777777" w:rsidR="00CD529B" w:rsidRPr="0059560B" w:rsidRDefault="00CD529B" w:rsidP="00564572">
            <w:pPr>
              <w:rPr>
                <w:sz w:val="15"/>
                <w:szCs w:val="15"/>
                <w:lang w:eastAsia="es-CO"/>
              </w:rPr>
            </w:pPr>
          </w:p>
        </w:tc>
      </w:tr>
      <w:tr w:rsidR="00CD529B" w:rsidRPr="0059560B" w14:paraId="2341B282" w14:textId="77777777" w:rsidTr="00564572">
        <w:trPr>
          <w:trHeight w:val="262"/>
        </w:trPr>
        <w:tc>
          <w:tcPr>
            <w:tcW w:w="1641" w:type="pct"/>
            <w:tcBorders>
              <w:top w:val="nil"/>
              <w:left w:val="nil"/>
              <w:bottom w:val="nil"/>
              <w:right w:val="nil"/>
            </w:tcBorders>
            <w:shd w:val="clear" w:color="auto" w:fill="auto"/>
            <w:noWrap/>
            <w:vAlign w:val="bottom"/>
            <w:hideMark/>
          </w:tcPr>
          <w:p w14:paraId="2341B275"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de un Equipo chiller refrigerados por agua Gwh/Año</w:t>
            </w:r>
          </w:p>
        </w:tc>
        <w:tc>
          <w:tcPr>
            <w:tcW w:w="338" w:type="pct"/>
            <w:tcBorders>
              <w:top w:val="nil"/>
              <w:left w:val="nil"/>
              <w:bottom w:val="nil"/>
              <w:right w:val="nil"/>
            </w:tcBorders>
            <w:shd w:val="clear" w:color="auto" w:fill="auto"/>
            <w:noWrap/>
            <w:vAlign w:val="bottom"/>
            <w:hideMark/>
          </w:tcPr>
          <w:p w14:paraId="2341B276" w14:textId="77777777" w:rsidR="00CD529B" w:rsidRPr="0059560B" w:rsidRDefault="00CD529B" w:rsidP="00564572">
            <w:pPr>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0,4327120</w:t>
            </w:r>
          </w:p>
        </w:tc>
        <w:tc>
          <w:tcPr>
            <w:tcW w:w="292" w:type="pct"/>
            <w:tcBorders>
              <w:top w:val="nil"/>
              <w:left w:val="nil"/>
              <w:bottom w:val="nil"/>
              <w:right w:val="nil"/>
            </w:tcBorders>
            <w:shd w:val="clear" w:color="auto" w:fill="auto"/>
            <w:noWrap/>
            <w:vAlign w:val="bottom"/>
            <w:hideMark/>
          </w:tcPr>
          <w:p w14:paraId="2341B277" w14:textId="77777777" w:rsidR="00CD529B" w:rsidRPr="0059560B" w:rsidRDefault="00CD529B" w:rsidP="00564572">
            <w:pPr>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2341B278"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79" w14:textId="77777777" w:rsidR="00CD529B" w:rsidRPr="0059560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27A"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7B"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7C"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7D"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7E"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7F"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80"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281" w14:textId="77777777" w:rsidR="00CD529B" w:rsidRPr="0059560B" w:rsidRDefault="00CD529B" w:rsidP="00564572">
            <w:pPr>
              <w:rPr>
                <w:sz w:val="15"/>
                <w:szCs w:val="15"/>
                <w:lang w:eastAsia="es-CO"/>
              </w:rPr>
            </w:pPr>
          </w:p>
        </w:tc>
      </w:tr>
      <w:tr w:rsidR="00CD529B" w:rsidRPr="0059560B" w14:paraId="2341B290" w14:textId="77777777" w:rsidTr="00564572">
        <w:trPr>
          <w:trHeight w:val="262"/>
        </w:trPr>
        <w:tc>
          <w:tcPr>
            <w:tcW w:w="1641" w:type="pct"/>
            <w:tcBorders>
              <w:top w:val="nil"/>
              <w:left w:val="nil"/>
              <w:bottom w:val="single" w:sz="4" w:space="0" w:color="000000"/>
              <w:right w:val="nil"/>
            </w:tcBorders>
            <w:shd w:val="clear" w:color="auto" w:fill="auto"/>
            <w:noWrap/>
            <w:vAlign w:val="bottom"/>
            <w:hideMark/>
          </w:tcPr>
          <w:p w14:paraId="2341B283"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de un Equipo individual tipo Mini Split Gwh/Año</w:t>
            </w:r>
          </w:p>
        </w:tc>
        <w:tc>
          <w:tcPr>
            <w:tcW w:w="338" w:type="pct"/>
            <w:tcBorders>
              <w:top w:val="nil"/>
              <w:left w:val="nil"/>
              <w:bottom w:val="single" w:sz="4" w:space="0" w:color="000000"/>
              <w:right w:val="nil"/>
            </w:tcBorders>
            <w:shd w:val="clear" w:color="auto" w:fill="auto"/>
            <w:noWrap/>
            <w:vAlign w:val="bottom"/>
            <w:hideMark/>
          </w:tcPr>
          <w:p w14:paraId="2341B284" w14:textId="77777777" w:rsidR="00CD529B" w:rsidRPr="0059560B" w:rsidRDefault="00CD529B" w:rsidP="00564572">
            <w:pPr>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0,0048260</w:t>
            </w:r>
          </w:p>
        </w:tc>
        <w:tc>
          <w:tcPr>
            <w:tcW w:w="292" w:type="pct"/>
            <w:tcBorders>
              <w:top w:val="nil"/>
              <w:left w:val="nil"/>
              <w:bottom w:val="nil"/>
              <w:right w:val="nil"/>
            </w:tcBorders>
            <w:shd w:val="clear" w:color="auto" w:fill="auto"/>
            <w:noWrap/>
            <w:vAlign w:val="bottom"/>
            <w:hideMark/>
          </w:tcPr>
          <w:p w14:paraId="2341B285" w14:textId="77777777" w:rsidR="00CD529B" w:rsidRPr="0059560B" w:rsidRDefault="00CD529B" w:rsidP="00564572">
            <w:pPr>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2341B286"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87" w14:textId="77777777" w:rsidR="00CD529B" w:rsidRPr="0059560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288"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89"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8A"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8B"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8C"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8D"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8E"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28F" w14:textId="77777777" w:rsidR="00CD529B" w:rsidRPr="0059560B" w:rsidRDefault="00CD529B" w:rsidP="00564572">
            <w:pPr>
              <w:rPr>
                <w:sz w:val="15"/>
                <w:szCs w:val="15"/>
                <w:lang w:eastAsia="es-CO"/>
              </w:rPr>
            </w:pPr>
          </w:p>
        </w:tc>
      </w:tr>
      <w:tr w:rsidR="00CD529B" w:rsidRPr="0059560B" w14:paraId="2341B29E" w14:textId="77777777" w:rsidTr="00564572">
        <w:trPr>
          <w:trHeight w:val="262"/>
        </w:trPr>
        <w:tc>
          <w:tcPr>
            <w:tcW w:w="1641" w:type="pct"/>
            <w:tcBorders>
              <w:top w:val="nil"/>
              <w:left w:val="nil"/>
              <w:bottom w:val="nil"/>
              <w:right w:val="nil"/>
            </w:tcBorders>
            <w:shd w:val="clear" w:color="auto" w:fill="auto"/>
            <w:noWrap/>
            <w:vAlign w:val="bottom"/>
            <w:hideMark/>
          </w:tcPr>
          <w:p w14:paraId="2341B291"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Potencial de ahorro por cambio de chiller por aire</w:t>
            </w:r>
          </w:p>
        </w:tc>
        <w:tc>
          <w:tcPr>
            <w:tcW w:w="338" w:type="pct"/>
            <w:tcBorders>
              <w:top w:val="nil"/>
              <w:left w:val="nil"/>
              <w:bottom w:val="nil"/>
              <w:right w:val="nil"/>
            </w:tcBorders>
            <w:shd w:val="clear" w:color="auto" w:fill="auto"/>
            <w:noWrap/>
            <w:vAlign w:val="bottom"/>
            <w:hideMark/>
          </w:tcPr>
          <w:p w14:paraId="2341B292" w14:textId="77777777" w:rsidR="00CD529B" w:rsidRPr="0059560B" w:rsidRDefault="00CD529B" w:rsidP="00564572">
            <w:pPr>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30,8%</w:t>
            </w:r>
          </w:p>
        </w:tc>
        <w:tc>
          <w:tcPr>
            <w:tcW w:w="292" w:type="pct"/>
            <w:tcBorders>
              <w:top w:val="nil"/>
              <w:left w:val="nil"/>
              <w:bottom w:val="nil"/>
              <w:right w:val="nil"/>
            </w:tcBorders>
            <w:shd w:val="clear" w:color="auto" w:fill="auto"/>
            <w:noWrap/>
            <w:vAlign w:val="bottom"/>
            <w:hideMark/>
          </w:tcPr>
          <w:p w14:paraId="2341B293" w14:textId="77777777" w:rsidR="00CD529B" w:rsidRPr="0059560B" w:rsidRDefault="00CD529B" w:rsidP="00564572">
            <w:pPr>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2341B294"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95" w14:textId="77777777" w:rsidR="00CD529B" w:rsidRPr="0059560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296"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97"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98"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99"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9A"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9B"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9C"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29D" w14:textId="77777777" w:rsidR="00CD529B" w:rsidRPr="0059560B" w:rsidRDefault="00CD529B" w:rsidP="00564572">
            <w:pPr>
              <w:rPr>
                <w:sz w:val="15"/>
                <w:szCs w:val="15"/>
                <w:lang w:eastAsia="es-CO"/>
              </w:rPr>
            </w:pPr>
          </w:p>
        </w:tc>
      </w:tr>
      <w:tr w:rsidR="00CD529B" w:rsidRPr="0059560B" w14:paraId="2341B2AC" w14:textId="77777777" w:rsidTr="00564572">
        <w:trPr>
          <w:trHeight w:val="262"/>
        </w:trPr>
        <w:tc>
          <w:tcPr>
            <w:tcW w:w="1641" w:type="pct"/>
            <w:tcBorders>
              <w:top w:val="nil"/>
              <w:left w:val="nil"/>
              <w:bottom w:val="nil"/>
              <w:right w:val="nil"/>
            </w:tcBorders>
            <w:shd w:val="clear" w:color="auto" w:fill="auto"/>
            <w:noWrap/>
            <w:vAlign w:val="bottom"/>
            <w:hideMark/>
          </w:tcPr>
          <w:p w14:paraId="2341B29F"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Potencial de ahorro por cambio de chiller por agua</w:t>
            </w:r>
          </w:p>
        </w:tc>
        <w:tc>
          <w:tcPr>
            <w:tcW w:w="338" w:type="pct"/>
            <w:tcBorders>
              <w:top w:val="nil"/>
              <w:left w:val="nil"/>
              <w:bottom w:val="nil"/>
              <w:right w:val="nil"/>
            </w:tcBorders>
            <w:shd w:val="clear" w:color="auto" w:fill="auto"/>
            <w:noWrap/>
            <w:vAlign w:val="bottom"/>
            <w:hideMark/>
          </w:tcPr>
          <w:p w14:paraId="2341B2A0" w14:textId="77777777" w:rsidR="00CD529B" w:rsidRPr="0059560B" w:rsidRDefault="00CD529B" w:rsidP="00564572">
            <w:pPr>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40,0%</w:t>
            </w:r>
          </w:p>
        </w:tc>
        <w:tc>
          <w:tcPr>
            <w:tcW w:w="292" w:type="pct"/>
            <w:tcBorders>
              <w:top w:val="nil"/>
              <w:left w:val="nil"/>
              <w:bottom w:val="nil"/>
              <w:right w:val="nil"/>
            </w:tcBorders>
            <w:shd w:val="clear" w:color="auto" w:fill="auto"/>
            <w:noWrap/>
            <w:vAlign w:val="bottom"/>
            <w:hideMark/>
          </w:tcPr>
          <w:p w14:paraId="2341B2A1" w14:textId="77777777" w:rsidR="00CD529B" w:rsidRPr="0059560B" w:rsidRDefault="00CD529B" w:rsidP="00564572">
            <w:pPr>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2341B2A2"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A3" w14:textId="77777777" w:rsidR="00CD529B" w:rsidRPr="0059560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2A4"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A5"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A6"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A7"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A8"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A9"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AA"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2AB" w14:textId="77777777" w:rsidR="00CD529B" w:rsidRPr="0059560B" w:rsidRDefault="00CD529B" w:rsidP="00564572">
            <w:pPr>
              <w:rPr>
                <w:sz w:val="15"/>
                <w:szCs w:val="15"/>
                <w:lang w:eastAsia="es-CO"/>
              </w:rPr>
            </w:pPr>
          </w:p>
        </w:tc>
      </w:tr>
      <w:tr w:rsidR="00CD529B" w:rsidRPr="0059560B" w14:paraId="2341B2BA" w14:textId="77777777" w:rsidTr="00564572">
        <w:trPr>
          <w:trHeight w:val="262"/>
        </w:trPr>
        <w:tc>
          <w:tcPr>
            <w:tcW w:w="1641" w:type="pct"/>
            <w:tcBorders>
              <w:top w:val="nil"/>
              <w:left w:val="nil"/>
              <w:bottom w:val="single" w:sz="4" w:space="0" w:color="000000"/>
              <w:right w:val="nil"/>
            </w:tcBorders>
            <w:shd w:val="clear" w:color="auto" w:fill="auto"/>
            <w:noWrap/>
            <w:vAlign w:val="bottom"/>
            <w:hideMark/>
          </w:tcPr>
          <w:p w14:paraId="2341B2AD"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Potencial de ahorro por cambio de Mini Split</w:t>
            </w:r>
          </w:p>
        </w:tc>
        <w:tc>
          <w:tcPr>
            <w:tcW w:w="338" w:type="pct"/>
            <w:tcBorders>
              <w:top w:val="nil"/>
              <w:left w:val="nil"/>
              <w:bottom w:val="single" w:sz="4" w:space="0" w:color="000000"/>
              <w:right w:val="nil"/>
            </w:tcBorders>
            <w:shd w:val="clear" w:color="auto" w:fill="auto"/>
            <w:noWrap/>
            <w:vAlign w:val="bottom"/>
            <w:hideMark/>
          </w:tcPr>
          <w:p w14:paraId="2341B2AE" w14:textId="77777777" w:rsidR="00CD529B" w:rsidRPr="0059560B" w:rsidRDefault="00CD529B" w:rsidP="00564572">
            <w:pPr>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32,9%</w:t>
            </w:r>
          </w:p>
        </w:tc>
        <w:tc>
          <w:tcPr>
            <w:tcW w:w="292" w:type="pct"/>
            <w:tcBorders>
              <w:top w:val="nil"/>
              <w:left w:val="nil"/>
              <w:bottom w:val="nil"/>
              <w:right w:val="nil"/>
            </w:tcBorders>
            <w:shd w:val="clear" w:color="auto" w:fill="auto"/>
            <w:noWrap/>
            <w:vAlign w:val="bottom"/>
            <w:hideMark/>
          </w:tcPr>
          <w:p w14:paraId="2341B2AF" w14:textId="77777777" w:rsidR="00CD529B" w:rsidRPr="0059560B" w:rsidRDefault="00CD529B" w:rsidP="00564572">
            <w:pPr>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2341B2B0"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B1" w14:textId="77777777" w:rsidR="00CD529B" w:rsidRPr="0059560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2B2"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B3"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B4"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B5"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B6"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B7"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B8"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2B9" w14:textId="77777777" w:rsidR="00CD529B" w:rsidRPr="0059560B" w:rsidRDefault="00CD529B" w:rsidP="00564572">
            <w:pPr>
              <w:rPr>
                <w:sz w:val="15"/>
                <w:szCs w:val="15"/>
                <w:lang w:eastAsia="es-CO"/>
              </w:rPr>
            </w:pPr>
          </w:p>
        </w:tc>
      </w:tr>
      <w:tr w:rsidR="00CD529B" w:rsidRPr="0059560B" w14:paraId="2341B2C8" w14:textId="77777777" w:rsidTr="00564572">
        <w:trPr>
          <w:trHeight w:val="262"/>
        </w:trPr>
        <w:tc>
          <w:tcPr>
            <w:tcW w:w="1641" w:type="pct"/>
            <w:tcBorders>
              <w:top w:val="nil"/>
              <w:left w:val="nil"/>
              <w:bottom w:val="nil"/>
              <w:right w:val="nil"/>
            </w:tcBorders>
            <w:shd w:val="clear" w:color="auto" w:fill="auto"/>
            <w:noWrap/>
            <w:vAlign w:val="bottom"/>
            <w:hideMark/>
          </w:tcPr>
          <w:p w14:paraId="2341B2BB"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Costo chiller por aire eficiente ($COP) (2015)</w:t>
            </w:r>
          </w:p>
        </w:tc>
        <w:tc>
          <w:tcPr>
            <w:tcW w:w="338" w:type="pct"/>
            <w:tcBorders>
              <w:top w:val="nil"/>
              <w:left w:val="nil"/>
              <w:bottom w:val="nil"/>
              <w:right w:val="nil"/>
            </w:tcBorders>
            <w:shd w:val="clear" w:color="auto" w:fill="auto"/>
            <w:noWrap/>
            <w:vAlign w:val="bottom"/>
            <w:hideMark/>
          </w:tcPr>
          <w:p w14:paraId="2341B2BC" w14:textId="77777777" w:rsidR="00CD529B" w:rsidRPr="0059560B" w:rsidRDefault="00CD529B" w:rsidP="00564572">
            <w:pPr>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37.018.631</w:t>
            </w:r>
          </w:p>
        </w:tc>
        <w:tc>
          <w:tcPr>
            <w:tcW w:w="292" w:type="pct"/>
            <w:tcBorders>
              <w:top w:val="nil"/>
              <w:left w:val="nil"/>
              <w:bottom w:val="nil"/>
              <w:right w:val="nil"/>
            </w:tcBorders>
            <w:shd w:val="clear" w:color="auto" w:fill="auto"/>
            <w:noWrap/>
            <w:vAlign w:val="bottom"/>
            <w:hideMark/>
          </w:tcPr>
          <w:p w14:paraId="2341B2BD" w14:textId="77777777" w:rsidR="00CD529B" w:rsidRPr="0059560B" w:rsidRDefault="00CD529B" w:rsidP="00564572">
            <w:pPr>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2341B2BE"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BF" w14:textId="77777777" w:rsidR="00CD529B" w:rsidRPr="0059560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2C0"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C1"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C2"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C3"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C4"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C5"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C6"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2C7" w14:textId="77777777" w:rsidR="00CD529B" w:rsidRPr="0059560B" w:rsidRDefault="00CD529B" w:rsidP="00564572">
            <w:pPr>
              <w:rPr>
                <w:sz w:val="15"/>
                <w:szCs w:val="15"/>
                <w:lang w:eastAsia="es-CO"/>
              </w:rPr>
            </w:pPr>
          </w:p>
        </w:tc>
      </w:tr>
      <w:tr w:rsidR="00CD529B" w:rsidRPr="0059560B" w14:paraId="2341B2D6" w14:textId="77777777" w:rsidTr="00564572">
        <w:trPr>
          <w:trHeight w:val="262"/>
        </w:trPr>
        <w:tc>
          <w:tcPr>
            <w:tcW w:w="1641" w:type="pct"/>
            <w:tcBorders>
              <w:top w:val="nil"/>
              <w:left w:val="nil"/>
              <w:bottom w:val="nil"/>
              <w:right w:val="nil"/>
            </w:tcBorders>
            <w:shd w:val="clear" w:color="auto" w:fill="auto"/>
            <w:noWrap/>
            <w:vAlign w:val="bottom"/>
            <w:hideMark/>
          </w:tcPr>
          <w:p w14:paraId="2341B2C9"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Costo chiller por agua eficiente ($COP) (2015)</w:t>
            </w:r>
          </w:p>
        </w:tc>
        <w:tc>
          <w:tcPr>
            <w:tcW w:w="338" w:type="pct"/>
            <w:tcBorders>
              <w:top w:val="nil"/>
              <w:left w:val="nil"/>
              <w:bottom w:val="nil"/>
              <w:right w:val="nil"/>
            </w:tcBorders>
            <w:shd w:val="clear" w:color="auto" w:fill="auto"/>
            <w:noWrap/>
            <w:vAlign w:val="bottom"/>
            <w:hideMark/>
          </w:tcPr>
          <w:p w14:paraId="2341B2CA" w14:textId="77777777" w:rsidR="00CD529B" w:rsidRPr="0059560B" w:rsidRDefault="00CD529B" w:rsidP="00564572">
            <w:pPr>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97.783.937</w:t>
            </w:r>
          </w:p>
        </w:tc>
        <w:tc>
          <w:tcPr>
            <w:tcW w:w="292" w:type="pct"/>
            <w:tcBorders>
              <w:top w:val="nil"/>
              <w:left w:val="nil"/>
              <w:bottom w:val="nil"/>
              <w:right w:val="nil"/>
            </w:tcBorders>
            <w:shd w:val="clear" w:color="auto" w:fill="auto"/>
            <w:noWrap/>
            <w:vAlign w:val="bottom"/>
            <w:hideMark/>
          </w:tcPr>
          <w:p w14:paraId="2341B2CB" w14:textId="77777777" w:rsidR="00CD529B" w:rsidRPr="0059560B" w:rsidRDefault="00CD529B" w:rsidP="00564572">
            <w:pPr>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2341B2CC"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CD" w14:textId="77777777" w:rsidR="00CD529B" w:rsidRPr="0059560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2CE"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CF"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D0"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D1"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D2"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D3"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D4"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2D5" w14:textId="77777777" w:rsidR="00CD529B" w:rsidRPr="0059560B" w:rsidRDefault="00CD529B" w:rsidP="00564572">
            <w:pPr>
              <w:rPr>
                <w:sz w:val="15"/>
                <w:szCs w:val="15"/>
                <w:lang w:eastAsia="es-CO"/>
              </w:rPr>
            </w:pPr>
          </w:p>
        </w:tc>
      </w:tr>
      <w:tr w:rsidR="00CD529B" w:rsidRPr="0059560B" w14:paraId="2341B2E4" w14:textId="77777777" w:rsidTr="00564572">
        <w:trPr>
          <w:trHeight w:val="262"/>
        </w:trPr>
        <w:tc>
          <w:tcPr>
            <w:tcW w:w="1641" w:type="pct"/>
            <w:tcBorders>
              <w:top w:val="nil"/>
              <w:left w:val="nil"/>
              <w:bottom w:val="single" w:sz="4" w:space="0" w:color="000000"/>
              <w:right w:val="nil"/>
            </w:tcBorders>
            <w:shd w:val="clear" w:color="auto" w:fill="auto"/>
            <w:noWrap/>
            <w:vAlign w:val="bottom"/>
            <w:hideMark/>
          </w:tcPr>
          <w:p w14:paraId="2341B2D7"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Costo Mini Split eficiente ($COP) (2015)</w:t>
            </w:r>
          </w:p>
        </w:tc>
        <w:tc>
          <w:tcPr>
            <w:tcW w:w="338" w:type="pct"/>
            <w:tcBorders>
              <w:top w:val="nil"/>
              <w:left w:val="nil"/>
              <w:bottom w:val="single" w:sz="4" w:space="0" w:color="000000"/>
              <w:right w:val="nil"/>
            </w:tcBorders>
            <w:shd w:val="clear" w:color="auto" w:fill="auto"/>
            <w:noWrap/>
            <w:vAlign w:val="bottom"/>
            <w:hideMark/>
          </w:tcPr>
          <w:p w14:paraId="2341B2D8" w14:textId="77777777" w:rsidR="00CD529B" w:rsidRPr="0059560B" w:rsidRDefault="00CD529B" w:rsidP="00564572">
            <w:pPr>
              <w:jc w:val="right"/>
              <w:rPr>
                <w:rFonts w:ascii="Calibri" w:hAnsi="Calibri" w:cs="Calibri"/>
                <w:color w:val="0000FF"/>
                <w:sz w:val="15"/>
                <w:szCs w:val="15"/>
                <w:lang w:eastAsia="es-CO"/>
              </w:rPr>
            </w:pPr>
            <w:r w:rsidRPr="0059560B">
              <w:rPr>
                <w:rFonts w:ascii="Calibri" w:hAnsi="Calibri" w:cs="Calibri"/>
                <w:color w:val="0000FF"/>
                <w:sz w:val="15"/>
                <w:szCs w:val="15"/>
                <w:lang w:eastAsia="es-CO"/>
              </w:rPr>
              <w:t>912.289</w:t>
            </w:r>
          </w:p>
        </w:tc>
        <w:tc>
          <w:tcPr>
            <w:tcW w:w="292" w:type="pct"/>
            <w:tcBorders>
              <w:top w:val="nil"/>
              <w:left w:val="nil"/>
              <w:bottom w:val="nil"/>
              <w:right w:val="nil"/>
            </w:tcBorders>
            <w:shd w:val="clear" w:color="auto" w:fill="auto"/>
            <w:noWrap/>
            <w:vAlign w:val="bottom"/>
            <w:hideMark/>
          </w:tcPr>
          <w:p w14:paraId="2341B2D9" w14:textId="77777777" w:rsidR="00CD529B" w:rsidRPr="0059560B" w:rsidRDefault="00CD529B" w:rsidP="00564572">
            <w:pPr>
              <w:jc w:val="right"/>
              <w:rPr>
                <w:rFonts w:ascii="Calibri" w:hAnsi="Calibri" w:cs="Calibri"/>
                <w:color w:val="0000FF"/>
                <w:sz w:val="15"/>
                <w:szCs w:val="15"/>
                <w:lang w:eastAsia="es-CO"/>
              </w:rPr>
            </w:pPr>
          </w:p>
        </w:tc>
        <w:tc>
          <w:tcPr>
            <w:tcW w:w="338" w:type="pct"/>
            <w:tcBorders>
              <w:top w:val="nil"/>
              <w:left w:val="nil"/>
              <w:bottom w:val="nil"/>
              <w:right w:val="nil"/>
            </w:tcBorders>
            <w:shd w:val="clear" w:color="auto" w:fill="auto"/>
            <w:noWrap/>
            <w:vAlign w:val="bottom"/>
            <w:hideMark/>
          </w:tcPr>
          <w:p w14:paraId="2341B2DA"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DB" w14:textId="77777777" w:rsidR="00CD529B" w:rsidRPr="0059560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2DC"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DD"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DE"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DF"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E0"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E1"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E2"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2E3" w14:textId="77777777" w:rsidR="00CD529B" w:rsidRPr="0059560B" w:rsidRDefault="00CD529B" w:rsidP="00564572">
            <w:pPr>
              <w:rPr>
                <w:sz w:val="15"/>
                <w:szCs w:val="15"/>
                <w:lang w:eastAsia="es-CO"/>
              </w:rPr>
            </w:pPr>
          </w:p>
        </w:tc>
      </w:tr>
      <w:tr w:rsidR="00CD529B" w:rsidRPr="0059560B" w14:paraId="2341B2F2" w14:textId="77777777" w:rsidTr="00564572">
        <w:trPr>
          <w:trHeight w:val="262"/>
        </w:trPr>
        <w:tc>
          <w:tcPr>
            <w:tcW w:w="1641" w:type="pct"/>
            <w:tcBorders>
              <w:top w:val="nil"/>
              <w:left w:val="nil"/>
              <w:bottom w:val="nil"/>
              <w:right w:val="nil"/>
            </w:tcBorders>
            <w:shd w:val="clear" w:color="auto" w:fill="auto"/>
            <w:noWrap/>
            <w:vAlign w:val="bottom"/>
            <w:hideMark/>
          </w:tcPr>
          <w:p w14:paraId="2341B2E5" w14:textId="77777777" w:rsidR="00CD529B" w:rsidRPr="0059560B" w:rsidRDefault="00CD529B" w:rsidP="00564572">
            <w:pPr>
              <w:rPr>
                <w:sz w:val="15"/>
                <w:szCs w:val="15"/>
                <w:lang w:eastAsia="es-CO"/>
              </w:rPr>
            </w:pPr>
          </w:p>
        </w:tc>
        <w:tc>
          <w:tcPr>
            <w:tcW w:w="338" w:type="pct"/>
            <w:tcBorders>
              <w:top w:val="nil"/>
              <w:left w:val="nil"/>
              <w:bottom w:val="nil"/>
              <w:right w:val="nil"/>
            </w:tcBorders>
            <w:shd w:val="clear" w:color="auto" w:fill="auto"/>
            <w:noWrap/>
            <w:vAlign w:val="bottom"/>
            <w:hideMark/>
          </w:tcPr>
          <w:p w14:paraId="2341B2E6" w14:textId="77777777" w:rsidR="00CD529B" w:rsidRPr="0059560B" w:rsidRDefault="00CD529B" w:rsidP="00564572">
            <w:pPr>
              <w:rPr>
                <w:sz w:val="15"/>
                <w:szCs w:val="15"/>
                <w:lang w:eastAsia="es-CO"/>
              </w:rPr>
            </w:pPr>
          </w:p>
        </w:tc>
        <w:tc>
          <w:tcPr>
            <w:tcW w:w="292" w:type="pct"/>
            <w:tcBorders>
              <w:top w:val="nil"/>
              <w:left w:val="nil"/>
              <w:bottom w:val="nil"/>
              <w:right w:val="nil"/>
            </w:tcBorders>
            <w:shd w:val="clear" w:color="auto" w:fill="auto"/>
            <w:noWrap/>
            <w:vAlign w:val="bottom"/>
            <w:hideMark/>
          </w:tcPr>
          <w:p w14:paraId="2341B2E7" w14:textId="77777777" w:rsidR="00CD529B" w:rsidRPr="0059560B" w:rsidRDefault="00CD529B" w:rsidP="00564572">
            <w:pPr>
              <w:rPr>
                <w:sz w:val="15"/>
                <w:szCs w:val="15"/>
                <w:lang w:eastAsia="es-CO"/>
              </w:rPr>
            </w:pPr>
          </w:p>
        </w:tc>
        <w:tc>
          <w:tcPr>
            <w:tcW w:w="338" w:type="pct"/>
            <w:tcBorders>
              <w:top w:val="nil"/>
              <w:left w:val="nil"/>
              <w:bottom w:val="nil"/>
              <w:right w:val="nil"/>
            </w:tcBorders>
            <w:shd w:val="clear" w:color="auto" w:fill="auto"/>
            <w:noWrap/>
            <w:vAlign w:val="bottom"/>
            <w:hideMark/>
          </w:tcPr>
          <w:p w14:paraId="2341B2E8"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E9" w14:textId="77777777" w:rsidR="00CD529B" w:rsidRPr="0059560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2EA"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EB"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EC"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ED"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EE"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EF"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F0"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2F1" w14:textId="77777777" w:rsidR="00CD529B" w:rsidRPr="0059560B" w:rsidRDefault="00CD529B" w:rsidP="00564572">
            <w:pPr>
              <w:rPr>
                <w:sz w:val="15"/>
                <w:szCs w:val="15"/>
                <w:lang w:eastAsia="es-CO"/>
              </w:rPr>
            </w:pPr>
          </w:p>
        </w:tc>
      </w:tr>
      <w:tr w:rsidR="00CD529B" w:rsidRPr="0059560B" w14:paraId="2341B300" w14:textId="77777777" w:rsidTr="00564572">
        <w:trPr>
          <w:trHeight w:val="262"/>
        </w:trPr>
        <w:tc>
          <w:tcPr>
            <w:tcW w:w="1641" w:type="pct"/>
            <w:tcBorders>
              <w:top w:val="nil"/>
              <w:left w:val="nil"/>
              <w:bottom w:val="nil"/>
              <w:right w:val="nil"/>
            </w:tcBorders>
            <w:shd w:val="clear" w:color="auto" w:fill="auto"/>
            <w:noWrap/>
            <w:vAlign w:val="bottom"/>
            <w:hideMark/>
          </w:tcPr>
          <w:p w14:paraId="2341B2F3" w14:textId="77777777" w:rsidR="00CD529B" w:rsidRPr="0059560B" w:rsidRDefault="00CD529B" w:rsidP="00564572">
            <w:pPr>
              <w:rPr>
                <w:sz w:val="15"/>
                <w:szCs w:val="15"/>
                <w:lang w:eastAsia="es-CO"/>
              </w:rPr>
            </w:pPr>
          </w:p>
        </w:tc>
        <w:tc>
          <w:tcPr>
            <w:tcW w:w="338" w:type="pct"/>
            <w:tcBorders>
              <w:top w:val="nil"/>
              <w:left w:val="nil"/>
              <w:bottom w:val="nil"/>
              <w:right w:val="nil"/>
            </w:tcBorders>
            <w:shd w:val="clear" w:color="auto" w:fill="auto"/>
            <w:noWrap/>
            <w:vAlign w:val="bottom"/>
            <w:hideMark/>
          </w:tcPr>
          <w:p w14:paraId="2341B2F4" w14:textId="77777777" w:rsidR="00CD529B" w:rsidRPr="0059560B" w:rsidRDefault="00CD529B" w:rsidP="00564572">
            <w:pPr>
              <w:rPr>
                <w:sz w:val="15"/>
                <w:szCs w:val="15"/>
                <w:lang w:eastAsia="es-CO"/>
              </w:rPr>
            </w:pPr>
          </w:p>
        </w:tc>
        <w:tc>
          <w:tcPr>
            <w:tcW w:w="292" w:type="pct"/>
            <w:tcBorders>
              <w:top w:val="nil"/>
              <w:left w:val="nil"/>
              <w:bottom w:val="nil"/>
              <w:right w:val="nil"/>
            </w:tcBorders>
            <w:shd w:val="clear" w:color="auto" w:fill="auto"/>
            <w:noWrap/>
            <w:vAlign w:val="bottom"/>
            <w:hideMark/>
          </w:tcPr>
          <w:p w14:paraId="2341B2F5" w14:textId="77777777" w:rsidR="00CD529B" w:rsidRPr="0059560B" w:rsidRDefault="00CD529B" w:rsidP="00564572">
            <w:pPr>
              <w:rPr>
                <w:sz w:val="15"/>
                <w:szCs w:val="15"/>
                <w:lang w:eastAsia="es-CO"/>
              </w:rPr>
            </w:pPr>
          </w:p>
        </w:tc>
        <w:tc>
          <w:tcPr>
            <w:tcW w:w="338" w:type="pct"/>
            <w:tcBorders>
              <w:top w:val="nil"/>
              <w:left w:val="nil"/>
              <w:bottom w:val="nil"/>
              <w:right w:val="nil"/>
            </w:tcBorders>
            <w:shd w:val="clear" w:color="auto" w:fill="auto"/>
            <w:noWrap/>
            <w:vAlign w:val="bottom"/>
            <w:hideMark/>
          </w:tcPr>
          <w:p w14:paraId="2341B2F6"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F7" w14:textId="77777777" w:rsidR="00CD529B" w:rsidRPr="0059560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2F8"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F9"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FA"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FB"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FC"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FD"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2FE"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2FF" w14:textId="77777777" w:rsidR="00CD529B" w:rsidRPr="0059560B" w:rsidRDefault="00CD529B" w:rsidP="00564572">
            <w:pPr>
              <w:rPr>
                <w:sz w:val="15"/>
                <w:szCs w:val="15"/>
                <w:lang w:eastAsia="es-CO"/>
              </w:rPr>
            </w:pPr>
          </w:p>
        </w:tc>
      </w:tr>
      <w:tr w:rsidR="00CD529B" w:rsidRPr="0059560B" w14:paraId="2341B30E" w14:textId="77777777" w:rsidTr="00564572">
        <w:trPr>
          <w:trHeight w:val="262"/>
        </w:trPr>
        <w:tc>
          <w:tcPr>
            <w:tcW w:w="1641" w:type="pct"/>
            <w:tcBorders>
              <w:top w:val="nil"/>
              <w:left w:val="nil"/>
              <w:bottom w:val="single" w:sz="4" w:space="0" w:color="auto"/>
              <w:right w:val="nil"/>
            </w:tcBorders>
            <w:shd w:val="clear" w:color="auto" w:fill="auto"/>
            <w:noWrap/>
            <w:vAlign w:val="bottom"/>
            <w:hideMark/>
          </w:tcPr>
          <w:p w14:paraId="2341B301" w14:textId="77777777" w:rsidR="00CD529B" w:rsidRPr="0059560B" w:rsidRDefault="00CD529B" w:rsidP="00564572">
            <w:pPr>
              <w:rPr>
                <w:rFonts w:ascii="Calibri" w:hAnsi="Calibri" w:cs="Calibri"/>
                <w:b/>
                <w:bCs/>
                <w:color w:val="000000"/>
                <w:sz w:val="15"/>
                <w:szCs w:val="15"/>
                <w:lang w:eastAsia="es-CO"/>
              </w:rPr>
            </w:pPr>
            <w:r w:rsidRPr="0059560B">
              <w:rPr>
                <w:rFonts w:ascii="Calibri" w:hAnsi="Calibri" w:cs="Calibri"/>
                <w:b/>
                <w:bCs/>
                <w:color w:val="000000"/>
                <w:sz w:val="15"/>
                <w:szCs w:val="15"/>
                <w:lang w:eastAsia="es-CO"/>
              </w:rPr>
              <w:t>$COP (2016)</w:t>
            </w:r>
          </w:p>
        </w:tc>
        <w:tc>
          <w:tcPr>
            <w:tcW w:w="338" w:type="pct"/>
            <w:tcBorders>
              <w:top w:val="single" w:sz="4" w:space="0" w:color="FFFFFF"/>
              <w:left w:val="nil"/>
              <w:bottom w:val="single" w:sz="4" w:space="0" w:color="auto"/>
              <w:right w:val="single" w:sz="4" w:space="0" w:color="FFFFFF"/>
            </w:tcBorders>
            <w:shd w:val="clear" w:color="000000" w:fill="203764"/>
            <w:noWrap/>
            <w:vAlign w:val="bottom"/>
            <w:hideMark/>
          </w:tcPr>
          <w:p w14:paraId="2341B302"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2016</w:t>
            </w:r>
          </w:p>
        </w:tc>
        <w:tc>
          <w:tcPr>
            <w:tcW w:w="292" w:type="pct"/>
            <w:tcBorders>
              <w:top w:val="single" w:sz="4" w:space="0" w:color="FFFFFF"/>
              <w:left w:val="nil"/>
              <w:bottom w:val="single" w:sz="4" w:space="0" w:color="auto"/>
              <w:right w:val="single" w:sz="4" w:space="0" w:color="FFFFFF"/>
            </w:tcBorders>
            <w:shd w:val="clear" w:color="000000" w:fill="203764"/>
            <w:noWrap/>
            <w:vAlign w:val="bottom"/>
            <w:hideMark/>
          </w:tcPr>
          <w:p w14:paraId="2341B303"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2017</w:t>
            </w:r>
          </w:p>
        </w:tc>
        <w:tc>
          <w:tcPr>
            <w:tcW w:w="338" w:type="pct"/>
            <w:tcBorders>
              <w:top w:val="single" w:sz="4" w:space="0" w:color="FFFFFF"/>
              <w:left w:val="nil"/>
              <w:bottom w:val="single" w:sz="4" w:space="0" w:color="auto"/>
              <w:right w:val="single" w:sz="4" w:space="0" w:color="FFFFFF"/>
            </w:tcBorders>
            <w:shd w:val="clear" w:color="000000" w:fill="203764"/>
            <w:noWrap/>
            <w:vAlign w:val="bottom"/>
            <w:hideMark/>
          </w:tcPr>
          <w:p w14:paraId="2341B304"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2018</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2341B305"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2019</w:t>
            </w:r>
          </w:p>
        </w:tc>
        <w:tc>
          <w:tcPr>
            <w:tcW w:w="307" w:type="pct"/>
            <w:tcBorders>
              <w:top w:val="single" w:sz="4" w:space="0" w:color="FFFFFF"/>
              <w:left w:val="nil"/>
              <w:bottom w:val="single" w:sz="4" w:space="0" w:color="auto"/>
              <w:right w:val="single" w:sz="4" w:space="0" w:color="FFFFFF"/>
            </w:tcBorders>
            <w:shd w:val="clear" w:color="000000" w:fill="203764"/>
            <w:noWrap/>
            <w:vAlign w:val="bottom"/>
            <w:hideMark/>
          </w:tcPr>
          <w:p w14:paraId="2341B306"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2020</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2341B307"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2021</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2341B308"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2022</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2341B309"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2023</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2341B30A"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2024</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2341B30B"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2025</w:t>
            </w:r>
          </w:p>
        </w:tc>
        <w:tc>
          <w:tcPr>
            <w:tcW w:w="261" w:type="pct"/>
            <w:tcBorders>
              <w:top w:val="single" w:sz="4" w:space="0" w:color="FFFFFF"/>
              <w:left w:val="nil"/>
              <w:bottom w:val="single" w:sz="4" w:space="0" w:color="auto"/>
              <w:right w:val="single" w:sz="4" w:space="0" w:color="FFFFFF"/>
            </w:tcBorders>
            <w:shd w:val="clear" w:color="000000" w:fill="203764"/>
            <w:noWrap/>
            <w:vAlign w:val="bottom"/>
            <w:hideMark/>
          </w:tcPr>
          <w:p w14:paraId="2341B30C"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2026</w:t>
            </w:r>
          </w:p>
        </w:tc>
        <w:tc>
          <w:tcPr>
            <w:tcW w:w="257" w:type="pct"/>
            <w:tcBorders>
              <w:top w:val="single" w:sz="4" w:space="0" w:color="FFFFFF"/>
              <w:left w:val="nil"/>
              <w:bottom w:val="single" w:sz="4" w:space="0" w:color="auto"/>
              <w:right w:val="single" w:sz="4" w:space="0" w:color="FFFFFF"/>
            </w:tcBorders>
            <w:shd w:val="clear" w:color="000000" w:fill="203764"/>
            <w:noWrap/>
            <w:vAlign w:val="bottom"/>
            <w:hideMark/>
          </w:tcPr>
          <w:p w14:paraId="2341B30D"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2027</w:t>
            </w:r>
          </w:p>
        </w:tc>
      </w:tr>
      <w:tr w:rsidR="00CD529B" w:rsidRPr="0059560B" w14:paraId="2341B31C" w14:textId="77777777" w:rsidTr="00564572">
        <w:trPr>
          <w:trHeight w:val="262"/>
        </w:trPr>
        <w:tc>
          <w:tcPr>
            <w:tcW w:w="1641" w:type="pct"/>
            <w:tcBorders>
              <w:top w:val="nil"/>
              <w:left w:val="nil"/>
              <w:bottom w:val="nil"/>
              <w:right w:val="nil"/>
            </w:tcBorders>
            <w:shd w:val="clear" w:color="auto" w:fill="auto"/>
            <w:noWrap/>
            <w:vAlign w:val="bottom"/>
            <w:hideMark/>
          </w:tcPr>
          <w:p w14:paraId="2341B30F" w14:textId="77777777" w:rsidR="00CD529B" w:rsidRPr="0059560B" w:rsidRDefault="00CD529B" w:rsidP="00564572">
            <w:pPr>
              <w:rPr>
                <w:rFonts w:ascii="Calibri" w:hAnsi="Calibri" w:cs="Calibri"/>
                <w:color w:val="000000"/>
                <w:sz w:val="15"/>
                <w:szCs w:val="15"/>
                <w:lang w:eastAsia="es-CO"/>
              </w:rPr>
            </w:pPr>
            <w:r w:rsidRPr="0059560B">
              <w:rPr>
                <w:rFonts w:ascii="Calibri" w:hAnsi="Calibri" w:cs="Calibri"/>
                <w:color w:val="000000"/>
                <w:sz w:val="15"/>
                <w:szCs w:val="15"/>
                <w:lang w:eastAsia="es-CO"/>
              </w:rPr>
              <w:t>Número de  equipo tipo chiller refrigerados por aire a cambiar</w:t>
            </w:r>
          </w:p>
        </w:tc>
        <w:tc>
          <w:tcPr>
            <w:tcW w:w="338" w:type="pct"/>
            <w:tcBorders>
              <w:top w:val="nil"/>
              <w:left w:val="nil"/>
              <w:bottom w:val="nil"/>
              <w:right w:val="nil"/>
            </w:tcBorders>
            <w:shd w:val="clear" w:color="auto" w:fill="auto"/>
            <w:noWrap/>
            <w:vAlign w:val="bottom"/>
            <w:hideMark/>
          </w:tcPr>
          <w:p w14:paraId="2341B310" w14:textId="77777777" w:rsidR="00CD529B" w:rsidRPr="0059560B" w:rsidRDefault="00CD529B" w:rsidP="00564572">
            <w:pPr>
              <w:rPr>
                <w:rFonts w:ascii="Calibri" w:hAnsi="Calibri" w:cs="Calibri"/>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2341B311"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461</w:t>
            </w:r>
          </w:p>
        </w:tc>
        <w:tc>
          <w:tcPr>
            <w:tcW w:w="338" w:type="pct"/>
            <w:tcBorders>
              <w:top w:val="nil"/>
              <w:left w:val="nil"/>
              <w:bottom w:val="nil"/>
              <w:right w:val="nil"/>
            </w:tcBorders>
            <w:shd w:val="clear" w:color="auto" w:fill="auto"/>
            <w:noWrap/>
            <w:vAlign w:val="bottom"/>
            <w:hideMark/>
          </w:tcPr>
          <w:p w14:paraId="2341B312"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461</w:t>
            </w:r>
          </w:p>
        </w:tc>
        <w:tc>
          <w:tcPr>
            <w:tcW w:w="261" w:type="pct"/>
            <w:tcBorders>
              <w:top w:val="nil"/>
              <w:left w:val="nil"/>
              <w:bottom w:val="nil"/>
              <w:right w:val="nil"/>
            </w:tcBorders>
            <w:shd w:val="clear" w:color="auto" w:fill="auto"/>
            <w:noWrap/>
            <w:vAlign w:val="bottom"/>
            <w:hideMark/>
          </w:tcPr>
          <w:p w14:paraId="2341B313"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461</w:t>
            </w:r>
          </w:p>
        </w:tc>
        <w:tc>
          <w:tcPr>
            <w:tcW w:w="307" w:type="pct"/>
            <w:tcBorders>
              <w:top w:val="nil"/>
              <w:left w:val="nil"/>
              <w:bottom w:val="nil"/>
              <w:right w:val="nil"/>
            </w:tcBorders>
            <w:shd w:val="clear" w:color="auto" w:fill="auto"/>
            <w:noWrap/>
            <w:vAlign w:val="bottom"/>
            <w:hideMark/>
          </w:tcPr>
          <w:p w14:paraId="2341B314"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461</w:t>
            </w:r>
          </w:p>
        </w:tc>
        <w:tc>
          <w:tcPr>
            <w:tcW w:w="261" w:type="pct"/>
            <w:tcBorders>
              <w:top w:val="nil"/>
              <w:left w:val="nil"/>
              <w:bottom w:val="nil"/>
              <w:right w:val="nil"/>
            </w:tcBorders>
            <w:shd w:val="clear" w:color="auto" w:fill="auto"/>
            <w:noWrap/>
            <w:vAlign w:val="bottom"/>
            <w:hideMark/>
          </w:tcPr>
          <w:p w14:paraId="2341B315"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461</w:t>
            </w:r>
          </w:p>
        </w:tc>
        <w:tc>
          <w:tcPr>
            <w:tcW w:w="261" w:type="pct"/>
            <w:tcBorders>
              <w:top w:val="nil"/>
              <w:left w:val="nil"/>
              <w:bottom w:val="nil"/>
              <w:right w:val="nil"/>
            </w:tcBorders>
            <w:shd w:val="clear" w:color="auto" w:fill="auto"/>
            <w:noWrap/>
            <w:vAlign w:val="bottom"/>
            <w:hideMark/>
          </w:tcPr>
          <w:p w14:paraId="2341B316"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341B317"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341B318"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341B319"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341B31A"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57" w:type="pct"/>
            <w:tcBorders>
              <w:top w:val="nil"/>
              <w:left w:val="nil"/>
              <w:bottom w:val="nil"/>
              <w:right w:val="nil"/>
            </w:tcBorders>
            <w:shd w:val="clear" w:color="auto" w:fill="auto"/>
            <w:noWrap/>
            <w:vAlign w:val="bottom"/>
            <w:hideMark/>
          </w:tcPr>
          <w:p w14:paraId="2341B31B"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r>
      <w:tr w:rsidR="00CD529B" w:rsidRPr="0059560B" w14:paraId="2341B32A" w14:textId="77777777" w:rsidTr="00564572">
        <w:trPr>
          <w:trHeight w:val="262"/>
        </w:trPr>
        <w:tc>
          <w:tcPr>
            <w:tcW w:w="1641" w:type="pct"/>
            <w:tcBorders>
              <w:top w:val="nil"/>
              <w:left w:val="nil"/>
              <w:bottom w:val="nil"/>
              <w:right w:val="nil"/>
            </w:tcBorders>
            <w:shd w:val="clear" w:color="auto" w:fill="auto"/>
            <w:noWrap/>
            <w:vAlign w:val="bottom"/>
            <w:hideMark/>
          </w:tcPr>
          <w:p w14:paraId="2341B31D" w14:textId="77777777" w:rsidR="00CD529B" w:rsidRPr="0059560B" w:rsidRDefault="00CD529B" w:rsidP="00564572">
            <w:pPr>
              <w:rPr>
                <w:rFonts w:ascii="Calibri" w:hAnsi="Calibri" w:cs="Calibri"/>
                <w:color w:val="000000"/>
                <w:sz w:val="15"/>
                <w:szCs w:val="15"/>
                <w:lang w:eastAsia="es-CO"/>
              </w:rPr>
            </w:pPr>
            <w:r w:rsidRPr="0059560B">
              <w:rPr>
                <w:rFonts w:ascii="Calibri" w:hAnsi="Calibri" w:cs="Calibri"/>
                <w:color w:val="000000"/>
                <w:sz w:val="15"/>
                <w:szCs w:val="15"/>
                <w:lang w:eastAsia="es-CO"/>
              </w:rPr>
              <w:t>Número de  equipo tipo chiller refrigerados por agua a cambiar</w:t>
            </w:r>
          </w:p>
        </w:tc>
        <w:tc>
          <w:tcPr>
            <w:tcW w:w="338" w:type="pct"/>
            <w:tcBorders>
              <w:top w:val="nil"/>
              <w:left w:val="nil"/>
              <w:bottom w:val="nil"/>
              <w:right w:val="nil"/>
            </w:tcBorders>
            <w:shd w:val="clear" w:color="auto" w:fill="auto"/>
            <w:noWrap/>
            <w:vAlign w:val="bottom"/>
            <w:hideMark/>
          </w:tcPr>
          <w:p w14:paraId="2341B31E" w14:textId="77777777" w:rsidR="00CD529B" w:rsidRPr="0059560B" w:rsidRDefault="00CD529B" w:rsidP="00564572">
            <w:pPr>
              <w:rPr>
                <w:rFonts w:ascii="Calibri" w:hAnsi="Calibri" w:cs="Calibri"/>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2341B31F"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1.221</w:t>
            </w:r>
          </w:p>
        </w:tc>
        <w:tc>
          <w:tcPr>
            <w:tcW w:w="338" w:type="pct"/>
            <w:tcBorders>
              <w:top w:val="nil"/>
              <w:left w:val="nil"/>
              <w:bottom w:val="nil"/>
              <w:right w:val="nil"/>
            </w:tcBorders>
            <w:shd w:val="clear" w:color="auto" w:fill="auto"/>
            <w:noWrap/>
            <w:vAlign w:val="bottom"/>
            <w:hideMark/>
          </w:tcPr>
          <w:p w14:paraId="2341B320"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1.221</w:t>
            </w:r>
          </w:p>
        </w:tc>
        <w:tc>
          <w:tcPr>
            <w:tcW w:w="261" w:type="pct"/>
            <w:tcBorders>
              <w:top w:val="nil"/>
              <w:left w:val="nil"/>
              <w:bottom w:val="nil"/>
              <w:right w:val="nil"/>
            </w:tcBorders>
            <w:shd w:val="clear" w:color="auto" w:fill="auto"/>
            <w:noWrap/>
            <w:vAlign w:val="bottom"/>
            <w:hideMark/>
          </w:tcPr>
          <w:p w14:paraId="2341B321"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1.221</w:t>
            </w:r>
          </w:p>
        </w:tc>
        <w:tc>
          <w:tcPr>
            <w:tcW w:w="307" w:type="pct"/>
            <w:tcBorders>
              <w:top w:val="nil"/>
              <w:left w:val="nil"/>
              <w:bottom w:val="nil"/>
              <w:right w:val="nil"/>
            </w:tcBorders>
            <w:shd w:val="clear" w:color="auto" w:fill="auto"/>
            <w:noWrap/>
            <w:vAlign w:val="bottom"/>
            <w:hideMark/>
          </w:tcPr>
          <w:p w14:paraId="2341B322"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1.221</w:t>
            </w:r>
          </w:p>
        </w:tc>
        <w:tc>
          <w:tcPr>
            <w:tcW w:w="261" w:type="pct"/>
            <w:tcBorders>
              <w:top w:val="nil"/>
              <w:left w:val="nil"/>
              <w:bottom w:val="nil"/>
              <w:right w:val="nil"/>
            </w:tcBorders>
            <w:shd w:val="clear" w:color="auto" w:fill="auto"/>
            <w:noWrap/>
            <w:vAlign w:val="bottom"/>
            <w:hideMark/>
          </w:tcPr>
          <w:p w14:paraId="2341B323"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1.221</w:t>
            </w:r>
          </w:p>
        </w:tc>
        <w:tc>
          <w:tcPr>
            <w:tcW w:w="261" w:type="pct"/>
            <w:tcBorders>
              <w:top w:val="nil"/>
              <w:left w:val="nil"/>
              <w:bottom w:val="nil"/>
              <w:right w:val="nil"/>
            </w:tcBorders>
            <w:shd w:val="clear" w:color="auto" w:fill="auto"/>
            <w:noWrap/>
            <w:vAlign w:val="bottom"/>
            <w:hideMark/>
          </w:tcPr>
          <w:p w14:paraId="2341B324"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341B325"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341B326"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341B327"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341B328"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57" w:type="pct"/>
            <w:tcBorders>
              <w:top w:val="nil"/>
              <w:left w:val="nil"/>
              <w:bottom w:val="nil"/>
              <w:right w:val="nil"/>
            </w:tcBorders>
            <w:shd w:val="clear" w:color="auto" w:fill="auto"/>
            <w:noWrap/>
            <w:vAlign w:val="bottom"/>
            <w:hideMark/>
          </w:tcPr>
          <w:p w14:paraId="2341B329"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r>
      <w:tr w:rsidR="00CD529B" w:rsidRPr="0059560B" w14:paraId="2341B338" w14:textId="77777777" w:rsidTr="00564572">
        <w:trPr>
          <w:trHeight w:val="262"/>
        </w:trPr>
        <w:tc>
          <w:tcPr>
            <w:tcW w:w="1641" w:type="pct"/>
            <w:tcBorders>
              <w:top w:val="nil"/>
              <w:left w:val="nil"/>
              <w:bottom w:val="single" w:sz="4" w:space="0" w:color="000000"/>
              <w:right w:val="nil"/>
            </w:tcBorders>
            <w:shd w:val="clear" w:color="auto" w:fill="auto"/>
            <w:noWrap/>
            <w:vAlign w:val="bottom"/>
            <w:hideMark/>
          </w:tcPr>
          <w:p w14:paraId="2341B32B" w14:textId="77777777" w:rsidR="00CD529B" w:rsidRPr="0059560B" w:rsidRDefault="00CD529B" w:rsidP="00564572">
            <w:pPr>
              <w:rPr>
                <w:rFonts w:ascii="Calibri" w:hAnsi="Calibri" w:cs="Calibri"/>
                <w:color w:val="000000"/>
                <w:sz w:val="15"/>
                <w:szCs w:val="15"/>
                <w:lang w:eastAsia="es-CO"/>
              </w:rPr>
            </w:pPr>
            <w:r w:rsidRPr="0059560B">
              <w:rPr>
                <w:rFonts w:ascii="Calibri" w:hAnsi="Calibri" w:cs="Calibri"/>
                <w:color w:val="000000"/>
                <w:sz w:val="15"/>
                <w:szCs w:val="15"/>
                <w:lang w:eastAsia="es-CO"/>
              </w:rPr>
              <w:t>Número de equipo aire acondicionado tipo Mini Split a cambiar</w:t>
            </w:r>
          </w:p>
        </w:tc>
        <w:tc>
          <w:tcPr>
            <w:tcW w:w="338" w:type="pct"/>
            <w:tcBorders>
              <w:top w:val="nil"/>
              <w:left w:val="nil"/>
              <w:bottom w:val="single" w:sz="4" w:space="0" w:color="000000"/>
              <w:right w:val="nil"/>
            </w:tcBorders>
            <w:shd w:val="clear" w:color="auto" w:fill="auto"/>
            <w:noWrap/>
            <w:vAlign w:val="bottom"/>
            <w:hideMark/>
          </w:tcPr>
          <w:p w14:paraId="2341B32C" w14:textId="77777777" w:rsidR="00CD529B" w:rsidRPr="0059560B" w:rsidRDefault="00CD529B" w:rsidP="00564572">
            <w:pPr>
              <w:rPr>
                <w:rFonts w:ascii="Calibri" w:hAnsi="Calibri" w:cs="Calibri"/>
                <w:color w:val="000000"/>
                <w:sz w:val="15"/>
                <w:szCs w:val="15"/>
                <w:lang w:eastAsia="es-CO"/>
              </w:rPr>
            </w:pPr>
            <w:r w:rsidRPr="0059560B">
              <w:rPr>
                <w:rFonts w:ascii="Calibri" w:hAnsi="Calibri" w:cs="Calibri"/>
                <w:color w:val="000000"/>
                <w:sz w:val="15"/>
                <w:szCs w:val="15"/>
                <w:lang w:eastAsia="es-CO"/>
              </w:rPr>
              <w:t> </w:t>
            </w:r>
          </w:p>
        </w:tc>
        <w:tc>
          <w:tcPr>
            <w:tcW w:w="292" w:type="pct"/>
            <w:tcBorders>
              <w:top w:val="nil"/>
              <w:left w:val="nil"/>
              <w:bottom w:val="single" w:sz="4" w:space="0" w:color="000000"/>
              <w:right w:val="nil"/>
            </w:tcBorders>
            <w:shd w:val="clear" w:color="auto" w:fill="auto"/>
            <w:noWrap/>
            <w:vAlign w:val="bottom"/>
            <w:hideMark/>
          </w:tcPr>
          <w:p w14:paraId="2341B32D"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3.487</w:t>
            </w:r>
          </w:p>
        </w:tc>
        <w:tc>
          <w:tcPr>
            <w:tcW w:w="338" w:type="pct"/>
            <w:tcBorders>
              <w:top w:val="nil"/>
              <w:left w:val="nil"/>
              <w:bottom w:val="single" w:sz="4" w:space="0" w:color="000000"/>
              <w:right w:val="nil"/>
            </w:tcBorders>
            <w:shd w:val="clear" w:color="auto" w:fill="auto"/>
            <w:noWrap/>
            <w:vAlign w:val="bottom"/>
            <w:hideMark/>
          </w:tcPr>
          <w:p w14:paraId="2341B32E"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3.487</w:t>
            </w:r>
          </w:p>
        </w:tc>
        <w:tc>
          <w:tcPr>
            <w:tcW w:w="261" w:type="pct"/>
            <w:tcBorders>
              <w:top w:val="nil"/>
              <w:left w:val="nil"/>
              <w:bottom w:val="single" w:sz="4" w:space="0" w:color="000000"/>
              <w:right w:val="nil"/>
            </w:tcBorders>
            <w:shd w:val="clear" w:color="auto" w:fill="auto"/>
            <w:noWrap/>
            <w:vAlign w:val="bottom"/>
            <w:hideMark/>
          </w:tcPr>
          <w:p w14:paraId="2341B32F"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3.487</w:t>
            </w:r>
          </w:p>
        </w:tc>
        <w:tc>
          <w:tcPr>
            <w:tcW w:w="307" w:type="pct"/>
            <w:tcBorders>
              <w:top w:val="nil"/>
              <w:left w:val="nil"/>
              <w:bottom w:val="single" w:sz="4" w:space="0" w:color="000000"/>
              <w:right w:val="nil"/>
            </w:tcBorders>
            <w:shd w:val="clear" w:color="auto" w:fill="auto"/>
            <w:noWrap/>
            <w:vAlign w:val="bottom"/>
            <w:hideMark/>
          </w:tcPr>
          <w:p w14:paraId="2341B330"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3.487</w:t>
            </w:r>
          </w:p>
        </w:tc>
        <w:tc>
          <w:tcPr>
            <w:tcW w:w="261" w:type="pct"/>
            <w:tcBorders>
              <w:top w:val="nil"/>
              <w:left w:val="nil"/>
              <w:bottom w:val="single" w:sz="4" w:space="0" w:color="000000"/>
              <w:right w:val="nil"/>
            </w:tcBorders>
            <w:shd w:val="clear" w:color="auto" w:fill="auto"/>
            <w:noWrap/>
            <w:vAlign w:val="bottom"/>
            <w:hideMark/>
          </w:tcPr>
          <w:p w14:paraId="2341B331"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3.487</w:t>
            </w:r>
          </w:p>
        </w:tc>
        <w:tc>
          <w:tcPr>
            <w:tcW w:w="261" w:type="pct"/>
            <w:tcBorders>
              <w:top w:val="nil"/>
              <w:left w:val="nil"/>
              <w:bottom w:val="single" w:sz="4" w:space="0" w:color="000000"/>
              <w:right w:val="nil"/>
            </w:tcBorders>
            <w:shd w:val="clear" w:color="auto" w:fill="auto"/>
            <w:noWrap/>
            <w:vAlign w:val="bottom"/>
            <w:hideMark/>
          </w:tcPr>
          <w:p w14:paraId="2341B332"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000000"/>
              <w:right w:val="nil"/>
            </w:tcBorders>
            <w:shd w:val="clear" w:color="auto" w:fill="auto"/>
            <w:noWrap/>
            <w:vAlign w:val="bottom"/>
            <w:hideMark/>
          </w:tcPr>
          <w:p w14:paraId="2341B333"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000000"/>
              <w:right w:val="nil"/>
            </w:tcBorders>
            <w:shd w:val="clear" w:color="auto" w:fill="auto"/>
            <w:noWrap/>
            <w:vAlign w:val="bottom"/>
            <w:hideMark/>
          </w:tcPr>
          <w:p w14:paraId="2341B334"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000000"/>
              <w:right w:val="nil"/>
            </w:tcBorders>
            <w:shd w:val="clear" w:color="auto" w:fill="auto"/>
            <w:noWrap/>
            <w:vAlign w:val="bottom"/>
            <w:hideMark/>
          </w:tcPr>
          <w:p w14:paraId="2341B335"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000000"/>
              <w:right w:val="nil"/>
            </w:tcBorders>
            <w:shd w:val="clear" w:color="auto" w:fill="auto"/>
            <w:noWrap/>
            <w:vAlign w:val="bottom"/>
            <w:hideMark/>
          </w:tcPr>
          <w:p w14:paraId="2341B336"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57" w:type="pct"/>
            <w:tcBorders>
              <w:top w:val="nil"/>
              <w:left w:val="nil"/>
              <w:bottom w:val="single" w:sz="4" w:space="0" w:color="000000"/>
              <w:right w:val="nil"/>
            </w:tcBorders>
            <w:shd w:val="clear" w:color="auto" w:fill="auto"/>
            <w:noWrap/>
            <w:vAlign w:val="bottom"/>
            <w:hideMark/>
          </w:tcPr>
          <w:p w14:paraId="2341B337"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r>
      <w:tr w:rsidR="00CD529B" w:rsidRPr="0059560B" w14:paraId="2341B346" w14:textId="77777777" w:rsidTr="00564572">
        <w:trPr>
          <w:trHeight w:val="262"/>
        </w:trPr>
        <w:tc>
          <w:tcPr>
            <w:tcW w:w="1641" w:type="pct"/>
            <w:tcBorders>
              <w:top w:val="nil"/>
              <w:left w:val="nil"/>
              <w:bottom w:val="nil"/>
              <w:right w:val="nil"/>
            </w:tcBorders>
            <w:shd w:val="clear" w:color="auto" w:fill="auto"/>
            <w:noWrap/>
            <w:vAlign w:val="bottom"/>
            <w:hideMark/>
          </w:tcPr>
          <w:p w14:paraId="2341B339" w14:textId="77777777" w:rsidR="00CD529B" w:rsidRPr="0059560B" w:rsidRDefault="00CD529B" w:rsidP="00564572">
            <w:pPr>
              <w:rPr>
                <w:rFonts w:ascii="Calibri" w:hAnsi="Calibri" w:cs="Calibri"/>
                <w:b/>
                <w:bCs/>
                <w:color w:val="000000"/>
                <w:sz w:val="15"/>
                <w:szCs w:val="15"/>
                <w:lang w:eastAsia="es-CO"/>
              </w:rPr>
            </w:pPr>
            <w:r w:rsidRPr="0059560B">
              <w:rPr>
                <w:rFonts w:ascii="Calibri" w:hAnsi="Calibri" w:cs="Calibri"/>
                <w:b/>
                <w:bCs/>
                <w:color w:val="000000"/>
                <w:sz w:val="15"/>
                <w:szCs w:val="15"/>
                <w:lang w:eastAsia="es-CO"/>
              </w:rPr>
              <w:t>Beneficios</w:t>
            </w:r>
          </w:p>
        </w:tc>
        <w:tc>
          <w:tcPr>
            <w:tcW w:w="338" w:type="pct"/>
            <w:tcBorders>
              <w:top w:val="nil"/>
              <w:left w:val="nil"/>
              <w:bottom w:val="nil"/>
              <w:right w:val="nil"/>
            </w:tcBorders>
            <w:shd w:val="clear" w:color="auto" w:fill="auto"/>
            <w:noWrap/>
            <w:vAlign w:val="bottom"/>
            <w:hideMark/>
          </w:tcPr>
          <w:p w14:paraId="2341B33A" w14:textId="77777777" w:rsidR="00CD529B" w:rsidRPr="0059560B" w:rsidRDefault="00CD529B" w:rsidP="00564572">
            <w:pPr>
              <w:rPr>
                <w:rFonts w:ascii="Calibri" w:hAnsi="Calibri" w:cs="Calibri"/>
                <w:b/>
                <w:bCs/>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2341B33B" w14:textId="77777777" w:rsidR="00CD529B" w:rsidRPr="008C001B" w:rsidRDefault="00CD529B" w:rsidP="00564572">
            <w:pPr>
              <w:rPr>
                <w:sz w:val="15"/>
                <w:szCs w:val="15"/>
                <w:lang w:eastAsia="es-CO"/>
              </w:rPr>
            </w:pPr>
          </w:p>
        </w:tc>
        <w:tc>
          <w:tcPr>
            <w:tcW w:w="338" w:type="pct"/>
            <w:tcBorders>
              <w:top w:val="nil"/>
              <w:left w:val="nil"/>
              <w:bottom w:val="nil"/>
              <w:right w:val="nil"/>
            </w:tcBorders>
            <w:shd w:val="clear" w:color="auto" w:fill="auto"/>
            <w:noWrap/>
            <w:vAlign w:val="bottom"/>
            <w:hideMark/>
          </w:tcPr>
          <w:p w14:paraId="2341B33C"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3D" w14:textId="77777777" w:rsidR="00CD529B" w:rsidRPr="008C001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33E"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3F"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40"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41"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42"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43"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44" w14:textId="77777777" w:rsidR="00CD529B" w:rsidRPr="008C001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345" w14:textId="77777777" w:rsidR="00CD529B" w:rsidRPr="008C001B" w:rsidRDefault="00CD529B" w:rsidP="00564572">
            <w:pPr>
              <w:rPr>
                <w:sz w:val="15"/>
                <w:szCs w:val="15"/>
                <w:lang w:eastAsia="es-CO"/>
              </w:rPr>
            </w:pPr>
          </w:p>
        </w:tc>
      </w:tr>
      <w:tr w:rsidR="00CD529B" w:rsidRPr="0059560B" w14:paraId="2341B354" w14:textId="77777777" w:rsidTr="00564572">
        <w:trPr>
          <w:trHeight w:val="262"/>
        </w:trPr>
        <w:tc>
          <w:tcPr>
            <w:tcW w:w="1641" w:type="pct"/>
            <w:tcBorders>
              <w:top w:val="nil"/>
              <w:left w:val="nil"/>
              <w:bottom w:val="nil"/>
              <w:right w:val="nil"/>
            </w:tcBorders>
            <w:shd w:val="clear" w:color="auto" w:fill="auto"/>
            <w:noWrap/>
            <w:vAlign w:val="bottom"/>
            <w:hideMark/>
          </w:tcPr>
          <w:p w14:paraId="2341B347" w14:textId="77777777" w:rsidR="00CD529B" w:rsidRPr="0059560B" w:rsidRDefault="00CD529B" w:rsidP="00564572">
            <w:pPr>
              <w:ind w:firstLineChars="100" w:firstLine="150"/>
              <w:rPr>
                <w:rFonts w:ascii="Calibri" w:hAnsi="Calibri" w:cs="Calibri"/>
                <w:color w:val="000000"/>
                <w:sz w:val="15"/>
                <w:szCs w:val="15"/>
                <w:lang w:eastAsia="es-CO"/>
              </w:rPr>
            </w:pPr>
            <w:r w:rsidRPr="0059560B">
              <w:rPr>
                <w:rFonts w:ascii="Calibri" w:hAnsi="Calibri" w:cs="Calibri"/>
                <w:color w:val="000000"/>
                <w:sz w:val="15"/>
                <w:szCs w:val="15"/>
                <w:lang w:eastAsia="es-CO"/>
              </w:rPr>
              <w:t>Ahorro GWh/año</w:t>
            </w:r>
          </w:p>
        </w:tc>
        <w:tc>
          <w:tcPr>
            <w:tcW w:w="338" w:type="pct"/>
            <w:tcBorders>
              <w:top w:val="nil"/>
              <w:left w:val="nil"/>
              <w:bottom w:val="nil"/>
              <w:right w:val="nil"/>
            </w:tcBorders>
            <w:shd w:val="clear" w:color="auto" w:fill="auto"/>
            <w:noWrap/>
            <w:vAlign w:val="bottom"/>
            <w:hideMark/>
          </w:tcPr>
          <w:p w14:paraId="2341B348" w14:textId="77777777" w:rsidR="00CD529B" w:rsidRPr="0059560B" w:rsidRDefault="00CD529B" w:rsidP="00564572">
            <w:pPr>
              <w:ind w:firstLineChars="100" w:firstLine="150"/>
              <w:rPr>
                <w:rFonts w:ascii="Calibri" w:hAnsi="Calibri" w:cs="Calibri"/>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2341B349"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222</w:t>
            </w:r>
          </w:p>
        </w:tc>
        <w:tc>
          <w:tcPr>
            <w:tcW w:w="338" w:type="pct"/>
            <w:tcBorders>
              <w:top w:val="nil"/>
              <w:left w:val="nil"/>
              <w:bottom w:val="nil"/>
              <w:right w:val="nil"/>
            </w:tcBorders>
            <w:shd w:val="clear" w:color="auto" w:fill="auto"/>
            <w:noWrap/>
            <w:vAlign w:val="bottom"/>
            <w:hideMark/>
          </w:tcPr>
          <w:p w14:paraId="2341B34A"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444</w:t>
            </w:r>
          </w:p>
        </w:tc>
        <w:tc>
          <w:tcPr>
            <w:tcW w:w="261" w:type="pct"/>
            <w:tcBorders>
              <w:top w:val="nil"/>
              <w:left w:val="nil"/>
              <w:bottom w:val="nil"/>
              <w:right w:val="nil"/>
            </w:tcBorders>
            <w:shd w:val="clear" w:color="auto" w:fill="auto"/>
            <w:noWrap/>
            <w:vAlign w:val="bottom"/>
            <w:hideMark/>
          </w:tcPr>
          <w:p w14:paraId="2341B34B"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666</w:t>
            </w:r>
          </w:p>
        </w:tc>
        <w:tc>
          <w:tcPr>
            <w:tcW w:w="307" w:type="pct"/>
            <w:tcBorders>
              <w:top w:val="nil"/>
              <w:left w:val="nil"/>
              <w:bottom w:val="nil"/>
              <w:right w:val="nil"/>
            </w:tcBorders>
            <w:shd w:val="clear" w:color="auto" w:fill="auto"/>
            <w:noWrap/>
            <w:vAlign w:val="bottom"/>
            <w:hideMark/>
          </w:tcPr>
          <w:p w14:paraId="2341B34C"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888</w:t>
            </w:r>
          </w:p>
        </w:tc>
        <w:tc>
          <w:tcPr>
            <w:tcW w:w="261" w:type="pct"/>
            <w:tcBorders>
              <w:top w:val="nil"/>
              <w:left w:val="nil"/>
              <w:bottom w:val="nil"/>
              <w:right w:val="nil"/>
            </w:tcBorders>
            <w:shd w:val="clear" w:color="auto" w:fill="auto"/>
            <w:noWrap/>
            <w:vAlign w:val="bottom"/>
            <w:hideMark/>
          </w:tcPr>
          <w:p w14:paraId="2341B34D"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1.110</w:t>
            </w:r>
          </w:p>
        </w:tc>
        <w:tc>
          <w:tcPr>
            <w:tcW w:w="261" w:type="pct"/>
            <w:tcBorders>
              <w:top w:val="nil"/>
              <w:left w:val="nil"/>
              <w:bottom w:val="nil"/>
              <w:right w:val="nil"/>
            </w:tcBorders>
            <w:shd w:val="clear" w:color="auto" w:fill="auto"/>
            <w:noWrap/>
            <w:vAlign w:val="bottom"/>
            <w:hideMark/>
          </w:tcPr>
          <w:p w14:paraId="2341B34E"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1.110</w:t>
            </w:r>
          </w:p>
        </w:tc>
        <w:tc>
          <w:tcPr>
            <w:tcW w:w="261" w:type="pct"/>
            <w:tcBorders>
              <w:top w:val="nil"/>
              <w:left w:val="nil"/>
              <w:bottom w:val="nil"/>
              <w:right w:val="nil"/>
            </w:tcBorders>
            <w:shd w:val="clear" w:color="auto" w:fill="auto"/>
            <w:noWrap/>
            <w:vAlign w:val="bottom"/>
            <w:hideMark/>
          </w:tcPr>
          <w:p w14:paraId="2341B34F"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1.110</w:t>
            </w:r>
          </w:p>
        </w:tc>
        <w:tc>
          <w:tcPr>
            <w:tcW w:w="261" w:type="pct"/>
            <w:tcBorders>
              <w:top w:val="nil"/>
              <w:left w:val="nil"/>
              <w:bottom w:val="nil"/>
              <w:right w:val="nil"/>
            </w:tcBorders>
            <w:shd w:val="clear" w:color="auto" w:fill="auto"/>
            <w:noWrap/>
            <w:vAlign w:val="bottom"/>
            <w:hideMark/>
          </w:tcPr>
          <w:p w14:paraId="2341B350"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1.110</w:t>
            </w:r>
          </w:p>
        </w:tc>
        <w:tc>
          <w:tcPr>
            <w:tcW w:w="261" w:type="pct"/>
            <w:tcBorders>
              <w:top w:val="nil"/>
              <w:left w:val="nil"/>
              <w:bottom w:val="nil"/>
              <w:right w:val="nil"/>
            </w:tcBorders>
            <w:shd w:val="clear" w:color="auto" w:fill="auto"/>
            <w:noWrap/>
            <w:vAlign w:val="bottom"/>
            <w:hideMark/>
          </w:tcPr>
          <w:p w14:paraId="2341B351"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1.110</w:t>
            </w:r>
          </w:p>
        </w:tc>
        <w:tc>
          <w:tcPr>
            <w:tcW w:w="261" w:type="pct"/>
            <w:tcBorders>
              <w:top w:val="nil"/>
              <w:left w:val="nil"/>
              <w:bottom w:val="nil"/>
              <w:right w:val="nil"/>
            </w:tcBorders>
            <w:shd w:val="clear" w:color="auto" w:fill="auto"/>
            <w:noWrap/>
            <w:vAlign w:val="bottom"/>
            <w:hideMark/>
          </w:tcPr>
          <w:p w14:paraId="2341B352"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1.110</w:t>
            </w:r>
          </w:p>
        </w:tc>
        <w:tc>
          <w:tcPr>
            <w:tcW w:w="257" w:type="pct"/>
            <w:tcBorders>
              <w:top w:val="nil"/>
              <w:left w:val="nil"/>
              <w:bottom w:val="nil"/>
              <w:right w:val="nil"/>
            </w:tcBorders>
            <w:shd w:val="clear" w:color="auto" w:fill="auto"/>
            <w:noWrap/>
            <w:vAlign w:val="bottom"/>
            <w:hideMark/>
          </w:tcPr>
          <w:p w14:paraId="2341B353"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1.110</w:t>
            </w:r>
          </w:p>
        </w:tc>
      </w:tr>
      <w:tr w:rsidR="00CD529B" w:rsidRPr="0059560B" w14:paraId="2341B362" w14:textId="77777777" w:rsidTr="00564572">
        <w:trPr>
          <w:trHeight w:val="262"/>
        </w:trPr>
        <w:tc>
          <w:tcPr>
            <w:tcW w:w="1641" w:type="pct"/>
            <w:tcBorders>
              <w:top w:val="nil"/>
              <w:left w:val="nil"/>
              <w:bottom w:val="single" w:sz="4" w:space="0" w:color="BFBFBF"/>
              <w:right w:val="nil"/>
            </w:tcBorders>
            <w:shd w:val="clear" w:color="auto" w:fill="auto"/>
            <w:noWrap/>
            <w:vAlign w:val="bottom"/>
            <w:hideMark/>
          </w:tcPr>
          <w:p w14:paraId="2341B355"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Emisiones de CO</w:t>
            </w:r>
            <w:r w:rsidRPr="00CD529B">
              <w:rPr>
                <w:rFonts w:ascii="Calibri" w:hAnsi="Calibri" w:cs="Calibri"/>
                <w:color w:val="000000"/>
                <w:sz w:val="15"/>
                <w:szCs w:val="15"/>
                <w:vertAlign w:val="subscript"/>
                <w:lang w:val="es-ES_tradnl" w:eastAsia="es-CO"/>
              </w:rPr>
              <w:t xml:space="preserve">2 </w:t>
            </w:r>
            <w:r w:rsidRPr="00CD529B">
              <w:rPr>
                <w:rFonts w:ascii="Calibri" w:hAnsi="Calibri" w:cs="Calibri"/>
                <w:color w:val="000000"/>
                <w:sz w:val="15"/>
                <w:szCs w:val="15"/>
                <w:lang w:val="es-ES_tradnl" w:eastAsia="es-CO"/>
              </w:rPr>
              <w:t>evitadas (TonCO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w:t>
            </w:r>
          </w:p>
        </w:tc>
        <w:tc>
          <w:tcPr>
            <w:tcW w:w="338" w:type="pct"/>
            <w:tcBorders>
              <w:top w:val="nil"/>
              <w:left w:val="nil"/>
              <w:bottom w:val="single" w:sz="4" w:space="0" w:color="BFBFBF"/>
              <w:right w:val="nil"/>
            </w:tcBorders>
            <w:shd w:val="clear" w:color="auto" w:fill="auto"/>
            <w:noWrap/>
            <w:vAlign w:val="bottom"/>
            <w:hideMark/>
          </w:tcPr>
          <w:p w14:paraId="2341B356"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92" w:type="pct"/>
            <w:tcBorders>
              <w:top w:val="nil"/>
              <w:left w:val="nil"/>
              <w:bottom w:val="single" w:sz="4" w:space="0" w:color="BFBFBF"/>
              <w:right w:val="nil"/>
            </w:tcBorders>
            <w:shd w:val="clear" w:color="auto" w:fill="auto"/>
            <w:noWrap/>
            <w:vAlign w:val="bottom"/>
            <w:hideMark/>
          </w:tcPr>
          <w:p w14:paraId="2341B357"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31.145</w:t>
            </w:r>
          </w:p>
        </w:tc>
        <w:tc>
          <w:tcPr>
            <w:tcW w:w="338" w:type="pct"/>
            <w:tcBorders>
              <w:top w:val="nil"/>
              <w:left w:val="nil"/>
              <w:bottom w:val="single" w:sz="4" w:space="0" w:color="BFBFBF"/>
              <w:right w:val="nil"/>
            </w:tcBorders>
            <w:shd w:val="clear" w:color="auto" w:fill="auto"/>
            <w:noWrap/>
            <w:vAlign w:val="bottom"/>
            <w:hideMark/>
          </w:tcPr>
          <w:p w14:paraId="2341B358"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62.289</w:t>
            </w:r>
          </w:p>
        </w:tc>
        <w:tc>
          <w:tcPr>
            <w:tcW w:w="261" w:type="pct"/>
            <w:tcBorders>
              <w:top w:val="nil"/>
              <w:left w:val="nil"/>
              <w:bottom w:val="single" w:sz="4" w:space="0" w:color="BFBFBF"/>
              <w:right w:val="nil"/>
            </w:tcBorders>
            <w:shd w:val="clear" w:color="auto" w:fill="auto"/>
            <w:noWrap/>
            <w:vAlign w:val="bottom"/>
            <w:hideMark/>
          </w:tcPr>
          <w:p w14:paraId="2341B359"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93.434</w:t>
            </w:r>
          </w:p>
        </w:tc>
        <w:tc>
          <w:tcPr>
            <w:tcW w:w="307" w:type="pct"/>
            <w:tcBorders>
              <w:top w:val="nil"/>
              <w:left w:val="nil"/>
              <w:bottom w:val="single" w:sz="4" w:space="0" w:color="BFBFBF"/>
              <w:right w:val="nil"/>
            </w:tcBorders>
            <w:shd w:val="clear" w:color="auto" w:fill="auto"/>
            <w:noWrap/>
            <w:vAlign w:val="bottom"/>
            <w:hideMark/>
          </w:tcPr>
          <w:p w14:paraId="2341B35A"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124.578</w:t>
            </w:r>
          </w:p>
        </w:tc>
        <w:tc>
          <w:tcPr>
            <w:tcW w:w="261" w:type="pct"/>
            <w:tcBorders>
              <w:top w:val="nil"/>
              <w:left w:val="nil"/>
              <w:bottom w:val="single" w:sz="4" w:space="0" w:color="BFBFBF"/>
              <w:right w:val="nil"/>
            </w:tcBorders>
            <w:shd w:val="clear" w:color="auto" w:fill="auto"/>
            <w:noWrap/>
            <w:vAlign w:val="bottom"/>
            <w:hideMark/>
          </w:tcPr>
          <w:p w14:paraId="2341B35B"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155.723</w:t>
            </w:r>
          </w:p>
        </w:tc>
        <w:tc>
          <w:tcPr>
            <w:tcW w:w="261" w:type="pct"/>
            <w:tcBorders>
              <w:top w:val="nil"/>
              <w:left w:val="nil"/>
              <w:bottom w:val="single" w:sz="4" w:space="0" w:color="BFBFBF"/>
              <w:right w:val="nil"/>
            </w:tcBorders>
            <w:shd w:val="clear" w:color="auto" w:fill="auto"/>
            <w:noWrap/>
            <w:vAlign w:val="bottom"/>
            <w:hideMark/>
          </w:tcPr>
          <w:p w14:paraId="2341B35C"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155.723</w:t>
            </w:r>
          </w:p>
        </w:tc>
        <w:tc>
          <w:tcPr>
            <w:tcW w:w="261" w:type="pct"/>
            <w:tcBorders>
              <w:top w:val="nil"/>
              <w:left w:val="nil"/>
              <w:bottom w:val="single" w:sz="4" w:space="0" w:color="BFBFBF"/>
              <w:right w:val="nil"/>
            </w:tcBorders>
            <w:shd w:val="clear" w:color="auto" w:fill="auto"/>
            <w:noWrap/>
            <w:vAlign w:val="bottom"/>
            <w:hideMark/>
          </w:tcPr>
          <w:p w14:paraId="2341B35D"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155.723</w:t>
            </w:r>
          </w:p>
        </w:tc>
        <w:tc>
          <w:tcPr>
            <w:tcW w:w="261" w:type="pct"/>
            <w:tcBorders>
              <w:top w:val="nil"/>
              <w:left w:val="nil"/>
              <w:bottom w:val="single" w:sz="4" w:space="0" w:color="BFBFBF"/>
              <w:right w:val="nil"/>
            </w:tcBorders>
            <w:shd w:val="clear" w:color="auto" w:fill="auto"/>
            <w:noWrap/>
            <w:vAlign w:val="bottom"/>
            <w:hideMark/>
          </w:tcPr>
          <w:p w14:paraId="2341B35E"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155.723</w:t>
            </w:r>
          </w:p>
        </w:tc>
        <w:tc>
          <w:tcPr>
            <w:tcW w:w="261" w:type="pct"/>
            <w:tcBorders>
              <w:top w:val="nil"/>
              <w:left w:val="nil"/>
              <w:bottom w:val="single" w:sz="4" w:space="0" w:color="BFBFBF"/>
              <w:right w:val="nil"/>
            </w:tcBorders>
            <w:shd w:val="clear" w:color="auto" w:fill="auto"/>
            <w:noWrap/>
            <w:vAlign w:val="bottom"/>
            <w:hideMark/>
          </w:tcPr>
          <w:p w14:paraId="2341B35F"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155.723</w:t>
            </w:r>
          </w:p>
        </w:tc>
        <w:tc>
          <w:tcPr>
            <w:tcW w:w="261" w:type="pct"/>
            <w:tcBorders>
              <w:top w:val="nil"/>
              <w:left w:val="nil"/>
              <w:bottom w:val="single" w:sz="4" w:space="0" w:color="BFBFBF"/>
              <w:right w:val="nil"/>
            </w:tcBorders>
            <w:shd w:val="clear" w:color="auto" w:fill="auto"/>
            <w:noWrap/>
            <w:vAlign w:val="bottom"/>
            <w:hideMark/>
          </w:tcPr>
          <w:p w14:paraId="2341B360"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155.723</w:t>
            </w:r>
          </w:p>
        </w:tc>
        <w:tc>
          <w:tcPr>
            <w:tcW w:w="257" w:type="pct"/>
            <w:tcBorders>
              <w:top w:val="nil"/>
              <w:left w:val="nil"/>
              <w:bottom w:val="single" w:sz="4" w:space="0" w:color="BFBFBF"/>
              <w:right w:val="nil"/>
            </w:tcBorders>
            <w:shd w:val="clear" w:color="auto" w:fill="auto"/>
            <w:noWrap/>
            <w:vAlign w:val="bottom"/>
            <w:hideMark/>
          </w:tcPr>
          <w:p w14:paraId="2341B361"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155.723</w:t>
            </w:r>
          </w:p>
        </w:tc>
      </w:tr>
      <w:tr w:rsidR="00CD529B" w:rsidRPr="0059560B" w14:paraId="2341B370" w14:textId="77777777" w:rsidTr="00564572">
        <w:trPr>
          <w:trHeight w:val="262"/>
        </w:trPr>
        <w:tc>
          <w:tcPr>
            <w:tcW w:w="1641" w:type="pct"/>
            <w:tcBorders>
              <w:top w:val="nil"/>
              <w:left w:val="nil"/>
              <w:bottom w:val="nil"/>
              <w:right w:val="nil"/>
            </w:tcBorders>
            <w:shd w:val="clear" w:color="auto" w:fill="auto"/>
            <w:noWrap/>
            <w:vAlign w:val="bottom"/>
            <w:hideMark/>
          </w:tcPr>
          <w:p w14:paraId="2341B363"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en Tarifa establecimiento comercial ($COP Millones)</w:t>
            </w:r>
          </w:p>
        </w:tc>
        <w:tc>
          <w:tcPr>
            <w:tcW w:w="338" w:type="pct"/>
            <w:tcBorders>
              <w:top w:val="nil"/>
              <w:left w:val="nil"/>
              <w:bottom w:val="nil"/>
              <w:right w:val="nil"/>
            </w:tcBorders>
            <w:shd w:val="clear" w:color="auto" w:fill="auto"/>
            <w:noWrap/>
            <w:vAlign w:val="bottom"/>
            <w:hideMark/>
          </w:tcPr>
          <w:p w14:paraId="2341B364"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92" w:type="pct"/>
            <w:tcBorders>
              <w:top w:val="nil"/>
              <w:left w:val="nil"/>
              <w:bottom w:val="nil"/>
              <w:right w:val="nil"/>
            </w:tcBorders>
            <w:shd w:val="clear" w:color="auto" w:fill="auto"/>
            <w:noWrap/>
            <w:vAlign w:val="bottom"/>
            <w:hideMark/>
          </w:tcPr>
          <w:p w14:paraId="2341B365"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71.243</w:t>
            </w:r>
          </w:p>
        </w:tc>
        <w:tc>
          <w:tcPr>
            <w:tcW w:w="338" w:type="pct"/>
            <w:tcBorders>
              <w:top w:val="nil"/>
              <w:left w:val="nil"/>
              <w:bottom w:val="nil"/>
              <w:right w:val="nil"/>
            </w:tcBorders>
            <w:shd w:val="clear" w:color="auto" w:fill="auto"/>
            <w:noWrap/>
            <w:vAlign w:val="bottom"/>
            <w:hideMark/>
          </w:tcPr>
          <w:p w14:paraId="2341B366"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142.487</w:t>
            </w:r>
          </w:p>
        </w:tc>
        <w:tc>
          <w:tcPr>
            <w:tcW w:w="261" w:type="pct"/>
            <w:tcBorders>
              <w:top w:val="nil"/>
              <w:left w:val="nil"/>
              <w:bottom w:val="nil"/>
              <w:right w:val="nil"/>
            </w:tcBorders>
            <w:shd w:val="clear" w:color="auto" w:fill="auto"/>
            <w:noWrap/>
            <w:vAlign w:val="bottom"/>
            <w:hideMark/>
          </w:tcPr>
          <w:p w14:paraId="2341B367"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213.730</w:t>
            </w:r>
          </w:p>
        </w:tc>
        <w:tc>
          <w:tcPr>
            <w:tcW w:w="307" w:type="pct"/>
            <w:tcBorders>
              <w:top w:val="nil"/>
              <w:left w:val="nil"/>
              <w:bottom w:val="nil"/>
              <w:right w:val="nil"/>
            </w:tcBorders>
            <w:shd w:val="clear" w:color="auto" w:fill="auto"/>
            <w:noWrap/>
            <w:vAlign w:val="bottom"/>
            <w:hideMark/>
          </w:tcPr>
          <w:p w14:paraId="2341B368"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284.973</w:t>
            </w:r>
          </w:p>
        </w:tc>
        <w:tc>
          <w:tcPr>
            <w:tcW w:w="261" w:type="pct"/>
            <w:tcBorders>
              <w:top w:val="nil"/>
              <w:left w:val="nil"/>
              <w:bottom w:val="nil"/>
              <w:right w:val="nil"/>
            </w:tcBorders>
            <w:shd w:val="clear" w:color="auto" w:fill="auto"/>
            <w:noWrap/>
            <w:vAlign w:val="bottom"/>
            <w:hideMark/>
          </w:tcPr>
          <w:p w14:paraId="2341B369"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356.217</w:t>
            </w:r>
          </w:p>
        </w:tc>
        <w:tc>
          <w:tcPr>
            <w:tcW w:w="261" w:type="pct"/>
            <w:tcBorders>
              <w:top w:val="nil"/>
              <w:left w:val="nil"/>
              <w:bottom w:val="nil"/>
              <w:right w:val="nil"/>
            </w:tcBorders>
            <w:shd w:val="clear" w:color="auto" w:fill="auto"/>
            <w:noWrap/>
            <w:vAlign w:val="bottom"/>
            <w:hideMark/>
          </w:tcPr>
          <w:p w14:paraId="2341B36A"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356.217</w:t>
            </w:r>
          </w:p>
        </w:tc>
        <w:tc>
          <w:tcPr>
            <w:tcW w:w="261" w:type="pct"/>
            <w:tcBorders>
              <w:top w:val="nil"/>
              <w:left w:val="nil"/>
              <w:bottom w:val="nil"/>
              <w:right w:val="nil"/>
            </w:tcBorders>
            <w:shd w:val="clear" w:color="auto" w:fill="auto"/>
            <w:noWrap/>
            <w:vAlign w:val="bottom"/>
            <w:hideMark/>
          </w:tcPr>
          <w:p w14:paraId="2341B36B"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356.217</w:t>
            </w:r>
          </w:p>
        </w:tc>
        <w:tc>
          <w:tcPr>
            <w:tcW w:w="261" w:type="pct"/>
            <w:tcBorders>
              <w:top w:val="nil"/>
              <w:left w:val="nil"/>
              <w:bottom w:val="nil"/>
              <w:right w:val="nil"/>
            </w:tcBorders>
            <w:shd w:val="clear" w:color="auto" w:fill="auto"/>
            <w:noWrap/>
            <w:vAlign w:val="bottom"/>
            <w:hideMark/>
          </w:tcPr>
          <w:p w14:paraId="2341B36C"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356.217</w:t>
            </w:r>
          </w:p>
        </w:tc>
        <w:tc>
          <w:tcPr>
            <w:tcW w:w="261" w:type="pct"/>
            <w:tcBorders>
              <w:top w:val="nil"/>
              <w:left w:val="nil"/>
              <w:bottom w:val="nil"/>
              <w:right w:val="nil"/>
            </w:tcBorders>
            <w:shd w:val="clear" w:color="auto" w:fill="auto"/>
            <w:noWrap/>
            <w:vAlign w:val="bottom"/>
            <w:hideMark/>
          </w:tcPr>
          <w:p w14:paraId="2341B36D"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356.217</w:t>
            </w:r>
          </w:p>
        </w:tc>
        <w:tc>
          <w:tcPr>
            <w:tcW w:w="261" w:type="pct"/>
            <w:tcBorders>
              <w:top w:val="nil"/>
              <w:left w:val="nil"/>
              <w:bottom w:val="nil"/>
              <w:right w:val="nil"/>
            </w:tcBorders>
            <w:shd w:val="clear" w:color="auto" w:fill="auto"/>
            <w:noWrap/>
            <w:vAlign w:val="bottom"/>
            <w:hideMark/>
          </w:tcPr>
          <w:p w14:paraId="2341B36E"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356.217</w:t>
            </w:r>
          </w:p>
        </w:tc>
        <w:tc>
          <w:tcPr>
            <w:tcW w:w="257" w:type="pct"/>
            <w:tcBorders>
              <w:top w:val="nil"/>
              <w:left w:val="nil"/>
              <w:bottom w:val="nil"/>
              <w:right w:val="nil"/>
            </w:tcBorders>
            <w:shd w:val="clear" w:color="auto" w:fill="auto"/>
            <w:noWrap/>
            <w:vAlign w:val="bottom"/>
            <w:hideMark/>
          </w:tcPr>
          <w:p w14:paraId="2341B36F"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356.217</w:t>
            </w:r>
          </w:p>
        </w:tc>
      </w:tr>
      <w:tr w:rsidR="00CD529B" w:rsidRPr="0059560B" w14:paraId="2341B37E" w14:textId="77777777" w:rsidTr="00564572">
        <w:trPr>
          <w:trHeight w:val="262"/>
        </w:trPr>
        <w:tc>
          <w:tcPr>
            <w:tcW w:w="1641" w:type="pct"/>
            <w:tcBorders>
              <w:top w:val="nil"/>
              <w:left w:val="nil"/>
              <w:bottom w:val="nil"/>
              <w:right w:val="nil"/>
            </w:tcBorders>
            <w:shd w:val="clear" w:color="auto" w:fill="auto"/>
            <w:noWrap/>
            <w:vAlign w:val="bottom"/>
            <w:hideMark/>
          </w:tcPr>
          <w:p w14:paraId="2341B371"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Menores contribuciones percibidas por GDC ($COP Millones)</w:t>
            </w:r>
          </w:p>
        </w:tc>
        <w:tc>
          <w:tcPr>
            <w:tcW w:w="338" w:type="pct"/>
            <w:tcBorders>
              <w:top w:val="nil"/>
              <w:left w:val="nil"/>
              <w:bottom w:val="nil"/>
              <w:right w:val="nil"/>
            </w:tcBorders>
            <w:shd w:val="clear" w:color="auto" w:fill="auto"/>
            <w:noWrap/>
            <w:vAlign w:val="bottom"/>
            <w:hideMark/>
          </w:tcPr>
          <w:p w14:paraId="2341B372"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92" w:type="pct"/>
            <w:tcBorders>
              <w:top w:val="nil"/>
              <w:left w:val="nil"/>
              <w:bottom w:val="nil"/>
              <w:right w:val="nil"/>
            </w:tcBorders>
            <w:shd w:val="clear" w:color="auto" w:fill="auto"/>
            <w:noWrap/>
            <w:vAlign w:val="bottom"/>
            <w:hideMark/>
          </w:tcPr>
          <w:p w14:paraId="2341B373"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-11.874</w:t>
            </w:r>
          </w:p>
        </w:tc>
        <w:tc>
          <w:tcPr>
            <w:tcW w:w="338" w:type="pct"/>
            <w:tcBorders>
              <w:top w:val="nil"/>
              <w:left w:val="nil"/>
              <w:bottom w:val="nil"/>
              <w:right w:val="nil"/>
            </w:tcBorders>
            <w:shd w:val="clear" w:color="auto" w:fill="auto"/>
            <w:noWrap/>
            <w:vAlign w:val="bottom"/>
            <w:hideMark/>
          </w:tcPr>
          <w:p w14:paraId="2341B374"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-23.748</w:t>
            </w:r>
          </w:p>
        </w:tc>
        <w:tc>
          <w:tcPr>
            <w:tcW w:w="261" w:type="pct"/>
            <w:tcBorders>
              <w:top w:val="nil"/>
              <w:left w:val="nil"/>
              <w:bottom w:val="nil"/>
              <w:right w:val="nil"/>
            </w:tcBorders>
            <w:shd w:val="clear" w:color="auto" w:fill="auto"/>
            <w:noWrap/>
            <w:vAlign w:val="bottom"/>
            <w:hideMark/>
          </w:tcPr>
          <w:p w14:paraId="2341B375"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-35.622</w:t>
            </w:r>
          </w:p>
        </w:tc>
        <w:tc>
          <w:tcPr>
            <w:tcW w:w="307" w:type="pct"/>
            <w:tcBorders>
              <w:top w:val="nil"/>
              <w:left w:val="nil"/>
              <w:bottom w:val="nil"/>
              <w:right w:val="nil"/>
            </w:tcBorders>
            <w:shd w:val="clear" w:color="auto" w:fill="auto"/>
            <w:noWrap/>
            <w:vAlign w:val="bottom"/>
            <w:hideMark/>
          </w:tcPr>
          <w:p w14:paraId="2341B376"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-47.496</w:t>
            </w:r>
          </w:p>
        </w:tc>
        <w:tc>
          <w:tcPr>
            <w:tcW w:w="261" w:type="pct"/>
            <w:tcBorders>
              <w:top w:val="nil"/>
              <w:left w:val="nil"/>
              <w:bottom w:val="nil"/>
              <w:right w:val="nil"/>
            </w:tcBorders>
            <w:shd w:val="clear" w:color="auto" w:fill="auto"/>
            <w:noWrap/>
            <w:vAlign w:val="bottom"/>
            <w:hideMark/>
          </w:tcPr>
          <w:p w14:paraId="2341B377"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-59.369</w:t>
            </w:r>
          </w:p>
        </w:tc>
        <w:tc>
          <w:tcPr>
            <w:tcW w:w="261" w:type="pct"/>
            <w:tcBorders>
              <w:top w:val="nil"/>
              <w:left w:val="nil"/>
              <w:bottom w:val="nil"/>
              <w:right w:val="nil"/>
            </w:tcBorders>
            <w:shd w:val="clear" w:color="auto" w:fill="auto"/>
            <w:noWrap/>
            <w:vAlign w:val="bottom"/>
            <w:hideMark/>
          </w:tcPr>
          <w:p w14:paraId="2341B378"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-59.369</w:t>
            </w:r>
          </w:p>
        </w:tc>
        <w:tc>
          <w:tcPr>
            <w:tcW w:w="261" w:type="pct"/>
            <w:tcBorders>
              <w:top w:val="nil"/>
              <w:left w:val="nil"/>
              <w:bottom w:val="nil"/>
              <w:right w:val="nil"/>
            </w:tcBorders>
            <w:shd w:val="clear" w:color="auto" w:fill="auto"/>
            <w:noWrap/>
            <w:vAlign w:val="bottom"/>
            <w:hideMark/>
          </w:tcPr>
          <w:p w14:paraId="2341B379"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-59.369</w:t>
            </w:r>
          </w:p>
        </w:tc>
        <w:tc>
          <w:tcPr>
            <w:tcW w:w="261" w:type="pct"/>
            <w:tcBorders>
              <w:top w:val="nil"/>
              <w:left w:val="nil"/>
              <w:bottom w:val="nil"/>
              <w:right w:val="nil"/>
            </w:tcBorders>
            <w:shd w:val="clear" w:color="auto" w:fill="auto"/>
            <w:noWrap/>
            <w:vAlign w:val="bottom"/>
            <w:hideMark/>
          </w:tcPr>
          <w:p w14:paraId="2341B37A"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-59.369</w:t>
            </w:r>
          </w:p>
        </w:tc>
        <w:tc>
          <w:tcPr>
            <w:tcW w:w="261" w:type="pct"/>
            <w:tcBorders>
              <w:top w:val="nil"/>
              <w:left w:val="nil"/>
              <w:bottom w:val="nil"/>
              <w:right w:val="nil"/>
            </w:tcBorders>
            <w:shd w:val="clear" w:color="auto" w:fill="auto"/>
            <w:noWrap/>
            <w:vAlign w:val="bottom"/>
            <w:hideMark/>
          </w:tcPr>
          <w:p w14:paraId="2341B37B"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-59.369</w:t>
            </w:r>
          </w:p>
        </w:tc>
        <w:tc>
          <w:tcPr>
            <w:tcW w:w="261" w:type="pct"/>
            <w:tcBorders>
              <w:top w:val="nil"/>
              <w:left w:val="nil"/>
              <w:bottom w:val="nil"/>
              <w:right w:val="nil"/>
            </w:tcBorders>
            <w:shd w:val="clear" w:color="auto" w:fill="auto"/>
            <w:noWrap/>
            <w:vAlign w:val="bottom"/>
            <w:hideMark/>
          </w:tcPr>
          <w:p w14:paraId="2341B37C"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-59.369</w:t>
            </w:r>
          </w:p>
        </w:tc>
        <w:tc>
          <w:tcPr>
            <w:tcW w:w="257" w:type="pct"/>
            <w:tcBorders>
              <w:top w:val="nil"/>
              <w:left w:val="nil"/>
              <w:bottom w:val="nil"/>
              <w:right w:val="nil"/>
            </w:tcBorders>
            <w:shd w:val="clear" w:color="auto" w:fill="auto"/>
            <w:noWrap/>
            <w:vAlign w:val="bottom"/>
            <w:hideMark/>
          </w:tcPr>
          <w:p w14:paraId="2341B37D"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-59.369</w:t>
            </w:r>
          </w:p>
        </w:tc>
      </w:tr>
      <w:tr w:rsidR="00CD529B" w:rsidRPr="0059560B" w14:paraId="2341B38C" w14:textId="77777777" w:rsidTr="00564572">
        <w:trPr>
          <w:trHeight w:val="262"/>
        </w:trPr>
        <w:tc>
          <w:tcPr>
            <w:tcW w:w="1641" w:type="pct"/>
            <w:tcBorders>
              <w:top w:val="nil"/>
              <w:left w:val="nil"/>
              <w:bottom w:val="nil"/>
              <w:right w:val="nil"/>
            </w:tcBorders>
            <w:shd w:val="clear" w:color="auto" w:fill="auto"/>
            <w:noWrap/>
            <w:vAlign w:val="bottom"/>
            <w:hideMark/>
          </w:tcPr>
          <w:p w14:paraId="2341B37F"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($COP Millones)</w:t>
            </w:r>
          </w:p>
        </w:tc>
        <w:tc>
          <w:tcPr>
            <w:tcW w:w="338" w:type="pct"/>
            <w:tcBorders>
              <w:top w:val="nil"/>
              <w:left w:val="nil"/>
              <w:bottom w:val="nil"/>
              <w:right w:val="nil"/>
            </w:tcBorders>
            <w:shd w:val="clear" w:color="auto" w:fill="auto"/>
            <w:noWrap/>
            <w:vAlign w:val="bottom"/>
            <w:hideMark/>
          </w:tcPr>
          <w:p w14:paraId="2341B380"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92" w:type="pct"/>
            <w:tcBorders>
              <w:top w:val="nil"/>
              <w:left w:val="nil"/>
              <w:bottom w:val="nil"/>
              <w:right w:val="nil"/>
            </w:tcBorders>
            <w:shd w:val="clear" w:color="auto" w:fill="auto"/>
            <w:noWrap/>
            <w:vAlign w:val="bottom"/>
            <w:hideMark/>
          </w:tcPr>
          <w:p w14:paraId="2341B381"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562</w:t>
            </w:r>
          </w:p>
        </w:tc>
        <w:tc>
          <w:tcPr>
            <w:tcW w:w="338" w:type="pct"/>
            <w:tcBorders>
              <w:top w:val="nil"/>
              <w:left w:val="nil"/>
              <w:bottom w:val="nil"/>
              <w:right w:val="nil"/>
            </w:tcBorders>
            <w:shd w:val="clear" w:color="auto" w:fill="auto"/>
            <w:noWrap/>
            <w:vAlign w:val="bottom"/>
            <w:hideMark/>
          </w:tcPr>
          <w:p w14:paraId="2341B382"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1.123</w:t>
            </w:r>
          </w:p>
        </w:tc>
        <w:tc>
          <w:tcPr>
            <w:tcW w:w="261" w:type="pct"/>
            <w:tcBorders>
              <w:top w:val="nil"/>
              <w:left w:val="nil"/>
              <w:bottom w:val="nil"/>
              <w:right w:val="nil"/>
            </w:tcBorders>
            <w:shd w:val="clear" w:color="auto" w:fill="auto"/>
            <w:noWrap/>
            <w:vAlign w:val="bottom"/>
            <w:hideMark/>
          </w:tcPr>
          <w:p w14:paraId="2341B383"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1.685</w:t>
            </w:r>
          </w:p>
        </w:tc>
        <w:tc>
          <w:tcPr>
            <w:tcW w:w="307" w:type="pct"/>
            <w:tcBorders>
              <w:top w:val="nil"/>
              <w:left w:val="nil"/>
              <w:bottom w:val="nil"/>
              <w:right w:val="nil"/>
            </w:tcBorders>
            <w:shd w:val="clear" w:color="auto" w:fill="auto"/>
            <w:noWrap/>
            <w:vAlign w:val="bottom"/>
            <w:hideMark/>
          </w:tcPr>
          <w:p w14:paraId="2341B384"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2.246</w:t>
            </w:r>
          </w:p>
        </w:tc>
        <w:tc>
          <w:tcPr>
            <w:tcW w:w="261" w:type="pct"/>
            <w:tcBorders>
              <w:top w:val="nil"/>
              <w:left w:val="nil"/>
              <w:bottom w:val="nil"/>
              <w:right w:val="nil"/>
            </w:tcBorders>
            <w:shd w:val="clear" w:color="auto" w:fill="auto"/>
            <w:noWrap/>
            <w:vAlign w:val="bottom"/>
            <w:hideMark/>
          </w:tcPr>
          <w:p w14:paraId="2341B385"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2.808</w:t>
            </w:r>
          </w:p>
        </w:tc>
        <w:tc>
          <w:tcPr>
            <w:tcW w:w="261" w:type="pct"/>
            <w:tcBorders>
              <w:top w:val="nil"/>
              <w:left w:val="nil"/>
              <w:bottom w:val="nil"/>
              <w:right w:val="nil"/>
            </w:tcBorders>
            <w:shd w:val="clear" w:color="auto" w:fill="auto"/>
            <w:noWrap/>
            <w:vAlign w:val="bottom"/>
            <w:hideMark/>
          </w:tcPr>
          <w:p w14:paraId="2341B386"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2.808</w:t>
            </w:r>
          </w:p>
        </w:tc>
        <w:tc>
          <w:tcPr>
            <w:tcW w:w="261" w:type="pct"/>
            <w:tcBorders>
              <w:top w:val="nil"/>
              <w:left w:val="nil"/>
              <w:bottom w:val="nil"/>
              <w:right w:val="nil"/>
            </w:tcBorders>
            <w:shd w:val="clear" w:color="auto" w:fill="auto"/>
            <w:noWrap/>
            <w:vAlign w:val="bottom"/>
            <w:hideMark/>
          </w:tcPr>
          <w:p w14:paraId="2341B387"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2.808</w:t>
            </w:r>
          </w:p>
        </w:tc>
        <w:tc>
          <w:tcPr>
            <w:tcW w:w="261" w:type="pct"/>
            <w:tcBorders>
              <w:top w:val="nil"/>
              <w:left w:val="nil"/>
              <w:bottom w:val="nil"/>
              <w:right w:val="nil"/>
            </w:tcBorders>
            <w:shd w:val="clear" w:color="auto" w:fill="auto"/>
            <w:noWrap/>
            <w:vAlign w:val="bottom"/>
            <w:hideMark/>
          </w:tcPr>
          <w:p w14:paraId="2341B388"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2.808</w:t>
            </w:r>
          </w:p>
        </w:tc>
        <w:tc>
          <w:tcPr>
            <w:tcW w:w="261" w:type="pct"/>
            <w:tcBorders>
              <w:top w:val="nil"/>
              <w:left w:val="nil"/>
              <w:bottom w:val="nil"/>
              <w:right w:val="nil"/>
            </w:tcBorders>
            <w:shd w:val="clear" w:color="auto" w:fill="auto"/>
            <w:noWrap/>
            <w:vAlign w:val="bottom"/>
            <w:hideMark/>
          </w:tcPr>
          <w:p w14:paraId="2341B389"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2.808</w:t>
            </w:r>
          </w:p>
        </w:tc>
        <w:tc>
          <w:tcPr>
            <w:tcW w:w="261" w:type="pct"/>
            <w:tcBorders>
              <w:top w:val="nil"/>
              <w:left w:val="nil"/>
              <w:bottom w:val="nil"/>
              <w:right w:val="nil"/>
            </w:tcBorders>
            <w:shd w:val="clear" w:color="auto" w:fill="auto"/>
            <w:noWrap/>
            <w:vAlign w:val="bottom"/>
            <w:hideMark/>
          </w:tcPr>
          <w:p w14:paraId="2341B38A"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2.808</w:t>
            </w:r>
          </w:p>
        </w:tc>
        <w:tc>
          <w:tcPr>
            <w:tcW w:w="257" w:type="pct"/>
            <w:tcBorders>
              <w:top w:val="nil"/>
              <w:left w:val="nil"/>
              <w:bottom w:val="nil"/>
              <w:right w:val="nil"/>
            </w:tcBorders>
            <w:shd w:val="clear" w:color="auto" w:fill="auto"/>
            <w:noWrap/>
            <w:vAlign w:val="bottom"/>
            <w:hideMark/>
          </w:tcPr>
          <w:p w14:paraId="2341B38B"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2.808</w:t>
            </w:r>
          </w:p>
        </w:tc>
      </w:tr>
      <w:tr w:rsidR="00CD529B" w:rsidRPr="0059560B" w14:paraId="2341B39A" w14:textId="77777777" w:rsidTr="00564572">
        <w:trPr>
          <w:trHeight w:val="262"/>
        </w:trPr>
        <w:tc>
          <w:tcPr>
            <w:tcW w:w="1641" w:type="pct"/>
            <w:tcBorders>
              <w:top w:val="nil"/>
              <w:left w:val="nil"/>
              <w:bottom w:val="single" w:sz="4" w:space="0" w:color="auto"/>
              <w:right w:val="nil"/>
            </w:tcBorders>
            <w:shd w:val="clear" w:color="auto" w:fill="auto"/>
            <w:noWrap/>
            <w:vAlign w:val="bottom"/>
            <w:hideMark/>
          </w:tcPr>
          <w:p w14:paraId="2341B38D"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planta de generación evitada ($COP Millones)</w:t>
            </w:r>
          </w:p>
        </w:tc>
        <w:tc>
          <w:tcPr>
            <w:tcW w:w="338" w:type="pct"/>
            <w:tcBorders>
              <w:top w:val="nil"/>
              <w:left w:val="nil"/>
              <w:bottom w:val="single" w:sz="4" w:space="0" w:color="auto"/>
              <w:right w:val="nil"/>
            </w:tcBorders>
            <w:shd w:val="clear" w:color="auto" w:fill="auto"/>
            <w:noWrap/>
            <w:vAlign w:val="bottom"/>
            <w:hideMark/>
          </w:tcPr>
          <w:p w14:paraId="2341B38E"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92" w:type="pct"/>
            <w:tcBorders>
              <w:top w:val="nil"/>
              <w:left w:val="nil"/>
              <w:bottom w:val="single" w:sz="4" w:space="0" w:color="auto"/>
              <w:right w:val="nil"/>
            </w:tcBorders>
            <w:shd w:val="clear" w:color="auto" w:fill="auto"/>
            <w:noWrap/>
            <w:vAlign w:val="bottom"/>
            <w:hideMark/>
          </w:tcPr>
          <w:p w14:paraId="2341B38F"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338" w:type="pct"/>
            <w:tcBorders>
              <w:top w:val="nil"/>
              <w:left w:val="nil"/>
              <w:bottom w:val="single" w:sz="4" w:space="0" w:color="auto"/>
              <w:right w:val="nil"/>
            </w:tcBorders>
            <w:shd w:val="clear" w:color="auto" w:fill="auto"/>
            <w:noWrap/>
            <w:vAlign w:val="bottom"/>
            <w:hideMark/>
          </w:tcPr>
          <w:p w14:paraId="2341B390"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auto"/>
              <w:right w:val="nil"/>
            </w:tcBorders>
            <w:shd w:val="clear" w:color="auto" w:fill="auto"/>
            <w:noWrap/>
            <w:vAlign w:val="bottom"/>
            <w:hideMark/>
          </w:tcPr>
          <w:p w14:paraId="2341B391"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307" w:type="pct"/>
            <w:tcBorders>
              <w:top w:val="nil"/>
              <w:left w:val="nil"/>
              <w:bottom w:val="single" w:sz="4" w:space="0" w:color="auto"/>
              <w:right w:val="nil"/>
            </w:tcBorders>
            <w:shd w:val="clear" w:color="auto" w:fill="auto"/>
            <w:noWrap/>
            <w:vAlign w:val="bottom"/>
            <w:hideMark/>
          </w:tcPr>
          <w:p w14:paraId="2341B392"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1.449.172</w:t>
            </w:r>
          </w:p>
        </w:tc>
        <w:tc>
          <w:tcPr>
            <w:tcW w:w="261" w:type="pct"/>
            <w:tcBorders>
              <w:top w:val="nil"/>
              <w:left w:val="nil"/>
              <w:bottom w:val="single" w:sz="4" w:space="0" w:color="auto"/>
              <w:right w:val="nil"/>
            </w:tcBorders>
            <w:shd w:val="clear" w:color="auto" w:fill="auto"/>
            <w:noWrap/>
            <w:vAlign w:val="bottom"/>
            <w:hideMark/>
          </w:tcPr>
          <w:p w14:paraId="2341B393"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auto"/>
              <w:right w:val="nil"/>
            </w:tcBorders>
            <w:shd w:val="clear" w:color="auto" w:fill="auto"/>
            <w:noWrap/>
            <w:vAlign w:val="bottom"/>
            <w:hideMark/>
          </w:tcPr>
          <w:p w14:paraId="2341B394"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auto"/>
              <w:right w:val="nil"/>
            </w:tcBorders>
            <w:shd w:val="clear" w:color="auto" w:fill="auto"/>
            <w:noWrap/>
            <w:vAlign w:val="bottom"/>
            <w:hideMark/>
          </w:tcPr>
          <w:p w14:paraId="2341B395"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auto"/>
              <w:right w:val="nil"/>
            </w:tcBorders>
            <w:shd w:val="clear" w:color="auto" w:fill="auto"/>
            <w:noWrap/>
            <w:vAlign w:val="bottom"/>
            <w:hideMark/>
          </w:tcPr>
          <w:p w14:paraId="2341B396"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auto"/>
              <w:right w:val="nil"/>
            </w:tcBorders>
            <w:shd w:val="clear" w:color="auto" w:fill="auto"/>
            <w:noWrap/>
            <w:vAlign w:val="bottom"/>
            <w:hideMark/>
          </w:tcPr>
          <w:p w14:paraId="2341B397"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single" w:sz="4" w:space="0" w:color="auto"/>
              <w:right w:val="nil"/>
            </w:tcBorders>
            <w:shd w:val="clear" w:color="auto" w:fill="auto"/>
            <w:noWrap/>
            <w:vAlign w:val="bottom"/>
            <w:hideMark/>
          </w:tcPr>
          <w:p w14:paraId="2341B398"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57" w:type="pct"/>
            <w:tcBorders>
              <w:top w:val="nil"/>
              <w:left w:val="nil"/>
              <w:bottom w:val="single" w:sz="4" w:space="0" w:color="auto"/>
              <w:right w:val="nil"/>
            </w:tcBorders>
            <w:shd w:val="clear" w:color="auto" w:fill="auto"/>
            <w:noWrap/>
            <w:vAlign w:val="bottom"/>
            <w:hideMark/>
          </w:tcPr>
          <w:p w14:paraId="2341B399"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r>
      <w:tr w:rsidR="00CD529B" w:rsidRPr="0059560B" w14:paraId="2341B3A8" w14:textId="77777777" w:rsidTr="00564572">
        <w:trPr>
          <w:trHeight w:val="262"/>
        </w:trPr>
        <w:tc>
          <w:tcPr>
            <w:tcW w:w="1641" w:type="pct"/>
            <w:tcBorders>
              <w:top w:val="nil"/>
              <w:left w:val="nil"/>
              <w:bottom w:val="single" w:sz="4" w:space="0" w:color="auto"/>
              <w:right w:val="nil"/>
            </w:tcBorders>
            <w:shd w:val="clear" w:color="auto" w:fill="auto"/>
            <w:noWrap/>
            <w:vAlign w:val="bottom"/>
            <w:hideMark/>
          </w:tcPr>
          <w:p w14:paraId="2341B39B" w14:textId="77777777" w:rsidR="00CD529B" w:rsidRPr="0059560B" w:rsidRDefault="00CD529B" w:rsidP="00564572">
            <w:pPr>
              <w:ind w:firstLineChars="100" w:firstLine="150"/>
              <w:rPr>
                <w:rFonts w:ascii="Calibri" w:hAnsi="Calibri" w:cs="Calibri"/>
                <w:color w:val="000000"/>
                <w:sz w:val="15"/>
                <w:szCs w:val="15"/>
                <w:lang w:eastAsia="es-CO"/>
              </w:rPr>
            </w:pPr>
            <w:r w:rsidRPr="0059560B">
              <w:rPr>
                <w:rFonts w:ascii="Calibri" w:hAnsi="Calibri" w:cs="Calibri"/>
                <w:color w:val="000000"/>
                <w:sz w:val="15"/>
                <w:szCs w:val="15"/>
                <w:lang w:eastAsia="es-CO"/>
              </w:rPr>
              <w:t>Total Beneficios ($COP Millones)</w:t>
            </w:r>
          </w:p>
        </w:tc>
        <w:tc>
          <w:tcPr>
            <w:tcW w:w="338" w:type="pct"/>
            <w:tcBorders>
              <w:top w:val="nil"/>
              <w:left w:val="nil"/>
              <w:bottom w:val="single" w:sz="4" w:space="0" w:color="auto"/>
              <w:right w:val="nil"/>
            </w:tcBorders>
            <w:shd w:val="clear" w:color="auto" w:fill="auto"/>
            <w:noWrap/>
            <w:vAlign w:val="bottom"/>
            <w:hideMark/>
          </w:tcPr>
          <w:p w14:paraId="2341B39C" w14:textId="77777777" w:rsidR="00CD529B" w:rsidRPr="0059560B" w:rsidRDefault="00CD529B" w:rsidP="00564572">
            <w:pPr>
              <w:rPr>
                <w:rFonts w:ascii="Calibri" w:hAnsi="Calibri" w:cs="Calibri"/>
                <w:color w:val="000000"/>
                <w:sz w:val="15"/>
                <w:szCs w:val="15"/>
                <w:lang w:eastAsia="es-CO"/>
              </w:rPr>
            </w:pPr>
            <w:r w:rsidRPr="0059560B">
              <w:rPr>
                <w:rFonts w:ascii="Calibri" w:hAnsi="Calibri" w:cs="Calibri"/>
                <w:color w:val="000000"/>
                <w:sz w:val="15"/>
                <w:szCs w:val="15"/>
                <w:lang w:eastAsia="es-CO"/>
              </w:rPr>
              <w:t> </w:t>
            </w:r>
          </w:p>
        </w:tc>
        <w:tc>
          <w:tcPr>
            <w:tcW w:w="292" w:type="pct"/>
            <w:tcBorders>
              <w:top w:val="nil"/>
              <w:left w:val="nil"/>
              <w:bottom w:val="single" w:sz="4" w:space="0" w:color="auto"/>
              <w:right w:val="nil"/>
            </w:tcBorders>
            <w:shd w:val="clear" w:color="auto" w:fill="auto"/>
            <w:noWrap/>
            <w:vAlign w:val="bottom"/>
            <w:hideMark/>
          </w:tcPr>
          <w:p w14:paraId="2341B39D"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59.931</w:t>
            </w:r>
          </w:p>
        </w:tc>
        <w:tc>
          <w:tcPr>
            <w:tcW w:w="338" w:type="pct"/>
            <w:tcBorders>
              <w:top w:val="nil"/>
              <w:left w:val="nil"/>
              <w:bottom w:val="single" w:sz="4" w:space="0" w:color="auto"/>
              <w:right w:val="nil"/>
            </w:tcBorders>
            <w:shd w:val="clear" w:color="auto" w:fill="auto"/>
            <w:noWrap/>
            <w:vAlign w:val="bottom"/>
            <w:hideMark/>
          </w:tcPr>
          <w:p w14:paraId="2341B39E"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119.862</w:t>
            </w:r>
          </w:p>
        </w:tc>
        <w:tc>
          <w:tcPr>
            <w:tcW w:w="261" w:type="pct"/>
            <w:tcBorders>
              <w:top w:val="nil"/>
              <w:left w:val="nil"/>
              <w:bottom w:val="single" w:sz="4" w:space="0" w:color="auto"/>
              <w:right w:val="nil"/>
            </w:tcBorders>
            <w:shd w:val="clear" w:color="auto" w:fill="auto"/>
            <w:noWrap/>
            <w:vAlign w:val="bottom"/>
            <w:hideMark/>
          </w:tcPr>
          <w:p w14:paraId="2341B39F"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179.793</w:t>
            </w:r>
          </w:p>
        </w:tc>
        <w:tc>
          <w:tcPr>
            <w:tcW w:w="307" w:type="pct"/>
            <w:tcBorders>
              <w:top w:val="nil"/>
              <w:left w:val="nil"/>
              <w:bottom w:val="single" w:sz="4" w:space="0" w:color="auto"/>
              <w:right w:val="nil"/>
            </w:tcBorders>
            <w:shd w:val="clear" w:color="auto" w:fill="auto"/>
            <w:noWrap/>
            <w:vAlign w:val="bottom"/>
            <w:hideMark/>
          </w:tcPr>
          <w:p w14:paraId="2341B3A0"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1.688.896</w:t>
            </w:r>
          </w:p>
        </w:tc>
        <w:tc>
          <w:tcPr>
            <w:tcW w:w="261" w:type="pct"/>
            <w:tcBorders>
              <w:top w:val="nil"/>
              <w:left w:val="nil"/>
              <w:bottom w:val="single" w:sz="4" w:space="0" w:color="auto"/>
              <w:right w:val="nil"/>
            </w:tcBorders>
            <w:shd w:val="clear" w:color="auto" w:fill="auto"/>
            <w:noWrap/>
            <w:vAlign w:val="bottom"/>
            <w:hideMark/>
          </w:tcPr>
          <w:p w14:paraId="2341B3A1"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2341B3A2"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2341B3A3"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2341B3A4"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2341B3A5"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2341B3A6"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57" w:type="pct"/>
            <w:tcBorders>
              <w:top w:val="nil"/>
              <w:left w:val="nil"/>
              <w:bottom w:val="single" w:sz="4" w:space="0" w:color="auto"/>
              <w:right w:val="nil"/>
            </w:tcBorders>
            <w:shd w:val="clear" w:color="auto" w:fill="auto"/>
            <w:noWrap/>
            <w:vAlign w:val="bottom"/>
            <w:hideMark/>
          </w:tcPr>
          <w:p w14:paraId="2341B3A7"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299.655</w:t>
            </w:r>
          </w:p>
        </w:tc>
      </w:tr>
      <w:tr w:rsidR="00CD529B" w:rsidRPr="0059560B" w14:paraId="2341B3B6" w14:textId="77777777" w:rsidTr="00564572">
        <w:trPr>
          <w:trHeight w:val="262"/>
        </w:trPr>
        <w:tc>
          <w:tcPr>
            <w:tcW w:w="1641" w:type="pct"/>
            <w:tcBorders>
              <w:top w:val="nil"/>
              <w:left w:val="nil"/>
              <w:bottom w:val="nil"/>
              <w:right w:val="nil"/>
            </w:tcBorders>
            <w:shd w:val="clear" w:color="auto" w:fill="auto"/>
            <w:noWrap/>
            <w:vAlign w:val="bottom"/>
            <w:hideMark/>
          </w:tcPr>
          <w:p w14:paraId="2341B3A9" w14:textId="77777777" w:rsidR="00CD529B" w:rsidRPr="0059560B" w:rsidRDefault="00CD529B" w:rsidP="00564572">
            <w:pPr>
              <w:rPr>
                <w:rFonts w:ascii="Calibri" w:hAnsi="Calibri" w:cs="Calibri"/>
                <w:b/>
                <w:bCs/>
                <w:color w:val="000000"/>
                <w:sz w:val="15"/>
                <w:szCs w:val="15"/>
                <w:lang w:eastAsia="es-CO"/>
              </w:rPr>
            </w:pPr>
            <w:r w:rsidRPr="0059560B">
              <w:rPr>
                <w:rFonts w:ascii="Calibri" w:hAnsi="Calibri" w:cs="Calibri"/>
                <w:b/>
                <w:bCs/>
                <w:color w:val="000000"/>
                <w:sz w:val="15"/>
                <w:szCs w:val="15"/>
                <w:lang w:eastAsia="es-CO"/>
              </w:rPr>
              <w:t>Inversión y Costos</w:t>
            </w:r>
          </w:p>
        </w:tc>
        <w:tc>
          <w:tcPr>
            <w:tcW w:w="338" w:type="pct"/>
            <w:tcBorders>
              <w:top w:val="nil"/>
              <w:left w:val="nil"/>
              <w:bottom w:val="nil"/>
              <w:right w:val="nil"/>
            </w:tcBorders>
            <w:shd w:val="clear" w:color="auto" w:fill="auto"/>
            <w:noWrap/>
            <w:vAlign w:val="bottom"/>
            <w:hideMark/>
          </w:tcPr>
          <w:p w14:paraId="2341B3AA" w14:textId="77777777" w:rsidR="00CD529B" w:rsidRPr="0059560B" w:rsidRDefault="00CD529B" w:rsidP="00564572">
            <w:pPr>
              <w:rPr>
                <w:rFonts w:ascii="Calibri" w:hAnsi="Calibri" w:cs="Calibri"/>
                <w:b/>
                <w:bCs/>
                <w:color w:val="000000"/>
                <w:sz w:val="15"/>
                <w:szCs w:val="15"/>
                <w:lang w:eastAsia="es-CO"/>
              </w:rPr>
            </w:pPr>
          </w:p>
        </w:tc>
        <w:tc>
          <w:tcPr>
            <w:tcW w:w="292" w:type="pct"/>
            <w:tcBorders>
              <w:top w:val="nil"/>
              <w:left w:val="nil"/>
              <w:bottom w:val="nil"/>
              <w:right w:val="nil"/>
            </w:tcBorders>
            <w:shd w:val="clear" w:color="auto" w:fill="auto"/>
            <w:noWrap/>
            <w:vAlign w:val="bottom"/>
            <w:hideMark/>
          </w:tcPr>
          <w:p w14:paraId="2341B3AB" w14:textId="77777777" w:rsidR="00CD529B" w:rsidRPr="008C001B" w:rsidRDefault="00CD529B" w:rsidP="00564572">
            <w:pPr>
              <w:rPr>
                <w:sz w:val="15"/>
                <w:szCs w:val="15"/>
                <w:lang w:eastAsia="es-CO"/>
              </w:rPr>
            </w:pPr>
          </w:p>
        </w:tc>
        <w:tc>
          <w:tcPr>
            <w:tcW w:w="338" w:type="pct"/>
            <w:tcBorders>
              <w:top w:val="nil"/>
              <w:left w:val="nil"/>
              <w:bottom w:val="nil"/>
              <w:right w:val="nil"/>
            </w:tcBorders>
            <w:shd w:val="clear" w:color="auto" w:fill="auto"/>
            <w:noWrap/>
            <w:vAlign w:val="bottom"/>
            <w:hideMark/>
          </w:tcPr>
          <w:p w14:paraId="2341B3AC"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AD" w14:textId="77777777" w:rsidR="00CD529B" w:rsidRPr="008C001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3AE"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AF"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B0"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B1"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B2"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B3" w14:textId="77777777" w:rsidR="00CD529B" w:rsidRPr="008C001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B4" w14:textId="77777777" w:rsidR="00CD529B" w:rsidRPr="008C001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3B5" w14:textId="77777777" w:rsidR="00CD529B" w:rsidRPr="008C001B" w:rsidRDefault="00CD529B" w:rsidP="00564572">
            <w:pPr>
              <w:rPr>
                <w:sz w:val="15"/>
                <w:szCs w:val="15"/>
                <w:lang w:eastAsia="es-CO"/>
              </w:rPr>
            </w:pPr>
          </w:p>
        </w:tc>
      </w:tr>
      <w:tr w:rsidR="00CD529B" w:rsidRPr="0059560B" w14:paraId="2341B3C4" w14:textId="77777777" w:rsidTr="00564572">
        <w:trPr>
          <w:trHeight w:val="262"/>
        </w:trPr>
        <w:tc>
          <w:tcPr>
            <w:tcW w:w="1641" w:type="pct"/>
            <w:tcBorders>
              <w:top w:val="nil"/>
              <w:left w:val="nil"/>
              <w:bottom w:val="nil"/>
              <w:right w:val="nil"/>
            </w:tcBorders>
            <w:shd w:val="clear" w:color="auto" w:fill="auto"/>
            <w:noWrap/>
            <w:vAlign w:val="bottom"/>
            <w:hideMark/>
          </w:tcPr>
          <w:p w14:paraId="2341B3B7"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Inversión en aires acondicionados eficientes</w:t>
            </w:r>
          </w:p>
        </w:tc>
        <w:tc>
          <w:tcPr>
            <w:tcW w:w="338" w:type="pct"/>
            <w:tcBorders>
              <w:top w:val="nil"/>
              <w:left w:val="nil"/>
              <w:bottom w:val="nil"/>
              <w:right w:val="nil"/>
            </w:tcBorders>
            <w:shd w:val="clear" w:color="auto" w:fill="auto"/>
            <w:noWrap/>
            <w:vAlign w:val="bottom"/>
            <w:hideMark/>
          </w:tcPr>
          <w:p w14:paraId="2341B3B8"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92" w:type="pct"/>
            <w:tcBorders>
              <w:top w:val="nil"/>
              <w:left w:val="nil"/>
              <w:bottom w:val="nil"/>
              <w:right w:val="nil"/>
            </w:tcBorders>
            <w:shd w:val="clear" w:color="auto" w:fill="auto"/>
            <w:noWrap/>
            <w:vAlign w:val="bottom"/>
            <w:hideMark/>
          </w:tcPr>
          <w:p w14:paraId="2341B3B9"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338" w:type="pct"/>
            <w:tcBorders>
              <w:top w:val="nil"/>
              <w:left w:val="nil"/>
              <w:bottom w:val="nil"/>
              <w:right w:val="nil"/>
            </w:tcBorders>
            <w:shd w:val="clear" w:color="auto" w:fill="auto"/>
            <w:noWrap/>
            <w:vAlign w:val="bottom"/>
            <w:hideMark/>
          </w:tcPr>
          <w:p w14:paraId="2341B3BA"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261" w:type="pct"/>
            <w:tcBorders>
              <w:top w:val="nil"/>
              <w:left w:val="nil"/>
              <w:bottom w:val="nil"/>
              <w:right w:val="nil"/>
            </w:tcBorders>
            <w:shd w:val="clear" w:color="auto" w:fill="auto"/>
            <w:noWrap/>
            <w:vAlign w:val="bottom"/>
            <w:hideMark/>
          </w:tcPr>
          <w:p w14:paraId="2341B3BB"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307" w:type="pct"/>
            <w:tcBorders>
              <w:top w:val="nil"/>
              <w:left w:val="nil"/>
              <w:bottom w:val="nil"/>
              <w:right w:val="nil"/>
            </w:tcBorders>
            <w:shd w:val="clear" w:color="auto" w:fill="auto"/>
            <w:noWrap/>
            <w:vAlign w:val="bottom"/>
            <w:hideMark/>
          </w:tcPr>
          <w:p w14:paraId="2341B3BC"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261" w:type="pct"/>
            <w:tcBorders>
              <w:top w:val="nil"/>
              <w:left w:val="nil"/>
              <w:bottom w:val="nil"/>
              <w:right w:val="nil"/>
            </w:tcBorders>
            <w:shd w:val="clear" w:color="auto" w:fill="auto"/>
            <w:noWrap/>
            <w:vAlign w:val="bottom"/>
            <w:hideMark/>
          </w:tcPr>
          <w:p w14:paraId="2341B3BD"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261" w:type="pct"/>
            <w:tcBorders>
              <w:top w:val="nil"/>
              <w:left w:val="nil"/>
              <w:bottom w:val="nil"/>
              <w:right w:val="nil"/>
            </w:tcBorders>
            <w:shd w:val="clear" w:color="auto" w:fill="auto"/>
            <w:noWrap/>
            <w:vAlign w:val="bottom"/>
            <w:hideMark/>
          </w:tcPr>
          <w:p w14:paraId="2341B3BE"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341B3BF"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341B3C0"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341B3C1"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nil"/>
              <w:left w:val="nil"/>
              <w:bottom w:val="nil"/>
              <w:right w:val="nil"/>
            </w:tcBorders>
            <w:shd w:val="clear" w:color="auto" w:fill="auto"/>
            <w:noWrap/>
            <w:vAlign w:val="bottom"/>
            <w:hideMark/>
          </w:tcPr>
          <w:p w14:paraId="2341B3C2"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57" w:type="pct"/>
            <w:tcBorders>
              <w:top w:val="nil"/>
              <w:left w:val="nil"/>
              <w:bottom w:val="nil"/>
              <w:right w:val="nil"/>
            </w:tcBorders>
            <w:shd w:val="clear" w:color="auto" w:fill="auto"/>
            <w:noWrap/>
            <w:vAlign w:val="bottom"/>
            <w:hideMark/>
          </w:tcPr>
          <w:p w14:paraId="2341B3C3"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r>
      <w:tr w:rsidR="00CD529B" w:rsidRPr="0059560B" w14:paraId="2341B3D2" w14:textId="77777777" w:rsidTr="00564572">
        <w:trPr>
          <w:trHeight w:val="262"/>
        </w:trPr>
        <w:tc>
          <w:tcPr>
            <w:tcW w:w="1641" w:type="pct"/>
            <w:tcBorders>
              <w:top w:val="single" w:sz="4" w:space="0" w:color="auto"/>
              <w:left w:val="nil"/>
              <w:bottom w:val="single" w:sz="4" w:space="0" w:color="auto"/>
              <w:right w:val="nil"/>
            </w:tcBorders>
            <w:shd w:val="clear" w:color="auto" w:fill="auto"/>
            <w:noWrap/>
            <w:vAlign w:val="bottom"/>
            <w:hideMark/>
          </w:tcPr>
          <w:p w14:paraId="2341B3C5"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Total Inversión y Costos ($COP Millones)</w:t>
            </w:r>
          </w:p>
        </w:tc>
        <w:tc>
          <w:tcPr>
            <w:tcW w:w="338" w:type="pct"/>
            <w:tcBorders>
              <w:top w:val="single" w:sz="4" w:space="0" w:color="auto"/>
              <w:left w:val="nil"/>
              <w:bottom w:val="single" w:sz="4" w:space="0" w:color="auto"/>
              <w:right w:val="nil"/>
            </w:tcBorders>
            <w:shd w:val="clear" w:color="auto" w:fill="auto"/>
            <w:noWrap/>
            <w:vAlign w:val="bottom"/>
            <w:hideMark/>
          </w:tcPr>
          <w:p w14:paraId="2341B3C6"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92" w:type="pct"/>
            <w:tcBorders>
              <w:top w:val="single" w:sz="4" w:space="0" w:color="auto"/>
              <w:left w:val="nil"/>
              <w:bottom w:val="single" w:sz="4" w:space="0" w:color="auto"/>
              <w:right w:val="nil"/>
            </w:tcBorders>
            <w:shd w:val="clear" w:color="auto" w:fill="auto"/>
            <w:noWrap/>
            <w:vAlign w:val="bottom"/>
            <w:hideMark/>
          </w:tcPr>
          <w:p w14:paraId="2341B3C7"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338" w:type="pct"/>
            <w:tcBorders>
              <w:top w:val="single" w:sz="4" w:space="0" w:color="auto"/>
              <w:left w:val="nil"/>
              <w:bottom w:val="single" w:sz="4" w:space="0" w:color="auto"/>
              <w:right w:val="nil"/>
            </w:tcBorders>
            <w:shd w:val="clear" w:color="auto" w:fill="auto"/>
            <w:noWrap/>
            <w:vAlign w:val="bottom"/>
            <w:hideMark/>
          </w:tcPr>
          <w:p w14:paraId="2341B3C8"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261" w:type="pct"/>
            <w:tcBorders>
              <w:top w:val="single" w:sz="4" w:space="0" w:color="auto"/>
              <w:left w:val="nil"/>
              <w:bottom w:val="single" w:sz="4" w:space="0" w:color="auto"/>
              <w:right w:val="nil"/>
            </w:tcBorders>
            <w:shd w:val="clear" w:color="auto" w:fill="auto"/>
            <w:noWrap/>
            <w:vAlign w:val="bottom"/>
            <w:hideMark/>
          </w:tcPr>
          <w:p w14:paraId="2341B3C9"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307" w:type="pct"/>
            <w:tcBorders>
              <w:top w:val="single" w:sz="4" w:space="0" w:color="auto"/>
              <w:left w:val="nil"/>
              <w:bottom w:val="single" w:sz="4" w:space="0" w:color="auto"/>
              <w:right w:val="nil"/>
            </w:tcBorders>
            <w:shd w:val="clear" w:color="auto" w:fill="auto"/>
            <w:noWrap/>
            <w:vAlign w:val="bottom"/>
            <w:hideMark/>
          </w:tcPr>
          <w:p w14:paraId="2341B3CA"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261" w:type="pct"/>
            <w:tcBorders>
              <w:top w:val="single" w:sz="4" w:space="0" w:color="auto"/>
              <w:left w:val="nil"/>
              <w:bottom w:val="single" w:sz="4" w:space="0" w:color="auto"/>
              <w:right w:val="nil"/>
            </w:tcBorders>
            <w:shd w:val="clear" w:color="auto" w:fill="auto"/>
            <w:noWrap/>
            <w:vAlign w:val="bottom"/>
            <w:hideMark/>
          </w:tcPr>
          <w:p w14:paraId="2341B3CB"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175.748</w:t>
            </w:r>
          </w:p>
        </w:tc>
        <w:tc>
          <w:tcPr>
            <w:tcW w:w="261" w:type="pct"/>
            <w:tcBorders>
              <w:top w:val="single" w:sz="4" w:space="0" w:color="auto"/>
              <w:left w:val="nil"/>
              <w:bottom w:val="single" w:sz="4" w:space="0" w:color="auto"/>
              <w:right w:val="nil"/>
            </w:tcBorders>
            <w:shd w:val="clear" w:color="auto" w:fill="auto"/>
            <w:noWrap/>
            <w:vAlign w:val="bottom"/>
            <w:hideMark/>
          </w:tcPr>
          <w:p w14:paraId="2341B3CC"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single" w:sz="4" w:space="0" w:color="auto"/>
              <w:left w:val="nil"/>
              <w:bottom w:val="single" w:sz="4" w:space="0" w:color="auto"/>
              <w:right w:val="nil"/>
            </w:tcBorders>
            <w:shd w:val="clear" w:color="auto" w:fill="auto"/>
            <w:noWrap/>
            <w:vAlign w:val="bottom"/>
            <w:hideMark/>
          </w:tcPr>
          <w:p w14:paraId="2341B3CD"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single" w:sz="4" w:space="0" w:color="auto"/>
              <w:left w:val="nil"/>
              <w:bottom w:val="single" w:sz="4" w:space="0" w:color="auto"/>
              <w:right w:val="nil"/>
            </w:tcBorders>
            <w:shd w:val="clear" w:color="auto" w:fill="auto"/>
            <w:noWrap/>
            <w:vAlign w:val="bottom"/>
            <w:hideMark/>
          </w:tcPr>
          <w:p w14:paraId="2341B3CE"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single" w:sz="4" w:space="0" w:color="auto"/>
              <w:left w:val="nil"/>
              <w:bottom w:val="single" w:sz="4" w:space="0" w:color="auto"/>
              <w:right w:val="nil"/>
            </w:tcBorders>
            <w:shd w:val="clear" w:color="auto" w:fill="auto"/>
            <w:noWrap/>
            <w:vAlign w:val="bottom"/>
            <w:hideMark/>
          </w:tcPr>
          <w:p w14:paraId="2341B3CF"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61" w:type="pct"/>
            <w:tcBorders>
              <w:top w:val="single" w:sz="4" w:space="0" w:color="auto"/>
              <w:left w:val="nil"/>
              <w:bottom w:val="single" w:sz="4" w:space="0" w:color="auto"/>
              <w:right w:val="nil"/>
            </w:tcBorders>
            <w:shd w:val="clear" w:color="auto" w:fill="auto"/>
            <w:noWrap/>
            <w:vAlign w:val="bottom"/>
            <w:hideMark/>
          </w:tcPr>
          <w:p w14:paraId="2341B3D0"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c>
          <w:tcPr>
            <w:tcW w:w="257" w:type="pct"/>
            <w:tcBorders>
              <w:top w:val="single" w:sz="4" w:space="0" w:color="auto"/>
              <w:left w:val="nil"/>
              <w:bottom w:val="single" w:sz="4" w:space="0" w:color="auto"/>
              <w:right w:val="nil"/>
            </w:tcBorders>
            <w:shd w:val="clear" w:color="auto" w:fill="auto"/>
            <w:noWrap/>
            <w:vAlign w:val="bottom"/>
            <w:hideMark/>
          </w:tcPr>
          <w:p w14:paraId="2341B3D1"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0</w:t>
            </w:r>
          </w:p>
        </w:tc>
      </w:tr>
      <w:tr w:rsidR="00CD529B" w:rsidRPr="0059560B" w14:paraId="2341B3E0" w14:textId="77777777" w:rsidTr="00564572">
        <w:trPr>
          <w:trHeight w:val="262"/>
        </w:trPr>
        <w:tc>
          <w:tcPr>
            <w:tcW w:w="1641" w:type="pct"/>
            <w:tcBorders>
              <w:top w:val="nil"/>
              <w:left w:val="nil"/>
              <w:bottom w:val="single" w:sz="4" w:space="0" w:color="auto"/>
              <w:right w:val="nil"/>
            </w:tcBorders>
            <w:shd w:val="clear" w:color="auto" w:fill="auto"/>
            <w:noWrap/>
            <w:vAlign w:val="bottom"/>
            <w:hideMark/>
          </w:tcPr>
          <w:p w14:paraId="2341B3D3" w14:textId="77777777" w:rsidR="00CD529B" w:rsidRPr="0059560B" w:rsidRDefault="00CD529B" w:rsidP="00564572">
            <w:pPr>
              <w:rPr>
                <w:rFonts w:ascii="Calibri" w:hAnsi="Calibri" w:cs="Calibri"/>
                <w:b/>
                <w:bCs/>
                <w:color w:val="000000"/>
                <w:sz w:val="15"/>
                <w:szCs w:val="15"/>
                <w:lang w:eastAsia="es-CO"/>
              </w:rPr>
            </w:pPr>
            <w:r w:rsidRPr="0059560B">
              <w:rPr>
                <w:rFonts w:ascii="Calibri" w:hAnsi="Calibri" w:cs="Calibri"/>
                <w:b/>
                <w:bCs/>
                <w:color w:val="000000"/>
                <w:sz w:val="15"/>
                <w:szCs w:val="15"/>
                <w:lang w:eastAsia="es-CO"/>
              </w:rPr>
              <w:t>Flujo Neto</w:t>
            </w:r>
          </w:p>
        </w:tc>
        <w:tc>
          <w:tcPr>
            <w:tcW w:w="338" w:type="pct"/>
            <w:tcBorders>
              <w:top w:val="nil"/>
              <w:left w:val="nil"/>
              <w:bottom w:val="single" w:sz="4" w:space="0" w:color="auto"/>
              <w:right w:val="nil"/>
            </w:tcBorders>
            <w:shd w:val="clear" w:color="auto" w:fill="auto"/>
            <w:noWrap/>
            <w:vAlign w:val="bottom"/>
            <w:hideMark/>
          </w:tcPr>
          <w:p w14:paraId="2341B3D4" w14:textId="77777777" w:rsidR="00CD529B" w:rsidRPr="0059560B" w:rsidRDefault="00CD529B" w:rsidP="00564572">
            <w:pPr>
              <w:rPr>
                <w:rFonts w:ascii="Calibri" w:hAnsi="Calibri" w:cs="Calibri"/>
                <w:color w:val="000000"/>
                <w:sz w:val="15"/>
                <w:szCs w:val="15"/>
                <w:lang w:eastAsia="es-CO"/>
              </w:rPr>
            </w:pPr>
            <w:r w:rsidRPr="0059560B">
              <w:rPr>
                <w:rFonts w:ascii="Calibri" w:hAnsi="Calibri" w:cs="Calibri"/>
                <w:color w:val="000000"/>
                <w:sz w:val="15"/>
                <w:szCs w:val="15"/>
                <w:lang w:eastAsia="es-CO"/>
              </w:rPr>
              <w:t> </w:t>
            </w:r>
          </w:p>
        </w:tc>
        <w:tc>
          <w:tcPr>
            <w:tcW w:w="292" w:type="pct"/>
            <w:tcBorders>
              <w:top w:val="nil"/>
              <w:left w:val="nil"/>
              <w:bottom w:val="single" w:sz="4" w:space="0" w:color="auto"/>
              <w:right w:val="nil"/>
            </w:tcBorders>
            <w:shd w:val="clear" w:color="auto" w:fill="auto"/>
            <w:noWrap/>
            <w:vAlign w:val="bottom"/>
            <w:hideMark/>
          </w:tcPr>
          <w:p w14:paraId="2341B3D5"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-115.817</w:t>
            </w:r>
          </w:p>
        </w:tc>
        <w:tc>
          <w:tcPr>
            <w:tcW w:w="338" w:type="pct"/>
            <w:tcBorders>
              <w:top w:val="nil"/>
              <w:left w:val="nil"/>
              <w:bottom w:val="single" w:sz="4" w:space="0" w:color="auto"/>
              <w:right w:val="nil"/>
            </w:tcBorders>
            <w:shd w:val="clear" w:color="auto" w:fill="auto"/>
            <w:noWrap/>
            <w:vAlign w:val="bottom"/>
            <w:hideMark/>
          </w:tcPr>
          <w:p w14:paraId="2341B3D6"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-55.886</w:t>
            </w:r>
          </w:p>
        </w:tc>
        <w:tc>
          <w:tcPr>
            <w:tcW w:w="261" w:type="pct"/>
            <w:tcBorders>
              <w:top w:val="nil"/>
              <w:left w:val="nil"/>
              <w:bottom w:val="single" w:sz="4" w:space="0" w:color="auto"/>
              <w:right w:val="nil"/>
            </w:tcBorders>
            <w:shd w:val="clear" w:color="auto" w:fill="auto"/>
            <w:noWrap/>
            <w:vAlign w:val="bottom"/>
            <w:hideMark/>
          </w:tcPr>
          <w:p w14:paraId="2341B3D7"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4.045</w:t>
            </w:r>
          </w:p>
        </w:tc>
        <w:tc>
          <w:tcPr>
            <w:tcW w:w="307" w:type="pct"/>
            <w:tcBorders>
              <w:top w:val="nil"/>
              <w:left w:val="nil"/>
              <w:bottom w:val="single" w:sz="4" w:space="0" w:color="auto"/>
              <w:right w:val="nil"/>
            </w:tcBorders>
            <w:shd w:val="clear" w:color="auto" w:fill="auto"/>
            <w:noWrap/>
            <w:vAlign w:val="bottom"/>
            <w:hideMark/>
          </w:tcPr>
          <w:p w14:paraId="2341B3D8"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1.513.148</w:t>
            </w:r>
          </w:p>
        </w:tc>
        <w:tc>
          <w:tcPr>
            <w:tcW w:w="261" w:type="pct"/>
            <w:tcBorders>
              <w:top w:val="nil"/>
              <w:left w:val="nil"/>
              <w:bottom w:val="single" w:sz="4" w:space="0" w:color="auto"/>
              <w:right w:val="nil"/>
            </w:tcBorders>
            <w:shd w:val="clear" w:color="auto" w:fill="auto"/>
            <w:noWrap/>
            <w:vAlign w:val="bottom"/>
            <w:hideMark/>
          </w:tcPr>
          <w:p w14:paraId="2341B3D9"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123.907</w:t>
            </w:r>
          </w:p>
        </w:tc>
        <w:tc>
          <w:tcPr>
            <w:tcW w:w="261" w:type="pct"/>
            <w:tcBorders>
              <w:top w:val="nil"/>
              <w:left w:val="nil"/>
              <w:bottom w:val="single" w:sz="4" w:space="0" w:color="auto"/>
              <w:right w:val="nil"/>
            </w:tcBorders>
            <w:shd w:val="clear" w:color="auto" w:fill="auto"/>
            <w:noWrap/>
            <w:vAlign w:val="bottom"/>
            <w:hideMark/>
          </w:tcPr>
          <w:p w14:paraId="2341B3DA"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2341B3DB"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2341B3DC"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2341B3DD"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61" w:type="pct"/>
            <w:tcBorders>
              <w:top w:val="nil"/>
              <w:left w:val="nil"/>
              <w:bottom w:val="single" w:sz="4" w:space="0" w:color="auto"/>
              <w:right w:val="nil"/>
            </w:tcBorders>
            <w:shd w:val="clear" w:color="auto" w:fill="auto"/>
            <w:noWrap/>
            <w:vAlign w:val="bottom"/>
            <w:hideMark/>
          </w:tcPr>
          <w:p w14:paraId="2341B3DE"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299.655</w:t>
            </w:r>
          </w:p>
        </w:tc>
        <w:tc>
          <w:tcPr>
            <w:tcW w:w="257" w:type="pct"/>
            <w:tcBorders>
              <w:top w:val="nil"/>
              <w:left w:val="nil"/>
              <w:bottom w:val="single" w:sz="4" w:space="0" w:color="auto"/>
              <w:right w:val="nil"/>
            </w:tcBorders>
            <w:shd w:val="clear" w:color="auto" w:fill="auto"/>
            <w:noWrap/>
            <w:vAlign w:val="bottom"/>
            <w:hideMark/>
          </w:tcPr>
          <w:p w14:paraId="2341B3DF"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299.655</w:t>
            </w:r>
          </w:p>
        </w:tc>
      </w:tr>
      <w:tr w:rsidR="00CD529B" w:rsidRPr="0059560B" w14:paraId="2341B3EE" w14:textId="77777777" w:rsidTr="00564572">
        <w:trPr>
          <w:trHeight w:val="262"/>
        </w:trPr>
        <w:tc>
          <w:tcPr>
            <w:tcW w:w="1641" w:type="pct"/>
            <w:tcBorders>
              <w:top w:val="nil"/>
              <w:left w:val="nil"/>
              <w:bottom w:val="nil"/>
              <w:right w:val="nil"/>
            </w:tcBorders>
            <w:shd w:val="clear" w:color="auto" w:fill="auto"/>
            <w:noWrap/>
            <w:vAlign w:val="bottom"/>
            <w:hideMark/>
          </w:tcPr>
          <w:p w14:paraId="2341B3E1" w14:textId="77777777" w:rsidR="00CD529B" w:rsidRPr="0059560B" w:rsidRDefault="00CD529B" w:rsidP="00564572">
            <w:pPr>
              <w:jc w:val="right"/>
              <w:rPr>
                <w:rFonts w:ascii="Calibri" w:hAnsi="Calibri" w:cs="Calibri"/>
                <w:color w:val="000000"/>
                <w:sz w:val="15"/>
                <w:szCs w:val="15"/>
                <w:lang w:eastAsia="es-CO"/>
              </w:rPr>
            </w:pPr>
          </w:p>
        </w:tc>
        <w:tc>
          <w:tcPr>
            <w:tcW w:w="338" w:type="pct"/>
            <w:tcBorders>
              <w:top w:val="nil"/>
              <w:left w:val="nil"/>
              <w:bottom w:val="nil"/>
              <w:right w:val="nil"/>
            </w:tcBorders>
            <w:shd w:val="clear" w:color="auto" w:fill="auto"/>
            <w:noWrap/>
            <w:vAlign w:val="bottom"/>
            <w:hideMark/>
          </w:tcPr>
          <w:p w14:paraId="2341B3E2" w14:textId="77777777" w:rsidR="00CD529B" w:rsidRPr="0059560B" w:rsidRDefault="00CD529B" w:rsidP="00564572">
            <w:pPr>
              <w:rPr>
                <w:sz w:val="15"/>
                <w:szCs w:val="15"/>
                <w:lang w:eastAsia="es-CO"/>
              </w:rPr>
            </w:pPr>
          </w:p>
        </w:tc>
        <w:tc>
          <w:tcPr>
            <w:tcW w:w="292" w:type="pct"/>
            <w:tcBorders>
              <w:top w:val="nil"/>
              <w:left w:val="nil"/>
              <w:bottom w:val="nil"/>
              <w:right w:val="nil"/>
            </w:tcBorders>
            <w:shd w:val="clear" w:color="auto" w:fill="auto"/>
            <w:noWrap/>
            <w:vAlign w:val="bottom"/>
            <w:hideMark/>
          </w:tcPr>
          <w:p w14:paraId="2341B3E3" w14:textId="77777777" w:rsidR="00CD529B" w:rsidRPr="0059560B" w:rsidRDefault="00CD529B" w:rsidP="00564572">
            <w:pPr>
              <w:rPr>
                <w:sz w:val="15"/>
                <w:szCs w:val="15"/>
                <w:lang w:eastAsia="es-CO"/>
              </w:rPr>
            </w:pPr>
          </w:p>
        </w:tc>
        <w:tc>
          <w:tcPr>
            <w:tcW w:w="338" w:type="pct"/>
            <w:tcBorders>
              <w:top w:val="nil"/>
              <w:left w:val="nil"/>
              <w:bottom w:val="nil"/>
              <w:right w:val="nil"/>
            </w:tcBorders>
            <w:shd w:val="clear" w:color="auto" w:fill="auto"/>
            <w:noWrap/>
            <w:vAlign w:val="bottom"/>
            <w:hideMark/>
          </w:tcPr>
          <w:p w14:paraId="2341B3E4"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E5" w14:textId="77777777" w:rsidR="00CD529B" w:rsidRPr="0059560B" w:rsidRDefault="00CD529B" w:rsidP="00564572">
            <w:pPr>
              <w:rPr>
                <w:sz w:val="15"/>
                <w:szCs w:val="15"/>
                <w:lang w:eastAsia="es-CO"/>
              </w:rPr>
            </w:pPr>
          </w:p>
        </w:tc>
        <w:tc>
          <w:tcPr>
            <w:tcW w:w="307" w:type="pct"/>
            <w:tcBorders>
              <w:top w:val="nil"/>
              <w:left w:val="nil"/>
              <w:bottom w:val="nil"/>
              <w:right w:val="nil"/>
            </w:tcBorders>
            <w:shd w:val="clear" w:color="auto" w:fill="auto"/>
            <w:noWrap/>
            <w:vAlign w:val="bottom"/>
            <w:hideMark/>
          </w:tcPr>
          <w:p w14:paraId="2341B3E6"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E7"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E8"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E9"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EA"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EB"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EC"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3ED" w14:textId="77777777" w:rsidR="00CD529B" w:rsidRPr="0059560B" w:rsidRDefault="00CD529B" w:rsidP="00564572">
            <w:pPr>
              <w:rPr>
                <w:sz w:val="15"/>
                <w:szCs w:val="15"/>
                <w:lang w:eastAsia="es-CO"/>
              </w:rPr>
            </w:pPr>
          </w:p>
        </w:tc>
      </w:tr>
      <w:tr w:rsidR="00CD529B" w:rsidRPr="0059560B" w14:paraId="2341B3FC" w14:textId="77777777" w:rsidTr="00564572">
        <w:trPr>
          <w:trHeight w:val="262"/>
        </w:trPr>
        <w:tc>
          <w:tcPr>
            <w:tcW w:w="1641" w:type="pct"/>
            <w:tcBorders>
              <w:top w:val="nil"/>
              <w:left w:val="nil"/>
              <w:bottom w:val="nil"/>
              <w:right w:val="nil"/>
            </w:tcBorders>
            <w:shd w:val="clear" w:color="auto" w:fill="auto"/>
            <w:noWrap/>
            <w:vAlign w:val="bottom"/>
            <w:hideMark/>
          </w:tcPr>
          <w:p w14:paraId="2341B3EF" w14:textId="77777777" w:rsidR="00CD529B" w:rsidRPr="0059560B" w:rsidRDefault="00CD529B" w:rsidP="00564572">
            <w:pPr>
              <w:rPr>
                <w:sz w:val="15"/>
                <w:szCs w:val="15"/>
                <w:lang w:eastAsia="es-CO"/>
              </w:rPr>
            </w:pPr>
          </w:p>
        </w:tc>
        <w:tc>
          <w:tcPr>
            <w:tcW w:w="338" w:type="pct"/>
            <w:tcBorders>
              <w:top w:val="single" w:sz="4" w:space="0" w:color="FFFFFF"/>
              <w:left w:val="nil"/>
              <w:bottom w:val="single" w:sz="4" w:space="0" w:color="auto"/>
              <w:right w:val="single" w:sz="4" w:space="0" w:color="FFFFFF"/>
            </w:tcBorders>
            <w:shd w:val="clear" w:color="000000" w:fill="203764"/>
            <w:noWrap/>
            <w:vAlign w:val="bottom"/>
            <w:hideMark/>
          </w:tcPr>
          <w:p w14:paraId="2341B3F0"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Beneficios</w:t>
            </w:r>
          </w:p>
        </w:tc>
        <w:tc>
          <w:tcPr>
            <w:tcW w:w="292" w:type="pct"/>
            <w:tcBorders>
              <w:top w:val="single" w:sz="4" w:space="0" w:color="FFFFFF"/>
              <w:left w:val="nil"/>
              <w:bottom w:val="single" w:sz="4" w:space="0" w:color="auto"/>
              <w:right w:val="single" w:sz="4" w:space="0" w:color="FFFFFF"/>
            </w:tcBorders>
            <w:shd w:val="clear" w:color="000000" w:fill="203764"/>
            <w:noWrap/>
            <w:vAlign w:val="bottom"/>
            <w:hideMark/>
          </w:tcPr>
          <w:p w14:paraId="2341B3F1"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Costos</w:t>
            </w:r>
          </w:p>
        </w:tc>
        <w:tc>
          <w:tcPr>
            <w:tcW w:w="338" w:type="pct"/>
            <w:tcBorders>
              <w:top w:val="single" w:sz="4" w:space="0" w:color="FFFFFF"/>
              <w:left w:val="nil"/>
              <w:bottom w:val="single" w:sz="4" w:space="0" w:color="auto"/>
              <w:right w:val="single" w:sz="4" w:space="0" w:color="FFFFFF"/>
            </w:tcBorders>
            <w:shd w:val="clear" w:color="000000" w:fill="203764"/>
            <w:noWrap/>
            <w:vAlign w:val="bottom"/>
            <w:hideMark/>
          </w:tcPr>
          <w:p w14:paraId="2341B3F2" w14:textId="77777777" w:rsidR="00CD529B" w:rsidRPr="0059560B" w:rsidRDefault="00CD529B" w:rsidP="00564572">
            <w:pPr>
              <w:jc w:val="center"/>
              <w:rPr>
                <w:rFonts w:ascii="Calibri" w:hAnsi="Calibri" w:cs="Calibri"/>
                <w:color w:val="FFFFFF"/>
                <w:sz w:val="15"/>
                <w:szCs w:val="15"/>
                <w:lang w:eastAsia="es-CO"/>
              </w:rPr>
            </w:pPr>
            <w:r w:rsidRPr="0059560B">
              <w:rPr>
                <w:rFonts w:ascii="Calibri" w:hAnsi="Calibri" w:cs="Calibri"/>
                <w:color w:val="FFFFFF"/>
                <w:sz w:val="15"/>
                <w:szCs w:val="15"/>
                <w:lang w:eastAsia="es-CO"/>
              </w:rPr>
              <w:t>Neto</w:t>
            </w:r>
          </w:p>
        </w:tc>
        <w:tc>
          <w:tcPr>
            <w:tcW w:w="261" w:type="pct"/>
            <w:tcBorders>
              <w:top w:val="nil"/>
              <w:left w:val="nil"/>
              <w:bottom w:val="nil"/>
              <w:right w:val="nil"/>
            </w:tcBorders>
            <w:shd w:val="clear" w:color="auto" w:fill="auto"/>
            <w:noWrap/>
            <w:vAlign w:val="bottom"/>
            <w:hideMark/>
          </w:tcPr>
          <w:p w14:paraId="2341B3F3" w14:textId="77777777" w:rsidR="00CD529B" w:rsidRPr="0059560B" w:rsidRDefault="00CD529B" w:rsidP="00564572">
            <w:pPr>
              <w:jc w:val="center"/>
              <w:rPr>
                <w:rFonts w:ascii="Calibri" w:hAnsi="Calibri" w:cs="Calibri"/>
                <w:color w:val="FFFFFF"/>
                <w:sz w:val="15"/>
                <w:szCs w:val="15"/>
                <w:lang w:eastAsia="es-CO"/>
              </w:rPr>
            </w:pPr>
          </w:p>
        </w:tc>
        <w:tc>
          <w:tcPr>
            <w:tcW w:w="307" w:type="pct"/>
            <w:tcBorders>
              <w:top w:val="nil"/>
              <w:left w:val="nil"/>
              <w:bottom w:val="nil"/>
              <w:right w:val="nil"/>
            </w:tcBorders>
            <w:shd w:val="clear" w:color="auto" w:fill="auto"/>
            <w:noWrap/>
            <w:vAlign w:val="bottom"/>
            <w:hideMark/>
          </w:tcPr>
          <w:p w14:paraId="2341B3F4"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F5"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F6"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F7"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F8"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F9"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3FA"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3FB" w14:textId="77777777" w:rsidR="00CD529B" w:rsidRPr="0059560B" w:rsidRDefault="00CD529B" w:rsidP="00564572">
            <w:pPr>
              <w:rPr>
                <w:sz w:val="15"/>
                <w:szCs w:val="15"/>
                <w:lang w:eastAsia="es-CO"/>
              </w:rPr>
            </w:pPr>
          </w:p>
        </w:tc>
      </w:tr>
      <w:tr w:rsidR="00CD529B" w:rsidRPr="0059560B" w14:paraId="2341B40A" w14:textId="77777777" w:rsidTr="00564572">
        <w:trPr>
          <w:trHeight w:val="262"/>
        </w:trPr>
        <w:tc>
          <w:tcPr>
            <w:tcW w:w="1641" w:type="pct"/>
            <w:tcBorders>
              <w:top w:val="single" w:sz="4" w:space="0" w:color="auto"/>
              <w:left w:val="single" w:sz="4" w:space="0" w:color="auto"/>
              <w:bottom w:val="single" w:sz="4" w:space="0" w:color="auto"/>
              <w:right w:val="nil"/>
            </w:tcBorders>
            <w:shd w:val="clear" w:color="000000" w:fill="E2EFDA"/>
            <w:noWrap/>
            <w:vAlign w:val="bottom"/>
            <w:hideMark/>
          </w:tcPr>
          <w:p w14:paraId="2341B3FD" w14:textId="77777777" w:rsidR="00CD529B" w:rsidRPr="0059560B" w:rsidRDefault="00CD529B" w:rsidP="00564572">
            <w:pPr>
              <w:rPr>
                <w:rFonts w:ascii="Calibri" w:hAnsi="Calibri" w:cs="Calibri"/>
                <w:color w:val="000000"/>
                <w:sz w:val="15"/>
                <w:szCs w:val="15"/>
                <w:lang w:eastAsia="es-CO"/>
              </w:rPr>
            </w:pPr>
            <w:r w:rsidRPr="0059560B">
              <w:rPr>
                <w:rFonts w:ascii="Calibri" w:hAnsi="Calibri" w:cs="Calibri"/>
                <w:color w:val="000000"/>
                <w:sz w:val="15"/>
                <w:szCs w:val="15"/>
                <w:lang w:eastAsia="es-CO"/>
              </w:rPr>
              <w:t>VPN dic 2016 ($USD Millones)</w:t>
            </w:r>
          </w:p>
        </w:tc>
        <w:tc>
          <w:tcPr>
            <w:tcW w:w="338" w:type="pct"/>
            <w:tcBorders>
              <w:top w:val="nil"/>
              <w:left w:val="nil"/>
              <w:bottom w:val="single" w:sz="4" w:space="0" w:color="auto"/>
              <w:right w:val="single" w:sz="4" w:space="0" w:color="auto"/>
            </w:tcBorders>
            <w:shd w:val="clear" w:color="000000" w:fill="E2EFDA"/>
            <w:noWrap/>
            <w:vAlign w:val="bottom"/>
            <w:hideMark/>
          </w:tcPr>
          <w:p w14:paraId="2341B3FE"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$740</w:t>
            </w:r>
          </w:p>
        </w:tc>
        <w:tc>
          <w:tcPr>
            <w:tcW w:w="292" w:type="pct"/>
            <w:tcBorders>
              <w:top w:val="nil"/>
              <w:left w:val="nil"/>
              <w:bottom w:val="single" w:sz="4" w:space="0" w:color="auto"/>
              <w:right w:val="single" w:sz="4" w:space="0" w:color="auto"/>
            </w:tcBorders>
            <w:shd w:val="clear" w:color="000000" w:fill="E2EFDA"/>
            <w:noWrap/>
            <w:vAlign w:val="bottom"/>
            <w:hideMark/>
          </w:tcPr>
          <w:p w14:paraId="2341B3FF"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$211</w:t>
            </w:r>
          </w:p>
        </w:tc>
        <w:tc>
          <w:tcPr>
            <w:tcW w:w="338" w:type="pct"/>
            <w:tcBorders>
              <w:top w:val="nil"/>
              <w:left w:val="nil"/>
              <w:bottom w:val="single" w:sz="4" w:space="0" w:color="auto"/>
              <w:right w:val="single" w:sz="4" w:space="0" w:color="auto"/>
            </w:tcBorders>
            <w:shd w:val="clear" w:color="000000" w:fill="E2EFDA"/>
            <w:noWrap/>
            <w:vAlign w:val="bottom"/>
            <w:hideMark/>
          </w:tcPr>
          <w:p w14:paraId="2341B400"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$529</w:t>
            </w:r>
          </w:p>
        </w:tc>
        <w:tc>
          <w:tcPr>
            <w:tcW w:w="261" w:type="pct"/>
            <w:tcBorders>
              <w:top w:val="nil"/>
              <w:left w:val="nil"/>
              <w:bottom w:val="nil"/>
              <w:right w:val="nil"/>
            </w:tcBorders>
            <w:shd w:val="clear" w:color="auto" w:fill="auto"/>
            <w:noWrap/>
            <w:vAlign w:val="bottom"/>
            <w:hideMark/>
          </w:tcPr>
          <w:p w14:paraId="2341B401" w14:textId="77777777" w:rsidR="00CD529B" w:rsidRPr="0059560B" w:rsidRDefault="00CD529B" w:rsidP="00564572">
            <w:pPr>
              <w:jc w:val="right"/>
              <w:rPr>
                <w:rFonts w:ascii="Calibri" w:hAnsi="Calibri" w:cs="Calibri"/>
                <w:color w:val="000000"/>
                <w:sz w:val="15"/>
                <w:szCs w:val="15"/>
                <w:lang w:eastAsia="es-CO"/>
              </w:rPr>
            </w:pPr>
          </w:p>
        </w:tc>
        <w:tc>
          <w:tcPr>
            <w:tcW w:w="307" w:type="pct"/>
            <w:tcBorders>
              <w:top w:val="nil"/>
              <w:left w:val="nil"/>
              <w:bottom w:val="nil"/>
              <w:right w:val="nil"/>
            </w:tcBorders>
            <w:shd w:val="clear" w:color="auto" w:fill="auto"/>
            <w:noWrap/>
            <w:vAlign w:val="bottom"/>
            <w:hideMark/>
          </w:tcPr>
          <w:p w14:paraId="2341B402"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403"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404"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405"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406"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407"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408"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409" w14:textId="77777777" w:rsidR="00CD529B" w:rsidRPr="0059560B" w:rsidRDefault="00CD529B" w:rsidP="00564572">
            <w:pPr>
              <w:rPr>
                <w:sz w:val="15"/>
                <w:szCs w:val="15"/>
                <w:lang w:eastAsia="es-CO"/>
              </w:rPr>
            </w:pPr>
          </w:p>
        </w:tc>
      </w:tr>
      <w:tr w:rsidR="00CD529B" w:rsidRPr="0059560B" w14:paraId="2341B418" w14:textId="77777777" w:rsidTr="00564572">
        <w:trPr>
          <w:trHeight w:val="262"/>
        </w:trPr>
        <w:tc>
          <w:tcPr>
            <w:tcW w:w="1641" w:type="pct"/>
            <w:tcBorders>
              <w:top w:val="nil"/>
              <w:left w:val="single" w:sz="4" w:space="0" w:color="auto"/>
              <w:bottom w:val="single" w:sz="4" w:space="0" w:color="auto"/>
              <w:right w:val="nil"/>
            </w:tcBorders>
            <w:shd w:val="clear" w:color="000000" w:fill="E2EFDA"/>
            <w:noWrap/>
            <w:vAlign w:val="bottom"/>
            <w:hideMark/>
          </w:tcPr>
          <w:p w14:paraId="2341B40B" w14:textId="77777777" w:rsidR="00CD529B" w:rsidRPr="0059560B" w:rsidRDefault="00CD529B" w:rsidP="00564572">
            <w:pPr>
              <w:rPr>
                <w:rFonts w:ascii="Calibri" w:hAnsi="Calibri" w:cs="Calibri"/>
                <w:color w:val="000000"/>
                <w:sz w:val="15"/>
                <w:szCs w:val="15"/>
                <w:lang w:eastAsia="es-CO"/>
              </w:rPr>
            </w:pPr>
            <w:r w:rsidRPr="0059560B">
              <w:rPr>
                <w:rFonts w:ascii="Calibri" w:hAnsi="Calibri" w:cs="Calibri"/>
                <w:color w:val="000000"/>
                <w:sz w:val="15"/>
                <w:szCs w:val="15"/>
                <w:lang w:eastAsia="es-CO"/>
              </w:rPr>
              <w:t>VPN dic 2016 ($COP Millones)</w:t>
            </w:r>
          </w:p>
        </w:tc>
        <w:tc>
          <w:tcPr>
            <w:tcW w:w="338" w:type="pct"/>
            <w:tcBorders>
              <w:top w:val="nil"/>
              <w:left w:val="nil"/>
              <w:bottom w:val="single" w:sz="4" w:space="0" w:color="auto"/>
              <w:right w:val="single" w:sz="4" w:space="0" w:color="auto"/>
            </w:tcBorders>
            <w:shd w:val="clear" w:color="000000" w:fill="E2EFDA"/>
            <w:noWrap/>
            <w:vAlign w:val="bottom"/>
            <w:hideMark/>
          </w:tcPr>
          <w:p w14:paraId="2341B40C"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$2.219.464</w:t>
            </w:r>
          </w:p>
        </w:tc>
        <w:tc>
          <w:tcPr>
            <w:tcW w:w="292" w:type="pct"/>
            <w:tcBorders>
              <w:top w:val="nil"/>
              <w:left w:val="nil"/>
              <w:bottom w:val="single" w:sz="4" w:space="0" w:color="auto"/>
              <w:right w:val="single" w:sz="4" w:space="0" w:color="auto"/>
            </w:tcBorders>
            <w:shd w:val="clear" w:color="000000" w:fill="E2EFDA"/>
            <w:noWrap/>
            <w:vAlign w:val="bottom"/>
            <w:hideMark/>
          </w:tcPr>
          <w:p w14:paraId="2341B40D"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$633.533</w:t>
            </w:r>
          </w:p>
        </w:tc>
        <w:tc>
          <w:tcPr>
            <w:tcW w:w="338" w:type="pct"/>
            <w:tcBorders>
              <w:top w:val="nil"/>
              <w:left w:val="nil"/>
              <w:bottom w:val="single" w:sz="4" w:space="0" w:color="auto"/>
              <w:right w:val="single" w:sz="4" w:space="0" w:color="auto"/>
            </w:tcBorders>
            <w:shd w:val="clear" w:color="000000" w:fill="E2EFDA"/>
            <w:noWrap/>
            <w:vAlign w:val="bottom"/>
            <w:hideMark/>
          </w:tcPr>
          <w:p w14:paraId="2341B40E" w14:textId="77777777" w:rsidR="00CD529B" w:rsidRPr="008C001B" w:rsidRDefault="00CD529B" w:rsidP="00564572">
            <w:pPr>
              <w:jc w:val="right"/>
              <w:rPr>
                <w:rFonts w:ascii="Calibri" w:hAnsi="Calibri" w:cs="Calibri"/>
                <w:color w:val="000000"/>
                <w:sz w:val="15"/>
                <w:szCs w:val="15"/>
                <w:lang w:eastAsia="es-CO"/>
              </w:rPr>
            </w:pPr>
            <w:r w:rsidRPr="008C001B">
              <w:rPr>
                <w:rFonts w:ascii="Calibri" w:hAnsi="Calibri"/>
                <w:color w:val="000000"/>
                <w:sz w:val="15"/>
                <w:szCs w:val="15"/>
              </w:rPr>
              <w:t>$1.585.931</w:t>
            </w:r>
          </w:p>
        </w:tc>
        <w:tc>
          <w:tcPr>
            <w:tcW w:w="261" w:type="pct"/>
            <w:tcBorders>
              <w:top w:val="nil"/>
              <w:left w:val="nil"/>
              <w:bottom w:val="nil"/>
              <w:right w:val="nil"/>
            </w:tcBorders>
            <w:shd w:val="clear" w:color="auto" w:fill="auto"/>
            <w:noWrap/>
            <w:vAlign w:val="bottom"/>
            <w:hideMark/>
          </w:tcPr>
          <w:p w14:paraId="2341B40F" w14:textId="77777777" w:rsidR="00CD529B" w:rsidRPr="0059560B" w:rsidRDefault="00CD529B" w:rsidP="00564572">
            <w:pPr>
              <w:jc w:val="right"/>
              <w:rPr>
                <w:rFonts w:ascii="Calibri" w:hAnsi="Calibri" w:cs="Calibri"/>
                <w:color w:val="000000"/>
                <w:sz w:val="15"/>
                <w:szCs w:val="15"/>
                <w:lang w:eastAsia="es-CO"/>
              </w:rPr>
            </w:pPr>
          </w:p>
        </w:tc>
        <w:tc>
          <w:tcPr>
            <w:tcW w:w="307" w:type="pct"/>
            <w:tcBorders>
              <w:top w:val="nil"/>
              <w:left w:val="nil"/>
              <w:bottom w:val="nil"/>
              <w:right w:val="nil"/>
            </w:tcBorders>
            <w:shd w:val="clear" w:color="auto" w:fill="auto"/>
            <w:noWrap/>
            <w:vAlign w:val="bottom"/>
            <w:hideMark/>
          </w:tcPr>
          <w:p w14:paraId="2341B410"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411"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412"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413"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414"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415" w14:textId="77777777" w:rsidR="00CD529B" w:rsidRPr="0059560B" w:rsidRDefault="00CD529B" w:rsidP="00564572">
            <w:pPr>
              <w:rPr>
                <w:sz w:val="15"/>
                <w:szCs w:val="15"/>
                <w:lang w:eastAsia="es-CO"/>
              </w:rPr>
            </w:pPr>
          </w:p>
        </w:tc>
        <w:tc>
          <w:tcPr>
            <w:tcW w:w="261" w:type="pct"/>
            <w:tcBorders>
              <w:top w:val="nil"/>
              <w:left w:val="nil"/>
              <w:bottom w:val="nil"/>
              <w:right w:val="nil"/>
            </w:tcBorders>
            <w:shd w:val="clear" w:color="auto" w:fill="auto"/>
            <w:noWrap/>
            <w:vAlign w:val="bottom"/>
            <w:hideMark/>
          </w:tcPr>
          <w:p w14:paraId="2341B416" w14:textId="77777777" w:rsidR="00CD529B" w:rsidRPr="0059560B" w:rsidRDefault="00CD529B" w:rsidP="00564572">
            <w:pPr>
              <w:rPr>
                <w:sz w:val="15"/>
                <w:szCs w:val="15"/>
                <w:lang w:eastAsia="es-CO"/>
              </w:rPr>
            </w:pPr>
          </w:p>
        </w:tc>
        <w:tc>
          <w:tcPr>
            <w:tcW w:w="257" w:type="pct"/>
            <w:tcBorders>
              <w:top w:val="nil"/>
              <w:left w:val="nil"/>
              <w:bottom w:val="nil"/>
              <w:right w:val="nil"/>
            </w:tcBorders>
            <w:shd w:val="clear" w:color="auto" w:fill="auto"/>
            <w:noWrap/>
            <w:vAlign w:val="bottom"/>
            <w:hideMark/>
          </w:tcPr>
          <w:p w14:paraId="2341B417" w14:textId="77777777" w:rsidR="00CD529B" w:rsidRPr="0059560B" w:rsidRDefault="00CD529B" w:rsidP="00564572">
            <w:pPr>
              <w:rPr>
                <w:sz w:val="15"/>
                <w:szCs w:val="15"/>
                <w:lang w:eastAsia="es-CO"/>
              </w:rPr>
            </w:pPr>
          </w:p>
        </w:tc>
      </w:tr>
    </w:tbl>
    <w:p w14:paraId="2341B419" w14:textId="77777777" w:rsidR="00CD529B" w:rsidRDefault="00CD529B" w:rsidP="00564572">
      <w:pPr>
        <w:ind w:left="720"/>
        <w:jc w:val="center"/>
        <w:rPr>
          <w:b/>
          <w:lang w:val="es-ES_tradnl"/>
        </w:rPr>
      </w:pPr>
      <w:bookmarkStart w:id="125" w:name="_Toc473268567"/>
      <w:bookmarkStart w:id="126" w:name="_Toc474797073"/>
    </w:p>
    <w:p w14:paraId="2341B41A" w14:textId="77777777" w:rsidR="00CD529B" w:rsidRDefault="00CD529B">
      <w:pPr>
        <w:spacing w:after="200" w:line="276" w:lineRule="auto"/>
        <w:rPr>
          <w:b/>
          <w:lang w:val="es-ES_tradnl"/>
        </w:rPr>
      </w:pPr>
      <w:r>
        <w:rPr>
          <w:b/>
          <w:lang w:val="es-ES_tradnl"/>
        </w:rPr>
        <w:br w:type="page"/>
      </w:r>
    </w:p>
    <w:p w14:paraId="2341B41B" w14:textId="77777777" w:rsidR="00CD529B" w:rsidRDefault="00CD529B" w:rsidP="00564572">
      <w:pPr>
        <w:ind w:left="720"/>
        <w:jc w:val="center"/>
        <w:rPr>
          <w:b/>
          <w:lang w:val="es-ES_tradnl"/>
        </w:rPr>
      </w:pPr>
      <w:r w:rsidRPr="00CD529B">
        <w:rPr>
          <w:b/>
          <w:lang w:val="es-ES_tradnl"/>
        </w:rPr>
        <w:lastRenderedPageBreak/>
        <w:t xml:space="preserve">Tabla </w:t>
      </w:r>
      <w:r w:rsidRPr="008C12BC">
        <w:rPr>
          <w:b/>
        </w:rPr>
        <w:fldChar w:fldCharType="begin"/>
      </w:r>
      <w:r w:rsidRPr="00CD529B">
        <w:rPr>
          <w:b/>
          <w:lang w:val="es-ES_tradnl"/>
        </w:rPr>
        <w:instrText xml:space="preserve"> SEQ Tabla \* ARABIC </w:instrText>
      </w:r>
      <w:r w:rsidRPr="008C12BC">
        <w:rPr>
          <w:b/>
        </w:rPr>
        <w:fldChar w:fldCharType="separate"/>
      </w:r>
      <w:r w:rsidRPr="00CD529B">
        <w:rPr>
          <w:b/>
          <w:noProof/>
          <w:lang w:val="es-ES_tradnl"/>
        </w:rPr>
        <w:t>19</w:t>
      </w:r>
      <w:r w:rsidRPr="008C12BC">
        <w:rPr>
          <w:b/>
        </w:rPr>
        <w:fldChar w:fldCharType="end"/>
      </w:r>
      <w:r w:rsidRPr="00CD529B">
        <w:rPr>
          <w:b/>
          <w:lang w:val="es-ES_tradnl"/>
        </w:rPr>
        <w:t xml:space="preserve"> – Proyección de beneficios y costos para la medida de sustitución de refrigeradores (Sector Comercial)</w:t>
      </w:r>
      <w:bookmarkEnd w:id="125"/>
      <w:bookmarkEnd w:id="126"/>
    </w:p>
    <w:p w14:paraId="2341B41C" w14:textId="77777777" w:rsidR="00CD529B" w:rsidRPr="00CD529B" w:rsidRDefault="00CD529B" w:rsidP="00564572">
      <w:pPr>
        <w:ind w:left="720"/>
        <w:jc w:val="center"/>
        <w:rPr>
          <w:b/>
          <w:lang w:val="es-ES_tradnl"/>
        </w:rPr>
      </w:pPr>
    </w:p>
    <w:tbl>
      <w:tblPr>
        <w:tblW w:w="4989" w:type="pct"/>
        <w:tblCellMar>
          <w:left w:w="70" w:type="dxa"/>
          <w:right w:w="70" w:type="dxa"/>
        </w:tblCellMar>
        <w:tblLook w:val="04A0" w:firstRow="1" w:lastRow="0" w:firstColumn="1" w:lastColumn="0" w:noHBand="0" w:noVBand="1"/>
      </w:tblPr>
      <w:tblGrid>
        <w:gridCol w:w="2746"/>
        <w:gridCol w:w="602"/>
        <w:gridCol w:w="526"/>
        <w:gridCol w:w="557"/>
        <w:gridCol w:w="505"/>
        <w:gridCol w:w="475"/>
        <w:gridCol w:w="505"/>
        <w:gridCol w:w="454"/>
        <w:gridCol w:w="454"/>
        <w:gridCol w:w="454"/>
        <w:gridCol w:w="454"/>
        <w:gridCol w:w="454"/>
        <w:gridCol w:w="454"/>
      </w:tblGrid>
      <w:tr w:rsidR="00CD529B" w:rsidRPr="000F6BEE" w14:paraId="2341B42A" w14:textId="77777777" w:rsidTr="00564572">
        <w:trPr>
          <w:trHeight w:val="265"/>
        </w:trPr>
        <w:tc>
          <w:tcPr>
            <w:tcW w:w="1539" w:type="pct"/>
            <w:tcBorders>
              <w:top w:val="single" w:sz="4" w:space="0" w:color="000000"/>
              <w:left w:val="nil"/>
              <w:bottom w:val="nil"/>
              <w:right w:val="nil"/>
            </w:tcBorders>
            <w:shd w:val="clear" w:color="auto" w:fill="auto"/>
            <w:noWrap/>
            <w:vAlign w:val="bottom"/>
            <w:hideMark/>
          </w:tcPr>
          <w:p w14:paraId="2341B41D"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xml:space="preserve">Consumo por equipo en refrigeración no eficiente  GWh/año </w:t>
            </w:r>
          </w:p>
        </w:tc>
        <w:tc>
          <w:tcPr>
            <w:tcW w:w="318" w:type="pct"/>
            <w:tcBorders>
              <w:top w:val="single" w:sz="4" w:space="0" w:color="000000"/>
              <w:left w:val="nil"/>
              <w:bottom w:val="nil"/>
              <w:right w:val="nil"/>
            </w:tcBorders>
            <w:shd w:val="clear" w:color="auto" w:fill="auto"/>
            <w:noWrap/>
            <w:vAlign w:val="bottom"/>
            <w:hideMark/>
          </w:tcPr>
          <w:p w14:paraId="2341B41E" w14:textId="77777777" w:rsidR="00CD529B" w:rsidRPr="000F6BEE" w:rsidRDefault="00CD529B" w:rsidP="00564572">
            <w:pPr>
              <w:jc w:val="right"/>
              <w:rPr>
                <w:rFonts w:ascii="Calibri" w:hAnsi="Calibri" w:cs="Calibri"/>
                <w:color w:val="0000FF"/>
                <w:sz w:val="15"/>
                <w:szCs w:val="15"/>
                <w:lang w:eastAsia="es-CO"/>
              </w:rPr>
            </w:pPr>
            <w:r w:rsidRPr="000F6BEE">
              <w:rPr>
                <w:rFonts w:ascii="Calibri" w:hAnsi="Calibri" w:cs="Calibri"/>
                <w:color w:val="0000FF"/>
                <w:sz w:val="15"/>
                <w:szCs w:val="15"/>
                <w:lang w:eastAsia="es-CO"/>
              </w:rPr>
              <w:t>0,0021726</w:t>
            </w:r>
          </w:p>
        </w:tc>
        <w:tc>
          <w:tcPr>
            <w:tcW w:w="274" w:type="pct"/>
            <w:tcBorders>
              <w:top w:val="nil"/>
              <w:left w:val="nil"/>
              <w:bottom w:val="nil"/>
              <w:right w:val="nil"/>
            </w:tcBorders>
            <w:shd w:val="clear" w:color="auto" w:fill="auto"/>
            <w:noWrap/>
            <w:vAlign w:val="bottom"/>
            <w:hideMark/>
          </w:tcPr>
          <w:p w14:paraId="2341B41F" w14:textId="77777777" w:rsidR="00CD529B" w:rsidRPr="000F6BEE" w:rsidRDefault="00CD529B" w:rsidP="00564572">
            <w:pPr>
              <w:jc w:val="right"/>
              <w:rPr>
                <w:rFonts w:ascii="Calibri" w:hAnsi="Calibri" w:cs="Calibri"/>
                <w:color w:val="0000FF"/>
                <w:sz w:val="15"/>
                <w:szCs w:val="15"/>
                <w:lang w:eastAsia="es-CO"/>
              </w:rPr>
            </w:pPr>
          </w:p>
        </w:tc>
        <w:tc>
          <w:tcPr>
            <w:tcW w:w="291" w:type="pct"/>
            <w:tcBorders>
              <w:top w:val="nil"/>
              <w:left w:val="nil"/>
              <w:bottom w:val="nil"/>
              <w:right w:val="nil"/>
            </w:tcBorders>
            <w:shd w:val="clear" w:color="auto" w:fill="auto"/>
            <w:noWrap/>
            <w:vAlign w:val="bottom"/>
            <w:hideMark/>
          </w:tcPr>
          <w:p w14:paraId="2341B420" w14:textId="77777777" w:rsidR="00CD529B" w:rsidRPr="000F6BEE"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421"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22"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23"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24"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25"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26"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27" w14:textId="77777777" w:rsidR="00CD529B" w:rsidRPr="000F6BEE"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428" w14:textId="77777777" w:rsidR="00CD529B" w:rsidRPr="000F6BEE"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429" w14:textId="77777777" w:rsidR="00CD529B" w:rsidRPr="000F6BEE" w:rsidRDefault="00CD529B" w:rsidP="00564572">
            <w:pPr>
              <w:rPr>
                <w:sz w:val="15"/>
                <w:szCs w:val="15"/>
                <w:lang w:eastAsia="es-CO"/>
              </w:rPr>
            </w:pPr>
          </w:p>
        </w:tc>
      </w:tr>
      <w:tr w:rsidR="00CD529B" w:rsidRPr="000F6BEE" w14:paraId="2341B438" w14:textId="77777777" w:rsidTr="00564572">
        <w:trPr>
          <w:trHeight w:val="265"/>
        </w:trPr>
        <w:tc>
          <w:tcPr>
            <w:tcW w:w="1539" w:type="pct"/>
            <w:tcBorders>
              <w:top w:val="nil"/>
              <w:left w:val="nil"/>
              <w:bottom w:val="single" w:sz="4" w:space="0" w:color="000000"/>
              <w:right w:val="nil"/>
            </w:tcBorders>
            <w:shd w:val="clear" w:color="auto" w:fill="auto"/>
            <w:noWrap/>
            <w:vAlign w:val="bottom"/>
            <w:hideMark/>
          </w:tcPr>
          <w:p w14:paraId="2341B42B"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xml:space="preserve">Consumo por  rack en refrigeración no eficiente GWh/año </w:t>
            </w:r>
          </w:p>
        </w:tc>
        <w:tc>
          <w:tcPr>
            <w:tcW w:w="318" w:type="pct"/>
            <w:tcBorders>
              <w:top w:val="nil"/>
              <w:left w:val="nil"/>
              <w:bottom w:val="single" w:sz="4" w:space="0" w:color="000000"/>
              <w:right w:val="nil"/>
            </w:tcBorders>
            <w:shd w:val="clear" w:color="auto" w:fill="auto"/>
            <w:noWrap/>
            <w:vAlign w:val="bottom"/>
            <w:hideMark/>
          </w:tcPr>
          <w:p w14:paraId="2341B42C" w14:textId="77777777" w:rsidR="00CD529B" w:rsidRPr="000F6BEE" w:rsidRDefault="00CD529B" w:rsidP="00564572">
            <w:pPr>
              <w:jc w:val="right"/>
              <w:rPr>
                <w:rFonts w:ascii="Calibri" w:hAnsi="Calibri" w:cs="Calibri"/>
                <w:color w:val="0000FF"/>
                <w:sz w:val="15"/>
                <w:szCs w:val="15"/>
                <w:lang w:eastAsia="es-CO"/>
              </w:rPr>
            </w:pPr>
            <w:r w:rsidRPr="000F6BEE">
              <w:rPr>
                <w:rFonts w:ascii="Calibri" w:hAnsi="Calibri" w:cs="Calibri"/>
                <w:color w:val="0000FF"/>
                <w:sz w:val="15"/>
                <w:szCs w:val="15"/>
                <w:lang w:eastAsia="es-CO"/>
              </w:rPr>
              <w:t>0,0298006</w:t>
            </w:r>
          </w:p>
        </w:tc>
        <w:tc>
          <w:tcPr>
            <w:tcW w:w="274" w:type="pct"/>
            <w:tcBorders>
              <w:top w:val="nil"/>
              <w:left w:val="nil"/>
              <w:bottom w:val="nil"/>
              <w:right w:val="nil"/>
            </w:tcBorders>
            <w:shd w:val="clear" w:color="auto" w:fill="auto"/>
            <w:noWrap/>
            <w:vAlign w:val="bottom"/>
            <w:hideMark/>
          </w:tcPr>
          <w:p w14:paraId="2341B42D" w14:textId="77777777" w:rsidR="00CD529B" w:rsidRPr="000F6BEE" w:rsidRDefault="00CD529B" w:rsidP="00564572">
            <w:pPr>
              <w:jc w:val="right"/>
              <w:rPr>
                <w:rFonts w:ascii="Calibri" w:hAnsi="Calibri" w:cs="Calibri"/>
                <w:color w:val="0000FF"/>
                <w:sz w:val="15"/>
                <w:szCs w:val="15"/>
                <w:lang w:eastAsia="es-CO"/>
              </w:rPr>
            </w:pPr>
          </w:p>
        </w:tc>
        <w:tc>
          <w:tcPr>
            <w:tcW w:w="291" w:type="pct"/>
            <w:tcBorders>
              <w:top w:val="nil"/>
              <w:left w:val="nil"/>
              <w:bottom w:val="nil"/>
              <w:right w:val="nil"/>
            </w:tcBorders>
            <w:shd w:val="clear" w:color="auto" w:fill="auto"/>
            <w:noWrap/>
            <w:vAlign w:val="bottom"/>
            <w:hideMark/>
          </w:tcPr>
          <w:p w14:paraId="2341B42E" w14:textId="77777777" w:rsidR="00CD529B" w:rsidRPr="000F6BEE"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42F"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30"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31"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32"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33"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34"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35" w14:textId="77777777" w:rsidR="00CD529B" w:rsidRPr="000F6BEE"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436" w14:textId="77777777" w:rsidR="00CD529B" w:rsidRPr="000F6BEE"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437" w14:textId="77777777" w:rsidR="00CD529B" w:rsidRPr="000F6BEE" w:rsidRDefault="00CD529B" w:rsidP="00564572">
            <w:pPr>
              <w:rPr>
                <w:sz w:val="15"/>
                <w:szCs w:val="15"/>
                <w:lang w:eastAsia="es-CO"/>
              </w:rPr>
            </w:pPr>
          </w:p>
        </w:tc>
      </w:tr>
      <w:tr w:rsidR="00CD529B" w:rsidRPr="000F6BEE" w14:paraId="2341B446" w14:textId="77777777" w:rsidTr="00564572">
        <w:trPr>
          <w:trHeight w:val="265"/>
        </w:trPr>
        <w:tc>
          <w:tcPr>
            <w:tcW w:w="1539" w:type="pct"/>
            <w:tcBorders>
              <w:top w:val="nil"/>
              <w:left w:val="nil"/>
              <w:bottom w:val="nil"/>
              <w:right w:val="nil"/>
            </w:tcBorders>
            <w:shd w:val="clear" w:color="auto" w:fill="auto"/>
            <w:noWrap/>
            <w:vAlign w:val="bottom"/>
            <w:hideMark/>
          </w:tcPr>
          <w:p w14:paraId="2341B439"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Potencial de ahorro por cambio de equipo pequeño o mediano</w:t>
            </w:r>
          </w:p>
        </w:tc>
        <w:tc>
          <w:tcPr>
            <w:tcW w:w="318" w:type="pct"/>
            <w:tcBorders>
              <w:top w:val="nil"/>
              <w:left w:val="nil"/>
              <w:bottom w:val="nil"/>
              <w:right w:val="nil"/>
            </w:tcBorders>
            <w:shd w:val="clear" w:color="auto" w:fill="auto"/>
            <w:noWrap/>
            <w:vAlign w:val="bottom"/>
            <w:hideMark/>
          </w:tcPr>
          <w:p w14:paraId="2341B43A" w14:textId="77777777" w:rsidR="00CD529B" w:rsidRPr="000F6BEE" w:rsidRDefault="00CD529B" w:rsidP="00564572">
            <w:pPr>
              <w:jc w:val="right"/>
              <w:rPr>
                <w:rFonts w:ascii="Calibri" w:hAnsi="Calibri" w:cs="Calibri"/>
                <w:color w:val="0000FF"/>
                <w:sz w:val="15"/>
                <w:szCs w:val="15"/>
                <w:lang w:eastAsia="es-CO"/>
              </w:rPr>
            </w:pPr>
            <w:r w:rsidRPr="000F6BEE">
              <w:rPr>
                <w:rFonts w:ascii="Calibri" w:hAnsi="Calibri" w:cs="Calibri"/>
                <w:color w:val="0000FF"/>
                <w:sz w:val="15"/>
                <w:szCs w:val="15"/>
                <w:lang w:eastAsia="es-CO"/>
              </w:rPr>
              <w:t>30,0%</w:t>
            </w:r>
          </w:p>
        </w:tc>
        <w:tc>
          <w:tcPr>
            <w:tcW w:w="274" w:type="pct"/>
            <w:tcBorders>
              <w:top w:val="nil"/>
              <w:left w:val="nil"/>
              <w:bottom w:val="nil"/>
              <w:right w:val="nil"/>
            </w:tcBorders>
            <w:shd w:val="clear" w:color="auto" w:fill="auto"/>
            <w:noWrap/>
            <w:vAlign w:val="bottom"/>
            <w:hideMark/>
          </w:tcPr>
          <w:p w14:paraId="2341B43B" w14:textId="77777777" w:rsidR="00CD529B" w:rsidRPr="000F6BEE" w:rsidRDefault="00CD529B" w:rsidP="00564572">
            <w:pPr>
              <w:jc w:val="right"/>
              <w:rPr>
                <w:rFonts w:ascii="Calibri" w:hAnsi="Calibri" w:cs="Calibri"/>
                <w:color w:val="0000FF"/>
                <w:sz w:val="15"/>
                <w:szCs w:val="15"/>
                <w:lang w:eastAsia="es-CO"/>
              </w:rPr>
            </w:pPr>
          </w:p>
        </w:tc>
        <w:tc>
          <w:tcPr>
            <w:tcW w:w="291" w:type="pct"/>
            <w:tcBorders>
              <w:top w:val="nil"/>
              <w:left w:val="nil"/>
              <w:bottom w:val="nil"/>
              <w:right w:val="nil"/>
            </w:tcBorders>
            <w:shd w:val="clear" w:color="auto" w:fill="auto"/>
            <w:noWrap/>
            <w:vAlign w:val="bottom"/>
            <w:hideMark/>
          </w:tcPr>
          <w:p w14:paraId="2341B43C" w14:textId="77777777" w:rsidR="00CD529B" w:rsidRPr="000F6BEE"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43D"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3E"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3F"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40"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41"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42"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43" w14:textId="77777777" w:rsidR="00CD529B" w:rsidRPr="000F6BEE"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444" w14:textId="77777777" w:rsidR="00CD529B" w:rsidRPr="000F6BEE"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445" w14:textId="77777777" w:rsidR="00CD529B" w:rsidRPr="000F6BEE" w:rsidRDefault="00CD529B" w:rsidP="00564572">
            <w:pPr>
              <w:rPr>
                <w:sz w:val="15"/>
                <w:szCs w:val="15"/>
                <w:lang w:eastAsia="es-CO"/>
              </w:rPr>
            </w:pPr>
          </w:p>
        </w:tc>
      </w:tr>
      <w:tr w:rsidR="00CD529B" w:rsidRPr="000F6BEE" w14:paraId="2341B454" w14:textId="77777777" w:rsidTr="00564572">
        <w:trPr>
          <w:trHeight w:val="265"/>
        </w:trPr>
        <w:tc>
          <w:tcPr>
            <w:tcW w:w="1539" w:type="pct"/>
            <w:tcBorders>
              <w:top w:val="nil"/>
              <w:left w:val="nil"/>
              <w:bottom w:val="single" w:sz="4" w:space="0" w:color="000000"/>
              <w:right w:val="nil"/>
            </w:tcBorders>
            <w:shd w:val="clear" w:color="auto" w:fill="auto"/>
            <w:noWrap/>
            <w:vAlign w:val="bottom"/>
            <w:hideMark/>
          </w:tcPr>
          <w:p w14:paraId="2341B447"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Potencial de ahorro por cambio de rack de refrigeración</w:t>
            </w:r>
          </w:p>
        </w:tc>
        <w:tc>
          <w:tcPr>
            <w:tcW w:w="318" w:type="pct"/>
            <w:tcBorders>
              <w:top w:val="nil"/>
              <w:left w:val="nil"/>
              <w:bottom w:val="single" w:sz="4" w:space="0" w:color="000000"/>
              <w:right w:val="nil"/>
            </w:tcBorders>
            <w:shd w:val="clear" w:color="auto" w:fill="auto"/>
            <w:noWrap/>
            <w:vAlign w:val="bottom"/>
            <w:hideMark/>
          </w:tcPr>
          <w:p w14:paraId="2341B448" w14:textId="77777777" w:rsidR="00CD529B" w:rsidRPr="000F6BEE" w:rsidRDefault="00CD529B" w:rsidP="00564572">
            <w:pPr>
              <w:jc w:val="right"/>
              <w:rPr>
                <w:rFonts w:ascii="Calibri" w:hAnsi="Calibri" w:cs="Calibri"/>
                <w:color w:val="0000FF"/>
                <w:sz w:val="15"/>
                <w:szCs w:val="15"/>
                <w:lang w:eastAsia="es-CO"/>
              </w:rPr>
            </w:pPr>
            <w:r w:rsidRPr="000F6BEE">
              <w:rPr>
                <w:rFonts w:ascii="Calibri" w:hAnsi="Calibri" w:cs="Calibri"/>
                <w:color w:val="0000FF"/>
                <w:sz w:val="15"/>
                <w:szCs w:val="15"/>
                <w:lang w:eastAsia="es-CO"/>
              </w:rPr>
              <w:t>30,0%</w:t>
            </w:r>
          </w:p>
        </w:tc>
        <w:tc>
          <w:tcPr>
            <w:tcW w:w="274" w:type="pct"/>
            <w:tcBorders>
              <w:top w:val="nil"/>
              <w:left w:val="nil"/>
              <w:bottom w:val="nil"/>
              <w:right w:val="nil"/>
            </w:tcBorders>
            <w:shd w:val="clear" w:color="auto" w:fill="auto"/>
            <w:noWrap/>
            <w:vAlign w:val="bottom"/>
            <w:hideMark/>
          </w:tcPr>
          <w:p w14:paraId="2341B449" w14:textId="77777777" w:rsidR="00CD529B" w:rsidRPr="000F6BEE" w:rsidRDefault="00CD529B" w:rsidP="00564572">
            <w:pPr>
              <w:jc w:val="right"/>
              <w:rPr>
                <w:rFonts w:ascii="Calibri" w:hAnsi="Calibri" w:cs="Calibri"/>
                <w:color w:val="0000FF"/>
                <w:sz w:val="15"/>
                <w:szCs w:val="15"/>
                <w:lang w:eastAsia="es-CO"/>
              </w:rPr>
            </w:pPr>
          </w:p>
        </w:tc>
        <w:tc>
          <w:tcPr>
            <w:tcW w:w="291" w:type="pct"/>
            <w:tcBorders>
              <w:top w:val="nil"/>
              <w:left w:val="nil"/>
              <w:bottom w:val="nil"/>
              <w:right w:val="nil"/>
            </w:tcBorders>
            <w:shd w:val="clear" w:color="auto" w:fill="auto"/>
            <w:noWrap/>
            <w:vAlign w:val="bottom"/>
            <w:hideMark/>
          </w:tcPr>
          <w:p w14:paraId="2341B44A" w14:textId="77777777" w:rsidR="00CD529B" w:rsidRPr="000F6BEE"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44B"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4C"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4D"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4E"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4F"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50"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51" w14:textId="77777777" w:rsidR="00CD529B" w:rsidRPr="000F6BEE"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452" w14:textId="77777777" w:rsidR="00CD529B" w:rsidRPr="000F6BEE"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453" w14:textId="77777777" w:rsidR="00CD529B" w:rsidRPr="000F6BEE" w:rsidRDefault="00CD529B" w:rsidP="00564572">
            <w:pPr>
              <w:rPr>
                <w:sz w:val="15"/>
                <w:szCs w:val="15"/>
                <w:lang w:eastAsia="es-CO"/>
              </w:rPr>
            </w:pPr>
          </w:p>
        </w:tc>
      </w:tr>
      <w:tr w:rsidR="00CD529B" w:rsidRPr="000F6BEE" w14:paraId="2341B462" w14:textId="77777777" w:rsidTr="00564572">
        <w:trPr>
          <w:trHeight w:val="265"/>
        </w:trPr>
        <w:tc>
          <w:tcPr>
            <w:tcW w:w="1539" w:type="pct"/>
            <w:tcBorders>
              <w:top w:val="nil"/>
              <w:left w:val="nil"/>
              <w:bottom w:val="nil"/>
              <w:right w:val="nil"/>
            </w:tcBorders>
            <w:shd w:val="clear" w:color="auto" w:fill="auto"/>
            <w:noWrap/>
            <w:vAlign w:val="bottom"/>
            <w:hideMark/>
          </w:tcPr>
          <w:p w14:paraId="2341B455"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Inversión por equipo pequeño o mediano eficiente ($COP)</w:t>
            </w:r>
          </w:p>
        </w:tc>
        <w:tc>
          <w:tcPr>
            <w:tcW w:w="318" w:type="pct"/>
            <w:tcBorders>
              <w:top w:val="nil"/>
              <w:left w:val="nil"/>
              <w:bottom w:val="nil"/>
              <w:right w:val="nil"/>
            </w:tcBorders>
            <w:shd w:val="clear" w:color="auto" w:fill="auto"/>
            <w:noWrap/>
            <w:vAlign w:val="bottom"/>
            <w:hideMark/>
          </w:tcPr>
          <w:p w14:paraId="2341B456" w14:textId="77777777" w:rsidR="00CD529B" w:rsidRPr="000F6BEE" w:rsidRDefault="00CD529B" w:rsidP="00564572">
            <w:pPr>
              <w:jc w:val="right"/>
              <w:rPr>
                <w:rFonts w:ascii="Calibri" w:hAnsi="Calibri" w:cs="Calibri"/>
                <w:color w:val="0000FF"/>
                <w:sz w:val="15"/>
                <w:szCs w:val="15"/>
                <w:lang w:eastAsia="es-CO"/>
              </w:rPr>
            </w:pPr>
            <w:r w:rsidRPr="000F6BEE">
              <w:rPr>
                <w:rFonts w:ascii="Calibri" w:hAnsi="Calibri" w:cs="Calibri"/>
                <w:color w:val="0000FF"/>
                <w:sz w:val="15"/>
                <w:szCs w:val="15"/>
                <w:lang w:eastAsia="es-CO"/>
              </w:rPr>
              <w:t>2.998.943</w:t>
            </w:r>
          </w:p>
        </w:tc>
        <w:tc>
          <w:tcPr>
            <w:tcW w:w="274" w:type="pct"/>
            <w:tcBorders>
              <w:top w:val="nil"/>
              <w:left w:val="nil"/>
              <w:bottom w:val="nil"/>
              <w:right w:val="nil"/>
            </w:tcBorders>
            <w:shd w:val="clear" w:color="auto" w:fill="auto"/>
            <w:noWrap/>
            <w:vAlign w:val="bottom"/>
            <w:hideMark/>
          </w:tcPr>
          <w:p w14:paraId="2341B457" w14:textId="77777777" w:rsidR="00CD529B" w:rsidRPr="000F6BEE" w:rsidRDefault="00CD529B" w:rsidP="00564572">
            <w:pPr>
              <w:jc w:val="right"/>
              <w:rPr>
                <w:rFonts w:ascii="Calibri" w:hAnsi="Calibri" w:cs="Calibri"/>
                <w:color w:val="0000FF"/>
                <w:sz w:val="15"/>
                <w:szCs w:val="15"/>
                <w:lang w:eastAsia="es-CO"/>
              </w:rPr>
            </w:pPr>
          </w:p>
        </w:tc>
        <w:tc>
          <w:tcPr>
            <w:tcW w:w="291" w:type="pct"/>
            <w:tcBorders>
              <w:top w:val="nil"/>
              <w:left w:val="nil"/>
              <w:bottom w:val="nil"/>
              <w:right w:val="nil"/>
            </w:tcBorders>
            <w:shd w:val="clear" w:color="auto" w:fill="auto"/>
            <w:noWrap/>
            <w:vAlign w:val="bottom"/>
            <w:hideMark/>
          </w:tcPr>
          <w:p w14:paraId="2341B458" w14:textId="77777777" w:rsidR="00CD529B" w:rsidRPr="000F6BEE"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459"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5A"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5B"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5C"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5D"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5E"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5F" w14:textId="77777777" w:rsidR="00CD529B" w:rsidRPr="000F6BEE"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460" w14:textId="77777777" w:rsidR="00CD529B" w:rsidRPr="000F6BEE"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461" w14:textId="77777777" w:rsidR="00CD529B" w:rsidRPr="000F6BEE" w:rsidRDefault="00CD529B" w:rsidP="00564572">
            <w:pPr>
              <w:rPr>
                <w:sz w:val="15"/>
                <w:szCs w:val="15"/>
                <w:lang w:eastAsia="es-CO"/>
              </w:rPr>
            </w:pPr>
          </w:p>
        </w:tc>
      </w:tr>
      <w:tr w:rsidR="00CD529B" w:rsidRPr="000F6BEE" w14:paraId="2341B470" w14:textId="77777777" w:rsidTr="00564572">
        <w:trPr>
          <w:trHeight w:val="265"/>
        </w:trPr>
        <w:tc>
          <w:tcPr>
            <w:tcW w:w="1539" w:type="pct"/>
            <w:tcBorders>
              <w:top w:val="nil"/>
              <w:left w:val="nil"/>
              <w:bottom w:val="single" w:sz="4" w:space="0" w:color="000000"/>
              <w:right w:val="nil"/>
            </w:tcBorders>
            <w:shd w:val="clear" w:color="auto" w:fill="auto"/>
            <w:noWrap/>
            <w:vAlign w:val="bottom"/>
            <w:hideMark/>
          </w:tcPr>
          <w:p w14:paraId="2341B463"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Inversión por rack de refrigeración eficiente ($COP)</w:t>
            </w:r>
          </w:p>
        </w:tc>
        <w:tc>
          <w:tcPr>
            <w:tcW w:w="318" w:type="pct"/>
            <w:tcBorders>
              <w:top w:val="nil"/>
              <w:left w:val="nil"/>
              <w:bottom w:val="single" w:sz="4" w:space="0" w:color="000000"/>
              <w:right w:val="nil"/>
            </w:tcBorders>
            <w:shd w:val="clear" w:color="auto" w:fill="auto"/>
            <w:noWrap/>
            <w:vAlign w:val="bottom"/>
            <w:hideMark/>
          </w:tcPr>
          <w:p w14:paraId="2341B464" w14:textId="77777777" w:rsidR="00CD529B" w:rsidRPr="000F6BEE" w:rsidRDefault="00CD529B" w:rsidP="00564572">
            <w:pPr>
              <w:jc w:val="right"/>
              <w:rPr>
                <w:rFonts w:ascii="Calibri" w:hAnsi="Calibri" w:cs="Calibri"/>
                <w:color w:val="0000FF"/>
                <w:sz w:val="15"/>
                <w:szCs w:val="15"/>
                <w:lang w:eastAsia="es-CO"/>
              </w:rPr>
            </w:pPr>
            <w:r w:rsidRPr="000F6BEE">
              <w:rPr>
                <w:rFonts w:ascii="Calibri" w:hAnsi="Calibri" w:cs="Calibri"/>
                <w:color w:val="0000FF"/>
                <w:sz w:val="15"/>
                <w:szCs w:val="15"/>
                <w:lang w:eastAsia="es-CO"/>
              </w:rPr>
              <w:t>36.823.411</w:t>
            </w:r>
          </w:p>
        </w:tc>
        <w:tc>
          <w:tcPr>
            <w:tcW w:w="274" w:type="pct"/>
            <w:tcBorders>
              <w:top w:val="nil"/>
              <w:left w:val="nil"/>
              <w:bottom w:val="nil"/>
              <w:right w:val="nil"/>
            </w:tcBorders>
            <w:shd w:val="clear" w:color="auto" w:fill="auto"/>
            <w:noWrap/>
            <w:vAlign w:val="bottom"/>
            <w:hideMark/>
          </w:tcPr>
          <w:p w14:paraId="2341B465" w14:textId="77777777" w:rsidR="00CD529B" w:rsidRPr="000F6BEE" w:rsidRDefault="00CD529B" w:rsidP="00564572">
            <w:pPr>
              <w:jc w:val="right"/>
              <w:rPr>
                <w:rFonts w:ascii="Calibri" w:hAnsi="Calibri" w:cs="Calibri"/>
                <w:color w:val="0000FF"/>
                <w:sz w:val="15"/>
                <w:szCs w:val="15"/>
                <w:lang w:eastAsia="es-CO"/>
              </w:rPr>
            </w:pPr>
          </w:p>
        </w:tc>
        <w:tc>
          <w:tcPr>
            <w:tcW w:w="291" w:type="pct"/>
            <w:tcBorders>
              <w:top w:val="nil"/>
              <w:left w:val="nil"/>
              <w:bottom w:val="nil"/>
              <w:right w:val="nil"/>
            </w:tcBorders>
            <w:shd w:val="clear" w:color="auto" w:fill="auto"/>
            <w:noWrap/>
            <w:vAlign w:val="bottom"/>
            <w:hideMark/>
          </w:tcPr>
          <w:p w14:paraId="2341B466" w14:textId="77777777" w:rsidR="00CD529B" w:rsidRPr="000F6BEE"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467"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68"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69"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6A"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6B"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6C"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6D" w14:textId="77777777" w:rsidR="00CD529B" w:rsidRPr="000F6BEE"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46E" w14:textId="77777777" w:rsidR="00CD529B" w:rsidRPr="000F6BEE"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46F" w14:textId="77777777" w:rsidR="00CD529B" w:rsidRPr="000F6BEE" w:rsidRDefault="00CD529B" w:rsidP="00564572">
            <w:pPr>
              <w:rPr>
                <w:sz w:val="15"/>
                <w:szCs w:val="15"/>
                <w:lang w:eastAsia="es-CO"/>
              </w:rPr>
            </w:pPr>
          </w:p>
        </w:tc>
      </w:tr>
      <w:tr w:rsidR="00CD529B" w:rsidRPr="000F6BEE" w14:paraId="2341B47E" w14:textId="77777777" w:rsidTr="00564572">
        <w:trPr>
          <w:trHeight w:val="265"/>
        </w:trPr>
        <w:tc>
          <w:tcPr>
            <w:tcW w:w="1539" w:type="pct"/>
            <w:tcBorders>
              <w:top w:val="nil"/>
              <w:left w:val="nil"/>
              <w:bottom w:val="nil"/>
              <w:right w:val="nil"/>
            </w:tcBorders>
            <w:shd w:val="clear" w:color="auto" w:fill="auto"/>
            <w:noWrap/>
            <w:vAlign w:val="bottom"/>
            <w:hideMark/>
          </w:tcPr>
          <w:p w14:paraId="2341B471" w14:textId="77777777" w:rsidR="00CD529B" w:rsidRPr="000F6BEE" w:rsidRDefault="00CD529B" w:rsidP="00564572">
            <w:pPr>
              <w:rPr>
                <w:sz w:val="15"/>
                <w:szCs w:val="15"/>
                <w:lang w:eastAsia="es-CO"/>
              </w:rPr>
            </w:pPr>
          </w:p>
        </w:tc>
        <w:tc>
          <w:tcPr>
            <w:tcW w:w="318" w:type="pct"/>
            <w:tcBorders>
              <w:top w:val="nil"/>
              <w:left w:val="nil"/>
              <w:bottom w:val="nil"/>
              <w:right w:val="nil"/>
            </w:tcBorders>
            <w:shd w:val="clear" w:color="auto" w:fill="auto"/>
            <w:noWrap/>
            <w:vAlign w:val="bottom"/>
            <w:hideMark/>
          </w:tcPr>
          <w:p w14:paraId="2341B472" w14:textId="77777777" w:rsidR="00CD529B" w:rsidRPr="000F6BEE" w:rsidRDefault="00CD529B" w:rsidP="00564572">
            <w:pPr>
              <w:rPr>
                <w:sz w:val="15"/>
                <w:szCs w:val="15"/>
                <w:lang w:eastAsia="es-CO"/>
              </w:rPr>
            </w:pPr>
          </w:p>
        </w:tc>
        <w:tc>
          <w:tcPr>
            <w:tcW w:w="274" w:type="pct"/>
            <w:tcBorders>
              <w:top w:val="nil"/>
              <w:left w:val="nil"/>
              <w:bottom w:val="nil"/>
              <w:right w:val="nil"/>
            </w:tcBorders>
            <w:shd w:val="clear" w:color="auto" w:fill="auto"/>
            <w:noWrap/>
            <w:vAlign w:val="bottom"/>
            <w:hideMark/>
          </w:tcPr>
          <w:p w14:paraId="2341B473" w14:textId="77777777" w:rsidR="00CD529B" w:rsidRPr="000F6BEE" w:rsidRDefault="00CD529B" w:rsidP="00564572">
            <w:pPr>
              <w:rPr>
                <w:sz w:val="15"/>
                <w:szCs w:val="15"/>
                <w:lang w:eastAsia="es-CO"/>
              </w:rPr>
            </w:pPr>
          </w:p>
        </w:tc>
        <w:tc>
          <w:tcPr>
            <w:tcW w:w="291" w:type="pct"/>
            <w:tcBorders>
              <w:top w:val="nil"/>
              <w:left w:val="nil"/>
              <w:bottom w:val="nil"/>
              <w:right w:val="nil"/>
            </w:tcBorders>
            <w:shd w:val="clear" w:color="auto" w:fill="auto"/>
            <w:noWrap/>
            <w:vAlign w:val="bottom"/>
            <w:hideMark/>
          </w:tcPr>
          <w:p w14:paraId="2341B474" w14:textId="77777777" w:rsidR="00CD529B" w:rsidRPr="000F6BEE"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475"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76"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77"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78"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79"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7A"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7B" w14:textId="77777777" w:rsidR="00CD529B" w:rsidRPr="000F6BEE"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47C" w14:textId="77777777" w:rsidR="00CD529B" w:rsidRPr="000F6BEE"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47D" w14:textId="77777777" w:rsidR="00CD529B" w:rsidRPr="000F6BEE" w:rsidRDefault="00CD529B" w:rsidP="00564572">
            <w:pPr>
              <w:rPr>
                <w:sz w:val="15"/>
                <w:szCs w:val="15"/>
                <w:lang w:eastAsia="es-CO"/>
              </w:rPr>
            </w:pPr>
          </w:p>
        </w:tc>
      </w:tr>
      <w:tr w:rsidR="00CD529B" w:rsidRPr="000F6BEE" w14:paraId="2341B48C" w14:textId="77777777" w:rsidTr="00564572">
        <w:trPr>
          <w:trHeight w:val="265"/>
        </w:trPr>
        <w:tc>
          <w:tcPr>
            <w:tcW w:w="1539" w:type="pct"/>
            <w:tcBorders>
              <w:top w:val="nil"/>
              <w:left w:val="nil"/>
              <w:bottom w:val="nil"/>
              <w:right w:val="nil"/>
            </w:tcBorders>
            <w:shd w:val="clear" w:color="auto" w:fill="auto"/>
            <w:noWrap/>
            <w:vAlign w:val="bottom"/>
            <w:hideMark/>
          </w:tcPr>
          <w:p w14:paraId="2341B47F" w14:textId="77777777" w:rsidR="00CD529B" w:rsidRPr="000F6BEE" w:rsidRDefault="00CD529B" w:rsidP="00564572">
            <w:pPr>
              <w:rPr>
                <w:sz w:val="15"/>
                <w:szCs w:val="15"/>
                <w:lang w:eastAsia="es-CO"/>
              </w:rPr>
            </w:pPr>
          </w:p>
        </w:tc>
        <w:tc>
          <w:tcPr>
            <w:tcW w:w="318" w:type="pct"/>
            <w:tcBorders>
              <w:top w:val="nil"/>
              <w:left w:val="nil"/>
              <w:bottom w:val="nil"/>
              <w:right w:val="nil"/>
            </w:tcBorders>
            <w:shd w:val="clear" w:color="auto" w:fill="auto"/>
            <w:noWrap/>
            <w:vAlign w:val="bottom"/>
            <w:hideMark/>
          </w:tcPr>
          <w:p w14:paraId="2341B480" w14:textId="77777777" w:rsidR="00CD529B" w:rsidRPr="000F6BEE" w:rsidRDefault="00CD529B" w:rsidP="00564572">
            <w:pPr>
              <w:rPr>
                <w:sz w:val="15"/>
                <w:szCs w:val="15"/>
                <w:lang w:eastAsia="es-CO"/>
              </w:rPr>
            </w:pPr>
          </w:p>
        </w:tc>
        <w:tc>
          <w:tcPr>
            <w:tcW w:w="274" w:type="pct"/>
            <w:tcBorders>
              <w:top w:val="nil"/>
              <w:left w:val="nil"/>
              <w:bottom w:val="nil"/>
              <w:right w:val="nil"/>
            </w:tcBorders>
            <w:shd w:val="clear" w:color="auto" w:fill="auto"/>
            <w:noWrap/>
            <w:vAlign w:val="bottom"/>
            <w:hideMark/>
          </w:tcPr>
          <w:p w14:paraId="2341B481" w14:textId="77777777" w:rsidR="00CD529B" w:rsidRPr="000F6BEE" w:rsidRDefault="00CD529B" w:rsidP="00564572">
            <w:pPr>
              <w:rPr>
                <w:sz w:val="15"/>
                <w:szCs w:val="15"/>
                <w:lang w:eastAsia="es-CO"/>
              </w:rPr>
            </w:pPr>
          </w:p>
        </w:tc>
        <w:tc>
          <w:tcPr>
            <w:tcW w:w="291" w:type="pct"/>
            <w:tcBorders>
              <w:top w:val="nil"/>
              <w:left w:val="nil"/>
              <w:bottom w:val="nil"/>
              <w:right w:val="nil"/>
            </w:tcBorders>
            <w:shd w:val="clear" w:color="auto" w:fill="auto"/>
            <w:noWrap/>
            <w:vAlign w:val="bottom"/>
            <w:hideMark/>
          </w:tcPr>
          <w:p w14:paraId="2341B482" w14:textId="77777777" w:rsidR="00CD529B" w:rsidRPr="000F6BEE"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483"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84"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85"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86"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87"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88"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89" w14:textId="77777777" w:rsidR="00CD529B" w:rsidRPr="000F6BEE"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48A" w14:textId="77777777" w:rsidR="00CD529B" w:rsidRPr="000F6BEE"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48B" w14:textId="77777777" w:rsidR="00CD529B" w:rsidRPr="000F6BEE" w:rsidRDefault="00CD529B" w:rsidP="00564572">
            <w:pPr>
              <w:rPr>
                <w:sz w:val="15"/>
                <w:szCs w:val="15"/>
                <w:lang w:eastAsia="es-CO"/>
              </w:rPr>
            </w:pPr>
          </w:p>
        </w:tc>
      </w:tr>
      <w:tr w:rsidR="00CD529B" w:rsidRPr="000F6BEE" w14:paraId="2341B49A" w14:textId="77777777" w:rsidTr="00564572">
        <w:trPr>
          <w:trHeight w:val="265"/>
        </w:trPr>
        <w:tc>
          <w:tcPr>
            <w:tcW w:w="1539" w:type="pct"/>
            <w:tcBorders>
              <w:top w:val="nil"/>
              <w:left w:val="nil"/>
              <w:bottom w:val="single" w:sz="4" w:space="0" w:color="auto"/>
              <w:right w:val="nil"/>
            </w:tcBorders>
            <w:shd w:val="clear" w:color="auto" w:fill="auto"/>
            <w:noWrap/>
            <w:vAlign w:val="bottom"/>
            <w:hideMark/>
          </w:tcPr>
          <w:p w14:paraId="2341B48D" w14:textId="77777777" w:rsidR="00CD529B" w:rsidRPr="000F6BEE" w:rsidRDefault="00CD529B" w:rsidP="00564572">
            <w:pPr>
              <w:rPr>
                <w:rFonts w:ascii="Calibri" w:hAnsi="Calibri" w:cs="Calibri"/>
                <w:b/>
                <w:bCs/>
                <w:color w:val="000000"/>
                <w:sz w:val="15"/>
                <w:szCs w:val="15"/>
                <w:lang w:eastAsia="es-CO"/>
              </w:rPr>
            </w:pPr>
            <w:r w:rsidRPr="000F6BEE">
              <w:rPr>
                <w:rFonts w:ascii="Calibri" w:hAnsi="Calibri" w:cs="Calibri"/>
                <w:b/>
                <w:bCs/>
                <w:color w:val="000000"/>
                <w:sz w:val="15"/>
                <w:szCs w:val="15"/>
                <w:lang w:eastAsia="es-CO"/>
              </w:rPr>
              <w:t>$COP (2016)</w:t>
            </w:r>
          </w:p>
        </w:tc>
        <w:tc>
          <w:tcPr>
            <w:tcW w:w="318" w:type="pct"/>
            <w:tcBorders>
              <w:top w:val="single" w:sz="4" w:space="0" w:color="FFFFFF"/>
              <w:left w:val="nil"/>
              <w:bottom w:val="single" w:sz="4" w:space="0" w:color="auto"/>
              <w:right w:val="single" w:sz="4" w:space="0" w:color="FFFFFF"/>
            </w:tcBorders>
            <w:shd w:val="clear" w:color="000000" w:fill="203764"/>
            <w:noWrap/>
            <w:vAlign w:val="bottom"/>
            <w:hideMark/>
          </w:tcPr>
          <w:p w14:paraId="2341B48E"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2016</w:t>
            </w:r>
          </w:p>
        </w:tc>
        <w:tc>
          <w:tcPr>
            <w:tcW w:w="274" w:type="pct"/>
            <w:tcBorders>
              <w:top w:val="single" w:sz="4" w:space="0" w:color="FFFFFF"/>
              <w:left w:val="nil"/>
              <w:bottom w:val="single" w:sz="4" w:space="0" w:color="auto"/>
              <w:right w:val="single" w:sz="4" w:space="0" w:color="FFFFFF"/>
            </w:tcBorders>
            <w:shd w:val="clear" w:color="000000" w:fill="203764"/>
            <w:noWrap/>
            <w:vAlign w:val="bottom"/>
            <w:hideMark/>
          </w:tcPr>
          <w:p w14:paraId="2341B48F"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2017</w:t>
            </w:r>
          </w:p>
        </w:tc>
        <w:tc>
          <w:tcPr>
            <w:tcW w:w="291" w:type="pct"/>
            <w:tcBorders>
              <w:top w:val="single" w:sz="4" w:space="0" w:color="FFFFFF"/>
              <w:left w:val="nil"/>
              <w:bottom w:val="single" w:sz="4" w:space="0" w:color="auto"/>
              <w:right w:val="single" w:sz="4" w:space="0" w:color="FFFFFF"/>
            </w:tcBorders>
            <w:shd w:val="clear" w:color="000000" w:fill="203764"/>
            <w:noWrap/>
            <w:vAlign w:val="bottom"/>
            <w:hideMark/>
          </w:tcPr>
          <w:p w14:paraId="2341B490"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2018</w:t>
            </w:r>
          </w:p>
        </w:tc>
        <w:tc>
          <w:tcPr>
            <w:tcW w:w="281" w:type="pct"/>
            <w:tcBorders>
              <w:top w:val="single" w:sz="4" w:space="0" w:color="FFFFFF"/>
              <w:left w:val="nil"/>
              <w:bottom w:val="single" w:sz="4" w:space="0" w:color="auto"/>
              <w:right w:val="single" w:sz="4" w:space="0" w:color="FFFFFF"/>
            </w:tcBorders>
            <w:shd w:val="clear" w:color="000000" w:fill="203764"/>
            <w:noWrap/>
            <w:vAlign w:val="bottom"/>
            <w:hideMark/>
          </w:tcPr>
          <w:p w14:paraId="2341B491"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2019</w:t>
            </w:r>
          </w:p>
        </w:tc>
        <w:tc>
          <w:tcPr>
            <w:tcW w:w="289" w:type="pct"/>
            <w:tcBorders>
              <w:top w:val="single" w:sz="4" w:space="0" w:color="FFFFFF"/>
              <w:left w:val="nil"/>
              <w:bottom w:val="single" w:sz="4" w:space="0" w:color="auto"/>
              <w:right w:val="single" w:sz="4" w:space="0" w:color="FFFFFF"/>
            </w:tcBorders>
            <w:shd w:val="clear" w:color="000000" w:fill="203764"/>
            <w:noWrap/>
            <w:vAlign w:val="bottom"/>
            <w:hideMark/>
          </w:tcPr>
          <w:p w14:paraId="2341B492"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2020</w:t>
            </w:r>
          </w:p>
        </w:tc>
        <w:tc>
          <w:tcPr>
            <w:tcW w:w="289" w:type="pct"/>
            <w:tcBorders>
              <w:top w:val="single" w:sz="4" w:space="0" w:color="FFFFFF"/>
              <w:left w:val="nil"/>
              <w:bottom w:val="single" w:sz="4" w:space="0" w:color="auto"/>
              <w:right w:val="single" w:sz="4" w:space="0" w:color="FFFFFF"/>
            </w:tcBorders>
            <w:shd w:val="clear" w:color="000000" w:fill="203764"/>
            <w:noWrap/>
            <w:vAlign w:val="bottom"/>
            <w:hideMark/>
          </w:tcPr>
          <w:p w14:paraId="2341B493"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2021</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494"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2022</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495"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2023</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496"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2024</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497"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2025</w:t>
            </w:r>
          </w:p>
        </w:tc>
        <w:tc>
          <w:tcPr>
            <w:tcW w:w="282" w:type="pct"/>
            <w:tcBorders>
              <w:top w:val="single" w:sz="4" w:space="0" w:color="FFFFFF"/>
              <w:left w:val="nil"/>
              <w:bottom w:val="single" w:sz="4" w:space="0" w:color="auto"/>
              <w:right w:val="single" w:sz="4" w:space="0" w:color="FFFFFF"/>
            </w:tcBorders>
            <w:shd w:val="clear" w:color="000000" w:fill="203764"/>
            <w:noWrap/>
            <w:vAlign w:val="bottom"/>
            <w:hideMark/>
          </w:tcPr>
          <w:p w14:paraId="2341B498"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2026</w:t>
            </w:r>
          </w:p>
        </w:tc>
        <w:tc>
          <w:tcPr>
            <w:tcW w:w="277" w:type="pct"/>
            <w:tcBorders>
              <w:top w:val="single" w:sz="4" w:space="0" w:color="FFFFFF"/>
              <w:left w:val="nil"/>
              <w:bottom w:val="single" w:sz="4" w:space="0" w:color="auto"/>
              <w:right w:val="single" w:sz="4" w:space="0" w:color="FFFFFF"/>
            </w:tcBorders>
            <w:shd w:val="clear" w:color="000000" w:fill="203764"/>
            <w:noWrap/>
            <w:vAlign w:val="bottom"/>
            <w:hideMark/>
          </w:tcPr>
          <w:p w14:paraId="2341B499"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2027</w:t>
            </w:r>
          </w:p>
        </w:tc>
      </w:tr>
      <w:tr w:rsidR="00CD529B" w:rsidRPr="000F6BEE" w14:paraId="2341B4A8" w14:textId="77777777" w:rsidTr="00564572">
        <w:trPr>
          <w:trHeight w:val="265"/>
        </w:trPr>
        <w:tc>
          <w:tcPr>
            <w:tcW w:w="1539" w:type="pct"/>
            <w:tcBorders>
              <w:top w:val="nil"/>
              <w:left w:val="nil"/>
              <w:bottom w:val="nil"/>
              <w:right w:val="nil"/>
            </w:tcBorders>
            <w:shd w:val="clear" w:color="auto" w:fill="auto"/>
            <w:noWrap/>
            <w:vAlign w:val="bottom"/>
            <w:hideMark/>
          </w:tcPr>
          <w:p w14:paraId="2341B49B"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equipo pequeño o medianos GWh/Año</w:t>
            </w:r>
          </w:p>
        </w:tc>
        <w:tc>
          <w:tcPr>
            <w:tcW w:w="318" w:type="pct"/>
            <w:tcBorders>
              <w:top w:val="nil"/>
              <w:left w:val="nil"/>
              <w:bottom w:val="nil"/>
              <w:right w:val="nil"/>
            </w:tcBorders>
            <w:shd w:val="clear" w:color="auto" w:fill="auto"/>
            <w:noWrap/>
            <w:vAlign w:val="bottom"/>
            <w:hideMark/>
          </w:tcPr>
          <w:p w14:paraId="2341B49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74" w:type="pct"/>
            <w:tcBorders>
              <w:top w:val="nil"/>
              <w:left w:val="nil"/>
              <w:bottom w:val="nil"/>
              <w:right w:val="nil"/>
            </w:tcBorders>
            <w:shd w:val="clear" w:color="auto" w:fill="auto"/>
            <w:noWrap/>
            <w:vAlign w:val="bottom"/>
            <w:hideMark/>
          </w:tcPr>
          <w:p w14:paraId="2341B49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91" w:type="pct"/>
            <w:tcBorders>
              <w:top w:val="nil"/>
              <w:left w:val="nil"/>
              <w:bottom w:val="nil"/>
              <w:right w:val="nil"/>
            </w:tcBorders>
            <w:shd w:val="clear" w:color="auto" w:fill="auto"/>
            <w:noWrap/>
            <w:vAlign w:val="bottom"/>
            <w:hideMark/>
          </w:tcPr>
          <w:p w14:paraId="2341B49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81" w:type="pct"/>
            <w:tcBorders>
              <w:top w:val="nil"/>
              <w:left w:val="nil"/>
              <w:bottom w:val="nil"/>
              <w:right w:val="nil"/>
            </w:tcBorders>
            <w:shd w:val="clear" w:color="auto" w:fill="auto"/>
            <w:noWrap/>
            <w:vAlign w:val="bottom"/>
            <w:hideMark/>
          </w:tcPr>
          <w:p w14:paraId="2341B49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89" w:type="pct"/>
            <w:tcBorders>
              <w:top w:val="nil"/>
              <w:left w:val="nil"/>
              <w:bottom w:val="nil"/>
              <w:right w:val="nil"/>
            </w:tcBorders>
            <w:shd w:val="clear" w:color="auto" w:fill="auto"/>
            <w:noWrap/>
            <w:vAlign w:val="bottom"/>
            <w:hideMark/>
          </w:tcPr>
          <w:p w14:paraId="2341B4A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89" w:type="pct"/>
            <w:tcBorders>
              <w:top w:val="nil"/>
              <w:left w:val="nil"/>
              <w:bottom w:val="nil"/>
              <w:right w:val="nil"/>
            </w:tcBorders>
            <w:shd w:val="clear" w:color="auto" w:fill="auto"/>
            <w:noWrap/>
            <w:vAlign w:val="bottom"/>
            <w:hideMark/>
          </w:tcPr>
          <w:p w14:paraId="2341B4A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90" w:type="pct"/>
            <w:tcBorders>
              <w:top w:val="nil"/>
              <w:left w:val="nil"/>
              <w:bottom w:val="nil"/>
              <w:right w:val="nil"/>
            </w:tcBorders>
            <w:shd w:val="clear" w:color="auto" w:fill="auto"/>
            <w:noWrap/>
            <w:vAlign w:val="bottom"/>
            <w:hideMark/>
          </w:tcPr>
          <w:p w14:paraId="2341B4A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90" w:type="pct"/>
            <w:tcBorders>
              <w:top w:val="nil"/>
              <w:left w:val="nil"/>
              <w:bottom w:val="nil"/>
              <w:right w:val="nil"/>
            </w:tcBorders>
            <w:shd w:val="clear" w:color="auto" w:fill="auto"/>
            <w:noWrap/>
            <w:vAlign w:val="bottom"/>
            <w:hideMark/>
          </w:tcPr>
          <w:p w14:paraId="2341B4A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90" w:type="pct"/>
            <w:tcBorders>
              <w:top w:val="nil"/>
              <w:left w:val="nil"/>
              <w:bottom w:val="nil"/>
              <w:right w:val="nil"/>
            </w:tcBorders>
            <w:shd w:val="clear" w:color="auto" w:fill="auto"/>
            <w:noWrap/>
            <w:vAlign w:val="bottom"/>
            <w:hideMark/>
          </w:tcPr>
          <w:p w14:paraId="2341B4A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90" w:type="pct"/>
            <w:tcBorders>
              <w:top w:val="nil"/>
              <w:left w:val="nil"/>
              <w:bottom w:val="nil"/>
              <w:right w:val="nil"/>
            </w:tcBorders>
            <w:shd w:val="clear" w:color="auto" w:fill="auto"/>
            <w:noWrap/>
            <w:vAlign w:val="bottom"/>
            <w:hideMark/>
          </w:tcPr>
          <w:p w14:paraId="2341B4A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62</w:t>
            </w:r>
          </w:p>
        </w:tc>
        <w:tc>
          <w:tcPr>
            <w:tcW w:w="282" w:type="pct"/>
            <w:tcBorders>
              <w:top w:val="nil"/>
              <w:left w:val="nil"/>
              <w:bottom w:val="nil"/>
              <w:right w:val="nil"/>
            </w:tcBorders>
            <w:shd w:val="clear" w:color="auto" w:fill="auto"/>
            <w:noWrap/>
            <w:vAlign w:val="bottom"/>
            <w:hideMark/>
          </w:tcPr>
          <w:p w14:paraId="2341B4A6" w14:textId="77777777" w:rsidR="00CD529B" w:rsidRPr="000D0E52" w:rsidRDefault="00CD529B" w:rsidP="00564572">
            <w:pPr>
              <w:jc w:val="right"/>
              <w:rPr>
                <w:rFonts w:ascii="Calibri" w:hAnsi="Calibri" w:cs="Calibri"/>
                <w:color w:val="806000"/>
                <w:sz w:val="15"/>
                <w:szCs w:val="15"/>
                <w:lang w:eastAsia="es-CO"/>
              </w:rPr>
            </w:pPr>
            <w:r w:rsidRPr="000D0E52">
              <w:rPr>
                <w:rFonts w:ascii="Calibri" w:hAnsi="Calibri"/>
                <w:color w:val="806000"/>
                <w:sz w:val="15"/>
                <w:szCs w:val="15"/>
              </w:rPr>
              <w:t>62</w:t>
            </w:r>
          </w:p>
        </w:tc>
        <w:tc>
          <w:tcPr>
            <w:tcW w:w="277" w:type="pct"/>
            <w:tcBorders>
              <w:top w:val="nil"/>
              <w:left w:val="nil"/>
              <w:bottom w:val="nil"/>
              <w:right w:val="nil"/>
            </w:tcBorders>
            <w:shd w:val="clear" w:color="auto" w:fill="auto"/>
            <w:noWrap/>
            <w:vAlign w:val="bottom"/>
            <w:hideMark/>
          </w:tcPr>
          <w:p w14:paraId="2341B4A7" w14:textId="77777777" w:rsidR="00CD529B" w:rsidRPr="000D0E52" w:rsidRDefault="00CD529B" w:rsidP="00564572">
            <w:pPr>
              <w:jc w:val="right"/>
              <w:rPr>
                <w:rFonts w:ascii="Calibri" w:hAnsi="Calibri" w:cs="Calibri"/>
                <w:color w:val="806000"/>
                <w:sz w:val="15"/>
                <w:szCs w:val="15"/>
                <w:lang w:eastAsia="es-CO"/>
              </w:rPr>
            </w:pPr>
            <w:r w:rsidRPr="000D0E52">
              <w:rPr>
                <w:rFonts w:ascii="Calibri" w:hAnsi="Calibri"/>
                <w:color w:val="806000"/>
                <w:sz w:val="15"/>
                <w:szCs w:val="15"/>
              </w:rPr>
              <w:t>62</w:t>
            </w:r>
          </w:p>
        </w:tc>
      </w:tr>
      <w:tr w:rsidR="00CD529B" w:rsidRPr="000F6BEE" w14:paraId="2341B4B6" w14:textId="77777777" w:rsidTr="00564572">
        <w:trPr>
          <w:trHeight w:val="265"/>
        </w:trPr>
        <w:tc>
          <w:tcPr>
            <w:tcW w:w="1539" w:type="pct"/>
            <w:tcBorders>
              <w:top w:val="nil"/>
              <w:left w:val="nil"/>
              <w:bottom w:val="single" w:sz="4" w:space="0" w:color="BFBFBF"/>
              <w:right w:val="nil"/>
            </w:tcBorders>
            <w:shd w:val="clear" w:color="auto" w:fill="auto"/>
            <w:noWrap/>
            <w:vAlign w:val="bottom"/>
            <w:hideMark/>
          </w:tcPr>
          <w:p w14:paraId="2341B4A9"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rack de refrigeración GWh/Año</w:t>
            </w:r>
          </w:p>
        </w:tc>
        <w:tc>
          <w:tcPr>
            <w:tcW w:w="318" w:type="pct"/>
            <w:tcBorders>
              <w:top w:val="nil"/>
              <w:left w:val="nil"/>
              <w:bottom w:val="single" w:sz="4" w:space="0" w:color="BFBFBF"/>
              <w:right w:val="nil"/>
            </w:tcBorders>
            <w:shd w:val="clear" w:color="auto" w:fill="auto"/>
            <w:noWrap/>
            <w:vAlign w:val="bottom"/>
            <w:hideMark/>
          </w:tcPr>
          <w:p w14:paraId="2341B4A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74" w:type="pct"/>
            <w:tcBorders>
              <w:top w:val="nil"/>
              <w:left w:val="nil"/>
              <w:bottom w:val="single" w:sz="4" w:space="0" w:color="BFBFBF"/>
              <w:right w:val="nil"/>
            </w:tcBorders>
            <w:shd w:val="clear" w:color="auto" w:fill="auto"/>
            <w:noWrap/>
            <w:vAlign w:val="bottom"/>
            <w:hideMark/>
          </w:tcPr>
          <w:p w14:paraId="2341B4A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91" w:type="pct"/>
            <w:tcBorders>
              <w:top w:val="nil"/>
              <w:left w:val="nil"/>
              <w:bottom w:val="single" w:sz="4" w:space="0" w:color="BFBFBF"/>
              <w:right w:val="nil"/>
            </w:tcBorders>
            <w:shd w:val="clear" w:color="auto" w:fill="auto"/>
            <w:noWrap/>
            <w:vAlign w:val="bottom"/>
            <w:hideMark/>
          </w:tcPr>
          <w:p w14:paraId="2341B4A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81" w:type="pct"/>
            <w:tcBorders>
              <w:top w:val="nil"/>
              <w:left w:val="nil"/>
              <w:bottom w:val="single" w:sz="4" w:space="0" w:color="BFBFBF"/>
              <w:right w:val="nil"/>
            </w:tcBorders>
            <w:shd w:val="clear" w:color="auto" w:fill="auto"/>
            <w:noWrap/>
            <w:vAlign w:val="bottom"/>
            <w:hideMark/>
          </w:tcPr>
          <w:p w14:paraId="2341B4A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89" w:type="pct"/>
            <w:tcBorders>
              <w:top w:val="nil"/>
              <w:left w:val="nil"/>
              <w:bottom w:val="single" w:sz="4" w:space="0" w:color="BFBFBF"/>
              <w:right w:val="nil"/>
            </w:tcBorders>
            <w:shd w:val="clear" w:color="auto" w:fill="auto"/>
            <w:noWrap/>
            <w:vAlign w:val="bottom"/>
            <w:hideMark/>
          </w:tcPr>
          <w:p w14:paraId="2341B4A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89" w:type="pct"/>
            <w:tcBorders>
              <w:top w:val="nil"/>
              <w:left w:val="nil"/>
              <w:bottom w:val="single" w:sz="4" w:space="0" w:color="BFBFBF"/>
              <w:right w:val="nil"/>
            </w:tcBorders>
            <w:shd w:val="clear" w:color="auto" w:fill="auto"/>
            <w:noWrap/>
            <w:vAlign w:val="bottom"/>
            <w:hideMark/>
          </w:tcPr>
          <w:p w14:paraId="2341B4A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90" w:type="pct"/>
            <w:tcBorders>
              <w:top w:val="nil"/>
              <w:left w:val="nil"/>
              <w:bottom w:val="single" w:sz="4" w:space="0" w:color="BFBFBF"/>
              <w:right w:val="nil"/>
            </w:tcBorders>
            <w:shd w:val="clear" w:color="auto" w:fill="auto"/>
            <w:noWrap/>
            <w:vAlign w:val="bottom"/>
            <w:hideMark/>
          </w:tcPr>
          <w:p w14:paraId="2341B4B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90" w:type="pct"/>
            <w:tcBorders>
              <w:top w:val="nil"/>
              <w:left w:val="nil"/>
              <w:bottom w:val="single" w:sz="4" w:space="0" w:color="BFBFBF"/>
              <w:right w:val="nil"/>
            </w:tcBorders>
            <w:shd w:val="clear" w:color="auto" w:fill="auto"/>
            <w:noWrap/>
            <w:vAlign w:val="bottom"/>
            <w:hideMark/>
          </w:tcPr>
          <w:p w14:paraId="2341B4B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90" w:type="pct"/>
            <w:tcBorders>
              <w:top w:val="nil"/>
              <w:left w:val="nil"/>
              <w:bottom w:val="single" w:sz="4" w:space="0" w:color="BFBFBF"/>
              <w:right w:val="nil"/>
            </w:tcBorders>
            <w:shd w:val="clear" w:color="auto" w:fill="auto"/>
            <w:noWrap/>
            <w:vAlign w:val="bottom"/>
            <w:hideMark/>
          </w:tcPr>
          <w:p w14:paraId="2341B4B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90" w:type="pct"/>
            <w:tcBorders>
              <w:top w:val="nil"/>
              <w:left w:val="nil"/>
              <w:bottom w:val="single" w:sz="4" w:space="0" w:color="BFBFBF"/>
              <w:right w:val="nil"/>
            </w:tcBorders>
            <w:shd w:val="clear" w:color="auto" w:fill="auto"/>
            <w:noWrap/>
            <w:vAlign w:val="bottom"/>
            <w:hideMark/>
          </w:tcPr>
          <w:p w14:paraId="2341B4B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w:t>
            </w:r>
          </w:p>
        </w:tc>
        <w:tc>
          <w:tcPr>
            <w:tcW w:w="282" w:type="pct"/>
            <w:tcBorders>
              <w:top w:val="nil"/>
              <w:left w:val="nil"/>
              <w:bottom w:val="single" w:sz="4" w:space="0" w:color="BFBFBF"/>
              <w:right w:val="nil"/>
            </w:tcBorders>
            <w:shd w:val="clear" w:color="auto" w:fill="auto"/>
            <w:noWrap/>
            <w:vAlign w:val="bottom"/>
            <w:hideMark/>
          </w:tcPr>
          <w:p w14:paraId="2341B4B4" w14:textId="77777777" w:rsidR="00CD529B" w:rsidRPr="000D0E52" w:rsidRDefault="00CD529B" w:rsidP="00564572">
            <w:pPr>
              <w:jc w:val="right"/>
              <w:rPr>
                <w:rFonts w:ascii="Calibri" w:hAnsi="Calibri" w:cs="Calibri"/>
                <w:color w:val="806000"/>
                <w:sz w:val="15"/>
                <w:szCs w:val="15"/>
                <w:lang w:eastAsia="es-CO"/>
              </w:rPr>
            </w:pPr>
            <w:r w:rsidRPr="000D0E52">
              <w:rPr>
                <w:rFonts w:ascii="Calibri" w:hAnsi="Calibri"/>
                <w:color w:val="806000"/>
                <w:sz w:val="15"/>
                <w:szCs w:val="15"/>
              </w:rPr>
              <w:t>62</w:t>
            </w:r>
          </w:p>
        </w:tc>
        <w:tc>
          <w:tcPr>
            <w:tcW w:w="277" w:type="pct"/>
            <w:tcBorders>
              <w:top w:val="nil"/>
              <w:left w:val="nil"/>
              <w:bottom w:val="single" w:sz="4" w:space="0" w:color="BFBFBF"/>
              <w:right w:val="nil"/>
            </w:tcBorders>
            <w:shd w:val="clear" w:color="auto" w:fill="auto"/>
            <w:noWrap/>
            <w:vAlign w:val="bottom"/>
            <w:hideMark/>
          </w:tcPr>
          <w:p w14:paraId="2341B4B5" w14:textId="77777777" w:rsidR="00CD529B" w:rsidRPr="000D0E52" w:rsidRDefault="00CD529B" w:rsidP="00564572">
            <w:pPr>
              <w:jc w:val="right"/>
              <w:rPr>
                <w:rFonts w:ascii="Calibri" w:hAnsi="Calibri" w:cs="Calibri"/>
                <w:color w:val="806000"/>
                <w:sz w:val="15"/>
                <w:szCs w:val="15"/>
                <w:lang w:eastAsia="es-CO"/>
              </w:rPr>
            </w:pPr>
            <w:r w:rsidRPr="000D0E52">
              <w:rPr>
                <w:rFonts w:ascii="Calibri" w:hAnsi="Calibri"/>
                <w:color w:val="806000"/>
                <w:sz w:val="15"/>
                <w:szCs w:val="15"/>
              </w:rPr>
              <w:t>62</w:t>
            </w:r>
          </w:p>
        </w:tc>
      </w:tr>
      <w:tr w:rsidR="00CD529B" w:rsidRPr="000F6BEE" w14:paraId="2341B4C4" w14:textId="77777777" w:rsidTr="00564572">
        <w:trPr>
          <w:trHeight w:val="265"/>
        </w:trPr>
        <w:tc>
          <w:tcPr>
            <w:tcW w:w="1539" w:type="pct"/>
            <w:tcBorders>
              <w:top w:val="nil"/>
              <w:left w:val="nil"/>
              <w:bottom w:val="nil"/>
              <w:right w:val="nil"/>
            </w:tcBorders>
            <w:shd w:val="clear" w:color="auto" w:fill="auto"/>
            <w:noWrap/>
            <w:vAlign w:val="bottom"/>
            <w:hideMark/>
          </w:tcPr>
          <w:p w14:paraId="2341B4B7" w14:textId="77777777" w:rsidR="00CD529B" w:rsidRPr="000F6BEE" w:rsidRDefault="00CD529B" w:rsidP="00564572">
            <w:pPr>
              <w:rPr>
                <w:rFonts w:ascii="Calibri" w:hAnsi="Calibri" w:cs="Calibri"/>
                <w:color w:val="000000"/>
                <w:sz w:val="15"/>
                <w:szCs w:val="15"/>
                <w:lang w:eastAsia="es-CO"/>
              </w:rPr>
            </w:pPr>
            <w:r w:rsidRPr="000F6BEE">
              <w:rPr>
                <w:rFonts w:ascii="Calibri" w:hAnsi="Calibri" w:cs="Calibri"/>
                <w:color w:val="000000"/>
                <w:sz w:val="15"/>
                <w:szCs w:val="15"/>
                <w:lang w:eastAsia="es-CO"/>
              </w:rPr>
              <w:t>Número de equipo pequeño o mediano a cambiar</w:t>
            </w:r>
          </w:p>
        </w:tc>
        <w:tc>
          <w:tcPr>
            <w:tcW w:w="318" w:type="pct"/>
            <w:tcBorders>
              <w:top w:val="nil"/>
              <w:left w:val="nil"/>
              <w:bottom w:val="nil"/>
              <w:right w:val="nil"/>
            </w:tcBorders>
            <w:shd w:val="clear" w:color="auto" w:fill="auto"/>
            <w:noWrap/>
            <w:vAlign w:val="bottom"/>
            <w:hideMark/>
          </w:tcPr>
          <w:p w14:paraId="2341B4B8" w14:textId="77777777" w:rsidR="00CD529B" w:rsidRPr="000D0E52" w:rsidRDefault="00CD529B" w:rsidP="00564572">
            <w:pPr>
              <w:rPr>
                <w:rFonts w:ascii="Calibri" w:hAnsi="Calibri" w:cs="Calibri"/>
                <w:color w:val="000000"/>
                <w:sz w:val="15"/>
                <w:szCs w:val="15"/>
                <w:lang w:eastAsia="es-CO"/>
              </w:rPr>
            </w:pPr>
          </w:p>
        </w:tc>
        <w:tc>
          <w:tcPr>
            <w:tcW w:w="274" w:type="pct"/>
            <w:tcBorders>
              <w:top w:val="nil"/>
              <w:left w:val="nil"/>
              <w:bottom w:val="nil"/>
              <w:right w:val="nil"/>
            </w:tcBorders>
            <w:shd w:val="clear" w:color="auto" w:fill="auto"/>
            <w:noWrap/>
            <w:vAlign w:val="bottom"/>
            <w:hideMark/>
          </w:tcPr>
          <w:p w14:paraId="2341B4B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28.675</w:t>
            </w:r>
          </w:p>
        </w:tc>
        <w:tc>
          <w:tcPr>
            <w:tcW w:w="291" w:type="pct"/>
            <w:tcBorders>
              <w:top w:val="nil"/>
              <w:left w:val="nil"/>
              <w:bottom w:val="nil"/>
              <w:right w:val="nil"/>
            </w:tcBorders>
            <w:shd w:val="clear" w:color="auto" w:fill="auto"/>
            <w:noWrap/>
            <w:vAlign w:val="bottom"/>
            <w:hideMark/>
          </w:tcPr>
          <w:p w14:paraId="2341B4B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28.675</w:t>
            </w:r>
          </w:p>
        </w:tc>
        <w:tc>
          <w:tcPr>
            <w:tcW w:w="281" w:type="pct"/>
            <w:tcBorders>
              <w:top w:val="nil"/>
              <w:left w:val="nil"/>
              <w:bottom w:val="nil"/>
              <w:right w:val="nil"/>
            </w:tcBorders>
            <w:shd w:val="clear" w:color="auto" w:fill="auto"/>
            <w:noWrap/>
            <w:vAlign w:val="bottom"/>
            <w:hideMark/>
          </w:tcPr>
          <w:p w14:paraId="2341B4B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28.675</w:t>
            </w:r>
          </w:p>
        </w:tc>
        <w:tc>
          <w:tcPr>
            <w:tcW w:w="289" w:type="pct"/>
            <w:tcBorders>
              <w:top w:val="nil"/>
              <w:left w:val="nil"/>
              <w:bottom w:val="nil"/>
              <w:right w:val="nil"/>
            </w:tcBorders>
            <w:shd w:val="clear" w:color="auto" w:fill="auto"/>
            <w:noWrap/>
            <w:vAlign w:val="bottom"/>
            <w:hideMark/>
          </w:tcPr>
          <w:p w14:paraId="2341B4B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28.675</w:t>
            </w:r>
          </w:p>
        </w:tc>
        <w:tc>
          <w:tcPr>
            <w:tcW w:w="289" w:type="pct"/>
            <w:tcBorders>
              <w:top w:val="nil"/>
              <w:left w:val="nil"/>
              <w:bottom w:val="nil"/>
              <w:right w:val="nil"/>
            </w:tcBorders>
            <w:shd w:val="clear" w:color="auto" w:fill="auto"/>
            <w:noWrap/>
            <w:vAlign w:val="bottom"/>
            <w:hideMark/>
          </w:tcPr>
          <w:p w14:paraId="2341B4B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28.675</w:t>
            </w:r>
          </w:p>
        </w:tc>
        <w:tc>
          <w:tcPr>
            <w:tcW w:w="290" w:type="pct"/>
            <w:tcBorders>
              <w:top w:val="nil"/>
              <w:left w:val="nil"/>
              <w:bottom w:val="nil"/>
              <w:right w:val="nil"/>
            </w:tcBorders>
            <w:shd w:val="clear" w:color="auto" w:fill="auto"/>
            <w:noWrap/>
            <w:vAlign w:val="bottom"/>
            <w:hideMark/>
          </w:tcPr>
          <w:p w14:paraId="2341B4B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2341B4B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2341B4C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2341B4C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nil"/>
              <w:left w:val="nil"/>
              <w:bottom w:val="nil"/>
              <w:right w:val="nil"/>
            </w:tcBorders>
            <w:shd w:val="clear" w:color="auto" w:fill="auto"/>
            <w:noWrap/>
            <w:vAlign w:val="bottom"/>
            <w:hideMark/>
          </w:tcPr>
          <w:p w14:paraId="2341B4C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7" w:type="pct"/>
            <w:tcBorders>
              <w:top w:val="nil"/>
              <w:left w:val="nil"/>
              <w:bottom w:val="nil"/>
              <w:right w:val="nil"/>
            </w:tcBorders>
            <w:shd w:val="clear" w:color="auto" w:fill="auto"/>
            <w:noWrap/>
            <w:vAlign w:val="bottom"/>
            <w:hideMark/>
          </w:tcPr>
          <w:p w14:paraId="2341B4C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0F6BEE" w14:paraId="2341B4D2" w14:textId="77777777" w:rsidTr="00564572">
        <w:trPr>
          <w:trHeight w:val="265"/>
        </w:trPr>
        <w:tc>
          <w:tcPr>
            <w:tcW w:w="1539" w:type="pct"/>
            <w:tcBorders>
              <w:top w:val="nil"/>
              <w:left w:val="nil"/>
              <w:bottom w:val="single" w:sz="4" w:space="0" w:color="000000"/>
              <w:right w:val="nil"/>
            </w:tcBorders>
            <w:shd w:val="clear" w:color="auto" w:fill="auto"/>
            <w:noWrap/>
            <w:vAlign w:val="bottom"/>
            <w:hideMark/>
          </w:tcPr>
          <w:p w14:paraId="2341B4C5"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xml:space="preserve">Número de rack de refrigeración a cambiar </w:t>
            </w:r>
          </w:p>
        </w:tc>
        <w:tc>
          <w:tcPr>
            <w:tcW w:w="318" w:type="pct"/>
            <w:tcBorders>
              <w:top w:val="nil"/>
              <w:left w:val="nil"/>
              <w:bottom w:val="single" w:sz="4" w:space="0" w:color="000000"/>
              <w:right w:val="nil"/>
            </w:tcBorders>
            <w:shd w:val="clear" w:color="auto" w:fill="auto"/>
            <w:noWrap/>
            <w:vAlign w:val="bottom"/>
            <w:hideMark/>
          </w:tcPr>
          <w:p w14:paraId="2341B4C6"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olor w:val="000000"/>
                <w:sz w:val="15"/>
                <w:szCs w:val="15"/>
                <w:lang w:val="es-ES_tradnl"/>
              </w:rPr>
              <w:t> </w:t>
            </w:r>
          </w:p>
        </w:tc>
        <w:tc>
          <w:tcPr>
            <w:tcW w:w="274" w:type="pct"/>
            <w:tcBorders>
              <w:top w:val="nil"/>
              <w:left w:val="nil"/>
              <w:bottom w:val="single" w:sz="4" w:space="0" w:color="000000"/>
              <w:right w:val="nil"/>
            </w:tcBorders>
            <w:shd w:val="clear" w:color="auto" w:fill="auto"/>
            <w:noWrap/>
            <w:vAlign w:val="bottom"/>
            <w:hideMark/>
          </w:tcPr>
          <w:p w14:paraId="2341B4C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2.578</w:t>
            </w:r>
          </w:p>
        </w:tc>
        <w:tc>
          <w:tcPr>
            <w:tcW w:w="291" w:type="pct"/>
            <w:tcBorders>
              <w:top w:val="nil"/>
              <w:left w:val="nil"/>
              <w:bottom w:val="single" w:sz="4" w:space="0" w:color="000000"/>
              <w:right w:val="nil"/>
            </w:tcBorders>
            <w:shd w:val="clear" w:color="auto" w:fill="auto"/>
            <w:noWrap/>
            <w:vAlign w:val="bottom"/>
            <w:hideMark/>
          </w:tcPr>
          <w:p w14:paraId="2341B4C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2.578</w:t>
            </w:r>
          </w:p>
        </w:tc>
        <w:tc>
          <w:tcPr>
            <w:tcW w:w="281" w:type="pct"/>
            <w:tcBorders>
              <w:top w:val="nil"/>
              <w:left w:val="nil"/>
              <w:bottom w:val="single" w:sz="4" w:space="0" w:color="000000"/>
              <w:right w:val="nil"/>
            </w:tcBorders>
            <w:shd w:val="clear" w:color="auto" w:fill="auto"/>
            <w:noWrap/>
            <w:vAlign w:val="bottom"/>
            <w:hideMark/>
          </w:tcPr>
          <w:p w14:paraId="2341B4C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2.578</w:t>
            </w:r>
          </w:p>
        </w:tc>
        <w:tc>
          <w:tcPr>
            <w:tcW w:w="289" w:type="pct"/>
            <w:tcBorders>
              <w:top w:val="nil"/>
              <w:left w:val="nil"/>
              <w:bottom w:val="single" w:sz="4" w:space="0" w:color="000000"/>
              <w:right w:val="nil"/>
            </w:tcBorders>
            <w:shd w:val="clear" w:color="auto" w:fill="auto"/>
            <w:noWrap/>
            <w:vAlign w:val="bottom"/>
            <w:hideMark/>
          </w:tcPr>
          <w:p w14:paraId="2341B4C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2.578</w:t>
            </w:r>
          </w:p>
        </w:tc>
        <w:tc>
          <w:tcPr>
            <w:tcW w:w="289" w:type="pct"/>
            <w:tcBorders>
              <w:top w:val="nil"/>
              <w:left w:val="nil"/>
              <w:bottom w:val="single" w:sz="4" w:space="0" w:color="000000"/>
              <w:right w:val="nil"/>
            </w:tcBorders>
            <w:shd w:val="clear" w:color="auto" w:fill="auto"/>
            <w:noWrap/>
            <w:vAlign w:val="bottom"/>
            <w:hideMark/>
          </w:tcPr>
          <w:p w14:paraId="2341B4C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2.578</w:t>
            </w:r>
          </w:p>
        </w:tc>
        <w:tc>
          <w:tcPr>
            <w:tcW w:w="290" w:type="pct"/>
            <w:tcBorders>
              <w:top w:val="nil"/>
              <w:left w:val="nil"/>
              <w:bottom w:val="single" w:sz="4" w:space="0" w:color="000000"/>
              <w:right w:val="nil"/>
            </w:tcBorders>
            <w:shd w:val="clear" w:color="auto" w:fill="auto"/>
            <w:noWrap/>
            <w:vAlign w:val="bottom"/>
            <w:hideMark/>
          </w:tcPr>
          <w:p w14:paraId="2341B4C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000000"/>
              <w:right w:val="nil"/>
            </w:tcBorders>
            <w:shd w:val="clear" w:color="auto" w:fill="auto"/>
            <w:noWrap/>
            <w:vAlign w:val="bottom"/>
            <w:hideMark/>
          </w:tcPr>
          <w:p w14:paraId="2341B4C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000000"/>
              <w:right w:val="nil"/>
            </w:tcBorders>
            <w:shd w:val="clear" w:color="auto" w:fill="auto"/>
            <w:noWrap/>
            <w:vAlign w:val="bottom"/>
            <w:hideMark/>
          </w:tcPr>
          <w:p w14:paraId="2341B4C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000000"/>
              <w:right w:val="nil"/>
            </w:tcBorders>
            <w:shd w:val="clear" w:color="auto" w:fill="auto"/>
            <w:noWrap/>
            <w:vAlign w:val="bottom"/>
            <w:hideMark/>
          </w:tcPr>
          <w:p w14:paraId="2341B4C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nil"/>
              <w:left w:val="nil"/>
              <w:bottom w:val="single" w:sz="4" w:space="0" w:color="000000"/>
              <w:right w:val="nil"/>
            </w:tcBorders>
            <w:shd w:val="clear" w:color="auto" w:fill="auto"/>
            <w:noWrap/>
            <w:vAlign w:val="bottom"/>
            <w:hideMark/>
          </w:tcPr>
          <w:p w14:paraId="2341B4D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7" w:type="pct"/>
            <w:tcBorders>
              <w:top w:val="nil"/>
              <w:left w:val="nil"/>
              <w:bottom w:val="single" w:sz="4" w:space="0" w:color="000000"/>
              <w:right w:val="nil"/>
            </w:tcBorders>
            <w:shd w:val="clear" w:color="auto" w:fill="auto"/>
            <w:noWrap/>
            <w:vAlign w:val="bottom"/>
            <w:hideMark/>
          </w:tcPr>
          <w:p w14:paraId="2341B4D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0F6BEE" w14:paraId="2341B4E0" w14:textId="77777777" w:rsidTr="00564572">
        <w:trPr>
          <w:trHeight w:val="265"/>
        </w:trPr>
        <w:tc>
          <w:tcPr>
            <w:tcW w:w="1539" w:type="pct"/>
            <w:tcBorders>
              <w:top w:val="nil"/>
              <w:left w:val="nil"/>
              <w:bottom w:val="nil"/>
              <w:right w:val="nil"/>
            </w:tcBorders>
            <w:shd w:val="clear" w:color="auto" w:fill="auto"/>
            <w:noWrap/>
            <w:vAlign w:val="bottom"/>
            <w:hideMark/>
          </w:tcPr>
          <w:p w14:paraId="2341B4D3" w14:textId="77777777" w:rsidR="00CD529B" w:rsidRPr="000F6BEE" w:rsidRDefault="00CD529B" w:rsidP="00564572">
            <w:pPr>
              <w:rPr>
                <w:rFonts w:ascii="Calibri" w:hAnsi="Calibri" w:cs="Calibri"/>
                <w:b/>
                <w:bCs/>
                <w:color w:val="000000"/>
                <w:sz w:val="15"/>
                <w:szCs w:val="15"/>
                <w:lang w:eastAsia="es-CO"/>
              </w:rPr>
            </w:pPr>
            <w:r w:rsidRPr="000F6BEE">
              <w:rPr>
                <w:rFonts w:ascii="Calibri" w:hAnsi="Calibri" w:cs="Calibri"/>
                <w:b/>
                <w:bCs/>
                <w:color w:val="000000"/>
                <w:sz w:val="15"/>
                <w:szCs w:val="15"/>
                <w:lang w:eastAsia="es-CO"/>
              </w:rPr>
              <w:t>Beneficios</w:t>
            </w:r>
          </w:p>
        </w:tc>
        <w:tc>
          <w:tcPr>
            <w:tcW w:w="318" w:type="pct"/>
            <w:tcBorders>
              <w:top w:val="nil"/>
              <w:left w:val="nil"/>
              <w:bottom w:val="nil"/>
              <w:right w:val="nil"/>
            </w:tcBorders>
            <w:shd w:val="clear" w:color="auto" w:fill="auto"/>
            <w:noWrap/>
            <w:vAlign w:val="bottom"/>
            <w:hideMark/>
          </w:tcPr>
          <w:p w14:paraId="2341B4D4" w14:textId="77777777" w:rsidR="00CD529B" w:rsidRPr="000D0E52" w:rsidRDefault="00CD529B" w:rsidP="00564572">
            <w:pPr>
              <w:rPr>
                <w:rFonts w:ascii="Calibri" w:hAnsi="Calibri" w:cs="Calibri"/>
                <w:b/>
                <w:bCs/>
                <w:color w:val="000000"/>
                <w:sz w:val="15"/>
                <w:szCs w:val="15"/>
                <w:lang w:eastAsia="es-CO"/>
              </w:rPr>
            </w:pPr>
          </w:p>
        </w:tc>
        <w:tc>
          <w:tcPr>
            <w:tcW w:w="274" w:type="pct"/>
            <w:tcBorders>
              <w:top w:val="nil"/>
              <w:left w:val="nil"/>
              <w:bottom w:val="nil"/>
              <w:right w:val="nil"/>
            </w:tcBorders>
            <w:shd w:val="clear" w:color="auto" w:fill="auto"/>
            <w:noWrap/>
            <w:vAlign w:val="bottom"/>
            <w:hideMark/>
          </w:tcPr>
          <w:p w14:paraId="2341B4D5" w14:textId="77777777" w:rsidR="00CD529B" w:rsidRPr="000D0E52" w:rsidRDefault="00CD529B" w:rsidP="00564572">
            <w:pPr>
              <w:rPr>
                <w:sz w:val="15"/>
                <w:szCs w:val="15"/>
                <w:lang w:eastAsia="es-CO"/>
              </w:rPr>
            </w:pPr>
          </w:p>
        </w:tc>
        <w:tc>
          <w:tcPr>
            <w:tcW w:w="291" w:type="pct"/>
            <w:tcBorders>
              <w:top w:val="nil"/>
              <w:left w:val="nil"/>
              <w:bottom w:val="nil"/>
              <w:right w:val="nil"/>
            </w:tcBorders>
            <w:shd w:val="clear" w:color="auto" w:fill="auto"/>
            <w:noWrap/>
            <w:vAlign w:val="bottom"/>
            <w:hideMark/>
          </w:tcPr>
          <w:p w14:paraId="2341B4D6" w14:textId="77777777" w:rsidR="00CD529B" w:rsidRPr="000D0E52"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4D7" w14:textId="77777777" w:rsidR="00CD529B" w:rsidRPr="000D0E52"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D8" w14:textId="77777777" w:rsidR="00CD529B" w:rsidRPr="000D0E52"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4D9"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DA"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DB"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DC"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4DD" w14:textId="77777777" w:rsidR="00CD529B" w:rsidRPr="000D0E52"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4DE" w14:textId="77777777" w:rsidR="00CD529B" w:rsidRPr="000D0E52"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4DF" w14:textId="77777777" w:rsidR="00CD529B" w:rsidRPr="000D0E52" w:rsidRDefault="00CD529B" w:rsidP="00564572">
            <w:pPr>
              <w:rPr>
                <w:sz w:val="15"/>
                <w:szCs w:val="15"/>
                <w:lang w:eastAsia="es-CO"/>
              </w:rPr>
            </w:pPr>
          </w:p>
        </w:tc>
      </w:tr>
      <w:tr w:rsidR="00CD529B" w:rsidRPr="000F6BEE" w14:paraId="2341B4EE" w14:textId="77777777" w:rsidTr="00564572">
        <w:trPr>
          <w:trHeight w:val="265"/>
        </w:trPr>
        <w:tc>
          <w:tcPr>
            <w:tcW w:w="1539" w:type="pct"/>
            <w:tcBorders>
              <w:top w:val="nil"/>
              <w:left w:val="nil"/>
              <w:bottom w:val="nil"/>
              <w:right w:val="nil"/>
            </w:tcBorders>
            <w:shd w:val="clear" w:color="auto" w:fill="auto"/>
            <w:noWrap/>
            <w:vAlign w:val="bottom"/>
            <w:hideMark/>
          </w:tcPr>
          <w:p w14:paraId="2341B4E1" w14:textId="77777777" w:rsidR="00CD529B" w:rsidRPr="000F6BEE" w:rsidRDefault="00CD529B" w:rsidP="00564572">
            <w:pPr>
              <w:ind w:firstLineChars="100" w:firstLine="150"/>
              <w:rPr>
                <w:rFonts w:ascii="Calibri" w:hAnsi="Calibri" w:cs="Calibri"/>
                <w:color w:val="000000"/>
                <w:sz w:val="15"/>
                <w:szCs w:val="15"/>
                <w:lang w:eastAsia="es-CO"/>
              </w:rPr>
            </w:pPr>
            <w:r w:rsidRPr="000F6BEE">
              <w:rPr>
                <w:rFonts w:ascii="Calibri" w:hAnsi="Calibri" w:cs="Calibri"/>
                <w:color w:val="000000"/>
                <w:sz w:val="15"/>
                <w:szCs w:val="15"/>
                <w:lang w:eastAsia="es-CO"/>
              </w:rPr>
              <w:t>Ahorro GWh/año</w:t>
            </w:r>
          </w:p>
        </w:tc>
        <w:tc>
          <w:tcPr>
            <w:tcW w:w="318" w:type="pct"/>
            <w:tcBorders>
              <w:top w:val="nil"/>
              <w:left w:val="nil"/>
              <w:bottom w:val="nil"/>
              <w:right w:val="nil"/>
            </w:tcBorders>
            <w:shd w:val="clear" w:color="auto" w:fill="auto"/>
            <w:noWrap/>
            <w:vAlign w:val="bottom"/>
            <w:hideMark/>
          </w:tcPr>
          <w:p w14:paraId="2341B4E2" w14:textId="77777777" w:rsidR="00CD529B" w:rsidRPr="000D0E52" w:rsidRDefault="00CD529B" w:rsidP="00564572">
            <w:pPr>
              <w:ind w:firstLineChars="100" w:firstLine="150"/>
              <w:rPr>
                <w:rFonts w:ascii="Calibri" w:hAnsi="Calibri" w:cs="Calibri"/>
                <w:color w:val="000000"/>
                <w:sz w:val="15"/>
                <w:szCs w:val="15"/>
                <w:lang w:eastAsia="es-CO"/>
              </w:rPr>
            </w:pPr>
          </w:p>
        </w:tc>
        <w:tc>
          <w:tcPr>
            <w:tcW w:w="274" w:type="pct"/>
            <w:tcBorders>
              <w:top w:val="nil"/>
              <w:left w:val="nil"/>
              <w:bottom w:val="nil"/>
              <w:right w:val="nil"/>
            </w:tcBorders>
            <w:shd w:val="clear" w:color="auto" w:fill="auto"/>
            <w:noWrap/>
            <w:vAlign w:val="bottom"/>
            <w:hideMark/>
          </w:tcPr>
          <w:p w14:paraId="2341B4E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42</w:t>
            </w:r>
          </w:p>
        </w:tc>
        <w:tc>
          <w:tcPr>
            <w:tcW w:w="291" w:type="pct"/>
            <w:tcBorders>
              <w:top w:val="nil"/>
              <w:left w:val="nil"/>
              <w:bottom w:val="nil"/>
              <w:right w:val="nil"/>
            </w:tcBorders>
            <w:shd w:val="clear" w:color="auto" w:fill="auto"/>
            <w:noWrap/>
            <w:vAlign w:val="bottom"/>
            <w:hideMark/>
          </w:tcPr>
          <w:p w14:paraId="2341B4E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83</w:t>
            </w:r>
          </w:p>
        </w:tc>
        <w:tc>
          <w:tcPr>
            <w:tcW w:w="281" w:type="pct"/>
            <w:tcBorders>
              <w:top w:val="nil"/>
              <w:left w:val="nil"/>
              <w:bottom w:val="nil"/>
              <w:right w:val="nil"/>
            </w:tcBorders>
            <w:shd w:val="clear" w:color="auto" w:fill="auto"/>
            <w:noWrap/>
            <w:vAlign w:val="bottom"/>
            <w:hideMark/>
          </w:tcPr>
          <w:p w14:paraId="2341B4E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125</w:t>
            </w:r>
          </w:p>
        </w:tc>
        <w:tc>
          <w:tcPr>
            <w:tcW w:w="289" w:type="pct"/>
            <w:tcBorders>
              <w:top w:val="nil"/>
              <w:left w:val="nil"/>
              <w:bottom w:val="nil"/>
              <w:right w:val="nil"/>
            </w:tcBorders>
            <w:shd w:val="clear" w:color="auto" w:fill="auto"/>
            <w:noWrap/>
            <w:vAlign w:val="bottom"/>
            <w:hideMark/>
          </w:tcPr>
          <w:p w14:paraId="2341B4E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167</w:t>
            </w:r>
          </w:p>
        </w:tc>
        <w:tc>
          <w:tcPr>
            <w:tcW w:w="289" w:type="pct"/>
            <w:tcBorders>
              <w:top w:val="nil"/>
              <w:left w:val="nil"/>
              <w:bottom w:val="nil"/>
              <w:right w:val="nil"/>
            </w:tcBorders>
            <w:shd w:val="clear" w:color="auto" w:fill="auto"/>
            <w:noWrap/>
            <w:vAlign w:val="bottom"/>
            <w:hideMark/>
          </w:tcPr>
          <w:p w14:paraId="2341B4E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209</w:t>
            </w:r>
          </w:p>
        </w:tc>
        <w:tc>
          <w:tcPr>
            <w:tcW w:w="290" w:type="pct"/>
            <w:tcBorders>
              <w:top w:val="nil"/>
              <w:left w:val="nil"/>
              <w:bottom w:val="nil"/>
              <w:right w:val="nil"/>
            </w:tcBorders>
            <w:shd w:val="clear" w:color="auto" w:fill="auto"/>
            <w:noWrap/>
            <w:vAlign w:val="bottom"/>
            <w:hideMark/>
          </w:tcPr>
          <w:p w14:paraId="2341B4E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209</w:t>
            </w:r>
          </w:p>
        </w:tc>
        <w:tc>
          <w:tcPr>
            <w:tcW w:w="290" w:type="pct"/>
            <w:tcBorders>
              <w:top w:val="nil"/>
              <w:left w:val="nil"/>
              <w:bottom w:val="nil"/>
              <w:right w:val="nil"/>
            </w:tcBorders>
            <w:shd w:val="clear" w:color="auto" w:fill="auto"/>
            <w:noWrap/>
            <w:vAlign w:val="bottom"/>
            <w:hideMark/>
          </w:tcPr>
          <w:p w14:paraId="2341B4E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209</w:t>
            </w:r>
          </w:p>
        </w:tc>
        <w:tc>
          <w:tcPr>
            <w:tcW w:w="290" w:type="pct"/>
            <w:tcBorders>
              <w:top w:val="nil"/>
              <w:left w:val="nil"/>
              <w:bottom w:val="nil"/>
              <w:right w:val="nil"/>
            </w:tcBorders>
            <w:shd w:val="clear" w:color="auto" w:fill="auto"/>
            <w:noWrap/>
            <w:vAlign w:val="bottom"/>
            <w:hideMark/>
          </w:tcPr>
          <w:p w14:paraId="2341B4E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209</w:t>
            </w:r>
          </w:p>
        </w:tc>
        <w:tc>
          <w:tcPr>
            <w:tcW w:w="290" w:type="pct"/>
            <w:tcBorders>
              <w:top w:val="nil"/>
              <w:left w:val="nil"/>
              <w:bottom w:val="nil"/>
              <w:right w:val="nil"/>
            </w:tcBorders>
            <w:shd w:val="clear" w:color="auto" w:fill="auto"/>
            <w:noWrap/>
            <w:vAlign w:val="bottom"/>
            <w:hideMark/>
          </w:tcPr>
          <w:p w14:paraId="2341B4E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209</w:t>
            </w:r>
          </w:p>
        </w:tc>
        <w:tc>
          <w:tcPr>
            <w:tcW w:w="282" w:type="pct"/>
            <w:tcBorders>
              <w:top w:val="nil"/>
              <w:left w:val="nil"/>
              <w:bottom w:val="nil"/>
              <w:right w:val="nil"/>
            </w:tcBorders>
            <w:shd w:val="clear" w:color="auto" w:fill="auto"/>
            <w:noWrap/>
            <w:vAlign w:val="bottom"/>
            <w:hideMark/>
          </w:tcPr>
          <w:p w14:paraId="2341B4E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209</w:t>
            </w:r>
          </w:p>
        </w:tc>
        <w:tc>
          <w:tcPr>
            <w:tcW w:w="277" w:type="pct"/>
            <w:tcBorders>
              <w:top w:val="nil"/>
              <w:left w:val="nil"/>
              <w:bottom w:val="nil"/>
              <w:right w:val="nil"/>
            </w:tcBorders>
            <w:shd w:val="clear" w:color="auto" w:fill="auto"/>
            <w:noWrap/>
            <w:vAlign w:val="bottom"/>
            <w:hideMark/>
          </w:tcPr>
          <w:p w14:paraId="2341B4E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209</w:t>
            </w:r>
          </w:p>
        </w:tc>
      </w:tr>
      <w:tr w:rsidR="00CD529B" w:rsidRPr="000F6BEE" w14:paraId="2341B4FC" w14:textId="77777777" w:rsidTr="00564572">
        <w:trPr>
          <w:trHeight w:val="265"/>
        </w:trPr>
        <w:tc>
          <w:tcPr>
            <w:tcW w:w="1539" w:type="pct"/>
            <w:tcBorders>
              <w:top w:val="nil"/>
              <w:left w:val="nil"/>
              <w:bottom w:val="single" w:sz="4" w:space="0" w:color="BFBFBF"/>
              <w:right w:val="nil"/>
            </w:tcBorders>
            <w:shd w:val="clear" w:color="auto" w:fill="auto"/>
            <w:noWrap/>
            <w:vAlign w:val="bottom"/>
            <w:hideMark/>
          </w:tcPr>
          <w:p w14:paraId="2341B4EF"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evitadas (TonCO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w:t>
            </w:r>
          </w:p>
        </w:tc>
        <w:tc>
          <w:tcPr>
            <w:tcW w:w="318" w:type="pct"/>
            <w:tcBorders>
              <w:top w:val="nil"/>
              <w:left w:val="nil"/>
              <w:bottom w:val="single" w:sz="4" w:space="0" w:color="BFBFBF"/>
              <w:right w:val="nil"/>
            </w:tcBorders>
            <w:shd w:val="clear" w:color="auto" w:fill="auto"/>
            <w:noWrap/>
            <w:vAlign w:val="bottom"/>
            <w:hideMark/>
          </w:tcPr>
          <w:p w14:paraId="2341B4F0"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olor w:val="000000"/>
                <w:sz w:val="15"/>
                <w:szCs w:val="15"/>
                <w:lang w:val="es-ES_tradnl"/>
              </w:rPr>
              <w:t> </w:t>
            </w:r>
          </w:p>
        </w:tc>
        <w:tc>
          <w:tcPr>
            <w:tcW w:w="274" w:type="pct"/>
            <w:tcBorders>
              <w:top w:val="nil"/>
              <w:left w:val="nil"/>
              <w:bottom w:val="single" w:sz="4" w:space="0" w:color="BFBFBF"/>
              <w:right w:val="nil"/>
            </w:tcBorders>
            <w:shd w:val="clear" w:color="auto" w:fill="auto"/>
            <w:noWrap/>
            <w:vAlign w:val="bottom"/>
            <w:hideMark/>
          </w:tcPr>
          <w:p w14:paraId="2341B4F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5.854</w:t>
            </w:r>
          </w:p>
        </w:tc>
        <w:tc>
          <w:tcPr>
            <w:tcW w:w="291" w:type="pct"/>
            <w:tcBorders>
              <w:top w:val="nil"/>
              <w:left w:val="nil"/>
              <w:bottom w:val="single" w:sz="4" w:space="0" w:color="BFBFBF"/>
              <w:right w:val="nil"/>
            </w:tcBorders>
            <w:shd w:val="clear" w:color="auto" w:fill="auto"/>
            <w:noWrap/>
            <w:vAlign w:val="bottom"/>
            <w:hideMark/>
          </w:tcPr>
          <w:p w14:paraId="2341B4F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11.709</w:t>
            </w:r>
          </w:p>
        </w:tc>
        <w:tc>
          <w:tcPr>
            <w:tcW w:w="281" w:type="pct"/>
            <w:tcBorders>
              <w:top w:val="nil"/>
              <w:left w:val="nil"/>
              <w:bottom w:val="single" w:sz="4" w:space="0" w:color="BFBFBF"/>
              <w:right w:val="nil"/>
            </w:tcBorders>
            <w:shd w:val="clear" w:color="auto" w:fill="auto"/>
            <w:noWrap/>
            <w:vAlign w:val="bottom"/>
            <w:hideMark/>
          </w:tcPr>
          <w:p w14:paraId="2341B4F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17.563</w:t>
            </w:r>
          </w:p>
        </w:tc>
        <w:tc>
          <w:tcPr>
            <w:tcW w:w="289" w:type="pct"/>
            <w:tcBorders>
              <w:top w:val="nil"/>
              <w:left w:val="nil"/>
              <w:bottom w:val="single" w:sz="4" w:space="0" w:color="BFBFBF"/>
              <w:right w:val="nil"/>
            </w:tcBorders>
            <w:shd w:val="clear" w:color="auto" w:fill="auto"/>
            <w:noWrap/>
            <w:vAlign w:val="bottom"/>
            <w:hideMark/>
          </w:tcPr>
          <w:p w14:paraId="2341B4F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23.417</w:t>
            </w:r>
          </w:p>
        </w:tc>
        <w:tc>
          <w:tcPr>
            <w:tcW w:w="289" w:type="pct"/>
            <w:tcBorders>
              <w:top w:val="nil"/>
              <w:left w:val="nil"/>
              <w:bottom w:val="single" w:sz="4" w:space="0" w:color="BFBFBF"/>
              <w:right w:val="nil"/>
            </w:tcBorders>
            <w:shd w:val="clear" w:color="auto" w:fill="auto"/>
            <w:noWrap/>
            <w:vAlign w:val="bottom"/>
            <w:hideMark/>
          </w:tcPr>
          <w:p w14:paraId="2341B4F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29.272</w:t>
            </w:r>
          </w:p>
        </w:tc>
        <w:tc>
          <w:tcPr>
            <w:tcW w:w="290" w:type="pct"/>
            <w:tcBorders>
              <w:top w:val="nil"/>
              <w:left w:val="nil"/>
              <w:bottom w:val="single" w:sz="4" w:space="0" w:color="BFBFBF"/>
              <w:right w:val="nil"/>
            </w:tcBorders>
            <w:shd w:val="clear" w:color="auto" w:fill="auto"/>
            <w:noWrap/>
            <w:vAlign w:val="bottom"/>
            <w:hideMark/>
          </w:tcPr>
          <w:p w14:paraId="2341B4F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29.272</w:t>
            </w:r>
          </w:p>
        </w:tc>
        <w:tc>
          <w:tcPr>
            <w:tcW w:w="290" w:type="pct"/>
            <w:tcBorders>
              <w:top w:val="nil"/>
              <w:left w:val="nil"/>
              <w:bottom w:val="single" w:sz="4" w:space="0" w:color="BFBFBF"/>
              <w:right w:val="nil"/>
            </w:tcBorders>
            <w:shd w:val="clear" w:color="auto" w:fill="auto"/>
            <w:noWrap/>
            <w:vAlign w:val="bottom"/>
            <w:hideMark/>
          </w:tcPr>
          <w:p w14:paraId="2341B4F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29.272</w:t>
            </w:r>
          </w:p>
        </w:tc>
        <w:tc>
          <w:tcPr>
            <w:tcW w:w="290" w:type="pct"/>
            <w:tcBorders>
              <w:top w:val="nil"/>
              <w:left w:val="nil"/>
              <w:bottom w:val="single" w:sz="4" w:space="0" w:color="BFBFBF"/>
              <w:right w:val="nil"/>
            </w:tcBorders>
            <w:shd w:val="clear" w:color="auto" w:fill="auto"/>
            <w:noWrap/>
            <w:vAlign w:val="bottom"/>
            <w:hideMark/>
          </w:tcPr>
          <w:p w14:paraId="2341B4F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29.272</w:t>
            </w:r>
          </w:p>
        </w:tc>
        <w:tc>
          <w:tcPr>
            <w:tcW w:w="290" w:type="pct"/>
            <w:tcBorders>
              <w:top w:val="nil"/>
              <w:left w:val="nil"/>
              <w:bottom w:val="single" w:sz="4" w:space="0" w:color="BFBFBF"/>
              <w:right w:val="nil"/>
            </w:tcBorders>
            <w:shd w:val="clear" w:color="auto" w:fill="auto"/>
            <w:noWrap/>
            <w:vAlign w:val="bottom"/>
            <w:hideMark/>
          </w:tcPr>
          <w:p w14:paraId="2341B4F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29.272</w:t>
            </w:r>
          </w:p>
        </w:tc>
        <w:tc>
          <w:tcPr>
            <w:tcW w:w="282" w:type="pct"/>
            <w:tcBorders>
              <w:top w:val="nil"/>
              <w:left w:val="nil"/>
              <w:bottom w:val="single" w:sz="4" w:space="0" w:color="BFBFBF"/>
              <w:right w:val="nil"/>
            </w:tcBorders>
            <w:shd w:val="clear" w:color="auto" w:fill="auto"/>
            <w:noWrap/>
            <w:vAlign w:val="bottom"/>
            <w:hideMark/>
          </w:tcPr>
          <w:p w14:paraId="2341B4F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29.272</w:t>
            </w:r>
          </w:p>
        </w:tc>
        <w:tc>
          <w:tcPr>
            <w:tcW w:w="277" w:type="pct"/>
            <w:tcBorders>
              <w:top w:val="nil"/>
              <w:left w:val="nil"/>
              <w:bottom w:val="single" w:sz="4" w:space="0" w:color="BFBFBF"/>
              <w:right w:val="nil"/>
            </w:tcBorders>
            <w:shd w:val="clear" w:color="auto" w:fill="auto"/>
            <w:noWrap/>
            <w:vAlign w:val="bottom"/>
            <w:hideMark/>
          </w:tcPr>
          <w:p w14:paraId="2341B4F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29.272</w:t>
            </w:r>
          </w:p>
        </w:tc>
      </w:tr>
      <w:tr w:rsidR="00CD529B" w:rsidRPr="000F6BEE" w14:paraId="2341B50A" w14:textId="77777777" w:rsidTr="00564572">
        <w:trPr>
          <w:trHeight w:val="265"/>
        </w:trPr>
        <w:tc>
          <w:tcPr>
            <w:tcW w:w="1539" w:type="pct"/>
            <w:tcBorders>
              <w:top w:val="nil"/>
              <w:left w:val="nil"/>
              <w:bottom w:val="nil"/>
              <w:right w:val="nil"/>
            </w:tcBorders>
            <w:shd w:val="clear" w:color="auto" w:fill="auto"/>
            <w:noWrap/>
            <w:vAlign w:val="bottom"/>
            <w:hideMark/>
          </w:tcPr>
          <w:p w14:paraId="2341B4FD"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en Tarifa establecimiento comercial ($COP Millones)</w:t>
            </w:r>
          </w:p>
        </w:tc>
        <w:tc>
          <w:tcPr>
            <w:tcW w:w="318" w:type="pct"/>
            <w:tcBorders>
              <w:top w:val="nil"/>
              <w:left w:val="nil"/>
              <w:bottom w:val="nil"/>
              <w:right w:val="nil"/>
            </w:tcBorders>
            <w:shd w:val="clear" w:color="auto" w:fill="auto"/>
            <w:noWrap/>
            <w:vAlign w:val="bottom"/>
            <w:hideMark/>
          </w:tcPr>
          <w:p w14:paraId="2341B4FE"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74" w:type="pct"/>
            <w:tcBorders>
              <w:top w:val="nil"/>
              <w:left w:val="nil"/>
              <w:bottom w:val="nil"/>
              <w:right w:val="nil"/>
            </w:tcBorders>
            <w:shd w:val="clear" w:color="auto" w:fill="auto"/>
            <w:noWrap/>
            <w:vAlign w:val="bottom"/>
            <w:hideMark/>
          </w:tcPr>
          <w:p w14:paraId="2341B4F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13.392</w:t>
            </w:r>
          </w:p>
        </w:tc>
        <w:tc>
          <w:tcPr>
            <w:tcW w:w="291" w:type="pct"/>
            <w:tcBorders>
              <w:top w:val="nil"/>
              <w:left w:val="nil"/>
              <w:bottom w:val="nil"/>
              <w:right w:val="nil"/>
            </w:tcBorders>
            <w:shd w:val="clear" w:color="auto" w:fill="auto"/>
            <w:noWrap/>
            <w:vAlign w:val="bottom"/>
            <w:hideMark/>
          </w:tcPr>
          <w:p w14:paraId="2341B50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26.784</w:t>
            </w:r>
          </w:p>
        </w:tc>
        <w:tc>
          <w:tcPr>
            <w:tcW w:w="281" w:type="pct"/>
            <w:tcBorders>
              <w:top w:val="nil"/>
              <w:left w:val="nil"/>
              <w:bottom w:val="nil"/>
              <w:right w:val="nil"/>
            </w:tcBorders>
            <w:shd w:val="clear" w:color="auto" w:fill="auto"/>
            <w:noWrap/>
            <w:vAlign w:val="bottom"/>
            <w:hideMark/>
          </w:tcPr>
          <w:p w14:paraId="2341B50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40.176</w:t>
            </w:r>
          </w:p>
        </w:tc>
        <w:tc>
          <w:tcPr>
            <w:tcW w:w="289" w:type="pct"/>
            <w:tcBorders>
              <w:top w:val="nil"/>
              <w:left w:val="nil"/>
              <w:bottom w:val="nil"/>
              <w:right w:val="nil"/>
            </w:tcBorders>
            <w:shd w:val="clear" w:color="auto" w:fill="auto"/>
            <w:noWrap/>
            <w:vAlign w:val="bottom"/>
            <w:hideMark/>
          </w:tcPr>
          <w:p w14:paraId="2341B50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53.567</w:t>
            </w:r>
          </w:p>
        </w:tc>
        <w:tc>
          <w:tcPr>
            <w:tcW w:w="289" w:type="pct"/>
            <w:tcBorders>
              <w:top w:val="nil"/>
              <w:left w:val="nil"/>
              <w:bottom w:val="nil"/>
              <w:right w:val="nil"/>
            </w:tcBorders>
            <w:shd w:val="clear" w:color="auto" w:fill="auto"/>
            <w:noWrap/>
            <w:vAlign w:val="bottom"/>
            <w:hideMark/>
          </w:tcPr>
          <w:p w14:paraId="2341B50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66.959</w:t>
            </w:r>
          </w:p>
        </w:tc>
        <w:tc>
          <w:tcPr>
            <w:tcW w:w="290" w:type="pct"/>
            <w:tcBorders>
              <w:top w:val="nil"/>
              <w:left w:val="nil"/>
              <w:bottom w:val="nil"/>
              <w:right w:val="nil"/>
            </w:tcBorders>
            <w:shd w:val="clear" w:color="auto" w:fill="auto"/>
            <w:noWrap/>
            <w:vAlign w:val="bottom"/>
            <w:hideMark/>
          </w:tcPr>
          <w:p w14:paraId="2341B50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66.959</w:t>
            </w:r>
          </w:p>
        </w:tc>
        <w:tc>
          <w:tcPr>
            <w:tcW w:w="290" w:type="pct"/>
            <w:tcBorders>
              <w:top w:val="nil"/>
              <w:left w:val="nil"/>
              <w:bottom w:val="nil"/>
              <w:right w:val="nil"/>
            </w:tcBorders>
            <w:shd w:val="clear" w:color="auto" w:fill="auto"/>
            <w:noWrap/>
            <w:vAlign w:val="bottom"/>
            <w:hideMark/>
          </w:tcPr>
          <w:p w14:paraId="2341B50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66.959</w:t>
            </w:r>
          </w:p>
        </w:tc>
        <w:tc>
          <w:tcPr>
            <w:tcW w:w="290" w:type="pct"/>
            <w:tcBorders>
              <w:top w:val="nil"/>
              <w:left w:val="nil"/>
              <w:bottom w:val="nil"/>
              <w:right w:val="nil"/>
            </w:tcBorders>
            <w:shd w:val="clear" w:color="auto" w:fill="auto"/>
            <w:noWrap/>
            <w:vAlign w:val="bottom"/>
            <w:hideMark/>
          </w:tcPr>
          <w:p w14:paraId="2341B50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66.959</w:t>
            </w:r>
          </w:p>
        </w:tc>
        <w:tc>
          <w:tcPr>
            <w:tcW w:w="290" w:type="pct"/>
            <w:tcBorders>
              <w:top w:val="nil"/>
              <w:left w:val="nil"/>
              <w:bottom w:val="nil"/>
              <w:right w:val="nil"/>
            </w:tcBorders>
            <w:shd w:val="clear" w:color="auto" w:fill="auto"/>
            <w:noWrap/>
            <w:vAlign w:val="bottom"/>
            <w:hideMark/>
          </w:tcPr>
          <w:p w14:paraId="2341B50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66.959</w:t>
            </w:r>
          </w:p>
        </w:tc>
        <w:tc>
          <w:tcPr>
            <w:tcW w:w="282" w:type="pct"/>
            <w:tcBorders>
              <w:top w:val="nil"/>
              <w:left w:val="nil"/>
              <w:bottom w:val="nil"/>
              <w:right w:val="nil"/>
            </w:tcBorders>
            <w:shd w:val="clear" w:color="auto" w:fill="auto"/>
            <w:noWrap/>
            <w:vAlign w:val="bottom"/>
            <w:hideMark/>
          </w:tcPr>
          <w:p w14:paraId="2341B50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66.959</w:t>
            </w:r>
          </w:p>
        </w:tc>
        <w:tc>
          <w:tcPr>
            <w:tcW w:w="277" w:type="pct"/>
            <w:tcBorders>
              <w:top w:val="nil"/>
              <w:left w:val="nil"/>
              <w:bottom w:val="nil"/>
              <w:right w:val="nil"/>
            </w:tcBorders>
            <w:shd w:val="clear" w:color="auto" w:fill="auto"/>
            <w:noWrap/>
            <w:vAlign w:val="bottom"/>
            <w:hideMark/>
          </w:tcPr>
          <w:p w14:paraId="2341B50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66.959</w:t>
            </w:r>
          </w:p>
        </w:tc>
      </w:tr>
      <w:tr w:rsidR="00CD529B" w:rsidRPr="000F6BEE" w14:paraId="2341B518" w14:textId="77777777" w:rsidTr="00564572">
        <w:trPr>
          <w:trHeight w:val="265"/>
        </w:trPr>
        <w:tc>
          <w:tcPr>
            <w:tcW w:w="1539" w:type="pct"/>
            <w:tcBorders>
              <w:top w:val="nil"/>
              <w:left w:val="nil"/>
              <w:bottom w:val="nil"/>
              <w:right w:val="nil"/>
            </w:tcBorders>
            <w:shd w:val="clear" w:color="auto" w:fill="auto"/>
            <w:noWrap/>
            <w:vAlign w:val="bottom"/>
            <w:hideMark/>
          </w:tcPr>
          <w:p w14:paraId="2341B50B"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Menores contribuciones percibidas por GDC ($COP Millones)</w:t>
            </w:r>
          </w:p>
        </w:tc>
        <w:tc>
          <w:tcPr>
            <w:tcW w:w="318" w:type="pct"/>
            <w:tcBorders>
              <w:top w:val="nil"/>
              <w:left w:val="nil"/>
              <w:bottom w:val="nil"/>
              <w:right w:val="nil"/>
            </w:tcBorders>
            <w:shd w:val="clear" w:color="auto" w:fill="auto"/>
            <w:noWrap/>
            <w:vAlign w:val="bottom"/>
            <w:hideMark/>
          </w:tcPr>
          <w:p w14:paraId="2341B50C"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74" w:type="pct"/>
            <w:tcBorders>
              <w:top w:val="nil"/>
              <w:left w:val="nil"/>
              <w:bottom w:val="nil"/>
              <w:right w:val="nil"/>
            </w:tcBorders>
            <w:shd w:val="clear" w:color="auto" w:fill="auto"/>
            <w:noWrap/>
            <w:vAlign w:val="bottom"/>
            <w:hideMark/>
          </w:tcPr>
          <w:p w14:paraId="2341B50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-2.232</w:t>
            </w:r>
          </w:p>
        </w:tc>
        <w:tc>
          <w:tcPr>
            <w:tcW w:w="291" w:type="pct"/>
            <w:tcBorders>
              <w:top w:val="nil"/>
              <w:left w:val="nil"/>
              <w:bottom w:val="nil"/>
              <w:right w:val="nil"/>
            </w:tcBorders>
            <w:shd w:val="clear" w:color="auto" w:fill="auto"/>
            <w:noWrap/>
            <w:vAlign w:val="bottom"/>
            <w:hideMark/>
          </w:tcPr>
          <w:p w14:paraId="2341B50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-4.464</w:t>
            </w:r>
          </w:p>
        </w:tc>
        <w:tc>
          <w:tcPr>
            <w:tcW w:w="281" w:type="pct"/>
            <w:tcBorders>
              <w:top w:val="nil"/>
              <w:left w:val="nil"/>
              <w:bottom w:val="nil"/>
              <w:right w:val="nil"/>
            </w:tcBorders>
            <w:shd w:val="clear" w:color="auto" w:fill="auto"/>
            <w:noWrap/>
            <w:vAlign w:val="bottom"/>
            <w:hideMark/>
          </w:tcPr>
          <w:p w14:paraId="2341B50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-6.696</w:t>
            </w:r>
          </w:p>
        </w:tc>
        <w:tc>
          <w:tcPr>
            <w:tcW w:w="289" w:type="pct"/>
            <w:tcBorders>
              <w:top w:val="nil"/>
              <w:left w:val="nil"/>
              <w:bottom w:val="nil"/>
              <w:right w:val="nil"/>
            </w:tcBorders>
            <w:shd w:val="clear" w:color="auto" w:fill="auto"/>
            <w:noWrap/>
            <w:vAlign w:val="bottom"/>
            <w:hideMark/>
          </w:tcPr>
          <w:p w14:paraId="2341B51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-8.928</w:t>
            </w:r>
          </w:p>
        </w:tc>
        <w:tc>
          <w:tcPr>
            <w:tcW w:w="289" w:type="pct"/>
            <w:tcBorders>
              <w:top w:val="nil"/>
              <w:left w:val="nil"/>
              <w:bottom w:val="nil"/>
              <w:right w:val="nil"/>
            </w:tcBorders>
            <w:shd w:val="clear" w:color="auto" w:fill="auto"/>
            <w:noWrap/>
            <w:vAlign w:val="bottom"/>
            <w:hideMark/>
          </w:tcPr>
          <w:p w14:paraId="2341B51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-11.160</w:t>
            </w:r>
          </w:p>
        </w:tc>
        <w:tc>
          <w:tcPr>
            <w:tcW w:w="290" w:type="pct"/>
            <w:tcBorders>
              <w:top w:val="nil"/>
              <w:left w:val="nil"/>
              <w:bottom w:val="nil"/>
              <w:right w:val="nil"/>
            </w:tcBorders>
            <w:shd w:val="clear" w:color="auto" w:fill="auto"/>
            <w:noWrap/>
            <w:vAlign w:val="bottom"/>
            <w:hideMark/>
          </w:tcPr>
          <w:p w14:paraId="2341B51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-11.160</w:t>
            </w:r>
          </w:p>
        </w:tc>
        <w:tc>
          <w:tcPr>
            <w:tcW w:w="290" w:type="pct"/>
            <w:tcBorders>
              <w:top w:val="nil"/>
              <w:left w:val="nil"/>
              <w:bottom w:val="nil"/>
              <w:right w:val="nil"/>
            </w:tcBorders>
            <w:shd w:val="clear" w:color="auto" w:fill="auto"/>
            <w:noWrap/>
            <w:vAlign w:val="bottom"/>
            <w:hideMark/>
          </w:tcPr>
          <w:p w14:paraId="2341B51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-11.160</w:t>
            </w:r>
          </w:p>
        </w:tc>
        <w:tc>
          <w:tcPr>
            <w:tcW w:w="290" w:type="pct"/>
            <w:tcBorders>
              <w:top w:val="nil"/>
              <w:left w:val="nil"/>
              <w:bottom w:val="nil"/>
              <w:right w:val="nil"/>
            </w:tcBorders>
            <w:shd w:val="clear" w:color="auto" w:fill="auto"/>
            <w:noWrap/>
            <w:vAlign w:val="bottom"/>
            <w:hideMark/>
          </w:tcPr>
          <w:p w14:paraId="2341B51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-11.160</w:t>
            </w:r>
          </w:p>
        </w:tc>
        <w:tc>
          <w:tcPr>
            <w:tcW w:w="290" w:type="pct"/>
            <w:tcBorders>
              <w:top w:val="nil"/>
              <w:left w:val="nil"/>
              <w:bottom w:val="nil"/>
              <w:right w:val="nil"/>
            </w:tcBorders>
            <w:shd w:val="clear" w:color="auto" w:fill="auto"/>
            <w:noWrap/>
            <w:vAlign w:val="bottom"/>
            <w:hideMark/>
          </w:tcPr>
          <w:p w14:paraId="2341B51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-11.160</w:t>
            </w:r>
          </w:p>
        </w:tc>
        <w:tc>
          <w:tcPr>
            <w:tcW w:w="282" w:type="pct"/>
            <w:tcBorders>
              <w:top w:val="nil"/>
              <w:left w:val="nil"/>
              <w:bottom w:val="nil"/>
              <w:right w:val="nil"/>
            </w:tcBorders>
            <w:shd w:val="clear" w:color="auto" w:fill="auto"/>
            <w:noWrap/>
            <w:vAlign w:val="bottom"/>
            <w:hideMark/>
          </w:tcPr>
          <w:p w14:paraId="2341B51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-11.160</w:t>
            </w:r>
          </w:p>
        </w:tc>
        <w:tc>
          <w:tcPr>
            <w:tcW w:w="277" w:type="pct"/>
            <w:tcBorders>
              <w:top w:val="nil"/>
              <w:left w:val="nil"/>
              <w:bottom w:val="nil"/>
              <w:right w:val="nil"/>
            </w:tcBorders>
            <w:shd w:val="clear" w:color="auto" w:fill="auto"/>
            <w:noWrap/>
            <w:vAlign w:val="bottom"/>
            <w:hideMark/>
          </w:tcPr>
          <w:p w14:paraId="2341B51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-11.160</w:t>
            </w:r>
          </w:p>
        </w:tc>
      </w:tr>
      <w:tr w:rsidR="00CD529B" w:rsidRPr="000F6BEE" w14:paraId="2341B526" w14:textId="77777777" w:rsidTr="00564572">
        <w:trPr>
          <w:trHeight w:val="265"/>
        </w:trPr>
        <w:tc>
          <w:tcPr>
            <w:tcW w:w="1539" w:type="pct"/>
            <w:tcBorders>
              <w:top w:val="nil"/>
              <w:left w:val="nil"/>
              <w:bottom w:val="nil"/>
              <w:right w:val="nil"/>
            </w:tcBorders>
            <w:shd w:val="clear" w:color="auto" w:fill="auto"/>
            <w:noWrap/>
            <w:vAlign w:val="bottom"/>
            <w:hideMark/>
          </w:tcPr>
          <w:p w14:paraId="2341B519"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($COP Millones)</w:t>
            </w:r>
          </w:p>
        </w:tc>
        <w:tc>
          <w:tcPr>
            <w:tcW w:w="318" w:type="pct"/>
            <w:tcBorders>
              <w:top w:val="nil"/>
              <w:left w:val="nil"/>
              <w:bottom w:val="nil"/>
              <w:right w:val="nil"/>
            </w:tcBorders>
            <w:shd w:val="clear" w:color="auto" w:fill="auto"/>
            <w:noWrap/>
            <w:vAlign w:val="bottom"/>
            <w:hideMark/>
          </w:tcPr>
          <w:p w14:paraId="2341B51A"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74" w:type="pct"/>
            <w:tcBorders>
              <w:top w:val="nil"/>
              <w:left w:val="nil"/>
              <w:bottom w:val="nil"/>
              <w:right w:val="nil"/>
            </w:tcBorders>
            <w:shd w:val="clear" w:color="auto" w:fill="auto"/>
            <w:noWrap/>
            <w:vAlign w:val="bottom"/>
            <w:hideMark/>
          </w:tcPr>
          <w:p w14:paraId="2341B51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106</w:t>
            </w:r>
          </w:p>
        </w:tc>
        <w:tc>
          <w:tcPr>
            <w:tcW w:w="291" w:type="pct"/>
            <w:tcBorders>
              <w:top w:val="nil"/>
              <w:left w:val="nil"/>
              <w:bottom w:val="nil"/>
              <w:right w:val="nil"/>
            </w:tcBorders>
            <w:shd w:val="clear" w:color="auto" w:fill="auto"/>
            <w:noWrap/>
            <w:vAlign w:val="bottom"/>
            <w:hideMark/>
          </w:tcPr>
          <w:p w14:paraId="2341B51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211</w:t>
            </w:r>
          </w:p>
        </w:tc>
        <w:tc>
          <w:tcPr>
            <w:tcW w:w="281" w:type="pct"/>
            <w:tcBorders>
              <w:top w:val="nil"/>
              <w:left w:val="nil"/>
              <w:bottom w:val="nil"/>
              <w:right w:val="nil"/>
            </w:tcBorders>
            <w:shd w:val="clear" w:color="auto" w:fill="auto"/>
            <w:noWrap/>
            <w:vAlign w:val="bottom"/>
            <w:hideMark/>
          </w:tcPr>
          <w:p w14:paraId="2341B51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317</w:t>
            </w:r>
          </w:p>
        </w:tc>
        <w:tc>
          <w:tcPr>
            <w:tcW w:w="289" w:type="pct"/>
            <w:tcBorders>
              <w:top w:val="nil"/>
              <w:left w:val="nil"/>
              <w:bottom w:val="nil"/>
              <w:right w:val="nil"/>
            </w:tcBorders>
            <w:shd w:val="clear" w:color="auto" w:fill="auto"/>
            <w:noWrap/>
            <w:vAlign w:val="bottom"/>
            <w:hideMark/>
          </w:tcPr>
          <w:p w14:paraId="2341B51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422</w:t>
            </w:r>
          </w:p>
        </w:tc>
        <w:tc>
          <w:tcPr>
            <w:tcW w:w="289" w:type="pct"/>
            <w:tcBorders>
              <w:top w:val="nil"/>
              <w:left w:val="nil"/>
              <w:bottom w:val="nil"/>
              <w:right w:val="nil"/>
            </w:tcBorders>
            <w:shd w:val="clear" w:color="auto" w:fill="auto"/>
            <w:noWrap/>
            <w:vAlign w:val="bottom"/>
            <w:hideMark/>
          </w:tcPr>
          <w:p w14:paraId="2341B51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528</w:t>
            </w:r>
          </w:p>
        </w:tc>
        <w:tc>
          <w:tcPr>
            <w:tcW w:w="290" w:type="pct"/>
            <w:tcBorders>
              <w:top w:val="nil"/>
              <w:left w:val="nil"/>
              <w:bottom w:val="nil"/>
              <w:right w:val="nil"/>
            </w:tcBorders>
            <w:shd w:val="clear" w:color="auto" w:fill="auto"/>
            <w:noWrap/>
            <w:vAlign w:val="bottom"/>
            <w:hideMark/>
          </w:tcPr>
          <w:p w14:paraId="2341B52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528</w:t>
            </w:r>
          </w:p>
        </w:tc>
        <w:tc>
          <w:tcPr>
            <w:tcW w:w="290" w:type="pct"/>
            <w:tcBorders>
              <w:top w:val="nil"/>
              <w:left w:val="nil"/>
              <w:bottom w:val="nil"/>
              <w:right w:val="nil"/>
            </w:tcBorders>
            <w:shd w:val="clear" w:color="auto" w:fill="auto"/>
            <w:noWrap/>
            <w:vAlign w:val="bottom"/>
            <w:hideMark/>
          </w:tcPr>
          <w:p w14:paraId="2341B52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528</w:t>
            </w:r>
          </w:p>
        </w:tc>
        <w:tc>
          <w:tcPr>
            <w:tcW w:w="290" w:type="pct"/>
            <w:tcBorders>
              <w:top w:val="nil"/>
              <w:left w:val="nil"/>
              <w:bottom w:val="nil"/>
              <w:right w:val="nil"/>
            </w:tcBorders>
            <w:shd w:val="clear" w:color="auto" w:fill="auto"/>
            <w:noWrap/>
            <w:vAlign w:val="bottom"/>
            <w:hideMark/>
          </w:tcPr>
          <w:p w14:paraId="2341B52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528</w:t>
            </w:r>
          </w:p>
        </w:tc>
        <w:tc>
          <w:tcPr>
            <w:tcW w:w="290" w:type="pct"/>
            <w:tcBorders>
              <w:top w:val="nil"/>
              <w:left w:val="nil"/>
              <w:bottom w:val="nil"/>
              <w:right w:val="nil"/>
            </w:tcBorders>
            <w:shd w:val="clear" w:color="auto" w:fill="auto"/>
            <w:noWrap/>
            <w:vAlign w:val="bottom"/>
            <w:hideMark/>
          </w:tcPr>
          <w:p w14:paraId="2341B52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528</w:t>
            </w:r>
          </w:p>
        </w:tc>
        <w:tc>
          <w:tcPr>
            <w:tcW w:w="282" w:type="pct"/>
            <w:tcBorders>
              <w:top w:val="nil"/>
              <w:left w:val="nil"/>
              <w:bottom w:val="nil"/>
              <w:right w:val="nil"/>
            </w:tcBorders>
            <w:shd w:val="clear" w:color="auto" w:fill="auto"/>
            <w:noWrap/>
            <w:vAlign w:val="bottom"/>
            <w:hideMark/>
          </w:tcPr>
          <w:p w14:paraId="2341B52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528</w:t>
            </w:r>
          </w:p>
        </w:tc>
        <w:tc>
          <w:tcPr>
            <w:tcW w:w="277" w:type="pct"/>
            <w:tcBorders>
              <w:top w:val="nil"/>
              <w:left w:val="nil"/>
              <w:bottom w:val="nil"/>
              <w:right w:val="nil"/>
            </w:tcBorders>
            <w:shd w:val="clear" w:color="auto" w:fill="auto"/>
            <w:noWrap/>
            <w:vAlign w:val="bottom"/>
            <w:hideMark/>
          </w:tcPr>
          <w:p w14:paraId="2341B52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528</w:t>
            </w:r>
          </w:p>
        </w:tc>
      </w:tr>
      <w:tr w:rsidR="00CD529B" w:rsidRPr="000F6BEE" w14:paraId="2341B534" w14:textId="77777777" w:rsidTr="00564572">
        <w:trPr>
          <w:trHeight w:val="265"/>
        </w:trPr>
        <w:tc>
          <w:tcPr>
            <w:tcW w:w="1539" w:type="pct"/>
            <w:tcBorders>
              <w:top w:val="nil"/>
              <w:left w:val="nil"/>
              <w:bottom w:val="single" w:sz="4" w:space="0" w:color="auto"/>
              <w:right w:val="nil"/>
            </w:tcBorders>
            <w:shd w:val="clear" w:color="auto" w:fill="auto"/>
            <w:noWrap/>
            <w:vAlign w:val="bottom"/>
            <w:hideMark/>
          </w:tcPr>
          <w:p w14:paraId="2341B527"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planta de generación evitada ($COP Millones)</w:t>
            </w:r>
          </w:p>
        </w:tc>
        <w:tc>
          <w:tcPr>
            <w:tcW w:w="318" w:type="pct"/>
            <w:tcBorders>
              <w:top w:val="nil"/>
              <w:left w:val="nil"/>
              <w:bottom w:val="single" w:sz="4" w:space="0" w:color="auto"/>
              <w:right w:val="nil"/>
            </w:tcBorders>
            <w:shd w:val="clear" w:color="auto" w:fill="auto"/>
            <w:noWrap/>
            <w:vAlign w:val="bottom"/>
            <w:hideMark/>
          </w:tcPr>
          <w:p w14:paraId="2341B528"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olor w:val="000000"/>
                <w:sz w:val="15"/>
                <w:szCs w:val="15"/>
                <w:lang w:val="es-ES_tradnl"/>
              </w:rPr>
              <w:t> </w:t>
            </w:r>
          </w:p>
        </w:tc>
        <w:tc>
          <w:tcPr>
            <w:tcW w:w="274" w:type="pct"/>
            <w:tcBorders>
              <w:top w:val="nil"/>
              <w:left w:val="nil"/>
              <w:bottom w:val="single" w:sz="4" w:space="0" w:color="auto"/>
              <w:right w:val="nil"/>
            </w:tcBorders>
            <w:shd w:val="clear" w:color="auto" w:fill="auto"/>
            <w:noWrap/>
            <w:vAlign w:val="bottom"/>
            <w:hideMark/>
          </w:tcPr>
          <w:p w14:paraId="2341B52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1" w:type="pct"/>
            <w:tcBorders>
              <w:top w:val="nil"/>
              <w:left w:val="nil"/>
              <w:bottom w:val="single" w:sz="4" w:space="0" w:color="auto"/>
              <w:right w:val="nil"/>
            </w:tcBorders>
            <w:shd w:val="clear" w:color="auto" w:fill="auto"/>
            <w:noWrap/>
            <w:vAlign w:val="bottom"/>
            <w:hideMark/>
          </w:tcPr>
          <w:p w14:paraId="2341B52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1" w:type="pct"/>
            <w:tcBorders>
              <w:top w:val="nil"/>
              <w:left w:val="nil"/>
              <w:bottom w:val="single" w:sz="4" w:space="0" w:color="auto"/>
              <w:right w:val="nil"/>
            </w:tcBorders>
            <w:shd w:val="clear" w:color="auto" w:fill="auto"/>
            <w:noWrap/>
            <w:vAlign w:val="bottom"/>
            <w:hideMark/>
          </w:tcPr>
          <w:p w14:paraId="2341B52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single" w:sz="4" w:space="0" w:color="auto"/>
              <w:right w:val="nil"/>
            </w:tcBorders>
            <w:shd w:val="clear" w:color="auto" w:fill="auto"/>
            <w:noWrap/>
            <w:vAlign w:val="bottom"/>
            <w:hideMark/>
          </w:tcPr>
          <w:p w14:paraId="2341B52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272.406</w:t>
            </w:r>
          </w:p>
        </w:tc>
        <w:tc>
          <w:tcPr>
            <w:tcW w:w="289" w:type="pct"/>
            <w:tcBorders>
              <w:top w:val="nil"/>
              <w:left w:val="nil"/>
              <w:bottom w:val="single" w:sz="4" w:space="0" w:color="auto"/>
              <w:right w:val="nil"/>
            </w:tcBorders>
            <w:shd w:val="clear" w:color="auto" w:fill="auto"/>
            <w:noWrap/>
            <w:vAlign w:val="bottom"/>
            <w:hideMark/>
          </w:tcPr>
          <w:p w14:paraId="2341B52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341B52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341B52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341B53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341B53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nil"/>
              <w:left w:val="nil"/>
              <w:bottom w:val="single" w:sz="4" w:space="0" w:color="auto"/>
              <w:right w:val="nil"/>
            </w:tcBorders>
            <w:shd w:val="clear" w:color="auto" w:fill="auto"/>
            <w:noWrap/>
            <w:vAlign w:val="bottom"/>
            <w:hideMark/>
          </w:tcPr>
          <w:p w14:paraId="2341B53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7" w:type="pct"/>
            <w:tcBorders>
              <w:top w:val="nil"/>
              <w:left w:val="nil"/>
              <w:bottom w:val="single" w:sz="4" w:space="0" w:color="auto"/>
              <w:right w:val="nil"/>
            </w:tcBorders>
            <w:shd w:val="clear" w:color="auto" w:fill="auto"/>
            <w:noWrap/>
            <w:vAlign w:val="bottom"/>
            <w:hideMark/>
          </w:tcPr>
          <w:p w14:paraId="2341B53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0F6BEE" w14:paraId="2341B542" w14:textId="77777777" w:rsidTr="00564572">
        <w:trPr>
          <w:trHeight w:val="265"/>
        </w:trPr>
        <w:tc>
          <w:tcPr>
            <w:tcW w:w="1539" w:type="pct"/>
            <w:tcBorders>
              <w:top w:val="nil"/>
              <w:left w:val="nil"/>
              <w:bottom w:val="single" w:sz="4" w:space="0" w:color="auto"/>
              <w:right w:val="nil"/>
            </w:tcBorders>
            <w:shd w:val="clear" w:color="auto" w:fill="auto"/>
            <w:noWrap/>
            <w:vAlign w:val="bottom"/>
            <w:hideMark/>
          </w:tcPr>
          <w:p w14:paraId="2341B535" w14:textId="77777777" w:rsidR="00CD529B" w:rsidRPr="000F6BEE" w:rsidRDefault="00CD529B" w:rsidP="00564572">
            <w:pPr>
              <w:ind w:firstLineChars="100" w:firstLine="150"/>
              <w:rPr>
                <w:rFonts w:ascii="Calibri" w:hAnsi="Calibri" w:cs="Calibri"/>
                <w:color w:val="000000"/>
                <w:sz w:val="15"/>
                <w:szCs w:val="15"/>
                <w:lang w:eastAsia="es-CO"/>
              </w:rPr>
            </w:pPr>
            <w:r w:rsidRPr="000F6BEE">
              <w:rPr>
                <w:rFonts w:ascii="Calibri" w:hAnsi="Calibri" w:cs="Calibri"/>
                <w:color w:val="000000"/>
                <w:sz w:val="15"/>
                <w:szCs w:val="15"/>
                <w:lang w:eastAsia="es-CO"/>
              </w:rPr>
              <w:t>Total Beneficios ($COP Millones)</w:t>
            </w:r>
          </w:p>
        </w:tc>
        <w:tc>
          <w:tcPr>
            <w:tcW w:w="318" w:type="pct"/>
            <w:tcBorders>
              <w:top w:val="nil"/>
              <w:left w:val="nil"/>
              <w:bottom w:val="single" w:sz="4" w:space="0" w:color="auto"/>
              <w:right w:val="nil"/>
            </w:tcBorders>
            <w:shd w:val="clear" w:color="auto" w:fill="auto"/>
            <w:noWrap/>
            <w:vAlign w:val="bottom"/>
            <w:hideMark/>
          </w:tcPr>
          <w:p w14:paraId="2341B536" w14:textId="77777777" w:rsidR="00CD529B" w:rsidRPr="000D0E52" w:rsidRDefault="00CD529B" w:rsidP="00564572">
            <w:pPr>
              <w:rPr>
                <w:rFonts w:ascii="Calibri" w:hAnsi="Calibri" w:cs="Calibri"/>
                <w:color w:val="000000"/>
                <w:sz w:val="15"/>
                <w:szCs w:val="15"/>
                <w:lang w:eastAsia="es-CO"/>
              </w:rPr>
            </w:pPr>
            <w:r w:rsidRPr="000D0E52">
              <w:rPr>
                <w:rFonts w:ascii="Calibri" w:hAnsi="Calibri"/>
                <w:color w:val="000000"/>
                <w:sz w:val="15"/>
                <w:szCs w:val="15"/>
              </w:rPr>
              <w:t> </w:t>
            </w:r>
          </w:p>
        </w:tc>
        <w:tc>
          <w:tcPr>
            <w:tcW w:w="274" w:type="pct"/>
            <w:tcBorders>
              <w:top w:val="nil"/>
              <w:left w:val="nil"/>
              <w:bottom w:val="single" w:sz="4" w:space="0" w:color="auto"/>
              <w:right w:val="nil"/>
            </w:tcBorders>
            <w:shd w:val="clear" w:color="auto" w:fill="auto"/>
            <w:noWrap/>
            <w:vAlign w:val="bottom"/>
            <w:hideMark/>
          </w:tcPr>
          <w:p w14:paraId="2341B53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11.265</w:t>
            </w:r>
          </w:p>
        </w:tc>
        <w:tc>
          <w:tcPr>
            <w:tcW w:w="291" w:type="pct"/>
            <w:tcBorders>
              <w:top w:val="nil"/>
              <w:left w:val="nil"/>
              <w:bottom w:val="single" w:sz="4" w:space="0" w:color="auto"/>
              <w:right w:val="nil"/>
            </w:tcBorders>
            <w:shd w:val="clear" w:color="auto" w:fill="auto"/>
            <w:noWrap/>
            <w:vAlign w:val="bottom"/>
            <w:hideMark/>
          </w:tcPr>
          <w:p w14:paraId="2341B53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22.531</w:t>
            </w:r>
          </w:p>
        </w:tc>
        <w:tc>
          <w:tcPr>
            <w:tcW w:w="281" w:type="pct"/>
            <w:tcBorders>
              <w:top w:val="nil"/>
              <w:left w:val="nil"/>
              <w:bottom w:val="single" w:sz="4" w:space="0" w:color="auto"/>
              <w:right w:val="nil"/>
            </w:tcBorders>
            <w:shd w:val="clear" w:color="auto" w:fill="auto"/>
            <w:noWrap/>
            <w:vAlign w:val="bottom"/>
            <w:hideMark/>
          </w:tcPr>
          <w:p w14:paraId="2341B53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33.796</w:t>
            </w:r>
          </w:p>
        </w:tc>
        <w:tc>
          <w:tcPr>
            <w:tcW w:w="289" w:type="pct"/>
            <w:tcBorders>
              <w:top w:val="nil"/>
              <w:left w:val="nil"/>
              <w:bottom w:val="single" w:sz="4" w:space="0" w:color="auto"/>
              <w:right w:val="nil"/>
            </w:tcBorders>
            <w:shd w:val="clear" w:color="auto" w:fill="auto"/>
            <w:noWrap/>
            <w:vAlign w:val="bottom"/>
            <w:hideMark/>
          </w:tcPr>
          <w:p w14:paraId="2341B53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317.467</w:t>
            </w:r>
          </w:p>
        </w:tc>
        <w:tc>
          <w:tcPr>
            <w:tcW w:w="289" w:type="pct"/>
            <w:tcBorders>
              <w:top w:val="nil"/>
              <w:left w:val="nil"/>
              <w:bottom w:val="single" w:sz="4" w:space="0" w:color="auto"/>
              <w:right w:val="nil"/>
            </w:tcBorders>
            <w:shd w:val="clear" w:color="auto" w:fill="auto"/>
            <w:noWrap/>
            <w:vAlign w:val="bottom"/>
            <w:hideMark/>
          </w:tcPr>
          <w:p w14:paraId="2341B53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2341B53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2341B53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2341B53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2341B53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82" w:type="pct"/>
            <w:tcBorders>
              <w:top w:val="nil"/>
              <w:left w:val="nil"/>
              <w:bottom w:val="single" w:sz="4" w:space="0" w:color="auto"/>
              <w:right w:val="nil"/>
            </w:tcBorders>
            <w:shd w:val="clear" w:color="auto" w:fill="auto"/>
            <w:noWrap/>
            <w:vAlign w:val="bottom"/>
            <w:hideMark/>
          </w:tcPr>
          <w:p w14:paraId="2341B54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77" w:type="pct"/>
            <w:tcBorders>
              <w:top w:val="nil"/>
              <w:left w:val="nil"/>
              <w:bottom w:val="single" w:sz="4" w:space="0" w:color="auto"/>
              <w:right w:val="nil"/>
            </w:tcBorders>
            <w:shd w:val="clear" w:color="auto" w:fill="auto"/>
            <w:noWrap/>
            <w:vAlign w:val="bottom"/>
            <w:hideMark/>
          </w:tcPr>
          <w:p w14:paraId="2341B54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56.327</w:t>
            </w:r>
          </w:p>
        </w:tc>
      </w:tr>
      <w:tr w:rsidR="00CD529B" w:rsidRPr="000F6BEE" w14:paraId="2341B550" w14:textId="77777777" w:rsidTr="00564572">
        <w:trPr>
          <w:trHeight w:val="265"/>
        </w:trPr>
        <w:tc>
          <w:tcPr>
            <w:tcW w:w="1539" w:type="pct"/>
            <w:tcBorders>
              <w:top w:val="nil"/>
              <w:left w:val="nil"/>
              <w:bottom w:val="nil"/>
              <w:right w:val="nil"/>
            </w:tcBorders>
            <w:shd w:val="clear" w:color="auto" w:fill="auto"/>
            <w:noWrap/>
            <w:vAlign w:val="bottom"/>
            <w:hideMark/>
          </w:tcPr>
          <w:p w14:paraId="2341B543" w14:textId="77777777" w:rsidR="00CD529B" w:rsidRPr="000F6BEE" w:rsidRDefault="00CD529B" w:rsidP="00564572">
            <w:pPr>
              <w:rPr>
                <w:rFonts w:ascii="Calibri" w:hAnsi="Calibri" w:cs="Calibri"/>
                <w:b/>
                <w:bCs/>
                <w:color w:val="000000"/>
                <w:sz w:val="15"/>
                <w:szCs w:val="15"/>
                <w:lang w:eastAsia="es-CO"/>
              </w:rPr>
            </w:pPr>
            <w:r w:rsidRPr="000F6BEE">
              <w:rPr>
                <w:rFonts w:ascii="Calibri" w:hAnsi="Calibri" w:cs="Calibri"/>
                <w:b/>
                <w:bCs/>
                <w:color w:val="000000"/>
                <w:sz w:val="15"/>
                <w:szCs w:val="15"/>
                <w:lang w:eastAsia="es-CO"/>
              </w:rPr>
              <w:t>Inversión y Costos</w:t>
            </w:r>
          </w:p>
        </w:tc>
        <w:tc>
          <w:tcPr>
            <w:tcW w:w="318" w:type="pct"/>
            <w:tcBorders>
              <w:top w:val="nil"/>
              <w:left w:val="nil"/>
              <w:bottom w:val="nil"/>
              <w:right w:val="nil"/>
            </w:tcBorders>
            <w:shd w:val="clear" w:color="auto" w:fill="auto"/>
            <w:noWrap/>
            <w:vAlign w:val="bottom"/>
            <w:hideMark/>
          </w:tcPr>
          <w:p w14:paraId="2341B544" w14:textId="77777777" w:rsidR="00CD529B" w:rsidRPr="000D0E52" w:rsidRDefault="00CD529B" w:rsidP="00564572">
            <w:pPr>
              <w:rPr>
                <w:rFonts w:ascii="Calibri" w:hAnsi="Calibri" w:cs="Calibri"/>
                <w:b/>
                <w:bCs/>
                <w:color w:val="000000"/>
                <w:sz w:val="15"/>
                <w:szCs w:val="15"/>
                <w:lang w:eastAsia="es-CO"/>
              </w:rPr>
            </w:pPr>
          </w:p>
        </w:tc>
        <w:tc>
          <w:tcPr>
            <w:tcW w:w="274" w:type="pct"/>
            <w:tcBorders>
              <w:top w:val="nil"/>
              <w:left w:val="nil"/>
              <w:bottom w:val="nil"/>
              <w:right w:val="nil"/>
            </w:tcBorders>
            <w:shd w:val="clear" w:color="auto" w:fill="auto"/>
            <w:noWrap/>
            <w:vAlign w:val="bottom"/>
            <w:hideMark/>
          </w:tcPr>
          <w:p w14:paraId="2341B545" w14:textId="77777777" w:rsidR="00CD529B" w:rsidRPr="000D0E52" w:rsidRDefault="00CD529B" w:rsidP="00564572">
            <w:pPr>
              <w:rPr>
                <w:sz w:val="15"/>
                <w:szCs w:val="15"/>
                <w:lang w:eastAsia="es-CO"/>
              </w:rPr>
            </w:pPr>
          </w:p>
        </w:tc>
        <w:tc>
          <w:tcPr>
            <w:tcW w:w="291" w:type="pct"/>
            <w:tcBorders>
              <w:top w:val="nil"/>
              <w:left w:val="nil"/>
              <w:bottom w:val="nil"/>
              <w:right w:val="nil"/>
            </w:tcBorders>
            <w:shd w:val="clear" w:color="auto" w:fill="auto"/>
            <w:noWrap/>
            <w:vAlign w:val="bottom"/>
            <w:hideMark/>
          </w:tcPr>
          <w:p w14:paraId="2341B546" w14:textId="77777777" w:rsidR="00CD529B" w:rsidRPr="000D0E52"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547" w14:textId="77777777" w:rsidR="00CD529B" w:rsidRPr="000D0E52"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548" w14:textId="77777777" w:rsidR="00CD529B" w:rsidRPr="000D0E52"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549"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4A"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4B"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4C"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4D" w14:textId="77777777" w:rsidR="00CD529B" w:rsidRPr="000D0E52"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54E" w14:textId="77777777" w:rsidR="00CD529B" w:rsidRPr="000D0E52"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54F" w14:textId="77777777" w:rsidR="00CD529B" w:rsidRPr="000D0E52" w:rsidRDefault="00CD529B" w:rsidP="00564572">
            <w:pPr>
              <w:rPr>
                <w:sz w:val="15"/>
                <w:szCs w:val="15"/>
                <w:lang w:eastAsia="es-CO"/>
              </w:rPr>
            </w:pPr>
          </w:p>
        </w:tc>
      </w:tr>
      <w:tr w:rsidR="00CD529B" w:rsidRPr="000F6BEE" w14:paraId="2341B55E" w14:textId="77777777" w:rsidTr="00564572">
        <w:trPr>
          <w:trHeight w:val="265"/>
        </w:trPr>
        <w:tc>
          <w:tcPr>
            <w:tcW w:w="1539" w:type="pct"/>
            <w:tcBorders>
              <w:top w:val="nil"/>
              <w:left w:val="nil"/>
              <w:bottom w:val="nil"/>
              <w:right w:val="nil"/>
            </w:tcBorders>
            <w:shd w:val="clear" w:color="auto" w:fill="auto"/>
            <w:noWrap/>
            <w:vAlign w:val="bottom"/>
            <w:hideMark/>
          </w:tcPr>
          <w:p w14:paraId="2341B551"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Inversión en equipos de refrigeración eficientes</w:t>
            </w:r>
          </w:p>
        </w:tc>
        <w:tc>
          <w:tcPr>
            <w:tcW w:w="318" w:type="pct"/>
            <w:tcBorders>
              <w:top w:val="nil"/>
              <w:left w:val="nil"/>
              <w:bottom w:val="nil"/>
              <w:right w:val="nil"/>
            </w:tcBorders>
            <w:shd w:val="clear" w:color="auto" w:fill="auto"/>
            <w:noWrap/>
            <w:vAlign w:val="bottom"/>
            <w:hideMark/>
          </w:tcPr>
          <w:p w14:paraId="2341B552"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74" w:type="pct"/>
            <w:tcBorders>
              <w:top w:val="nil"/>
              <w:left w:val="nil"/>
              <w:bottom w:val="nil"/>
              <w:right w:val="nil"/>
            </w:tcBorders>
            <w:shd w:val="clear" w:color="auto" w:fill="auto"/>
            <w:noWrap/>
            <w:vAlign w:val="bottom"/>
            <w:hideMark/>
          </w:tcPr>
          <w:p w14:paraId="2341B55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91" w:type="pct"/>
            <w:tcBorders>
              <w:top w:val="nil"/>
              <w:left w:val="nil"/>
              <w:bottom w:val="nil"/>
              <w:right w:val="nil"/>
            </w:tcBorders>
            <w:shd w:val="clear" w:color="auto" w:fill="auto"/>
            <w:noWrap/>
            <w:vAlign w:val="bottom"/>
            <w:hideMark/>
          </w:tcPr>
          <w:p w14:paraId="2341B55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81" w:type="pct"/>
            <w:tcBorders>
              <w:top w:val="nil"/>
              <w:left w:val="nil"/>
              <w:bottom w:val="nil"/>
              <w:right w:val="nil"/>
            </w:tcBorders>
            <w:shd w:val="clear" w:color="auto" w:fill="auto"/>
            <w:noWrap/>
            <w:vAlign w:val="bottom"/>
            <w:hideMark/>
          </w:tcPr>
          <w:p w14:paraId="2341B55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89" w:type="pct"/>
            <w:tcBorders>
              <w:top w:val="nil"/>
              <w:left w:val="nil"/>
              <w:bottom w:val="nil"/>
              <w:right w:val="nil"/>
            </w:tcBorders>
            <w:shd w:val="clear" w:color="auto" w:fill="auto"/>
            <w:noWrap/>
            <w:vAlign w:val="bottom"/>
            <w:hideMark/>
          </w:tcPr>
          <w:p w14:paraId="2341B55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89" w:type="pct"/>
            <w:tcBorders>
              <w:top w:val="nil"/>
              <w:left w:val="nil"/>
              <w:bottom w:val="nil"/>
              <w:right w:val="nil"/>
            </w:tcBorders>
            <w:shd w:val="clear" w:color="auto" w:fill="auto"/>
            <w:noWrap/>
            <w:vAlign w:val="bottom"/>
            <w:hideMark/>
          </w:tcPr>
          <w:p w14:paraId="2341B55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90" w:type="pct"/>
            <w:tcBorders>
              <w:top w:val="nil"/>
              <w:left w:val="nil"/>
              <w:bottom w:val="nil"/>
              <w:right w:val="nil"/>
            </w:tcBorders>
            <w:shd w:val="clear" w:color="auto" w:fill="auto"/>
            <w:noWrap/>
            <w:vAlign w:val="bottom"/>
            <w:hideMark/>
          </w:tcPr>
          <w:p w14:paraId="2341B55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2341B55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2341B55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2341B55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nil"/>
              <w:left w:val="nil"/>
              <w:bottom w:val="nil"/>
              <w:right w:val="nil"/>
            </w:tcBorders>
            <w:shd w:val="clear" w:color="auto" w:fill="auto"/>
            <w:noWrap/>
            <w:vAlign w:val="bottom"/>
            <w:hideMark/>
          </w:tcPr>
          <w:p w14:paraId="2341B55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7" w:type="pct"/>
            <w:tcBorders>
              <w:top w:val="nil"/>
              <w:left w:val="nil"/>
              <w:bottom w:val="nil"/>
              <w:right w:val="nil"/>
            </w:tcBorders>
            <w:shd w:val="clear" w:color="auto" w:fill="auto"/>
            <w:noWrap/>
            <w:vAlign w:val="bottom"/>
            <w:hideMark/>
          </w:tcPr>
          <w:p w14:paraId="2341B55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0F6BEE" w14:paraId="2341B56C" w14:textId="77777777" w:rsidTr="00564572">
        <w:trPr>
          <w:trHeight w:val="265"/>
        </w:trPr>
        <w:tc>
          <w:tcPr>
            <w:tcW w:w="1539" w:type="pct"/>
            <w:tcBorders>
              <w:top w:val="single" w:sz="4" w:space="0" w:color="auto"/>
              <w:left w:val="nil"/>
              <w:bottom w:val="single" w:sz="4" w:space="0" w:color="auto"/>
              <w:right w:val="nil"/>
            </w:tcBorders>
            <w:shd w:val="clear" w:color="auto" w:fill="auto"/>
            <w:noWrap/>
            <w:vAlign w:val="bottom"/>
            <w:hideMark/>
          </w:tcPr>
          <w:p w14:paraId="2341B55F"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Total Inversión y Costos ($COP Millones)</w:t>
            </w:r>
          </w:p>
        </w:tc>
        <w:tc>
          <w:tcPr>
            <w:tcW w:w="318" w:type="pct"/>
            <w:tcBorders>
              <w:top w:val="single" w:sz="4" w:space="0" w:color="auto"/>
              <w:left w:val="nil"/>
              <w:bottom w:val="single" w:sz="4" w:space="0" w:color="auto"/>
              <w:right w:val="nil"/>
            </w:tcBorders>
            <w:shd w:val="clear" w:color="auto" w:fill="auto"/>
            <w:noWrap/>
            <w:vAlign w:val="bottom"/>
            <w:hideMark/>
          </w:tcPr>
          <w:p w14:paraId="2341B560"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olor w:val="000000"/>
                <w:sz w:val="15"/>
                <w:szCs w:val="15"/>
                <w:lang w:val="es-ES_tradnl"/>
              </w:rPr>
              <w:t> </w:t>
            </w:r>
          </w:p>
        </w:tc>
        <w:tc>
          <w:tcPr>
            <w:tcW w:w="274" w:type="pct"/>
            <w:tcBorders>
              <w:top w:val="single" w:sz="4" w:space="0" w:color="auto"/>
              <w:left w:val="nil"/>
              <w:bottom w:val="single" w:sz="4" w:space="0" w:color="auto"/>
              <w:right w:val="nil"/>
            </w:tcBorders>
            <w:shd w:val="clear" w:color="auto" w:fill="auto"/>
            <w:noWrap/>
            <w:vAlign w:val="bottom"/>
            <w:hideMark/>
          </w:tcPr>
          <w:p w14:paraId="2341B56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91" w:type="pct"/>
            <w:tcBorders>
              <w:top w:val="single" w:sz="4" w:space="0" w:color="auto"/>
              <w:left w:val="nil"/>
              <w:bottom w:val="single" w:sz="4" w:space="0" w:color="auto"/>
              <w:right w:val="nil"/>
            </w:tcBorders>
            <w:shd w:val="clear" w:color="auto" w:fill="auto"/>
            <w:noWrap/>
            <w:vAlign w:val="bottom"/>
            <w:hideMark/>
          </w:tcPr>
          <w:p w14:paraId="2341B56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81" w:type="pct"/>
            <w:tcBorders>
              <w:top w:val="single" w:sz="4" w:space="0" w:color="auto"/>
              <w:left w:val="nil"/>
              <w:bottom w:val="single" w:sz="4" w:space="0" w:color="auto"/>
              <w:right w:val="nil"/>
            </w:tcBorders>
            <w:shd w:val="clear" w:color="auto" w:fill="auto"/>
            <w:noWrap/>
            <w:vAlign w:val="bottom"/>
            <w:hideMark/>
          </w:tcPr>
          <w:p w14:paraId="2341B56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89" w:type="pct"/>
            <w:tcBorders>
              <w:top w:val="single" w:sz="4" w:space="0" w:color="auto"/>
              <w:left w:val="nil"/>
              <w:bottom w:val="single" w:sz="4" w:space="0" w:color="auto"/>
              <w:right w:val="nil"/>
            </w:tcBorders>
            <w:shd w:val="clear" w:color="auto" w:fill="auto"/>
            <w:noWrap/>
            <w:vAlign w:val="bottom"/>
            <w:hideMark/>
          </w:tcPr>
          <w:p w14:paraId="2341B56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89" w:type="pct"/>
            <w:tcBorders>
              <w:top w:val="single" w:sz="4" w:space="0" w:color="auto"/>
              <w:left w:val="nil"/>
              <w:bottom w:val="single" w:sz="4" w:space="0" w:color="auto"/>
              <w:right w:val="nil"/>
            </w:tcBorders>
            <w:shd w:val="clear" w:color="auto" w:fill="auto"/>
            <w:noWrap/>
            <w:vAlign w:val="bottom"/>
            <w:hideMark/>
          </w:tcPr>
          <w:p w14:paraId="2341B56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227.657</w:t>
            </w:r>
          </w:p>
        </w:tc>
        <w:tc>
          <w:tcPr>
            <w:tcW w:w="290" w:type="pct"/>
            <w:tcBorders>
              <w:top w:val="single" w:sz="4" w:space="0" w:color="auto"/>
              <w:left w:val="nil"/>
              <w:bottom w:val="single" w:sz="4" w:space="0" w:color="auto"/>
              <w:right w:val="nil"/>
            </w:tcBorders>
            <w:shd w:val="clear" w:color="auto" w:fill="auto"/>
            <w:noWrap/>
            <w:vAlign w:val="bottom"/>
            <w:hideMark/>
          </w:tcPr>
          <w:p w14:paraId="2341B56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auto"/>
              <w:left w:val="nil"/>
              <w:bottom w:val="single" w:sz="4" w:space="0" w:color="auto"/>
              <w:right w:val="nil"/>
            </w:tcBorders>
            <w:shd w:val="clear" w:color="auto" w:fill="auto"/>
            <w:noWrap/>
            <w:vAlign w:val="bottom"/>
            <w:hideMark/>
          </w:tcPr>
          <w:p w14:paraId="2341B56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auto"/>
              <w:left w:val="nil"/>
              <w:bottom w:val="single" w:sz="4" w:space="0" w:color="auto"/>
              <w:right w:val="nil"/>
            </w:tcBorders>
            <w:shd w:val="clear" w:color="auto" w:fill="auto"/>
            <w:noWrap/>
            <w:vAlign w:val="bottom"/>
            <w:hideMark/>
          </w:tcPr>
          <w:p w14:paraId="2341B56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auto"/>
              <w:left w:val="nil"/>
              <w:bottom w:val="single" w:sz="4" w:space="0" w:color="auto"/>
              <w:right w:val="nil"/>
            </w:tcBorders>
            <w:shd w:val="clear" w:color="auto" w:fill="auto"/>
            <w:noWrap/>
            <w:vAlign w:val="bottom"/>
            <w:hideMark/>
          </w:tcPr>
          <w:p w14:paraId="2341B56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single" w:sz="4" w:space="0" w:color="auto"/>
              <w:left w:val="nil"/>
              <w:bottom w:val="single" w:sz="4" w:space="0" w:color="auto"/>
              <w:right w:val="nil"/>
            </w:tcBorders>
            <w:shd w:val="clear" w:color="auto" w:fill="auto"/>
            <w:noWrap/>
            <w:vAlign w:val="bottom"/>
            <w:hideMark/>
          </w:tcPr>
          <w:p w14:paraId="2341B56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7" w:type="pct"/>
            <w:tcBorders>
              <w:top w:val="single" w:sz="4" w:space="0" w:color="auto"/>
              <w:left w:val="nil"/>
              <w:bottom w:val="single" w:sz="4" w:space="0" w:color="auto"/>
              <w:right w:val="nil"/>
            </w:tcBorders>
            <w:shd w:val="clear" w:color="auto" w:fill="auto"/>
            <w:noWrap/>
            <w:vAlign w:val="bottom"/>
            <w:hideMark/>
          </w:tcPr>
          <w:p w14:paraId="2341B56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0F6BEE" w14:paraId="2341B57A" w14:textId="77777777" w:rsidTr="00564572">
        <w:trPr>
          <w:trHeight w:val="265"/>
        </w:trPr>
        <w:tc>
          <w:tcPr>
            <w:tcW w:w="1539" w:type="pct"/>
            <w:tcBorders>
              <w:top w:val="nil"/>
              <w:left w:val="nil"/>
              <w:bottom w:val="single" w:sz="4" w:space="0" w:color="auto"/>
              <w:right w:val="nil"/>
            </w:tcBorders>
            <w:shd w:val="clear" w:color="auto" w:fill="auto"/>
            <w:noWrap/>
            <w:vAlign w:val="bottom"/>
            <w:hideMark/>
          </w:tcPr>
          <w:p w14:paraId="2341B56D" w14:textId="77777777" w:rsidR="00CD529B" w:rsidRPr="000F6BEE" w:rsidRDefault="00CD529B" w:rsidP="00564572">
            <w:pPr>
              <w:rPr>
                <w:rFonts w:ascii="Calibri" w:hAnsi="Calibri" w:cs="Calibri"/>
                <w:b/>
                <w:bCs/>
                <w:color w:val="000000"/>
                <w:sz w:val="15"/>
                <w:szCs w:val="15"/>
                <w:lang w:eastAsia="es-CO"/>
              </w:rPr>
            </w:pPr>
            <w:r w:rsidRPr="000F6BEE">
              <w:rPr>
                <w:rFonts w:ascii="Calibri" w:hAnsi="Calibri" w:cs="Calibri"/>
                <w:b/>
                <w:bCs/>
                <w:color w:val="000000"/>
                <w:sz w:val="15"/>
                <w:szCs w:val="15"/>
                <w:lang w:eastAsia="es-CO"/>
              </w:rPr>
              <w:t>Flujo Neto</w:t>
            </w:r>
          </w:p>
        </w:tc>
        <w:tc>
          <w:tcPr>
            <w:tcW w:w="318" w:type="pct"/>
            <w:tcBorders>
              <w:top w:val="nil"/>
              <w:left w:val="nil"/>
              <w:bottom w:val="single" w:sz="4" w:space="0" w:color="auto"/>
              <w:right w:val="nil"/>
            </w:tcBorders>
            <w:shd w:val="clear" w:color="auto" w:fill="auto"/>
            <w:noWrap/>
            <w:vAlign w:val="bottom"/>
            <w:hideMark/>
          </w:tcPr>
          <w:p w14:paraId="2341B56E" w14:textId="77777777" w:rsidR="00CD529B" w:rsidRPr="000D0E52" w:rsidRDefault="00CD529B" w:rsidP="00564572">
            <w:pPr>
              <w:rPr>
                <w:rFonts w:ascii="Calibri" w:hAnsi="Calibri" w:cs="Calibri"/>
                <w:color w:val="000000"/>
                <w:sz w:val="15"/>
                <w:szCs w:val="15"/>
                <w:lang w:eastAsia="es-CO"/>
              </w:rPr>
            </w:pPr>
            <w:r w:rsidRPr="000D0E52">
              <w:rPr>
                <w:rFonts w:ascii="Calibri" w:hAnsi="Calibri"/>
                <w:color w:val="000000"/>
                <w:sz w:val="15"/>
                <w:szCs w:val="15"/>
              </w:rPr>
              <w:t> </w:t>
            </w:r>
          </w:p>
        </w:tc>
        <w:tc>
          <w:tcPr>
            <w:tcW w:w="274" w:type="pct"/>
            <w:tcBorders>
              <w:top w:val="nil"/>
              <w:left w:val="nil"/>
              <w:bottom w:val="single" w:sz="4" w:space="0" w:color="auto"/>
              <w:right w:val="nil"/>
            </w:tcBorders>
            <w:shd w:val="clear" w:color="auto" w:fill="auto"/>
            <w:noWrap/>
            <w:vAlign w:val="bottom"/>
            <w:hideMark/>
          </w:tcPr>
          <w:p w14:paraId="2341B56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-216.392</w:t>
            </w:r>
          </w:p>
        </w:tc>
        <w:tc>
          <w:tcPr>
            <w:tcW w:w="291" w:type="pct"/>
            <w:tcBorders>
              <w:top w:val="nil"/>
              <w:left w:val="nil"/>
              <w:bottom w:val="single" w:sz="4" w:space="0" w:color="auto"/>
              <w:right w:val="nil"/>
            </w:tcBorders>
            <w:shd w:val="clear" w:color="auto" w:fill="auto"/>
            <w:noWrap/>
            <w:vAlign w:val="bottom"/>
            <w:hideMark/>
          </w:tcPr>
          <w:p w14:paraId="2341B57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-205.126</w:t>
            </w:r>
          </w:p>
        </w:tc>
        <w:tc>
          <w:tcPr>
            <w:tcW w:w="281" w:type="pct"/>
            <w:tcBorders>
              <w:top w:val="nil"/>
              <w:left w:val="nil"/>
              <w:bottom w:val="single" w:sz="4" w:space="0" w:color="auto"/>
              <w:right w:val="nil"/>
            </w:tcBorders>
            <w:shd w:val="clear" w:color="auto" w:fill="auto"/>
            <w:noWrap/>
            <w:vAlign w:val="bottom"/>
            <w:hideMark/>
          </w:tcPr>
          <w:p w14:paraId="2341B57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-193.861</w:t>
            </w:r>
          </w:p>
        </w:tc>
        <w:tc>
          <w:tcPr>
            <w:tcW w:w="289" w:type="pct"/>
            <w:tcBorders>
              <w:top w:val="nil"/>
              <w:left w:val="nil"/>
              <w:bottom w:val="single" w:sz="4" w:space="0" w:color="auto"/>
              <w:right w:val="nil"/>
            </w:tcBorders>
            <w:shd w:val="clear" w:color="auto" w:fill="auto"/>
            <w:noWrap/>
            <w:vAlign w:val="bottom"/>
            <w:hideMark/>
          </w:tcPr>
          <w:p w14:paraId="2341B57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89.810</w:t>
            </w:r>
          </w:p>
        </w:tc>
        <w:tc>
          <w:tcPr>
            <w:tcW w:w="289" w:type="pct"/>
            <w:tcBorders>
              <w:top w:val="nil"/>
              <w:left w:val="nil"/>
              <w:bottom w:val="single" w:sz="4" w:space="0" w:color="auto"/>
              <w:right w:val="nil"/>
            </w:tcBorders>
            <w:shd w:val="clear" w:color="auto" w:fill="auto"/>
            <w:noWrap/>
            <w:vAlign w:val="bottom"/>
            <w:hideMark/>
          </w:tcPr>
          <w:p w14:paraId="2341B57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-171.330</w:t>
            </w:r>
          </w:p>
        </w:tc>
        <w:tc>
          <w:tcPr>
            <w:tcW w:w="290" w:type="pct"/>
            <w:tcBorders>
              <w:top w:val="nil"/>
              <w:left w:val="nil"/>
              <w:bottom w:val="single" w:sz="4" w:space="0" w:color="auto"/>
              <w:right w:val="nil"/>
            </w:tcBorders>
            <w:shd w:val="clear" w:color="auto" w:fill="auto"/>
            <w:noWrap/>
            <w:vAlign w:val="bottom"/>
            <w:hideMark/>
          </w:tcPr>
          <w:p w14:paraId="2341B57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2341B57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2341B57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90" w:type="pct"/>
            <w:tcBorders>
              <w:top w:val="nil"/>
              <w:left w:val="nil"/>
              <w:bottom w:val="single" w:sz="4" w:space="0" w:color="auto"/>
              <w:right w:val="nil"/>
            </w:tcBorders>
            <w:shd w:val="clear" w:color="auto" w:fill="auto"/>
            <w:noWrap/>
            <w:vAlign w:val="bottom"/>
            <w:hideMark/>
          </w:tcPr>
          <w:p w14:paraId="2341B57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82" w:type="pct"/>
            <w:tcBorders>
              <w:top w:val="nil"/>
              <w:left w:val="nil"/>
              <w:bottom w:val="single" w:sz="4" w:space="0" w:color="auto"/>
              <w:right w:val="nil"/>
            </w:tcBorders>
            <w:shd w:val="clear" w:color="auto" w:fill="auto"/>
            <w:noWrap/>
            <w:vAlign w:val="bottom"/>
            <w:hideMark/>
          </w:tcPr>
          <w:p w14:paraId="2341B57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56.327</w:t>
            </w:r>
          </w:p>
        </w:tc>
        <w:tc>
          <w:tcPr>
            <w:tcW w:w="277" w:type="pct"/>
            <w:tcBorders>
              <w:top w:val="nil"/>
              <w:left w:val="nil"/>
              <w:bottom w:val="single" w:sz="4" w:space="0" w:color="auto"/>
              <w:right w:val="nil"/>
            </w:tcBorders>
            <w:shd w:val="clear" w:color="auto" w:fill="auto"/>
            <w:noWrap/>
            <w:vAlign w:val="bottom"/>
            <w:hideMark/>
          </w:tcPr>
          <w:p w14:paraId="2341B57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56.327</w:t>
            </w:r>
          </w:p>
        </w:tc>
      </w:tr>
      <w:tr w:rsidR="00CD529B" w:rsidRPr="000F6BEE" w14:paraId="2341B588" w14:textId="77777777" w:rsidTr="00564572">
        <w:trPr>
          <w:trHeight w:val="265"/>
        </w:trPr>
        <w:tc>
          <w:tcPr>
            <w:tcW w:w="1539" w:type="pct"/>
            <w:tcBorders>
              <w:top w:val="nil"/>
              <w:left w:val="nil"/>
              <w:bottom w:val="nil"/>
              <w:right w:val="nil"/>
            </w:tcBorders>
            <w:shd w:val="clear" w:color="auto" w:fill="auto"/>
            <w:noWrap/>
            <w:vAlign w:val="bottom"/>
            <w:hideMark/>
          </w:tcPr>
          <w:p w14:paraId="2341B57B" w14:textId="77777777" w:rsidR="00CD529B" w:rsidRPr="000F6BEE" w:rsidRDefault="00CD529B" w:rsidP="00564572">
            <w:pPr>
              <w:jc w:val="right"/>
              <w:rPr>
                <w:rFonts w:ascii="Calibri" w:hAnsi="Calibri" w:cs="Calibri"/>
                <w:color w:val="000000"/>
                <w:sz w:val="15"/>
                <w:szCs w:val="15"/>
                <w:lang w:eastAsia="es-CO"/>
              </w:rPr>
            </w:pPr>
          </w:p>
        </w:tc>
        <w:tc>
          <w:tcPr>
            <w:tcW w:w="318" w:type="pct"/>
            <w:tcBorders>
              <w:top w:val="nil"/>
              <w:left w:val="nil"/>
              <w:bottom w:val="nil"/>
              <w:right w:val="nil"/>
            </w:tcBorders>
            <w:shd w:val="clear" w:color="auto" w:fill="auto"/>
            <w:noWrap/>
            <w:vAlign w:val="bottom"/>
            <w:hideMark/>
          </w:tcPr>
          <w:p w14:paraId="2341B57C" w14:textId="77777777" w:rsidR="00CD529B" w:rsidRPr="000F6BEE" w:rsidRDefault="00CD529B" w:rsidP="00564572">
            <w:pPr>
              <w:rPr>
                <w:sz w:val="15"/>
                <w:szCs w:val="15"/>
                <w:lang w:eastAsia="es-CO"/>
              </w:rPr>
            </w:pPr>
          </w:p>
        </w:tc>
        <w:tc>
          <w:tcPr>
            <w:tcW w:w="274" w:type="pct"/>
            <w:tcBorders>
              <w:top w:val="nil"/>
              <w:left w:val="nil"/>
              <w:bottom w:val="nil"/>
              <w:right w:val="nil"/>
            </w:tcBorders>
            <w:shd w:val="clear" w:color="auto" w:fill="auto"/>
            <w:noWrap/>
            <w:vAlign w:val="bottom"/>
            <w:hideMark/>
          </w:tcPr>
          <w:p w14:paraId="2341B57D" w14:textId="77777777" w:rsidR="00CD529B" w:rsidRPr="000F6BEE" w:rsidRDefault="00CD529B" w:rsidP="00564572">
            <w:pPr>
              <w:rPr>
                <w:sz w:val="15"/>
                <w:szCs w:val="15"/>
                <w:lang w:eastAsia="es-CO"/>
              </w:rPr>
            </w:pPr>
          </w:p>
        </w:tc>
        <w:tc>
          <w:tcPr>
            <w:tcW w:w="291" w:type="pct"/>
            <w:tcBorders>
              <w:top w:val="nil"/>
              <w:left w:val="nil"/>
              <w:bottom w:val="nil"/>
              <w:right w:val="nil"/>
            </w:tcBorders>
            <w:shd w:val="clear" w:color="auto" w:fill="auto"/>
            <w:noWrap/>
            <w:vAlign w:val="bottom"/>
            <w:hideMark/>
          </w:tcPr>
          <w:p w14:paraId="2341B57E" w14:textId="77777777" w:rsidR="00CD529B" w:rsidRPr="000F6BEE"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57F"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580"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581"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82"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83"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84"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85" w14:textId="77777777" w:rsidR="00CD529B" w:rsidRPr="000F6BEE"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586" w14:textId="77777777" w:rsidR="00CD529B" w:rsidRPr="000F6BEE"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587" w14:textId="77777777" w:rsidR="00CD529B" w:rsidRPr="000F6BEE" w:rsidRDefault="00CD529B" w:rsidP="00564572">
            <w:pPr>
              <w:rPr>
                <w:sz w:val="15"/>
                <w:szCs w:val="15"/>
                <w:lang w:eastAsia="es-CO"/>
              </w:rPr>
            </w:pPr>
          </w:p>
        </w:tc>
      </w:tr>
      <w:tr w:rsidR="00CD529B" w:rsidRPr="000F6BEE" w14:paraId="2341B596" w14:textId="77777777" w:rsidTr="00564572">
        <w:trPr>
          <w:trHeight w:val="265"/>
        </w:trPr>
        <w:tc>
          <w:tcPr>
            <w:tcW w:w="1539" w:type="pct"/>
            <w:tcBorders>
              <w:top w:val="nil"/>
              <w:left w:val="nil"/>
              <w:bottom w:val="nil"/>
              <w:right w:val="nil"/>
            </w:tcBorders>
            <w:shd w:val="clear" w:color="auto" w:fill="auto"/>
            <w:noWrap/>
            <w:vAlign w:val="bottom"/>
            <w:hideMark/>
          </w:tcPr>
          <w:p w14:paraId="2341B589" w14:textId="77777777" w:rsidR="00CD529B" w:rsidRPr="000F6BEE" w:rsidRDefault="00CD529B" w:rsidP="00564572">
            <w:pPr>
              <w:rPr>
                <w:sz w:val="15"/>
                <w:szCs w:val="15"/>
                <w:lang w:eastAsia="es-CO"/>
              </w:rPr>
            </w:pPr>
          </w:p>
        </w:tc>
        <w:tc>
          <w:tcPr>
            <w:tcW w:w="318" w:type="pct"/>
            <w:tcBorders>
              <w:top w:val="single" w:sz="4" w:space="0" w:color="FFFFFF"/>
              <w:left w:val="nil"/>
              <w:bottom w:val="single" w:sz="4" w:space="0" w:color="auto"/>
              <w:right w:val="single" w:sz="4" w:space="0" w:color="FFFFFF"/>
            </w:tcBorders>
            <w:shd w:val="clear" w:color="000000" w:fill="203764"/>
            <w:noWrap/>
            <w:vAlign w:val="bottom"/>
            <w:hideMark/>
          </w:tcPr>
          <w:p w14:paraId="2341B58A"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Beneficios</w:t>
            </w:r>
          </w:p>
        </w:tc>
        <w:tc>
          <w:tcPr>
            <w:tcW w:w="274" w:type="pct"/>
            <w:tcBorders>
              <w:top w:val="single" w:sz="4" w:space="0" w:color="FFFFFF"/>
              <w:left w:val="nil"/>
              <w:bottom w:val="single" w:sz="4" w:space="0" w:color="auto"/>
              <w:right w:val="single" w:sz="4" w:space="0" w:color="FFFFFF"/>
            </w:tcBorders>
            <w:shd w:val="clear" w:color="000000" w:fill="203764"/>
            <w:noWrap/>
            <w:vAlign w:val="bottom"/>
            <w:hideMark/>
          </w:tcPr>
          <w:p w14:paraId="2341B58B"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Costos</w:t>
            </w:r>
          </w:p>
        </w:tc>
        <w:tc>
          <w:tcPr>
            <w:tcW w:w="291" w:type="pct"/>
            <w:tcBorders>
              <w:top w:val="single" w:sz="4" w:space="0" w:color="FFFFFF"/>
              <w:left w:val="nil"/>
              <w:bottom w:val="single" w:sz="4" w:space="0" w:color="auto"/>
              <w:right w:val="single" w:sz="4" w:space="0" w:color="FFFFFF"/>
            </w:tcBorders>
            <w:shd w:val="clear" w:color="000000" w:fill="203764"/>
            <w:noWrap/>
            <w:vAlign w:val="bottom"/>
            <w:hideMark/>
          </w:tcPr>
          <w:p w14:paraId="2341B58C" w14:textId="77777777" w:rsidR="00CD529B" w:rsidRPr="000F6BEE" w:rsidRDefault="00CD529B" w:rsidP="00564572">
            <w:pPr>
              <w:jc w:val="center"/>
              <w:rPr>
                <w:rFonts w:ascii="Calibri" w:hAnsi="Calibri" w:cs="Calibri"/>
                <w:color w:val="FFFFFF"/>
                <w:sz w:val="15"/>
                <w:szCs w:val="15"/>
                <w:lang w:eastAsia="es-CO"/>
              </w:rPr>
            </w:pPr>
            <w:r w:rsidRPr="000F6BEE">
              <w:rPr>
                <w:rFonts w:ascii="Calibri" w:hAnsi="Calibri" w:cs="Calibri"/>
                <w:color w:val="FFFFFF"/>
                <w:sz w:val="15"/>
                <w:szCs w:val="15"/>
                <w:lang w:eastAsia="es-CO"/>
              </w:rPr>
              <w:t>Neto</w:t>
            </w:r>
          </w:p>
        </w:tc>
        <w:tc>
          <w:tcPr>
            <w:tcW w:w="281" w:type="pct"/>
            <w:tcBorders>
              <w:top w:val="nil"/>
              <w:left w:val="nil"/>
              <w:bottom w:val="nil"/>
              <w:right w:val="nil"/>
            </w:tcBorders>
            <w:shd w:val="clear" w:color="auto" w:fill="auto"/>
            <w:noWrap/>
            <w:vAlign w:val="bottom"/>
            <w:hideMark/>
          </w:tcPr>
          <w:p w14:paraId="2341B58D" w14:textId="77777777" w:rsidR="00CD529B" w:rsidRPr="000F6BEE" w:rsidRDefault="00CD529B" w:rsidP="00564572">
            <w:pPr>
              <w:jc w:val="center"/>
              <w:rPr>
                <w:rFonts w:ascii="Calibri" w:hAnsi="Calibri" w:cs="Calibri"/>
                <w:color w:val="FFFFFF"/>
                <w:sz w:val="15"/>
                <w:szCs w:val="15"/>
                <w:lang w:eastAsia="es-CO"/>
              </w:rPr>
            </w:pPr>
          </w:p>
        </w:tc>
        <w:tc>
          <w:tcPr>
            <w:tcW w:w="289" w:type="pct"/>
            <w:tcBorders>
              <w:top w:val="nil"/>
              <w:left w:val="nil"/>
              <w:bottom w:val="nil"/>
              <w:right w:val="nil"/>
            </w:tcBorders>
            <w:shd w:val="clear" w:color="auto" w:fill="auto"/>
            <w:noWrap/>
            <w:vAlign w:val="bottom"/>
            <w:hideMark/>
          </w:tcPr>
          <w:p w14:paraId="2341B58E"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58F"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90"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91"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92"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93" w14:textId="77777777" w:rsidR="00CD529B" w:rsidRPr="000F6BEE"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594" w14:textId="77777777" w:rsidR="00CD529B" w:rsidRPr="000F6BEE"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595" w14:textId="77777777" w:rsidR="00CD529B" w:rsidRPr="000F6BEE" w:rsidRDefault="00CD529B" w:rsidP="00564572">
            <w:pPr>
              <w:rPr>
                <w:sz w:val="15"/>
                <w:szCs w:val="15"/>
                <w:lang w:eastAsia="es-CO"/>
              </w:rPr>
            </w:pPr>
          </w:p>
        </w:tc>
      </w:tr>
      <w:tr w:rsidR="00CD529B" w:rsidRPr="000F6BEE" w14:paraId="2341B5A4" w14:textId="77777777" w:rsidTr="00564572">
        <w:trPr>
          <w:trHeight w:val="265"/>
        </w:trPr>
        <w:tc>
          <w:tcPr>
            <w:tcW w:w="1539" w:type="pct"/>
            <w:tcBorders>
              <w:top w:val="single" w:sz="4" w:space="0" w:color="auto"/>
              <w:left w:val="single" w:sz="4" w:space="0" w:color="auto"/>
              <w:bottom w:val="single" w:sz="4" w:space="0" w:color="auto"/>
              <w:right w:val="nil"/>
            </w:tcBorders>
            <w:shd w:val="clear" w:color="000000" w:fill="E2EFDA"/>
            <w:noWrap/>
            <w:vAlign w:val="bottom"/>
            <w:hideMark/>
          </w:tcPr>
          <w:p w14:paraId="2341B597" w14:textId="77777777" w:rsidR="00CD529B" w:rsidRPr="000F6BEE" w:rsidRDefault="00CD529B" w:rsidP="00564572">
            <w:pPr>
              <w:rPr>
                <w:rFonts w:ascii="Calibri" w:hAnsi="Calibri" w:cs="Calibri"/>
                <w:color w:val="000000"/>
                <w:sz w:val="15"/>
                <w:szCs w:val="15"/>
                <w:lang w:eastAsia="es-CO"/>
              </w:rPr>
            </w:pPr>
            <w:r w:rsidRPr="000F6BEE">
              <w:rPr>
                <w:rFonts w:ascii="Calibri" w:hAnsi="Calibri" w:cs="Calibri"/>
                <w:color w:val="000000"/>
                <w:sz w:val="15"/>
                <w:szCs w:val="15"/>
                <w:lang w:eastAsia="es-CO"/>
              </w:rPr>
              <w:t>VPN dic 2016 ($USD Millones)</w:t>
            </w:r>
          </w:p>
        </w:tc>
        <w:tc>
          <w:tcPr>
            <w:tcW w:w="318" w:type="pct"/>
            <w:tcBorders>
              <w:top w:val="nil"/>
              <w:left w:val="nil"/>
              <w:bottom w:val="single" w:sz="4" w:space="0" w:color="auto"/>
              <w:right w:val="single" w:sz="4" w:space="0" w:color="auto"/>
            </w:tcBorders>
            <w:shd w:val="clear" w:color="000000" w:fill="E2EFDA"/>
            <w:noWrap/>
            <w:vAlign w:val="bottom"/>
            <w:hideMark/>
          </w:tcPr>
          <w:p w14:paraId="2341B59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$139</w:t>
            </w:r>
          </w:p>
        </w:tc>
        <w:tc>
          <w:tcPr>
            <w:tcW w:w="274" w:type="pct"/>
            <w:tcBorders>
              <w:top w:val="nil"/>
              <w:left w:val="nil"/>
              <w:bottom w:val="single" w:sz="4" w:space="0" w:color="auto"/>
              <w:right w:val="single" w:sz="4" w:space="0" w:color="auto"/>
            </w:tcBorders>
            <w:shd w:val="clear" w:color="000000" w:fill="E2EFDA"/>
            <w:noWrap/>
            <w:vAlign w:val="bottom"/>
            <w:hideMark/>
          </w:tcPr>
          <w:p w14:paraId="2341B59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$273</w:t>
            </w:r>
          </w:p>
        </w:tc>
        <w:tc>
          <w:tcPr>
            <w:tcW w:w="291" w:type="pct"/>
            <w:tcBorders>
              <w:top w:val="nil"/>
              <w:left w:val="nil"/>
              <w:bottom w:val="single" w:sz="4" w:space="0" w:color="auto"/>
              <w:right w:val="single" w:sz="4" w:space="0" w:color="auto"/>
            </w:tcBorders>
            <w:shd w:val="clear" w:color="000000" w:fill="E2EFDA"/>
            <w:noWrap/>
            <w:vAlign w:val="bottom"/>
            <w:hideMark/>
          </w:tcPr>
          <w:p w14:paraId="2341B59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FF0000"/>
                <w:sz w:val="15"/>
                <w:szCs w:val="15"/>
              </w:rPr>
              <w:t>-$134</w:t>
            </w:r>
          </w:p>
        </w:tc>
        <w:tc>
          <w:tcPr>
            <w:tcW w:w="281" w:type="pct"/>
            <w:tcBorders>
              <w:top w:val="nil"/>
              <w:left w:val="nil"/>
              <w:bottom w:val="nil"/>
              <w:right w:val="nil"/>
            </w:tcBorders>
            <w:shd w:val="clear" w:color="auto" w:fill="auto"/>
            <w:noWrap/>
            <w:vAlign w:val="bottom"/>
            <w:hideMark/>
          </w:tcPr>
          <w:p w14:paraId="2341B59B" w14:textId="77777777" w:rsidR="00CD529B" w:rsidRPr="000F6BEE" w:rsidRDefault="00CD529B" w:rsidP="00564572">
            <w:pPr>
              <w:jc w:val="right"/>
              <w:rPr>
                <w:rFonts w:ascii="Calibri" w:hAnsi="Calibri" w:cs="Calibri"/>
                <w:color w:val="000000"/>
                <w:sz w:val="15"/>
                <w:szCs w:val="15"/>
                <w:lang w:eastAsia="es-CO"/>
              </w:rPr>
            </w:pPr>
          </w:p>
        </w:tc>
        <w:tc>
          <w:tcPr>
            <w:tcW w:w="289" w:type="pct"/>
            <w:tcBorders>
              <w:top w:val="nil"/>
              <w:left w:val="nil"/>
              <w:bottom w:val="nil"/>
              <w:right w:val="nil"/>
            </w:tcBorders>
            <w:shd w:val="clear" w:color="auto" w:fill="auto"/>
            <w:noWrap/>
            <w:vAlign w:val="bottom"/>
            <w:hideMark/>
          </w:tcPr>
          <w:p w14:paraId="2341B59C"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59D"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9E"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9F"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A0"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A1" w14:textId="77777777" w:rsidR="00CD529B" w:rsidRPr="000F6BEE"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5A2" w14:textId="77777777" w:rsidR="00CD529B" w:rsidRPr="000F6BEE"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5A3" w14:textId="77777777" w:rsidR="00CD529B" w:rsidRPr="000F6BEE" w:rsidRDefault="00CD529B" w:rsidP="00564572">
            <w:pPr>
              <w:rPr>
                <w:sz w:val="15"/>
                <w:szCs w:val="15"/>
                <w:lang w:eastAsia="es-CO"/>
              </w:rPr>
            </w:pPr>
          </w:p>
        </w:tc>
      </w:tr>
      <w:tr w:rsidR="00CD529B" w:rsidRPr="000F6BEE" w14:paraId="2341B5B2" w14:textId="77777777" w:rsidTr="00564572">
        <w:trPr>
          <w:trHeight w:val="265"/>
        </w:trPr>
        <w:tc>
          <w:tcPr>
            <w:tcW w:w="1539" w:type="pct"/>
            <w:tcBorders>
              <w:top w:val="nil"/>
              <w:left w:val="single" w:sz="4" w:space="0" w:color="auto"/>
              <w:bottom w:val="single" w:sz="4" w:space="0" w:color="auto"/>
              <w:right w:val="nil"/>
            </w:tcBorders>
            <w:shd w:val="clear" w:color="000000" w:fill="E2EFDA"/>
            <w:noWrap/>
            <w:vAlign w:val="bottom"/>
            <w:hideMark/>
          </w:tcPr>
          <w:p w14:paraId="2341B5A5" w14:textId="77777777" w:rsidR="00CD529B" w:rsidRPr="000F6BEE" w:rsidRDefault="00CD529B" w:rsidP="00564572">
            <w:pPr>
              <w:rPr>
                <w:rFonts w:ascii="Calibri" w:hAnsi="Calibri" w:cs="Calibri"/>
                <w:color w:val="000000"/>
                <w:sz w:val="15"/>
                <w:szCs w:val="15"/>
                <w:lang w:eastAsia="es-CO"/>
              </w:rPr>
            </w:pPr>
            <w:r w:rsidRPr="000F6BEE">
              <w:rPr>
                <w:rFonts w:ascii="Calibri" w:hAnsi="Calibri" w:cs="Calibri"/>
                <w:color w:val="000000"/>
                <w:sz w:val="15"/>
                <w:szCs w:val="15"/>
                <w:lang w:eastAsia="es-CO"/>
              </w:rPr>
              <w:t>VPN dic 2016 ($COP Millones)</w:t>
            </w:r>
          </w:p>
        </w:tc>
        <w:tc>
          <w:tcPr>
            <w:tcW w:w="318" w:type="pct"/>
            <w:tcBorders>
              <w:top w:val="nil"/>
              <w:left w:val="nil"/>
              <w:bottom w:val="single" w:sz="4" w:space="0" w:color="auto"/>
              <w:right w:val="single" w:sz="4" w:space="0" w:color="auto"/>
            </w:tcBorders>
            <w:shd w:val="clear" w:color="000000" w:fill="E2EFDA"/>
            <w:noWrap/>
            <w:vAlign w:val="bottom"/>
            <w:hideMark/>
          </w:tcPr>
          <w:p w14:paraId="2341B5A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$417.200</w:t>
            </w:r>
          </w:p>
        </w:tc>
        <w:tc>
          <w:tcPr>
            <w:tcW w:w="274" w:type="pct"/>
            <w:tcBorders>
              <w:top w:val="nil"/>
              <w:left w:val="nil"/>
              <w:bottom w:val="single" w:sz="4" w:space="0" w:color="auto"/>
              <w:right w:val="single" w:sz="4" w:space="0" w:color="auto"/>
            </w:tcBorders>
            <w:shd w:val="clear" w:color="000000" w:fill="E2EFDA"/>
            <w:noWrap/>
            <w:vAlign w:val="bottom"/>
            <w:hideMark/>
          </w:tcPr>
          <w:p w14:paraId="2341B5A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$820.652</w:t>
            </w:r>
          </w:p>
        </w:tc>
        <w:tc>
          <w:tcPr>
            <w:tcW w:w="291" w:type="pct"/>
            <w:tcBorders>
              <w:top w:val="nil"/>
              <w:left w:val="nil"/>
              <w:bottom w:val="single" w:sz="4" w:space="0" w:color="auto"/>
              <w:right w:val="single" w:sz="4" w:space="0" w:color="auto"/>
            </w:tcBorders>
            <w:shd w:val="clear" w:color="000000" w:fill="E2EFDA"/>
            <w:noWrap/>
            <w:vAlign w:val="bottom"/>
            <w:hideMark/>
          </w:tcPr>
          <w:p w14:paraId="2341B5A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FF0000"/>
                <w:sz w:val="15"/>
                <w:szCs w:val="15"/>
              </w:rPr>
              <w:t>-$403.453</w:t>
            </w:r>
          </w:p>
        </w:tc>
        <w:tc>
          <w:tcPr>
            <w:tcW w:w="281" w:type="pct"/>
            <w:tcBorders>
              <w:top w:val="nil"/>
              <w:left w:val="nil"/>
              <w:bottom w:val="nil"/>
              <w:right w:val="nil"/>
            </w:tcBorders>
            <w:shd w:val="clear" w:color="auto" w:fill="auto"/>
            <w:noWrap/>
            <w:vAlign w:val="bottom"/>
            <w:hideMark/>
          </w:tcPr>
          <w:p w14:paraId="2341B5A9" w14:textId="77777777" w:rsidR="00CD529B" w:rsidRPr="000F6BEE" w:rsidRDefault="00CD529B" w:rsidP="00564572">
            <w:pPr>
              <w:jc w:val="right"/>
              <w:rPr>
                <w:rFonts w:ascii="Calibri" w:hAnsi="Calibri" w:cs="Calibri"/>
                <w:color w:val="000000"/>
                <w:sz w:val="15"/>
                <w:szCs w:val="15"/>
                <w:lang w:eastAsia="es-CO"/>
              </w:rPr>
            </w:pPr>
          </w:p>
        </w:tc>
        <w:tc>
          <w:tcPr>
            <w:tcW w:w="289" w:type="pct"/>
            <w:tcBorders>
              <w:top w:val="nil"/>
              <w:left w:val="nil"/>
              <w:bottom w:val="nil"/>
              <w:right w:val="nil"/>
            </w:tcBorders>
            <w:shd w:val="clear" w:color="auto" w:fill="auto"/>
            <w:noWrap/>
            <w:vAlign w:val="bottom"/>
            <w:hideMark/>
          </w:tcPr>
          <w:p w14:paraId="2341B5AA" w14:textId="77777777" w:rsidR="00CD529B" w:rsidRPr="000F6BE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5AB"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AC"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AD"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AE" w14:textId="77777777" w:rsidR="00CD529B" w:rsidRPr="000F6BEE"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5AF" w14:textId="77777777" w:rsidR="00CD529B" w:rsidRPr="000F6BEE"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5B0" w14:textId="77777777" w:rsidR="00CD529B" w:rsidRPr="000F6BEE" w:rsidRDefault="00CD529B" w:rsidP="00564572">
            <w:pPr>
              <w:rPr>
                <w:sz w:val="15"/>
                <w:szCs w:val="15"/>
                <w:lang w:eastAsia="es-CO"/>
              </w:rPr>
            </w:pPr>
          </w:p>
        </w:tc>
        <w:tc>
          <w:tcPr>
            <w:tcW w:w="277" w:type="pct"/>
            <w:tcBorders>
              <w:top w:val="nil"/>
              <w:left w:val="nil"/>
              <w:bottom w:val="nil"/>
              <w:right w:val="nil"/>
            </w:tcBorders>
            <w:shd w:val="clear" w:color="auto" w:fill="auto"/>
            <w:noWrap/>
            <w:vAlign w:val="bottom"/>
            <w:hideMark/>
          </w:tcPr>
          <w:p w14:paraId="2341B5B1" w14:textId="77777777" w:rsidR="00CD529B" w:rsidRPr="000F6BEE" w:rsidRDefault="00CD529B" w:rsidP="00564572">
            <w:pPr>
              <w:rPr>
                <w:sz w:val="15"/>
                <w:szCs w:val="15"/>
                <w:lang w:eastAsia="es-CO"/>
              </w:rPr>
            </w:pPr>
          </w:p>
        </w:tc>
      </w:tr>
    </w:tbl>
    <w:p w14:paraId="2341B5B3" w14:textId="77777777" w:rsidR="00CD529B" w:rsidRDefault="00CD529B" w:rsidP="00564572">
      <w:pPr>
        <w:ind w:left="720"/>
        <w:jc w:val="center"/>
        <w:rPr>
          <w:b/>
          <w:lang w:val="es-ES_tradnl"/>
        </w:rPr>
      </w:pPr>
      <w:bookmarkStart w:id="127" w:name="_Toc473268568"/>
      <w:bookmarkStart w:id="128" w:name="_Toc474797074"/>
    </w:p>
    <w:p w14:paraId="2341B5B4" w14:textId="77777777" w:rsidR="00CD529B" w:rsidRDefault="00CD529B">
      <w:pPr>
        <w:spacing w:after="200" w:line="276" w:lineRule="auto"/>
        <w:rPr>
          <w:b/>
          <w:lang w:val="es-ES_tradnl"/>
        </w:rPr>
      </w:pPr>
      <w:r>
        <w:rPr>
          <w:b/>
          <w:lang w:val="es-ES_tradnl"/>
        </w:rPr>
        <w:br w:type="page"/>
      </w:r>
    </w:p>
    <w:p w14:paraId="2341B5B5" w14:textId="77777777" w:rsidR="00CD529B" w:rsidRDefault="00CD529B" w:rsidP="00564572">
      <w:pPr>
        <w:ind w:left="720"/>
        <w:jc w:val="center"/>
        <w:rPr>
          <w:b/>
          <w:lang w:val="es-ES_tradnl"/>
        </w:rPr>
      </w:pPr>
      <w:r w:rsidRPr="00CD529B">
        <w:rPr>
          <w:b/>
          <w:lang w:val="es-ES_tradnl"/>
        </w:rPr>
        <w:lastRenderedPageBreak/>
        <w:t xml:space="preserve">Tabla </w:t>
      </w:r>
      <w:r w:rsidRPr="008C12BC">
        <w:rPr>
          <w:b/>
        </w:rPr>
        <w:fldChar w:fldCharType="begin"/>
      </w:r>
      <w:r w:rsidRPr="00CD529B">
        <w:rPr>
          <w:b/>
          <w:lang w:val="es-ES_tradnl"/>
        </w:rPr>
        <w:instrText xml:space="preserve"> SEQ Tabla \* ARABIC </w:instrText>
      </w:r>
      <w:r w:rsidRPr="008C12BC">
        <w:rPr>
          <w:b/>
        </w:rPr>
        <w:fldChar w:fldCharType="separate"/>
      </w:r>
      <w:r w:rsidRPr="00CD529B">
        <w:rPr>
          <w:b/>
          <w:noProof/>
          <w:lang w:val="es-ES_tradnl"/>
        </w:rPr>
        <w:t>20</w:t>
      </w:r>
      <w:r w:rsidRPr="008C12BC">
        <w:rPr>
          <w:b/>
        </w:rPr>
        <w:fldChar w:fldCharType="end"/>
      </w:r>
      <w:r w:rsidRPr="00CD529B">
        <w:rPr>
          <w:b/>
          <w:lang w:val="es-ES_tradnl"/>
        </w:rPr>
        <w:t xml:space="preserve"> – Proyección de beneficios y costos para la medida de sustitución de bombillos (Sector Comercial)</w:t>
      </w:r>
      <w:bookmarkEnd w:id="127"/>
      <w:bookmarkEnd w:id="128"/>
    </w:p>
    <w:p w14:paraId="2341B5B6" w14:textId="77777777" w:rsidR="00CD529B" w:rsidRPr="00CD529B" w:rsidRDefault="00CD529B" w:rsidP="00564572">
      <w:pPr>
        <w:ind w:left="720"/>
        <w:jc w:val="center"/>
        <w:rPr>
          <w:b/>
          <w:lang w:val="es-ES_tradnl"/>
        </w:rPr>
      </w:pPr>
    </w:p>
    <w:tbl>
      <w:tblPr>
        <w:tblW w:w="5000" w:type="pct"/>
        <w:tblCellMar>
          <w:left w:w="70" w:type="dxa"/>
          <w:right w:w="70" w:type="dxa"/>
        </w:tblCellMar>
        <w:tblLook w:val="04A0" w:firstRow="1" w:lastRow="0" w:firstColumn="1" w:lastColumn="0" w:noHBand="0" w:noVBand="1"/>
      </w:tblPr>
      <w:tblGrid>
        <w:gridCol w:w="2916"/>
        <w:gridCol w:w="599"/>
        <w:gridCol w:w="491"/>
        <w:gridCol w:w="545"/>
        <w:gridCol w:w="491"/>
        <w:gridCol w:w="491"/>
        <w:gridCol w:w="491"/>
        <w:gridCol w:w="436"/>
        <w:gridCol w:w="436"/>
        <w:gridCol w:w="436"/>
        <w:gridCol w:w="436"/>
        <w:gridCol w:w="436"/>
        <w:gridCol w:w="436"/>
      </w:tblGrid>
      <w:tr w:rsidR="00CD529B" w:rsidRPr="00D97729" w14:paraId="2341B5C4" w14:textId="77777777" w:rsidTr="00564572">
        <w:trPr>
          <w:trHeight w:val="268"/>
        </w:trPr>
        <w:tc>
          <w:tcPr>
            <w:tcW w:w="1559" w:type="pct"/>
            <w:tcBorders>
              <w:top w:val="single" w:sz="4" w:space="0" w:color="000000"/>
              <w:left w:val="nil"/>
              <w:bottom w:val="nil"/>
              <w:right w:val="nil"/>
            </w:tcBorders>
            <w:shd w:val="clear" w:color="auto" w:fill="auto"/>
            <w:noWrap/>
            <w:vAlign w:val="bottom"/>
            <w:hideMark/>
          </w:tcPr>
          <w:p w14:paraId="2341B5B7"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de un bombillo tubular Gwh/Año</w:t>
            </w:r>
          </w:p>
        </w:tc>
        <w:tc>
          <w:tcPr>
            <w:tcW w:w="302" w:type="pct"/>
            <w:tcBorders>
              <w:top w:val="single" w:sz="4" w:space="0" w:color="000000"/>
              <w:left w:val="nil"/>
              <w:bottom w:val="nil"/>
              <w:right w:val="nil"/>
            </w:tcBorders>
            <w:shd w:val="clear" w:color="auto" w:fill="auto"/>
            <w:noWrap/>
            <w:vAlign w:val="bottom"/>
            <w:hideMark/>
          </w:tcPr>
          <w:p w14:paraId="2341B5B8" w14:textId="77777777" w:rsidR="00CD529B" w:rsidRPr="00D97729" w:rsidRDefault="00CD529B" w:rsidP="00564572">
            <w:pPr>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0,0001520</w:t>
            </w:r>
          </w:p>
        </w:tc>
        <w:tc>
          <w:tcPr>
            <w:tcW w:w="276" w:type="pct"/>
            <w:tcBorders>
              <w:top w:val="nil"/>
              <w:left w:val="nil"/>
              <w:bottom w:val="nil"/>
              <w:right w:val="nil"/>
            </w:tcBorders>
            <w:shd w:val="clear" w:color="auto" w:fill="auto"/>
            <w:noWrap/>
            <w:vAlign w:val="bottom"/>
            <w:hideMark/>
          </w:tcPr>
          <w:p w14:paraId="2341B5B9" w14:textId="77777777" w:rsidR="00CD529B" w:rsidRPr="00D97729" w:rsidRDefault="00CD529B" w:rsidP="00564572">
            <w:pPr>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2341B5BA"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BB"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BC"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BD"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BE"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BF"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C0"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C1" w14:textId="77777777" w:rsidR="00CD529B" w:rsidRPr="00D97729"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5C2"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5C3" w14:textId="77777777" w:rsidR="00CD529B" w:rsidRPr="00D97729" w:rsidRDefault="00CD529B" w:rsidP="00564572">
            <w:pPr>
              <w:rPr>
                <w:sz w:val="15"/>
                <w:szCs w:val="15"/>
                <w:lang w:eastAsia="es-CO"/>
              </w:rPr>
            </w:pPr>
          </w:p>
        </w:tc>
      </w:tr>
      <w:tr w:rsidR="00CD529B" w:rsidRPr="00D97729" w14:paraId="2341B5D2" w14:textId="77777777" w:rsidTr="00564572">
        <w:trPr>
          <w:trHeight w:val="268"/>
        </w:trPr>
        <w:tc>
          <w:tcPr>
            <w:tcW w:w="1559" w:type="pct"/>
            <w:tcBorders>
              <w:top w:val="nil"/>
              <w:left w:val="nil"/>
              <w:bottom w:val="nil"/>
              <w:right w:val="nil"/>
            </w:tcBorders>
            <w:shd w:val="clear" w:color="auto" w:fill="auto"/>
            <w:noWrap/>
            <w:vAlign w:val="bottom"/>
            <w:hideMark/>
          </w:tcPr>
          <w:p w14:paraId="2341B5C5"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de un bombillo Incandecente Gwh/Año</w:t>
            </w:r>
          </w:p>
        </w:tc>
        <w:tc>
          <w:tcPr>
            <w:tcW w:w="302" w:type="pct"/>
            <w:tcBorders>
              <w:top w:val="nil"/>
              <w:left w:val="nil"/>
              <w:bottom w:val="nil"/>
              <w:right w:val="nil"/>
            </w:tcBorders>
            <w:shd w:val="clear" w:color="auto" w:fill="auto"/>
            <w:noWrap/>
            <w:vAlign w:val="bottom"/>
            <w:hideMark/>
          </w:tcPr>
          <w:p w14:paraId="2341B5C6" w14:textId="77777777" w:rsidR="00CD529B" w:rsidRPr="00D97729" w:rsidRDefault="00CD529B" w:rsidP="00564572">
            <w:pPr>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0,0001160</w:t>
            </w:r>
          </w:p>
        </w:tc>
        <w:tc>
          <w:tcPr>
            <w:tcW w:w="276" w:type="pct"/>
            <w:tcBorders>
              <w:top w:val="nil"/>
              <w:left w:val="nil"/>
              <w:bottom w:val="nil"/>
              <w:right w:val="nil"/>
            </w:tcBorders>
            <w:shd w:val="clear" w:color="auto" w:fill="auto"/>
            <w:noWrap/>
            <w:vAlign w:val="bottom"/>
            <w:hideMark/>
          </w:tcPr>
          <w:p w14:paraId="2341B5C7" w14:textId="77777777" w:rsidR="00CD529B" w:rsidRPr="00D97729" w:rsidRDefault="00CD529B" w:rsidP="00564572">
            <w:pPr>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2341B5C8"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C9"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CA"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CB"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CC"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CD"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CE"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CF" w14:textId="77777777" w:rsidR="00CD529B" w:rsidRPr="00D97729"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5D0"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5D1" w14:textId="77777777" w:rsidR="00CD529B" w:rsidRPr="00D97729" w:rsidRDefault="00CD529B" w:rsidP="00564572">
            <w:pPr>
              <w:rPr>
                <w:sz w:val="15"/>
                <w:szCs w:val="15"/>
                <w:lang w:eastAsia="es-CO"/>
              </w:rPr>
            </w:pPr>
          </w:p>
        </w:tc>
      </w:tr>
      <w:tr w:rsidR="00CD529B" w:rsidRPr="00D97729" w14:paraId="2341B5E0" w14:textId="77777777" w:rsidTr="00564572">
        <w:trPr>
          <w:trHeight w:val="268"/>
        </w:trPr>
        <w:tc>
          <w:tcPr>
            <w:tcW w:w="1559" w:type="pct"/>
            <w:tcBorders>
              <w:top w:val="nil"/>
              <w:left w:val="nil"/>
              <w:bottom w:val="single" w:sz="4" w:space="0" w:color="000000"/>
              <w:right w:val="nil"/>
            </w:tcBorders>
            <w:shd w:val="clear" w:color="auto" w:fill="auto"/>
            <w:noWrap/>
            <w:vAlign w:val="bottom"/>
            <w:hideMark/>
          </w:tcPr>
          <w:p w14:paraId="2341B5D3"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de un bombillo LED Gwh/Año</w:t>
            </w:r>
          </w:p>
        </w:tc>
        <w:tc>
          <w:tcPr>
            <w:tcW w:w="302" w:type="pct"/>
            <w:tcBorders>
              <w:top w:val="nil"/>
              <w:left w:val="nil"/>
              <w:bottom w:val="single" w:sz="4" w:space="0" w:color="000000"/>
              <w:right w:val="nil"/>
            </w:tcBorders>
            <w:shd w:val="clear" w:color="auto" w:fill="auto"/>
            <w:noWrap/>
            <w:vAlign w:val="bottom"/>
            <w:hideMark/>
          </w:tcPr>
          <w:p w14:paraId="2341B5D4" w14:textId="77777777" w:rsidR="00CD529B" w:rsidRPr="00D97729" w:rsidRDefault="00CD529B" w:rsidP="00564572">
            <w:pPr>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0,0000690</w:t>
            </w:r>
          </w:p>
        </w:tc>
        <w:tc>
          <w:tcPr>
            <w:tcW w:w="276" w:type="pct"/>
            <w:tcBorders>
              <w:top w:val="nil"/>
              <w:left w:val="nil"/>
              <w:bottom w:val="nil"/>
              <w:right w:val="nil"/>
            </w:tcBorders>
            <w:shd w:val="clear" w:color="auto" w:fill="auto"/>
            <w:noWrap/>
            <w:vAlign w:val="bottom"/>
            <w:hideMark/>
          </w:tcPr>
          <w:p w14:paraId="2341B5D5" w14:textId="77777777" w:rsidR="00CD529B" w:rsidRPr="00D97729" w:rsidRDefault="00CD529B" w:rsidP="00564572">
            <w:pPr>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2341B5D6"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D7"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D8"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D9"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DA"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DB"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DC"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DD" w14:textId="77777777" w:rsidR="00CD529B" w:rsidRPr="00D97729"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5DE"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5DF" w14:textId="77777777" w:rsidR="00CD529B" w:rsidRPr="00D97729" w:rsidRDefault="00CD529B" w:rsidP="00564572">
            <w:pPr>
              <w:rPr>
                <w:sz w:val="15"/>
                <w:szCs w:val="15"/>
                <w:lang w:eastAsia="es-CO"/>
              </w:rPr>
            </w:pPr>
          </w:p>
        </w:tc>
      </w:tr>
      <w:tr w:rsidR="00CD529B" w:rsidRPr="00D97729" w14:paraId="2341B5EE" w14:textId="77777777" w:rsidTr="00564572">
        <w:trPr>
          <w:trHeight w:val="268"/>
        </w:trPr>
        <w:tc>
          <w:tcPr>
            <w:tcW w:w="1559" w:type="pct"/>
            <w:tcBorders>
              <w:top w:val="nil"/>
              <w:left w:val="nil"/>
              <w:bottom w:val="nil"/>
              <w:right w:val="nil"/>
            </w:tcBorders>
            <w:shd w:val="clear" w:color="auto" w:fill="auto"/>
            <w:noWrap/>
            <w:vAlign w:val="bottom"/>
            <w:hideMark/>
          </w:tcPr>
          <w:p w14:paraId="2341B5E1"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Potencial de ahorro por cambio de bombillo Tubular T12 a LED</w:t>
            </w:r>
          </w:p>
        </w:tc>
        <w:tc>
          <w:tcPr>
            <w:tcW w:w="302" w:type="pct"/>
            <w:tcBorders>
              <w:top w:val="nil"/>
              <w:left w:val="nil"/>
              <w:bottom w:val="nil"/>
              <w:right w:val="nil"/>
            </w:tcBorders>
            <w:shd w:val="clear" w:color="auto" w:fill="auto"/>
            <w:noWrap/>
            <w:vAlign w:val="bottom"/>
            <w:hideMark/>
          </w:tcPr>
          <w:p w14:paraId="2341B5E2" w14:textId="77777777" w:rsidR="00CD529B" w:rsidRPr="00D97729" w:rsidRDefault="00CD529B" w:rsidP="00564572">
            <w:pPr>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55,0%</w:t>
            </w:r>
          </w:p>
        </w:tc>
        <w:tc>
          <w:tcPr>
            <w:tcW w:w="276" w:type="pct"/>
            <w:tcBorders>
              <w:top w:val="nil"/>
              <w:left w:val="nil"/>
              <w:bottom w:val="nil"/>
              <w:right w:val="nil"/>
            </w:tcBorders>
            <w:shd w:val="clear" w:color="auto" w:fill="auto"/>
            <w:noWrap/>
            <w:vAlign w:val="bottom"/>
            <w:hideMark/>
          </w:tcPr>
          <w:p w14:paraId="2341B5E3" w14:textId="77777777" w:rsidR="00CD529B" w:rsidRPr="00D97729" w:rsidRDefault="00CD529B" w:rsidP="00564572">
            <w:pPr>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2341B5E4"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E5"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E6"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E7"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E8"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E9"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EA"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EB" w14:textId="77777777" w:rsidR="00CD529B" w:rsidRPr="00D97729"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5EC"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5ED" w14:textId="77777777" w:rsidR="00CD529B" w:rsidRPr="00D97729" w:rsidRDefault="00CD529B" w:rsidP="00564572">
            <w:pPr>
              <w:rPr>
                <w:sz w:val="15"/>
                <w:szCs w:val="15"/>
                <w:lang w:eastAsia="es-CO"/>
              </w:rPr>
            </w:pPr>
          </w:p>
        </w:tc>
      </w:tr>
      <w:tr w:rsidR="00CD529B" w:rsidRPr="00D97729" w14:paraId="2341B5FC" w14:textId="77777777" w:rsidTr="00564572">
        <w:trPr>
          <w:trHeight w:val="268"/>
        </w:trPr>
        <w:tc>
          <w:tcPr>
            <w:tcW w:w="1559" w:type="pct"/>
            <w:tcBorders>
              <w:top w:val="nil"/>
              <w:left w:val="nil"/>
              <w:bottom w:val="nil"/>
              <w:right w:val="nil"/>
            </w:tcBorders>
            <w:shd w:val="clear" w:color="auto" w:fill="auto"/>
            <w:noWrap/>
            <w:vAlign w:val="bottom"/>
            <w:hideMark/>
          </w:tcPr>
          <w:p w14:paraId="2341B5EF"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Potencial de ahorro por cambio de bombillo Incandecente a LED</w:t>
            </w:r>
          </w:p>
        </w:tc>
        <w:tc>
          <w:tcPr>
            <w:tcW w:w="302" w:type="pct"/>
            <w:tcBorders>
              <w:top w:val="nil"/>
              <w:left w:val="nil"/>
              <w:bottom w:val="nil"/>
              <w:right w:val="nil"/>
            </w:tcBorders>
            <w:shd w:val="clear" w:color="auto" w:fill="auto"/>
            <w:noWrap/>
            <w:vAlign w:val="bottom"/>
            <w:hideMark/>
          </w:tcPr>
          <w:p w14:paraId="2341B5F0" w14:textId="77777777" w:rsidR="00CD529B" w:rsidRPr="00D97729" w:rsidRDefault="00CD529B" w:rsidP="00564572">
            <w:pPr>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88,3%</w:t>
            </w:r>
          </w:p>
        </w:tc>
        <w:tc>
          <w:tcPr>
            <w:tcW w:w="276" w:type="pct"/>
            <w:tcBorders>
              <w:top w:val="nil"/>
              <w:left w:val="nil"/>
              <w:bottom w:val="nil"/>
              <w:right w:val="nil"/>
            </w:tcBorders>
            <w:shd w:val="clear" w:color="auto" w:fill="auto"/>
            <w:noWrap/>
            <w:vAlign w:val="bottom"/>
            <w:hideMark/>
          </w:tcPr>
          <w:p w14:paraId="2341B5F1" w14:textId="77777777" w:rsidR="00CD529B" w:rsidRPr="00D97729" w:rsidRDefault="00CD529B" w:rsidP="00564572">
            <w:pPr>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2341B5F2"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F3"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F4"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F5"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F6"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F7"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F8"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5F9" w14:textId="77777777" w:rsidR="00CD529B" w:rsidRPr="00D97729"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5FA"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5FB" w14:textId="77777777" w:rsidR="00CD529B" w:rsidRPr="00D97729" w:rsidRDefault="00CD529B" w:rsidP="00564572">
            <w:pPr>
              <w:rPr>
                <w:sz w:val="15"/>
                <w:szCs w:val="15"/>
                <w:lang w:eastAsia="es-CO"/>
              </w:rPr>
            </w:pPr>
          </w:p>
        </w:tc>
      </w:tr>
      <w:tr w:rsidR="00CD529B" w:rsidRPr="00D97729" w14:paraId="2341B60A" w14:textId="77777777" w:rsidTr="00564572">
        <w:trPr>
          <w:trHeight w:val="268"/>
        </w:trPr>
        <w:tc>
          <w:tcPr>
            <w:tcW w:w="1559" w:type="pct"/>
            <w:tcBorders>
              <w:top w:val="nil"/>
              <w:left w:val="nil"/>
              <w:bottom w:val="single" w:sz="4" w:space="0" w:color="000000"/>
              <w:right w:val="nil"/>
            </w:tcBorders>
            <w:shd w:val="clear" w:color="auto" w:fill="auto"/>
            <w:noWrap/>
            <w:vAlign w:val="bottom"/>
            <w:hideMark/>
          </w:tcPr>
          <w:p w14:paraId="2341B5FD"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Potencial de ahorro por cambio de bombillo  Halogena a LED</w:t>
            </w:r>
          </w:p>
        </w:tc>
        <w:tc>
          <w:tcPr>
            <w:tcW w:w="302" w:type="pct"/>
            <w:tcBorders>
              <w:top w:val="nil"/>
              <w:left w:val="nil"/>
              <w:bottom w:val="single" w:sz="4" w:space="0" w:color="000000"/>
              <w:right w:val="nil"/>
            </w:tcBorders>
            <w:shd w:val="clear" w:color="auto" w:fill="auto"/>
            <w:noWrap/>
            <w:vAlign w:val="bottom"/>
            <w:hideMark/>
          </w:tcPr>
          <w:p w14:paraId="2341B5FE" w14:textId="77777777" w:rsidR="00CD529B" w:rsidRPr="00D97729" w:rsidRDefault="00CD529B" w:rsidP="00564572">
            <w:pPr>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86,0%</w:t>
            </w:r>
          </w:p>
        </w:tc>
        <w:tc>
          <w:tcPr>
            <w:tcW w:w="276" w:type="pct"/>
            <w:tcBorders>
              <w:top w:val="nil"/>
              <w:left w:val="nil"/>
              <w:bottom w:val="nil"/>
              <w:right w:val="nil"/>
            </w:tcBorders>
            <w:shd w:val="clear" w:color="auto" w:fill="auto"/>
            <w:noWrap/>
            <w:vAlign w:val="bottom"/>
            <w:hideMark/>
          </w:tcPr>
          <w:p w14:paraId="2341B5FF" w14:textId="77777777" w:rsidR="00CD529B" w:rsidRPr="00D97729" w:rsidRDefault="00CD529B" w:rsidP="00564572">
            <w:pPr>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2341B600"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01"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02"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03"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04"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05"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06"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07" w14:textId="77777777" w:rsidR="00CD529B" w:rsidRPr="00D97729"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608"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609" w14:textId="77777777" w:rsidR="00CD529B" w:rsidRPr="00D97729" w:rsidRDefault="00CD529B" w:rsidP="00564572">
            <w:pPr>
              <w:rPr>
                <w:sz w:val="15"/>
                <w:szCs w:val="15"/>
                <w:lang w:eastAsia="es-CO"/>
              </w:rPr>
            </w:pPr>
          </w:p>
        </w:tc>
      </w:tr>
      <w:tr w:rsidR="00CD529B" w:rsidRPr="00D97729" w14:paraId="2341B618" w14:textId="77777777" w:rsidTr="00564572">
        <w:trPr>
          <w:trHeight w:val="268"/>
        </w:trPr>
        <w:tc>
          <w:tcPr>
            <w:tcW w:w="1559" w:type="pct"/>
            <w:tcBorders>
              <w:top w:val="nil"/>
              <w:left w:val="nil"/>
              <w:bottom w:val="single" w:sz="4" w:space="0" w:color="auto"/>
              <w:right w:val="nil"/>
            </w:tcBorders>
            <w:shd w:val="clear" w:color="auto" w:fill="auto"/>
            <w:noWrap/>
            <w:vAlign w:val="bottom"/>
            <w:hideMark/>
          </w:tcPr>
          <w:p w14:paraId="2341B60B"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Valor por bombillo LED (COP) (2015)</w:t>
            </w:r>
          </w:p>
        </w:tc>
        <w:tc>
          <w:tcPr>
            <w:tcW w:w="302" w:type="pct"/>
            <w:tcBorders>
              <w:top w:val="nil"/>
              <w:left w:val="nil"/>
              <w:bottom w:val="single" w:sz="4" w:space="0" w:color="auto"/>
              <w:right w:val="nil"/>
            </w:tcBorders>
            <w:shd w:val="clear" w:color="auto" w:fill="auto"/>
            <w:noWrap/>
            <w:vAlign w:val="bottom"/>
            <w:hideMark/>
          </w:tcPr>
          <w:p w14:paraId="2341B60C" w14:textId="77777777" w:rsidR="00CD529B" w:rsidRPr="00D97729" w:rsidRDefault="00CD529B" w:rsidP="00564572">
            <w:pPr>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8.190</w:t>
            </w:r>
          </w:p>
        </w:tc>
        <w:tc>
          <w:tcPr>
            <w:tcW w:w="276" w:type="pct"/>
            <w:tcBorders>
              <w:top w:val="nil"/>
              <w:left w:val="nil"/>
              <w:bottom w:val="nil"/>
              <w:right w:val="nil"/>
            </w:tcBorders>
            <w:shd w:val="clear" w:color="auto" w:fill="auto"/>
            <w:noWrap/>
            <w:vAlign w:val="bottom"/>
            <w:hideMark/>
          </w:tcPr>
          <w:p w14:paraId="2341B60D" w14:textId="77777777" w:rsidR="00CD529B" w:rsidRPr="00D97729" w:rsidRDefault="00CD529B" w:rsidP="00564572">
            <w:pPr>
              <w:jc w:val="right"/>
              <w:rPr>
                <w:rFonts w:ascii="Calibri" w:hAnsi="Calibri" w:cs="Calibri"/>
                <w:color w:val="0000FF"/>
                <w:sz w:val="15"/>
                <w:szCs w:val="15"/>
                <w:lang w:eastAsia="es-CO"/>
              </w:rPr>
            </w:pPr>
          </w:p>
        </w:tc>
        <w:tc>
          <w:tcPr>
            <w:tcW w:w="288" w:type="pct"/>
            <w:tcBorders>
              <w:top w:val="nil"/>
              <w:left w:val="nil"/>
              <w:bottom w:val="nil"/>
              <w:right w:val="nil"/>
            </w:tcBorders>
            <w:shd w:val="clear" w:color="auto" w:fill="auto"/>
            <w:noWrap/>
            <w:vAlign w:val="bottom"/>
            <w:hideMark/>
          </w:tcPr>
          <w:p w14:paraId="2341B60E"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0F"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10"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11"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12"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13"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14"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15" w14:textId="77777777" w:rsidR="00CD529B" w:rsidRPr="00D97729"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616"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617" w14:textId="77777777" w:rsidR="00CD529B" w:rsidRPr="00D97729" w:rsidRDefault="00CD529B" w:rsidP="00564572">
            <w:pPr>
              <w:rPr>
                <w:sz w:val="15"/>
                <w:szCs w:val="15"/>
                <w:lang w:eastAsia="es-CO"/>
              </w:rPr>
            </w:pPr>
          </w:p>
        </w:tc>
      </w:tr>
      <w:tr w:rsidR="00CD529B" w:rsidRPr="00D97729" w14:paraId="2341B626" w14:textId="77777777" w:rsidTr="00564572">
        <w:trPr>
          <w:trHeight w:val="268"/>
        </w:trPr>
        <w:tc>
          <w:tcPr>
            <w:tcW w:w="1559" w:type="pct"/>
            <w:tcBorders>
              <w:top w:val="nil"/>
              <w:left w:val="nil"/>
              <w:bottom w:val="nil"/>
              <w:right w:val="nil"/>
            </w:tcBorders>
            <w:shd w:val="clear" w:color="auto" w:fill="auto"/>
            <w:noWrap/>
            <w:vAlign w:val="bottom"/>
            <w:hideMark/>
          </w:tcPr>
          <w:p w14:paraId="2341B619" w14:textId="77777777" w:rsidR="00CD529B" w:rsidRPr="00D97729" w:rsidRDefault="00CD529B" w:rsidP="00564572">
            <w:pPr>
              <w:rPr>
                <w:sz w:val="15"/>
                <w:szCs w:val="15"/>
                <w:lang w:eastAsia="es-CO"/>
              </w:rPr>
            </w:pPr>
          </w:p>
        </w:tc>
        <w:tc>
          <w:tcPr>
            <w:tcW w:w="302" w:type="pct"/>
            <w:tcBorders>
              <w:top w:val="nil"/>
              <w:left w:val="nil"/>
              <w:bottom w:val="nil"/>
              <w:right w:val="nil"/>
            </w:tcBorders>
            <w:shd w:val="clear" w:color="auto" w:fill="auto"/>
            <w:noWrap/>
            <w:vAlign w:val="bottom"/>
            <w:hideMark/>
          </w:tcPr>
          <w:p w14:paraId="2341B61A" w14:textId="77777777" w:rsidR="00CD529B" w:rsidRPr="00D97729" w:rsidRDefault="00CD529B" w:rsidP="00564572">
            <w:pPr>
              <w:rPr>
                <w:sz w:val="15"/>
                <w:szCs w:val="15"/>
                <w:lang w:eastAsia="es-CO"/>
              </w:rPr>
            </w:pPr>
          </w:p>
        </w:tc>
        <w:tc>
          <w:tcPr>
            <w:tcW w:w="276" w:type="pct"/>
            <w:tcBorders>
              <w:top w:val="nil"/>
              <w:left w:val="nil"/>
              <w:bottom w:val="nil"/>
              <w:right w:val="nil"/>
            </w:tcBorders>
            <w:shd w:val="clear" w:color="auto" w:fill="auto"/>
            <w:noWrap/>
            <w:vAlign w:val="bottom"/>
            <w:hideMark/>
          </w:tcPr>
          <w:p w14:paraId="2341B61B"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1C"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1D"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1E"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1F"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20"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21"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22"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23" w14:textId="77777777" w:rsidR="00CD529B" w:rsidRPr="00D97729"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624"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625" w14:textId="77777777" w:rsidR="00CD529B" w:rsidRPr="00D97729" w:rsidRDefault="00CD529B" w:rsidP="00564572">
            <w:pPr>
              <w:rPr>
                <w:sz w:val="15"/>
                <w:szCs w:val="15"/>
                <w:lang w:eastAsia="es-CO"/>
              </w:rPr>
            </w:pPr>
          </w:p>
        </w:tc>
      </w:tr>
      <w:tr w:rsidR="00CD529B" w:rsidRPr="00D97729" w14:paraId="2341B634" w14:textId="77777777" w:rsidTr="00564572">
        <w:trPr>
          <w:trHeight w:val="268"/>
        </w:trPr>
        <w:tc>
          <w:tcPr>
            <w:tcW w:w="1559" w:type="pct"/>
            <w:tcBorders>
              <w:top w:val="nil"/>
              <w:left w:val="nil"/>
              <w:bottom w:val="nil"/>
              <w:right w:val="nil"/>
            </w:tcBorders>
            <w:shd w:val="clear" w:color="auto" w:fill="auto"/>
            <w:noWrap/>
            <w:vAlign w:val="bottom"/>
            <w:hideMark/>
          </w:tcPr>
          <w:p w14:paraId="2341B627" w14:textId="77777777" w:rsidR="00CD529B" w:rsidRPr="00D97729" w:rsidRDefault="00CD529B" w:rsidP="00564572">
            <w:pPr>
              <w:rPr>
                <w:sz w:val="15"/>
                <w:szCs w:val="15"/>
                <w:lang w:eastAsia="es-CO"/>
              </w:rPr>
            </w:pPr>
          </w:p>
        </w:tc>
        <w:tc>
          <w:tcPr>
            <w:tcW w:w="302" w:type="pct"/>
            <w:tcBorders>
              <w:top w:val="nil"/>
              <w:left w:val="nil"/>
              <w:bottom w:val="nil"/>
              <w:right w:val="nil"/>
            </w:tcBorders>
            <w:shd w:val="clear" w:color="auto" w:fill="auto"/>
            <w:noWrap/>
            <w:vAlign w:val="bottom"/>
            <w:hideMark/>
          </w:tcPr>
          <w:p w14:paraId="2341B628" w14:textId="77777777" w:rsidR="00CD529B" w:rsidRPr="00D97729" w:rsidRDefault="00CD529B" w:rsidP="00564572">
            <w:pPr>
              <w:rPr>
                <w:sz w:val="15"/>
                <w:szCs w:val="15"/>
                <w:lang w:eastAsia="es-CO"/>
              </w:rPr>
            </w:pPr>
          </w:p>
        </w:tc>
        <w:tc>
          <w:tcPr>
            <w:tcW w:w="276" w:type="pct"/>
            <w:tcBorders>
              <w:top w:val="nil"/>
              <w:left w:val="nil"/>
              <w:bottom w:val="nil"/>
              <w:right w:val="nil"/>
            </w:tcBorders>
            <w:shd w:val="clear" w:color="auto" w:fill="auto"/>
            <w:noWrap/>
            <w:vAlign w:val="bottom"/>
            <w:hideMark/>
          </w:tcPr>
          <w:p w14:paraId="2341B629"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2A"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2B"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2C"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2D"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2E"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2F"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30"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31" w14:textId="77777777" w:rsidR="00CD529B" w:rsidRPr="00D97729"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632"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633" w14:textId="77777777" w:rsidR="00CD529B" w:rsidRPr="00D97729" w:rsidRDefault="00CD529B" w:rsidP="00564572">
            <w:pPr>
              <w:rPr>
                <w:sz w:val="15"/>
                <w:szCs w:val="15"/>
                <w:lang w:eastAsia="es-CO"/>
              </w:rPr>
            </w:pPr>
          </w:p>
        </w:tc>
      </w:tr>
      <w:tr w:rsidR="00CD529B" w:rsidRPr="00D97729" w14:paraId="2341B642" w14:textId="77777777" w:rsidTr="00564572">
        <w:trPr>
          <w:trHeight w:val="268"/>
        </w:trPr>
        <w:tc>
          <w:tcPr>
            <w:tcW w:w="1559" w:type="pct"/>
            <w:tcBorders>
              <w:top w:val="nil"/>
              <w:left w:val="nil"/>
              <w:bottom w:val="single" w:sz="4" w:space="0" w:color="auto"/>
              <w:right w:val="nil"/>
            </w:tcBorders>
            <w:shd w:val="clear" w:color="auto" w:fill="auto"/>
            <w:noWrap/>
            <w:vAlign w:val="bottom"/>
            <w:hideMark/>
          </w:tcPr>
          <w:p w14:paraId="2341B635" w14:textId="77777777" w:rsidR="00CD529B" w:rsidRPr="00D97729" w:rsidRDefault="00CD529B" w:rsidP="00564572">
            <w:pPr>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$COP (2016)</w:t>
            </w:r>
          </w:p>
        </w:tc>
        <w:tc>
          <w:tcPr>
            <w:tcW w:w="302" w:type="pct"/>
            <w:tcBorders>
              <w:top w:val="single" w:sz="4" w:space="0" w:color="FFFFFF"/>
              <w:left w:val="nil"/>
              <w:bottom w:val="single" w:sz="4" w:space="0" w:color="auto"/>
              <w:right w:val="single" w:sz="4" w:space="0" w:color="FFFFFF"/>
            </w:tcBorders>
            <w:shd w:val="clear" w:color="000000" w:fill="203764"/>
            <w:noWrap/>
            <w:vAlign w:val="bottom"/>
            <w:hideMark/>
          </w:tcPr>
          <w:p w14:paraId="2341B636"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2016</w:t>
            </w:r>
          </w:p>
        </w:tc>
        <w:tc>
          <w:tcPr>
            <w:tcW w:w="276" w:type="pct"/>
            <w:tcBorders>
              <w:top w:val="single" w:sz="4" w:space="0" w:color="FFFFFF"/>
              <w:left w:val="nil"/>
              <w:bottom w:val="single" w:sz="4" w:space="0" w:color="auto"/>
              <w:right w:val="single" w:sz="4" w:space="0" w:color="FFFFFF"/>
            </w:tcBorders>
            <w:shd w:val="clear" w:color="000000" w:fill="203764"/>
            <w:noWrap/>
            <w:vAlign w:val="bottom"/>
            <w:hideMark/>
          </w:tcPr>
          <w:p w14:paraId="2341B637"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2017</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638"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2018</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639"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2019</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63A"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2020</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63B"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2021</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63C"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2022</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63D"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2023</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63E"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2024</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63F"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2025</w:t>
            </w:r>
          </w:p>
        </w:tc>
        <w:tc>
          <w:tcPr>
            <w:tcW w:w="280" w:type="pct"/>
            <w:tcBorders>
              <w:top w:val="single" w:sz="4" w:space="0" w:color="FFFFFF"/>
              <w:left w:val="nil"/>
              <w:bottom w:val="single" w:sz="4" w:space="0" w:color="auto"/>
              <w:right w:val="single" w:sz="4" w:space="0" w:color="FFFFFF"/>
            </w:tcBorders>
            <w:shd w:val="clear" w:color="000000" w:fill="203764"/>
            <w:noWrap/>
            <w:vAlign w:val="bottom"/>
            <w:hideMark/>
          </w:tcPr>
          <w:p w14:paraId="2341B640"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2026</w:t>
            </w:r>
          </w:p>
        </w:tc>
        <w:tc>
          <w:tcPr>
            <w:tcW w:w="279" w:type="pct"/>
            <w:tcBorders>
              <w:top w:val="single" w:sz="4" w:space="0" w:color="FFFFFF"/>
              <w:left w:val="nil"/>
              <w:bottom w:val="single" w:sz="4" w:space="0" w:color="auto"/>
              <w:right w:val="single" w:sz="4" w:space="0" w:color="FFFFFF"/>
            </w:tcBorders>
            <w:shd w:val="clear" w:color="000000" w:fill="203764"/>
            <w:noWrap/>
            <w:vAlign w:val="bottom"/>
            <w:hideMark/>
          </w:tcPr>
          <w:p w14:paraId="2341B641"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2027</w:t>
            </w:r>
          </w:p>
        </w:tc>
      </w:tr>
      <w:tr w:rsidR="00CD529B" w:rsidRPr="00D97729" w14:paraId="2341B650" w14:textId="77777777" w:rsidTr="00564572">
        <w:trPr>
          <w:trHeight w:val="268"/>
        </w:trPr>
        <w:tc>
          <w:tcPr>
            <w:tcW w:w="1559" w:type="pct"/>
            <w:tcBorders>
              <w:top w:val="nil"/>
              <w:left w:val="nil"/>
              <w:bottom w:val="nil"/>
              <w:right w:val="nil"/>
            </w:tcBorders>
            <w:shd w:val="clear" w:color="auto" w:fill="auto"/>
            <w:noWrap/>
            <w:vAlign w:val="bottom"/>
            <w:hideMark/>
          </w:tcPr>
          <w:p w14:paraId="2341B643"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Número de bombillos Tubulares T12 a cambiar</w:t>
            </w:r>
          </w:p>
        </w:tc>
        <w:tc>
          <w:tcPr>
            <w:tcW w:w="302" w:type="pct"/>
            <w:tcBorders>
              <w:top w:val="nil"/>
              <w:left w:val="nil"/>
              <w:bottom w:val="nil"/>
              <w:right w:val="nil"/>
            </w:tcBorders>
            <w:shd w:val="clear" w:color="auto" w:fill="auto"/>
            <w:noWrap/>
            <w:vAlign w:val="bottom"/>
            <w:hideMark/>
          </w:tcPr>
          <w:p w14:paraId="2341B644" w14:textId="77777777" w:rsidR="00CD529B" w:rsidRPr="00CD529B" w:rsidRDefault="00CD529B" w:rsidP="00564572">
            <w:pPr>
              <w:rPr>
                <w:rFonts w:ascii="Calibri" w:hAnsi="Calibri" w:cs="Calibri"/>
                <w:color w:val="000000"/>
                <w:sz w:val="15"/>
                <w:szCs w:val="15"/>
                <w:lang w:val="es-ES_tradnl" w:eastAsia="es-CO"/>
              </w:rPr>
            </w:pPr>
          </w:p>
        </w:tc>
        <w:tc>
          <w:tcPr>
            <w:tcW w:w="276" w:type="pct"/>
            <w:tcBorders>
              <w:top w:val="nil"/>
              <w:left w:val="nil"/>
              <w:bottom w:val="nil"/>
              <w:right w:val="nil"/>
            </w:tcBorders>
            <w:shd w:val="clear" w:color="auto" w:fill="auto"/>
            <w:noWrap/>
            <w:vAlign w:val="bottom"/>
            <w:hideMark/>
          </w:tcPr>
          <w:p w14:paraId="2341B64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103.297</w:t>
            </w:r>
          </w:p>
        </w:tc>
        <w:tc>
          <w:tcPr>
            <w:tcW w:w="288" w:type="pct"/>
            <w:tcBorders>
              <w:top w:val="nil"/>
              <w:left w:val="nil"/>
              <w:bottom w:val="nil"/>
              <w:right w:val="nil"/>
            </w:tcBorders>
            <w:shd w:val="clear" w:color="auto" w:fill="auto"/>
            <w:noWrap/>
            <w:vAlign w:val="bottom"/>
            <w:hideMark/>
          </w:tcPr>
          <w:p w14:paraId="2341B64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103.297</w:t>
            </w:r>
          </w:p>
        </w:tc>
        <w:tc>
          <w:tcPr>
            <w:tcW w:w="288" w:type="pct"/>
            <w:tcBorders>
              <w:top w:val="nil"/>
              <w:left w:val="nil"/>
              <w:bottom w:val="nil"/>
              <w:right w:val="nil"/>
            </w:tcBorders>
            <w:shd w:val="clear" w:color="auto" w:fill="auto"/>
            <w:noWrap/>
            <w:vAlign w:val="bottom"/>
            <w:hideMark/>
          </w:tcPr>
          <w:p w14:paraId="2341B64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103.297</w:t>
            </w:r>
          </w:p>
        </w:tc>
        <w:tc>
          <w:tcPr>
            <w:tcW w:w="288" w:type="pct"/>
            <w:tcBorders>
              <w:top w:val="nil"/>
              <w:left w:val="nil"/>
              <w:bottom w:val="nil"/>
              <w:right w:val="nil"/>
            </w:tcBorders>
            <w:shd w:val="clear" w:color="auto" w:fill="auto"/>
            <w:noWrap/>
            <w:vAlign w:val="bottom"/>
            <w:hideMark/>
          </w:tcPr>
          <w:p w14:paraId="2341B64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103.297</w:t>
            </w:r>
          </w:p>
        </w:tc>
        <w:tc>
          <w:tcPr>
            <w:tcW w:w="288" w:type="pct"/>
            <w:tcBorders>
              <w:top w:val="nil"/>
              <w:left w:val="nil"/>
              <w:bottom w:val="nil"/>
              <w:right w:val="nil"/>
            </w:tcBorders>
            <w:shd w:val="clear" w:color="auto" w:fill="auto"/>
            <w:noWrap/>
            <w:vAlign w:val="bottom"/>
            <w:hideMark/>
          </w:tcPr>
          <w:p w14:paraId="2341B64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103.297</w:t>
            </w:r>
          </w:p>
        </w:tc>
        <w:tc>
          <w:tcPr>
            <w:tcW w:w="288" w:type="pct"/>
            <w:tcBorders>
              <w:top w:val="nil"/>
              <w:left w:val="nil"/>
              <w:bottom w:val="nil"/>
              <w:right w:val="nil"/>
            </w:tcBorders>
            <w:shd w:val="clear" w:color="auto" w:fill="auto"/>
            <w:noWrap/>
            <w:vAlign w:val="bottom"/>
            <w:hideMark/>
          </w:tcPr>
          <w:p w14:paraId="2341B64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2341B64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2341B64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2341B64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0" w:type="pct"/>
            <w:tcBorders>
              <w:top w:val="nil"/>
              <w:left w:val="nil"/>
              <w:bottom w:val="nil"/>
              <w:right w:val="nil"/>
            </w:tcBorders>
            <w:shd w:val="clear" w:color="auto" w:fill="auto"/>
            <w:noWrap/>
            <w:vAlign w:val="bottom"/>
            <w:hideMark/>
          </w:tcPr>
          <w:p w14:paraId="2341B64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nil"/>
              <w:right w:val="nil"/>
            </w:tcBorders>
            <w:shd w:val="clear" w:color="auto" w:fill="auto"/>
            <w:noWrap/>
            <w:vAlign w:val="bottom"/>
            <w:hideMark/>
          </w:tcPr>
          <w:p w14:paraId="2341B64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97729" w14:paraId="2341B65E" w14:textId="77777777" w:rsidTr="00564572">
        <w:trPr>
          <w:trHeight w:val="268"/>
        </w:trPr>
        <w:tc>
          <w:tcPr>
            <w:tcW w:w="1559" w:type="pct"/>
            <w:tcBorders>
              <w:top w:val="nil"/>
              <w:left w:val="nil"/>
              <w:bottom w:val="nil"/>
              <w:right w:val="nil"/>
            </w:tcBorders>
            <w:shd w:val="clear" w:color="auto" w:fill="auto"/>
            <w:noWrap/>
            <w:vAlign w:val="bottom"/>
            <w:hideMark/>
          </w:tcPr>
          <w:p w14:paraId="2341B651" w14:textId="77777777" w:rsidR="00CD529B" w:rsidRPr="00D97729" w:rsidRDefault="00CD529B" w:rsidP="00564572">
            <w:pPr>
              <w:rPr>
                <w:rFonts w:ascii="Calibri" w:hAnsi="Calibri" w:cs="Calibri"/>
                <w:color w:val="000000"/>
                <w:sz w:val="15"/>
                <w:szCs w:val="15"/>
                <w:lang w:eastAsia="es-CO"/>
              </w:rPr>
            </w:pPr>
            <w:r w:rsidRPr="00D97729">
              <w:rPr>
                <w:rFonts w:ascii="Calibri" w:hAnsi="Calibri" w:cs="Calibri"/>
                <w:color w:val="000000"/>
                <w:sz w:val="15"/>
                <w:szCs w:val="15"/>
                <w:lang w:eastAsia="es-CO"/>
              </w:rPr>
              <w:t>Número de bombillos a cambiar  Incandescentes</w:t>
            </w:r>
          </w:p>
        </w:tc>
        <w:tc>
          <w:tcPr>
            <w:tcW w:w="302" w:type="pct"/>
            <w:tcBorders>
              <w:top w:val="nil"/>
              <w:left w:val="nil"/>
              <w:bottom w:val="nil"/>
              <w:right w:val="nil"/>
            </w:tcBorders>
            <w:shd w:val="clear" w:color="auto" w:fill="auto"/>
            <w:noWrap/>
            <w:vAlign w:val="bottom"/>
            <w:hideMark/>
          </w:tcPr>
          <w:p w14:paraId="2341B652" w14:textId="77777777" w:rsidR="00CD529B" w:rsidRPr="00D97729" w:rsidRDefault="00CD529B" w:rsidP="00564572">
            <w:pPr>
              <w:rPr>
                <w:rFonts w:ascii="Calibri" w:hAnsi="Calibri" w:cs="Calibri"/>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2341B65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22.995</w:t>
            </w:r>
          </w:p>
        </w:tc>
        <w:tc>
          <w:tcPr>
            <w:tcW w:w="288" w:type="pct"/>
            <w:tcBorders>
              <w:top w:val="nil"/>
              <w:left w:val="nil"/>
              <w:bottom w:val="nil"/>
              <w:right w:val="nil"/>
            </w:tcBorders>
            <w:shd w:val="clear" w:color="auto" w:fill="auto"/>
            <w:noWrap/>
            <w:vAlign w:val="bottom"/>
            <w:hideMark/>
          </w:tcPr>
          <w:p w14:paraId="2341B65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22.995</w:t>
            </w:r>
          </w:p>
        </w:tc>
        <w:tc>
          <w:tcPr>
            <w:tcW w:w="288" w:type="pct"/>
            <w:tcBorders>
              <w:top w:val="nil"/>
              <w:left w:val="nil"/>
              <w:bottom w:val="nil"/>
              <w:right w:val="nil"/>
            </w:tcBorders>
            <w:shd w:val="clear" w:color="auto" w:fill="auto"/>
            <w:noWrap/>
            <w:vAlign w:val="bottom"/>
            <w:hideMark/>
          </w:tcPr>
          <w:p w14:paraId="2341B65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22.995</w:t>
            </w:r>
          </w:p>
        </w:tc>
        <w:tc>
          <w:tcPr>
            <w:tcW w:w="288" w:type="pct"/>
            <w:tcBorders>
              <w:top w:val="nil"/>
              <w:left w:val="nil"/>
              <w:bottom w:val="nil"/>
              <w:right w:val="nil"/>
            </w:tcBorders>
            <w:shd w:val="clear" w:color="auto" w:fill="auto"/>
            <w:noWrap/>
            <w:vAlign w:val="bottom"/>
            <w:hideMark/>
          </w:tcPr>
          <w:p w14:paraId="2341B65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22.995</w:t>
            </w:r>
          </w:p>
        </w:tc>
        <w:tc>
          <w:tcPr>
            <w:tcW w:w="288" w:type="pct"/>
            <w:tcBorders>
              <w:top w:val="nil"/>
              <w:left w:val="nil"/>
              <w:bottom w:val="nil"/>
              <w:right w:val="nil"/>
            </w:tcBorders>
            <w:shd w:val="clear" w:color="auto" w:fill="auto"/>
            <w:noWrap/>
            <w:vAlign w:val="bottom"/>
            <w:hideMark/>
          </w:tcPr>
          <w:p w14:paraId="2341B65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22.995</w:t>
            </w:r>
          </w:p>
        </w:tc>
        <w:tc>
          <w:tcPr>
            <w:tcW w:w="288" w:type="pct"/>
            <w:tcBorders>
              <w:top w:val="nil"/>
              <w:left w:val="nil"/>
              <w:bottom w:val="nil"/>
              <w:right w:val="nil"/>
            </w:tcBorders>
            <w:shd w:val="clear" w:color="auto" w:fill="auto"/>
            <w:noWrap/>
            <w:vAlign w:val="bottom"/>
            <w:hideMark/>
          </w:tcPr>
          <w:p w14:paraId="2341B65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2341B65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2341B65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2341B65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0" w:type="pct"/>
            <w:tcBorders>
              <w:top w:val="nil"/>
              <w:left w:val="nil"/>
              <w:bottom w:val="nil"/>
              <w:right w:val="nil"/>
            </w:tcBorders>
            <w:shd w:val="clear" w:color="auto" w:fill="auto"/>
            <w:noWrap/>
            <w:vAlign w:val="bottom"/>
            <w:hideMark/>
          </w:tcPr>
          <w:p w14:paraId="2341B65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nil"/>
              <w:right w:val="nil"/>
            </w:tcBorders>
            <w:shd w:val="clear" w:color="auto" w:fill="auto"/>
            <w:noWrap/>
            <w:vAlign w:val="bottom"/>
            <w:hideMark/>
          </w:tcPr>
          <w:p w14:paraId="2341B65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97729" w14:paraId="2341B66C" w14:textId="77777777" w:rsidTr="00564572">
        <w:trPr>
          <w:trHeight w:val="268"/>
        </w:trPr>
        <w:tc>
          <w:tcPr>
            <w:tcW w:w="1559" w:type="pct"/>
            <w:tcBorders>
              <w:top w:val="nil"/>
              <w:left w:val="nil"/>
              <w:bottom w:val="single" w:sz="4" w:space="0" w:color="000000"/>
              <w:right w:val="nil"/>
            </w:tcBorders>
            <w:shd w:val="clear" w:color="auto" w:fill="auto"/>
            <w:noWrap/>
            <w:vAlign w:val="bottom"/>
            <w:hideMark/>
          </w:tcPr>
          <w:p w14:paraId="2341B65F"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Número de bombillos a cambiar Halogena</w:t>
            </w:r>
          </w:p>
        </w:tc>
        <w:tc>
          <w:tcPr>
            <w:tcW w:w="302" w:type="pct"/>
            <w:tcBorders>
              <w:top w:val="nil"/>
              <w:left w:val="nil"/>
              <w:bottom w:val="single" w:sz="4" w:space="0" w:color="000000"/>
              <w:right w:val="nil"/>
            </w:tcBorders>
            <w:shd w:val="clear" w:color="auto" w:fill="auto"/>
            <w:noWrap/>
            <w:vAlign w:val="bottom"/>
            <w:hideMark/>
          </w:tcPr>
          <w:p w14:paraId="2341B660"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76" w:type="pct"/>
            <w:tcBorders>
              <w:top w:val="nil"/>
              <w:left w:val="nil"/>
              <w:bottom w:val="single" w:sz="4" w:space="0" w:color="000000"/>
              <w:right w:val="nil"/>
            </w:tcBorders>
            <w:shd w:val="clear" w:color="auto" w:fill="auto"/>
            <w:noWrap/>
            <w:vAlign w:val="bottom"/>
            <w:hideMark/>
          </w:tcPr>
          <w:p w14:paraId="2341B66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50.907</w:t>
            </w:r>
          </w:p>
        </w:tc>
        <w:tc>
          <w:tcPr>
            <w:tcW w:w="288" w:type="pct"/>
            <w:tcBorders>
              <w:top w:val="nil"/>
              <w:left w:val="nil"/>
              <w:bottom w:val="single" w:sz="4" w:space="0" w:color="000000"/>
              <w:right w:val="nil"/>
            </w:tcBorders>
            <w:shd w:val="clear" w:color="auto" w:fill="auto"/>
            <w:noWrap/>
            <w:vAlign w:val="bottom"/>
            <w:hideMark/>
          </w:tcPr>
          <w:p w14:paraId="2341B66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50.907</w:t>
            </w:r>
          </w:p>
        </w:tc>
        <w:tc>
          <w:tcPr>
            <w:tcW w:w="288" w:type="pct"/>
            <w:tcBorders>
              <w:top w:val="nil"/>
              <w:left w:val="nil"/>
              <w:bottom w:val="single" w:sz="4" w:space="0" w:color="000000"/>
              <w:right w:val="nil"/>
            </w:tcBorders>
            <w:shd w:val="clear" w:color="auto" w:fill="auto"/>
            <w:noWrap/>
            <w:vAlign w:val="bottom"/>
            <w:hideMark/>
          </w:tcPr>
          <w:p w14:paraId="2341B66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50.907</w:t>
            </w:r>
          </w:p>
        </w:tc>
        <w:tc>
          <w:tcPr>
            <w:tcW w:w="288" w:type="pct"/>
            <w:tcBorders>
              <w:top w:val="nil"/>
              <w:left w:val="nil"/>
              <w:bottom w:val="single" w:sz="4" w:space="0" w:color="000000"/>
              <w:right w:val="nil"/>
            </w:tcBorders>
            <w:shd w:val="clear" w:color="auto" w:fill="auto"/>
            <w:noWrap/>
            <w:vAlign w:val="bottom"/>
            <w:hideMark/>
          </w:tcPr>
          <w:p w14:paraId="2341B66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50.907</w:t>
            </w:r>
          </w:p>
        </w:tc>
        <w:tc>
          <w:tcPr>
            <w:tcW w:w="288" w:type="pct"/>
            <w:tcBorders>
              <w:top w:val="nil"/>
              <w:left w:val="nil"/>
              <w:bottom w:val="single" w:sz="4" w:space="0" w:color="000000"/>
              <w:right w:val="nil"/>
            </w:tcBorders>
            <w:shd w:val="clear" w:color="auto" w:fill="auto"/>
            <w:noWrap/>
            <w:vAlign w:val="bottom"/>
            <w:hideMark/>
          </w:tcPr>
          <w:p w14:paraId="2341B66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50.907</w:t>
            </w:r>
          </w:p>
        </w:tc>
        <w:tc>
          <w:tcPr>
            <w:tcW w:w="288" w:type="pct"/>
            <w:tcBorders>
              <w:top w:val="nil"/>
              <w:left w:val="nil"/>
              <w:bottom w:val="single" w:sz="4" w:space="0" w:color="000000"/>
              <w:right w:val="nil"/>
            </w:tcBorders>
            <w:shd w:val="clear" w:color="auto" w:fill="auto"/>
            <w:noWrap/>
            <w:vAlign w:val="bottom"/>
            <w:hideMark/>
          </w:tcPr>
          <w:p w14:paraId="2341B66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000000"/>
              <w:right w:val="nil"/>
            </w:tcBorders>
            <w:shd w:val="clear" w:color="auto" w:fill="auto"/>
            <w:noWrap/>
            <w:vAlign w:val="bottom"/>
            <w:hideMark/>
          </w:tcPr>
          <w:p w14:paraId="2341B66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000000"/>
              <w:right w:val="nil"/>
            </w:tcBorders>
            <w:shd w:val="clear" w:color="auto" w:fill="auto"/>
            <w:noWrap/>
            <w:vAlign w:val="bottom"/>
            <w:hideMark/>
          </w:tcPr>
          <w:p w14:paraId="2341B66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000000"/>
              <w:right w:val="nil"/>
            </w:tcBorders>
            <w:shd w:val="clear" w:color="auto" w:fill="auto"/>
            <w:noWrap/>
            <w:vAlign w:val="bottom"/>
            <w:hideMark/>
          </w:tcPr>
          <w:p w14:paraId="2341B66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0" w:type="pct"/>
            <w:tcBorders>
              <w:top w:val="nil"/>
              <w:left w:val="nil"/>
              <w:bottom w:val="single" w:sz="4" w:space="0" w:color="000000"/>
              <w:right w:val="nil"/>
            </w:tcBorders>
            <w:shd w:val="clear" w:color="auto" w:fill="auto"/>
            <w:noWrap/>
            <w:vAlign w:val="bottom"/>
            <w:hideMark/>
          </w:tcPr>
          <w:p w14:paraId="2341B66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single" w:sz="4" w:space="0" w:color="000000"/>
              <w:right w:val="nil"/>
            </w:tcBorders>
            <w:shd w:val="clear" w:color="auto" w:fill="auto"/>
            <w:noWrap/>
            <w:vAlign w:val="bottom"/>
            <w:hideMark/>
          </w:tcPr>
          <w:p w14:paraId="2341B66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97729" w14:paraId="2341B67A" w14:textId="77777777" w:rsidTr="00564572">
        <w:trPr>
          <w:trHeight w:val="268"/>
        </w:trPr>
        <w:tc>
          <w:tcPr>
            <w:tcW w:w="1559" w:type="pct"/>
            <w:tcBorders>
              <w:top w:val="nil"/>
              <w:left w:val="nil"/>
              <w:bottom w:val="nil"/>
              <w:right w:val="nil"/>
            </w:tcBorders>
            <w:shd w:val="clear" w:color="auto" w:fill="auto"/>
            <w:noWrap/>
            <w:vAlign w:val="bottom"/>
            <w:hideMark/>
          </w:tcPr>
          <w:p w14:paraId="2341B66D" w14:textId="77777777" w:rsidR="00CD529B" w:rsidRPr="00D97729" w:rsidRDefault="00CD529B" w:rsidP="00564572">
            <w:pPr>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Beneficios</w:t>
            </w:r>
          </w:p>
        </w:tc>
        <w:tc>
          <w:tcPr>
            <w:tcW w:w="302" w:type="pct"/>
            <w:tcBorders>
              <w:top w:val="nil"/>
              <w:left w:val="nil"/>
              <w:bottom w:val="nil"/>
              <w:right w:val="nil"/>
            </w:tcBorders>
            <w:shd w:val="clear" w:color="auto" w:fill="auto"/>
            <w:noWrap/>
            <w:vAlign w:val="bottom"/>
            <w:hideMark/>
          </w:tcPr>
          <w:p w14:paraId="2341B66E" w14:textId="77777777" w:rsidR="00CD529B" w:rsidRPr="00D97729" w:rsidRDefault="00CD529B" w:rsidP="00564572">
            <w:pPr>
              <w:rPr>
                <w:rFonts w:ascii="Calibri" w:hAnsi="Calibri" w:cs="Calibri"/>
                <w:b/>
                <w:bCs/>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2341B66F"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70"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71"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72"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73"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74"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75"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76"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77" w14:textId="77777777" w:rsidR="00CD529B" w:rsidRPr="000D0E52"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678" w14:textId="77777777" w:rsidR="00CD529B" w:rsidRPr="000D0E52"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679" w14:textId="77777777" w:rsidR="00CD529B" w:rsidRPr="000D0E52" w:rsidRDefault="00CD529B" w:rsidP="00564572">
            <w:pPr>
              <w:rPr>
                <w:sz w:val="15"/>
                <w:szCs w:val="15"/>
                <w:lang w:eastAsia="es-CO"/>
              </w:rPr>
            </w:pPr>
          </w:p>
        </w:tc>
      </w:tr>
      <w:tr w:rsidR="00CD529B" w:rsidRPr="00D97729" w14:paraId="2341B688" w14:textId="77777777" w:rsidTr="00564572">
        <w:trPr>
          <w:trHeight w:val="268"/>
        </w:trPr>
        <w:tc>
          <w:tcPr>
            <w:tcW w:w="1559" w:type="pct"/>
            <w:tcBorders>
              <w:top w:val="nil"/>
              <w:left w:val="nil"/>
              <w:bottom w:val="nil"/>
              <w:right w:val="nil"/>
            </w:tcBorders>
            <w:shd w:val="clear" w:color="auto" w:fill="auto"/>
            <w:noWrap/>
            <w:vAlign w:val="bottom"/>
            <w:hideMark/>
          </w:tcPr>
          <w:p w14:paraId="2341B67B" w14:textId="77777777" w:rsidR="00CD529B" w:rsidRPr="00D97729" w:rsidRDefault="00CD529B" w:rsidP="00564572">
            <w:pPr>
              <w:ind w:firstLineChars="100" w:firstLine="150"/>
              <w:rPr>
                <w:rFonts w:ascii="Calibri" w:hAnsi="Calibri" w:cs="Calibri"/>
                <w:color w:val="000000"/>
                <w:sz w:val="15"/>
                <w:szCs w:val="15"/>
                <w:lang w:eastAsia="es-CO"/>
              </w:rPr>
            </w:pPr>
            <w:r w:rsidRPr="00D97729">
              <w:rPr>
                <w:rFonts w:ascii="Calibri" w:hAnsi="Calibri" w:cs="Calibri"/>
                <w:color w:val="000000"/>
                <w:sz w:val="15"/>
                <w:szCs w:val="15"/>
                <w:lang w:eastAsia="es-CO"/>
              </w:rPr>
              <w:t>Ahorro GWh/año</w:t>
            </w:r>
          </w:p>
        </w:tc>
        <w:tc>
          <w:tcPr>
            <w:tcW w:w="302" w:type="pct"/>
            <w:tcBorders>
              <w:top w:val="nil"/>
              <w:left w:val="nil"/>
              <w:bottom w:val="nil"/>
              <w:right w:val="nil"/>
            </w:tcBorders>
            <w:shd w:val="clear" w:color="auto" w:fill="auto"/>
            <w:noWrap/>
            <w:vAlign w:val="bottom"/>
            <w:hideMark/>
          </w:tcPr>
          <w:p w14:paraId="2341B67C" w14:textId="77777777" w:rsidR="00CD529B" w:rsidRPr="00D97729" w:rsidRDefault="00CD529B" w:rsidP="00564572">
            <w:pPr>
              <w:ind w:firstLineChars="100" w:firstLine="150"/>
              <w:rPr>
                <w:rFonts w:ascii="Calibri" w:hAnsi="Calibri" w:cs="Calibri"/>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2341B67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88" w:type="pct"/>
            <w:tcBorders>
              <w:top w:val="nil"/>
              <w:left w:val="nil"/>
              <w:bottom w:val="nil"/>
              <w:right w:val="nil"/>
            </w:tcBorders>
            <w:shd w:val="clear" w:color="auto" w:fill="auto"/>
            <w:noWrap/>
            <w:vAlign w:val="bottom"/>
            <w:hideMark/>
          </w:tcPr>
          <w:p w14:paraId="2341B67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w:t>
            </w:r>
          </w:p>
        </w:tc>
        <w:tc>
          <w:tcPr>
            <w:tcW w:w="288" w:type="pct"/>
            <w:tcBorders>
              <w:top w:val="nil"/>
              <w:left w:val="nil"/>
              <w:bottom w:val="nil"/>
              <w:right w:val="nil"/>
            </w:tcBorders>
            <w:shd w:val="clear" w:color="auto" w:fill="auto"/>
            <w:noWrap/>
            <w:vAlign w:val="bottom"/>
            <w:hideMark/>
          </w:tcPr>
          <w:p w14:paraId="2341B67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42</w:t>
            </w:r>
          </w:p>
        </w:tc>
        <w:tc>
          <w:tcPr>
            <w:tcW w:w="288" w:type="pct"/>
            <w:tcBorders>
              <w:top w:val="nil"/>
              <w:left w:val="nil"/>
              <w:bottom w:val="nil"/>
              <w:right w:val="nil"/>
            </w:tcBorders>
            <w:shd w:val="clear" w:color="auto" w:fill="auto"/>
            <w:noWrap/>
            <w:vAlign w:val="bottom"/>
            <w:hideMark/>
          </w:tcPr>
          <w:p w14:paraId="2341B68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56</w:t>
            </w:r>
          </w:p>
        </w:tc>
        <w:tc>
          <w:tcPr>
            <w:tcW w:w="288" w:type="pct"/>
            <w:tcBorders>
              <w:top w:val="nil"/>
              <w:left w:val="nil"/>
              <w:bottom w:val="nil"/>
              <w:right w:val="nil"/>
            </w:tcBorders>
            <w:shd w:val="clear" w:color="auto" w:fill="auto"/>
            <w:noWrap/>
            <w:vAlign w:val="bottom"/>
            <w:hideMark/>
          </w:tcPr>
          <w:p w14:paraId="2341B68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70</w:t>
            </w:r>
          </w:p>
        </w:tc>
        <w:tc>
          <w:tcPr>
            <w:tcW w:w="288" w:type="pct"/>
            <w:tcBorders>
              <w:top w:val="nil"/>
              <w:left w:val="nil"/>
              <w:bottom w:val="nil"/>
              <w:right w:val="nil"/>
            </w:tcBorders>
            <w:shd w:val="clear" w:color="auto" w:fill="auto"/>
            <w:noWrap/>
            <w:vAlign w:val="bottom"/>
            <w:hideMark/>
          </w:tcPr>
          <w:p w14:paraId="2341B68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70</w:t>
            </w:r>
          </w:p>
        </w:tc>
        <w:tc>
          <w:tcPr>
            <w:tcW w:w="288" w:type="pct"/>
            <w:tcBorders>
              <w:top w:val="nil"/>
              <w:left w:val="nil"/>
              <w:bottom w:val="nil"/>
              <w:right w:val="nil"/>
            </w:tcBorders>
            <w:shd w:val="clear" w:color="auto" w:fill="auto"/>
            <w:noWrap/>
            <w:vAlign w:val="bottom"/>
            <w:hideMark/>
          </w:tcPr>
          <w:p w14:paraId="2341B68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70</w:t>
            </w:r>
          </w:p>
        </w:tc>
        <w:tc>
          <w:tcPr>
            <w:tcW w:w="288" w:type="pct"/>
            <w:tcBorders>
              <w:top w:val="nil"/>
              <w:left w:val="nil"/>
              <w:bottom w:val="nil"/>
              <w:right w:val="nil"/>
            </w:tcBorders>
            <w:shd w:val="clear" w:color="auto" w:fill="auto"/>
            <w:noWrap/>
            <w:vAlign w:val="bottom"/>
            <w:hideMark/>
          </w:tcPr>
          <w:p w14:paraId="2341B68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70</w:t>
            </w:r>
          </w:p>
        </w:tc>
        <w:tc>
          <w:tcPr>
            <w:tcW w:w="288" w:type="pct"/>
            <w:tcBorders>
              <w:top w:val="nil"/>
              <w:left w:val="nil"/>
              <w:bottom w:val="nil"/>
              <w:right w:val="nil"/>
            </w:tcBorders>
            <w:shd w:val="clear" w:color="auto" w:fill="auto"/>
            <w:noWrap/>
            <w:vAlign w:val="bottom"/>
            <w:hideMark/>
          </w:tcPr>
          <w:p w14:paraId="2341B68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70</w:t>
            </w:r>
          </w:p>
        </w:tc>
        <w:tc>
          <w:tcPr>
            <w:tcW w:w="280" w:type="pct"/>
            <w:tcBorders>
              <w:top w:val="nil"/>
              <w:left w:val="nil"/>
              <w:bottom w:val="nil"/>
              <w:right w:val="nil"/>
            </w:tcBorders>
            <w:shd w:val="clear" w:color="auto" w:fill="auto"/>
            <w:noWrap/>
            <w:vAlign w:val="bottom"/>
            <w:hideMark/>
          </w:tcPr>
          <w:p w14:paraId="2341B68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70</w:t>
            </w:r>
          </w:p>
        </w:tc>
        <w:tc>
          <w:tcPr>
            <w:tcW w:w="279" w:type="pct"/>
            <w:tcBorders>
              <w:top w:val="nil"/>
              <w:left w:val="nil"/>
              <w:bottom w:val="nil"/>
              <w:right w:val="nil"/>
            </w:tcBorders>
            <w:shd w:val="clear" w:color="auto" w:fill="auto"/>
            <w:noWrap/>
            <w:vAlign w:val="bottom"/>
            <w:hideMark/>
          </w:tcPr>
          <w:p w14:paraId="2341B68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70</w:t>
            </w:r>
          </w:p>
        </w:tc>
      </w:tr>
      <w:tr w:rsidR="00CD529B" w:rsidRPr="00D97729" w14:paraId="2341B696" w14:textId="77777777" w:rsidTr="00564572">
        <w:trPr>
          <w:trHeight w:val="268"/>
        </w:trPr>
        <w:tc>
          <w:tcPr>
            <w:tcW w:w="1559" w:type="pct"/>
            <w:tcBorders>
              <w:top w:val="nil"/>
              <w:left w:val="nil"/>
              <w:bottom w:val="single" w:sz="4" w:space="0" w:color="BFBFBF"/>
              <w:right w:val="nil"/>
            </w:tcBorders>
            <w:shd w:val="clear" w:color="auto" w:fill="auto"/>
            <w:noWrap/>
            <w:vAlign w:val="bottom"/>
            <w:hideMark/>
          </w:tcPr>
          <w:p w14:paraId="2341B689"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Emisiones de CO2 evitadas (TonCo2)</w:t>
            </w:r>
          </w:p>
        </w:tc>
        <w:tc>
          <w:tcPr>
            <w:tcW w:w="302" w:type="pct"/>
            <w:tcBorders>
              <w:top w:val="nil"/>
              <w:left w:val="nil"/>
              <w:bottom w:val="single" w:sz="4" w:space="0" w:color="BFBFBF"/>
              <w:right w:val="nil"/>
            </w:tcBorders>
            <w:shd w:val="clear" w:color="auto" w:fill="auto"/>
            <w:noWrap/>
            <w:vAlign w:val="bottom"/>
            <w:hideMark/>
          </w:tcPr>
          <w:p w14:paraId="2341B68A"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76" w:type="pct"/>
            <w:tcBorders>
              <w:top w:val="nil"/>
              <w:left w:val="nil"/>
              <w:bottom w:val="single" w:sz="4" w:space="0" w:color="BFBFBF"/>
              <w:right w:val="nil"/>
            </w:tcBorders>
            <w:shd w:val="clear" w:color="auto" w:fill="auto"/>
            <w:noWrap/>
            <w:vAlign w:val="bottom"/>
            <w:hideMark/>
          </w:tcPr>
          <w:p w14:paraId="2341B68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1.966</w:t>
            </w:r>
          </w:p>
        </w:tc>
        <w:tc>
          <w:tcPr>
            <w:tcW w:w="288" w:type="pct"/>
            <w:tcBorders>
              <w:top w:val="nil"/>
              <w:left w:val="nil"/>
              <w:bottom w:val="single" w:sz="4" w:space="0" w:color="BFBFBF"/>
              <w:right w:val="nil"/>
            </w:tcBorders>
            <w:shd w:val="clear" w:color="auto" w:fill="auto"/>
            <w:noWrap/>
            <w:vAlign w:val="bottom"/>
            <w:hideMark/>
          </w:tcPr>
          <w:p w14:paraId="2341B68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3.931</w:t>
            </w:r>
          </w:p>
        </w:tc>
        <w:tc>
          <w:tcPr>
            <w:tcW w:w="288" w:type="pct"/>
            <w:tcBorders>
              <w:top w:val="nil"/>
              <w:left w:val="nil"/>
              <w:bottom w:val="single" w:sz="4" w:space="0" w:color="BFBFBF"/>
              <w:right w:val="nil"/>
            </w:tcBorders>
            <w:shd w:val="clear" w:color="auto" w:fill="auto"/>
            <w:noWrap/>
            <w:vAlign w:val="bottom"/>
            <w:hideMark/>
          </w:tcPr>
          <w:p w14:paraId="2341B68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5.897</w:t>
            </w:r>
          </w:p>
        </w:tc>
        <w:tc>
          <w:tcPr>
            <w:tcW w:w="288" w:type="pct"/>
            <w:tcBorders>
              <w:top w:val="nil"/>
              <w:left w:val="nil"/>
              <w:bottom w:val="single" w:sz="4" w:space="0" w:color="BFBFBF"/>
              <w:right w:val="nil"/>
            </w:tcBorders>
            <w:shd w:val="clear" w:color="auto" w:fill="auto"/>
            <w:noWrap/>
            <w:vAlign w:val="bottom"/>
            <w:hideMark/>
          </w:tcPr>
          <w:p w14:paraId="2341B68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7.863</w:t>
            </w:r>
          </w:p>
        </w:tc>
        <w:tc>
          <w:tcPr>
            <w:tcW w:w="288" w:type="pct"/>
            <w:tcBorders>
              <w:top w:val="nil"/>
              <w:left w:val="nil"/>
              <w:bottom w:val="single" w:sz="4" w:space="0" w:color="BFBFBF"/>
              <w:right w:val="nil"/>
            </w:tcBorders>
            <w:shd w:val="clear" w:color="auto" w:fill="auto"/>
            <w:noWrap/>
            <w:vAlign w:val="bottom"/>
            <w:hideMark/>
          </w:tcPr>
          <w:p w14:paraId="2341B68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9.828</w:t>
            </w:r>
          </w:p>
        </w:tc>
        <w:tc>
          <w:tcPr>
            <w:tcW w:w="288" w:type="pct"/>
            <w:tcBorders>
              <w:top w:val="nil"/>
              <w:left w:val="nil"/>
              <w:bottom w:val="single" w:sz="4" w:space="0" w:color="BFBFBF"/>
              <w:right w:val="nil"/>
            </w:tcBorders>
            <w:shd w:val="clear" w:color="auto" w:fill="auto"/>
            <w:noWrap/>
            <w:vAlign w:val="bottom"/>
            <w:hideMark/>
          </w:tcPr>
          <w:p w14:paraId="2341B69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9.828</w:t>
            </w:r>
          </w:p>
        </w:tc>
        <w:tc>
          <w:tcPr>
            <w:tcW w:w="288" w:type="pct"/>
            <w:tcBorders>
              <w:top w:val="nil"/>
              <w:left w:val="nil"/>
              <w:bottom w:val="single" w:sz="4" w:space="0" w:color="BFBFBF"/>
              <w:right w:val="nil"/>
            </w:tcBorders>
            <w:shd w:val="clear" w:color="auto" w:fill="auto"/>
            <w:noWrap/>
            <w:vAlign w:val="bottom"/>
            <w:hideMark/>
          </w:tcPr>
          <w:p w14:paraId="2341B69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9.828</w:t>
            </w:r>
          </w:p>
        </w:tc>
        <w:tc>
          <w:tcPr>
            <w:tcW w:w="288" w:type="pct"/>
            <w:tcBorders>
              <w:top w:val="nil"/>
              <w:left w:val="nil"/>
              <w:bottom w:val="single" w:sz="4" w:space="0" w:color="BFBFBF"/>
              <w:right w:val="nil"/>
            </w:tcBorders>
            <w:shd w:val="clear" w:color="auto" w:fill="auto"/>
            <w:noWrap/>
            <w:vAlign w:val="bottom"/>
            <w:hideMark/>
          </w:tcPr>
          <w:p w14:paraId="2341B69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9.828</w:t>
            </w:r>
          </w:p>
        </w:tc>
        <w:tc>
          <w:tcPr>
            <w:tcW w:w="288" w:type="pct"/>
            <w:tcBorders>
              <w:top w:val="nil"/>
              <w:left w:val="nil"/>
              <w:bottom w:val="single" w:sz="4" w:space="0" w:color="BFBFBF"/>
              <w:right w:val="nil"/>
            </w:tcBorders>
            <w:shd w:val="clear" w:color="auto" w:fill="auto"/>
            <w:noWrap/>
            <w:vAlign w:val="bottom"/>
            <w:hideMark/>
          </w:tcPr>
          <w:p w14:paraId="2341B69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9.828</w:t>
            </w:r>
          </w:p>
        </w:tc>
        <w:tc>
          <w:tcPr>
            <w:tcW w:w="280" w:type="pct"/>
            <w:tcBorders>
              <w:top w:val="nil"/>
              <w:left w:val="nil"/>
              <w:bottom w:val="single" w:sz="4" w:space="0" w:color="BFBFBF"/>
              <w:right w:val="nil"/>
            </w:tcBorders>
            <w:shd w:val="clear" w:color="auto" w:fill="auto"/>
            <w:noWrap/>
            <w:vAlign w:val="bottom"/>
            <w:hideMark/>
          </w:tcPr>
          <w:p w14:paraId="2341B69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9.828</w:t>
            </w:r>
          </w:p>
        </w:tc>
        <w:tc>
          <w:tcPr>
            <w:tcW w:w="279" w:type="pct"/>
            <w:tcBorders>
              <w:top w:val="nil"/>
              <w:left w:val="nil"/>
              <w:bottom w:val="single" w:sz="4" w:space="0" w:color="BFBFBF"/>
              <w:right w:val="nil"/>
            </w:tcBorders>
            <w:shd w:val="clear" w:color="auto" w:fill="auto"/>
            <w:noWrap/>
            <w:vAlign w:val="bottom"/>
            <w:hideMark/>
          </w:tcPr>
          <w:p w14:paraId="2341B69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9.828</w:t>
            </w:r>
          </w:p>
        </w:tc>
      </w:tr>
      <w:tr w:rsidR="00CD529B" w:rsidRPr="00D97729" w14:paraId="2341B6A4" w14:textId="77777777" w:rsidTr="00564572">
        <w:trPr>
          <w:trHeight w:val="268"/>
        </w:trPr>
        <w:tc>
          <w:tcPr>
            <w:tcW w:w="1559" w:type="pct"/>
            <w:tcBorders>
              <w:top w:val="nil"/>
              <w:left w:val="nil"/>
              <w:bottom w:val="nil"/>
              <w:right w:val="nil"/>
            </w:tcBorders>
            <w:shd w:val="clear" w:color="auto" w:fill="auto"/>
            <w:noWrap/>
            <w:vAlign w:val="bottom"/>
            <w:hideMark/>
          </w:tcPr>
          <w:p w14:paraId="2341B697"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en Tarifa establecimiento comercial ($COP Millones)</w:t>
            </w:r>
          </w:p>
        </w:tc>
        <w:tc>
          <w:tcPr>
            <w:tcW w:w="302" w:type="pct"/>
            <w:tcBorders>
              <w:top w:val="nil"/>
              <w:left w:val="nil"/>
              <w:bottom w:val="nil"/>
              <w:right w:val="nil"/>
            </w:tcBorders>
            <w:shd w:val="clear" w:color="auto" w:fill="auto"/>
            <w:noWrap/>
            <w:vAlign w:val="bottom"/>
            <w:hideMark/>
          </w:tcPr>
          <w:p w14:paraId="2341B698"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76" w:type="pct"/>
            <w:tcBorders>
              <w:top w:val="nil"/>
              <w:left w:val="nil"/>
              <w:bottom w:val="nil"/>
              <w:right w:val="nil"/>
            </w:tcBorders>
            <w:shd w:val="clear" w:color="auto" w:fill="auto"/>
            <w:noWrap/>
            <w:vAlign w:val="bottom"/>
            <w:hideMark/>
          </w:tcPr>
          <w:p w14:paraId="2341B69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4.496</w:t>
            </w:r>
          </w:p>
        </w:tc>
        <w:tc>
          <w:tcPr>
            <w:tcW w:w="288" w:type="pct"/>
            <w:tcBorders>
              <w:top w:val="nil"/>
              <w:left w:val="nil"/>
              <w:bottom w:val="nil"/>
              <w:right w:val="nil"/>
            </w:tcBorders>
            <w:shd w:val="clear" w:color="auto" w:fill="auto"/>
            <w:noWrap/>
            <w:vAlign w:val="bottom"/>
            <w:hideMark/>
          </w:tcPr>
          <w:p w14:paraId="2341B69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8.993</w:t>
            </w:r>
          </w:p>
        </w:tc>
        <w:tc>
          <w:tcPr>
            <w:tcW w:w="288" w:type="pct"/>
            <w:tcBorders>
              <w:top w:val="nil"/>
              <w:left w:val="nil"/>
              <w:bottom w:val="nil"/>
              <w:right w:val="nil"/>
            </w:tcBorders>
            <w:shd w:val="clear" w:color="auto" w:fill="auto"/>
            <w:noWrap/>
            <w:vAlign w:val="bottom"/>
            <w:hideMark/>
          </w:tcPr>
          <w:p w14:paraId="2341B69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13.489</w:t>
            </w:r>
          </w:p>
        </w:tc>
        <w:tc>
          <w:tcPr>
            <w:tcW w:w="288" w:type="pct"/>
            <w:tcBorders>
              <w:top w:val="nil"/>
              <w:left w:val="nil"/>
              <w:bottom w:val="nil"/>
              <w:right w:val="nil"/>
            </w:tcBorders>
            <w:shd w:val="clear" w:color="auto" w:fill="auto"/>
            <w:noWrap/>
            <w:vAlign w:val="bottom"/>
            <w:hideMark/>
          </w:tcPr>
          <w:p w14:paraId="2341B69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17.986</w:t>
            </w:r>
          </w:p>
        </w:tc>
        <w:tc>
          <w:tcPr>
            <w:tcW w:w="288" w:type="pct"/>
            <w:tcBorders>
              <w:top w:val="nil"/>
              <w:left w:val="nil"/>
              <w:bottom w:val="nil"/>
              <w:right w:val="nil"/>
            </w:tcBorders>
            <w:shd w:val="clear" w:color="auto" w:fill="auto"/>
            <w:noWrap/>
            <w:vAlign w:val="bottom"/>
            <w:hideMark/>
          </w:tcPr>
          <w:p w14:paraId="2341B69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22.482</w:t>
            </w:r>
          </w:p>
        </w:tc>
        <w:tc>
          <w:tcPr>
            <w:tcW w:w="288" w:type="pct"/>
            <w:tcBorders>
              <w:top w:val="nil"/>
              <w:left w:val="nil"/>
              <w:bottom w:val="nil"/>
              <w:right w:val="nil"/>
            </w:tcBorders>
            <w:shd w:val="clear" w:color="auto" w:fill="auto"/>
            <w:noWrap/>
            <w:vAlign w:val="bottom"/>
            <w:hideMark/>
          </w:tcPr>
          <w:p w14:paraId="2341B69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22.482</w:t>
            </w:r>
          </w:p>
        </w:tc>
        <w:tc>
          <w:tcPr>
            <w:tcW w:w="288" w:type="pct"/>
            <w:tcBorders>
              <w:top w:val="nil"/>
              <w:left w:val="nil"/>
              <w:bottom w:val="nil"/>
              <w:right w:val="nil"/>
            </w:tcBorders>
            <w:shd w:val="clear" w:color="auto" w:fill="auto"/>
            <w:noWrap/>
            <w:vAlign w:val="bottom"/>
            <w:hideMark/>
          </w:tcPr>
          <w:p w14:paraId="2341B69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22.482</w:t>
            </w:r>
          </w:p>
        </w:tc>
        <w:tc>
          <w:tcPr>
            <w:tcW w:w="288" w:type="pct"/>
            <w:tcBorders>
              <w:top w:val="nil"/>
              <w:left w:val="nil"/>
              <w:bottom w:val="nil"/>
              <w:right w:val="nil"/>
            </w:tcBorders>
            <w:shd w:val="clear" w:color="auto" w:fill="auto"/>
            <w:noWrap/>
            <w:vAlign w:val="bottom"/>
            <w:hideMark/>
          </w:tcPr>
          <w:p w14:paraId="2341B6A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22.482</w:t>
            </w:r>
          </w:p>
        </w:tc>
        <w:tc>
          <w:tcPr>
            <w:tcW w:w="288" w:type="pct"/>
            <w:tcBorders>
              <w:top w:val="nil"/>
              <w:left w:val="nil"/>
              <w:bottom w:val="nil"/>
              <w:right w:val="nil"/>
            </w:tcBorders>
            <w:shd w:val="clear" w:color="auto" w:fill="auto"/>
            <w:noWrap/>
            <w:vAlign w:val="bottom"/>
            <w:hideMark/>
          </w:tcPr>
          <w:p w14:paraId="2341B6A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22.482</w:t>
            </w:r>
          </w:p>
        </w:tc>
        <w:tc>
          <w:tcPr>
            <w:tcW w:w="280" w:type="pct"/>
            <w:tcBorders>
              <w:top w:val="nil"/>
              <w:left w:val="nil"/>
              <w:bottom w:val="nil"/>
              <w:right w:val="nil"/>
            </w:tcBorders>
            <w:shd w:val="clear" w:color="auto" w:fill="auto"/>
            <w:noWrap/>
            <w:vAlign w:val="bottom"/>
            <w:hideMark/>
          </w:tcPr>
          <w:p w14:paraId="2341B6A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22.482</w:t>
            </w:r>
          </w:p>
        </w:tc>
        <w:tc>
          <w:tcPr>
            <w:tcW w:w="279" w:type="pct"/>
            <w:tcBorders>
              <w:top w:val="nil"/>
              <w:left w:val="nil"/>
              <w:bottom w:val="nil"/>
              <w:right w:val="nil"/>
            </w:tcBorders>
            <w:shd w:val="clear" w:color="auto" w:fill="auto"/>
            <w:noWrap/>
            <w:vAlign w:val="bottom"/>
            <w:hideMark/>
          </w:tcPr>
          <w:p w14:paraId="2341B6A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22.482</w:t>
            </w:r>
          </w:p>
        </w:tc>
      </w:tr>
      <w:tr w:rsidR="00CD529B" w:rsidRPr="00D97729" w14:paraId="2341B6B2" w14:textId="77777777" w:rsidTr="00564572">
        <w:trPr>
          <w:trHeight w:val="268"/>
        </w:trPr>
        <w:tc>
          <w:tcPr>
            <w:tcW w:w="1559" w:type="pct"/>
            <w:tcBorders>
              <w:top w:val="nil"/>
              <w:left w:val="nil"/>
              <w:bottom w:val="nil"/>
              <w:right w:val="nil"/>
            </w:tcBorders>
            <w:shd w:val="clear" w:color="auto" w:fill="auto"/>
            <w:noWrap/>
            <w:vAlign w:val="bottom"/>
            <w:hideMark/>
          </w:tcPr>
          <w:p w14:paraId="2341B6A5"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Menores contribuciones percibidas por GDC ($COP Millones)</w:t>
            </w:r>
          </w:p>
        </w:tc>
        <w:tc>
          <w:tcPr>
            <w:tcW w:w="302" w:type="pct"/>
            <w:tcBorders>
              <w:top w:val="nil"/>
              <w:left w:val="nil"/>
              <w:bottom w:val="nil"/>
              <w:right w:val="nil"/>
            </w:tcBorders>
            <w:shd w:val="clear" w:color="auto" w:fill="auto"/>
            <w:noWrap/>
            <w:vAlign w:val="bottom"/>
            <w:hideMark/>
          </w:tcPr>
          <w:p w14:paraId="2341B6A6"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76" w:type="pct"/>
            <w:tcBorders>
              <w:top w:val="nil"/>
              <w:left w:val="nil"/>
              <w:bottom w:val="nil"/>
              <w:right w:val="nil"/>
            </w:tcBorders>
            <w:shd w:val="clear" w:color="auto" w:fill="auto"/>
            <w:noWrap/>
            <w:vAlign w:val="bottom"/>
            <w:hideMark/>
          </w:tcPr>
          <w:p w14:paraId="2341B6A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-749</w:t>
            </w:r>
          </w:p>
        </w:tc>
        <w:tc>
          <w:tcPr>
            <w:tcW w:w="288" w:type="pct"/>
            <w:tcBorders>
              <w:top w:val="nil"/>
              <w:left w:val="nil"/>
              <w:bottom w:val="nil"/>
              <w:right w:val="nil"/>
            </w:tcBorders>
            <w:shd w:val="clear" w:color="auto" w:fill="auto"/>
            <w:noWrap/>
            <w:vAlign w:val="bottom"/>
            <w:hideMark/>
          </w:tcPr>
          <w:p w14:paraId="2341B6A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-1.499</w:t>
            </w:r>
          </w:p>
        </w:tc>
        <w:tc>
          <w:tcPr>
            <w:tcW w:w="288" w:type="pct"/>
            <w:tcBorders>
              <w:top w:val="nil"/>
              <w:left w:val="nil"/>
              <w:bottom w:val="nil"/>
              <w:right w:val="nil"/>
            </w:tcBorders>
            <w:shd w:val="clear" w:color="auto" w:fill="auto"/>
            <w:noWrap/>
            <w:vAlign w:val="bottom"/>
            <w:hideMark/>
          </w:tcPr>
          <w:p w14:paraId="2341B6A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-2.248</w:t>
            </w:r>
          </w:p>
        </w:tc>
        <w:tc>
          <w:tcPr>
            <w:tcW w:w="288" w:type="pct"/>
            <w:tcBorders>
              <w:top w:val="nil"/>
              <w:left w:val="nil"/>
              <w:bottom w:val="nil"/>
              <w:right w:val="nil"/>
            </w:tcBorders>
            <w:shd w:val="clear" w:color="auto" w:fill="auto"/>
            <w:noWrap/>
            <w:vAlign w:val="bottom"/>
            <w:hideMark/>
          </w:tcPr>
          <w:p w14:paraId="2341B6A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-2.998</w:t>
            </w:r>
          </w:p>
        </w:tc>
        <w:tc>
          <w:tcPr>
            <w:tcW w:w="288" w:type="pct"/>
            <w:tcBorders>
              <w:top w:val="nil"/>
              <w:left w:val="nil"/>
              <w:bottom w:val="nil"/>
              <w:right w:val="nil"/>
            </w:tcBorders>
            <w:shd w:val="clear" w:color="auto" w:fill="auto"/>
            <w:noWrap/>
            <w:vAlign w:val="bottom"/>
            <w:hideMark/>
          </w:tcPr>
          <w:p w14:paraId="2341B6A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-3.747</w:t>
            </w:r>
          </w:p>
        </w:tc>
        <w:tc>
          <w:tcPr>
            <w:tcW w:w="288" w:type="pct"/>
            <w:tcBorders>
              <w:top w:val="nil"/>
              <w:left w:val="nil"/>
              <w:bottom w:val="nil"/>
              <w:right w:val="nil"/>
            </w:tcBorders>
            <w:shd w:val="clear" w:color="auto" w:fill="auto"/>
            <w:noWrap/>
            <w:vAlign w:val="bottom"/>
            <w:hideMark/>
          </w:tcPr>
          <w:p w14:paraId="2341B6A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-3.747</w:t>
            </w:r>
          </w:p>
        </w:tc>
        <w:tc>
          <w:tcPr>
            <w:tcW w:w="288" w:type="pct"/>
            <w:tcBorders>
              <w:top w:val="nil"/>
              <w:left w:val="nil"/>
              <w:bottom w:val="nil"/>
              <w:right w:val="nil"/>
            </w:tcBorders>
            <w:shd w:val="clear" w:color="auto" w:fill="auto"/>
            <w:noWrap/>
            <w:vAlign w:val="bottom"/>
            <w:hideMark/>
          </w:tcPr>
          <w:p w14:paraId="2341B6A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-3.747</w:t>
            </w:r>
          </w:p>
        </w:tc>
        <w:tc>
          <w:tcPr>
            <w:tcW w:w="288" w:type="pct"/>
            <w:tcBorders>
              <w:top w:val="nil"/>
              <w:left w:val="nil"/>
              <w:bottom w:val="nil"/>
              <w:right w:val="nil"/>
            </w:tcBorders>
            <w:shd w:val="clear" w:color="auto" w:fill="auto"/>
            <w:noWrap/>
            <w:vAlign w:val="bottom"/>
            <w:hideMark/>
          </w:tcPr>
          <w:p w14:paraId="2341B6A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-3.747</w:t>
            </w:r>
          </w:p>
        </w:tc>
        <w:tc>
          <w:tcPr>
            <w:tcW w:w="288" w:type="pct"/>
            <w:tcBorders>
              <w:top w:val="nil"/>
              <w:left w:val="nil"/>
              <w:bottom w:val="nil"/>
              <w:right w:val="nil"/>
            </w:tcBorders>
            <w:shd w:val="clear" w:color="auto" w:fill="auto"/>
            <w:noWrap/>
            <w:vAlign w:val="bottom"/>
            <w:hideMark/>
          </w:tcPr>
          <w:p w14:paraId="2341B6A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-3.747</w:t>
            </w:r>
          </w:p>
        </w:tc>
        <w:tc>
          <w:tcPr>
            <w:tcW w:w="280" w:type="pct"/>
            <w:tcBorders>
              <w:top w:val="nil"/>
              <w:left w:val="nil"/>
              <w:bottom w:val="nil"/>
              <w:right w:val="nil"/>
            </w:tcBorders>
            <w:shd w:val="clear" w:color="auto" w:fill="auto"/>
            <w:noWrap/>
            <w:vAlign w:val="bottom"/>
            <w:hideMark/>
          </w:tcPr>
          <w:p w14:paraId="2341B6B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-3.747</w:t>
            </w:r>
          </w:p>
        </w:tc>
        <w:tc>
          <w:tcPr>
            <w:tcW w:w="279" w:type="pct"/>
            <w:tcBorders>
              <w:top w:val="nil"/>
              <w:left w:val="nil"/>
              <w:bottom w:val="nil"/>
              <w:right w:val="nil"/>
            </w:tcBorders>
            <w:shd w:val="clear" w:color="auto" w:fill="auto"/>
            <w:noWrap/>
            <w:vAlign w:val="bottom"/>
            <w:hideMark/>
          </w:tcPr>
          <w:p w14:paraId="2341B6B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-3.747</w:t>
            </w:r>
          </w:p>
        </w:tc>
      </w:tr>
      <w:tr w:rsidR="00CD529B" w:rsidRPr="00D97729" w14:paraId="2341B6C0" w14:textId="77777777" w:rsidTr="00564572">
        <w:trPr>
          <w:trHeight w:val="268"/>
        </w:trPr>
        <w:tc>
          <w:tcPr>
            <w:tcW w:w="1559" w:type="pct"/>
            <w:tcBorders>
              <w:top w:val="nil"/>
              <w:left w:val="nil"/>
              <w:bottom w:val="nil"/>
              <w:right w:val="nil"/>
            </w:tcBorders>
            <w:shd w:val="clear" w:color="auto" w:fill="auto"/>
            <w:noWrap/>
            <w:vAlign w:val="bottom"/>
            <w:hideMark/>
          </w:tcPr>
          <w:p w14:paraId="2341B6B3"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emisiones de CO2 ($COP Millones)</w:t>
            </w:r>
          </w:p>
        </w:tc>
        <w:tc>
          <w:tcPr>
            <w:tcW w:w="302" w:type="pct"/>
            <w:tcBorders>
              <w:top w:val="nil"/>
              <w:left w:val="nil"/>
              <w:bottom w:val="nil"/>
              <w:right w:val="nil"/>
            </w:tcBorders>
            <w:shd w:val="clear" w:color="auto" w:fill="auto"/>
            <w:noWrap/>
            <w:vAlign w:val="bottom"/>
            <w:hideMark/>
          </w:tcPr>
          <w:p w14:paraId="2341B6B4"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76" w:type="pct"/>
            <w:tcBorders>
              <w:top w:val="nil"/>
              <w:left w:val="nil"/>
              <w:bottom w:val="nil"/>
              <w:right w:val="nil"/>
            </w:tcBorders>
            <w:shd w:val="clear" w:color="auto" w:fill="auto"/>
            <w:noWrap/>
            <w:vAlign w:val="bottom"/>
            <w:hideMark/>
          </w:tcPr>
          <w:p w14:paraId="2341B6B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35</w:t>
            </w:r>
          </w:p>
        </w:tc>
        <w:tc>
          <w:tcPr>
            <w:tcW w:w="288" w:type="pct"/>
            <w:tcBorders>
              <w:top w:val="nil"/>
              <w:left w:val="nil"/>
              <w:bottom w:val="nil"/>
              <w:right w:val="nil"/>
            </w:tcBorders>
            <w:shd w:val="clear" w:color="auto" w:fill="auto"/>
            <w:noWrap/>
            <w:vAlign w:val="bottom"/>
            <w:hideMark/>
          </w:tcPr>
          <w:p w14:paraId="2341B6B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71</w:t>
            </w:r>
          </w:p>
        </w:tc>
        <w:tc>
          <w:tcPr>
            <w:tcW w:w="288" w:type="pct"/>
            <w:tcBorders>
              <w:top w:val="nil"/>
              <w:left w:val="nil"/>
              <w:bottom w:val="nil"/>
              <w:right w:val="nil"/>
            </w:tcBorders>
            <w:shd w:val="clear" w:color="auto" w:fill="auto"/>
            <w:noWrap/>
            <w:vAlign w:val="bottom"/>
            <w:hideMark/>
          </w:tcPr>
          <w:p w14:paraId="2341B6B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106</w:t>
            </w:r>
          </w:p>
        </w:tc>
        <w:tc>
          <w:tcPr>
            <w:tcW w:w="288" w:type="pct"/>
            <w:tcBorders>
              <w:top w:val="nil"/>
              <w:left w:val="nil"/>
              <w:bottom w:val="nil"/>
              <w:right w:val="nil"/>
            </w:tcBorders>
            <w:shd w:val="clear" w:color="auto" w:fill="auto"/>
            <w:noWrap/>
            <w:vAlign w:val="bottom"/>
            <w:hideMark/>
          </w:tcPr>
          <w:p w14:paraId="2341B6B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142</w:t>
            </w:r>
          </w:p>
        </w:tc>
        <w:tc>
          <w:tcPr>
            <w:tcW w:w="288" w:type="pct"/>
            <w:tcBorders>
              <w:top w:val="nil"/>
              <w:left w:val="nil"/>
              <w:bottom w:val="nil"/>
              <w:right w:val="nil"/>
            </w:tcBorders>
            <w:shd w:val="clear" w:color="auto" w:fill="auto"/>
            <w:noWrap/>
            <w:vAlign w:val="bottom"/>
            <w:hideMark/>
          </w:tcPr>
          <w:p w14:paraId="2341B6B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177</w:t>
            </w:r>
          </w:p>
        </w:tc>
        <w:tc>
          <w:tcPr>
            <w:tcW w:w="288" w:type="pct"/>
            <w:tcBorders>
              <w:top w:val="nil"/>
              <w:left w:val="nil"/>
              <w:bottom w:val="nil"/>
              <w:right w:val="nil"/>
            </w:tcBorders>
            <w:shd w:val="clear" w:color="auto" w:fill="auto"/>
            <w:noWrap/>
            <w:vAlign w:val="bottom"/>
            <w:hideMark/>
          </w:tcPr>
          <w:p w14:paraId="2341B6B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177</w:t>
            </w:r>
          </w:p>
        </w:tc>
        <w:tc>
          <w:tcPr>
            <w:tcW w:w="288" w:type="pct"/>
            <w:tcBorders>
              <w:top w:val="nil"/>
              <w:left w:val="nil"/>
              <w:bottom w:val="nil"/>
              <w:right w:val="nil"/>
            </w:tcBorders>
            <w:shd w:val="clear" w:color="auto" w:fill="auto"/>
            <w:noWrap/>
            <w:vAlign w:val="bottom"/>
            <w:hideMark/>
          </w:tcPr>
          <w:p w14:paraId="2341B6B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177</w:t>
            </w:r>
          </w:p>
        </w:tc>
        <w:tc>
          <w:tcPr>
            <w:tcW w:w="288" w:type="pct"/>
            <w:tcBorders>
              <w:top w:val="nil"/>
              <w:left w:val="nil"/>
              <w:bottom w:val="nil"/>
              <w:right w:val="nil"/>
            </w:tcBorders>
            <w:shd w:val="clear" w:color="auto" w:fill="auto"/>
            <w:noWrap/>
            <w:vAlign w:val="bottom"/>
            <w:hideMark/>
          </w:tcPr>
          <w:p w14:paraId="2341B6B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177</w:t>
            </w:r>
          </w:p>
        </w:tc>
        <w:tc>
          <w:tcPr>
            <w:tcW w:w="288" w:type="pct"/>
            <w:tcBorders>
              <w:top w:val="nil"/>
              <w:left w:val="nil"/>
              <w:bottom w:val="nil"/>
              <w:right w:val="nil"/>
            </w:tcBorders>
            <w:shd w:val="clear" w:color="auto" w:fill="auto"/>
            <w:noWrap/>
            <w:vAlign w:val="bottom"/>
            <w:hideMark/>
          </w:tcPr>
          <w:p w14:paraId="2341B6B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177</w:t>
            </w:r>
          </w:p>
        </w:tc>
        <w:tc>
          <w:tcPr>
            <w:tcW w:w="280" w:type="pct"/>
            <w:tcBorders>
              <w:top w:val="nil"/>
              <w:left w:val="nil"/>
              <w:bottom w:val="nil"/>
              <w:right w:val="nil"/>
            </w:tcBorders>
            <w:shd w:val="clear" w:color="auto" w:fill="auto"/>
            <w:noWrap/>
            <w:vAlign w:val="bottom"/>
            <w:hideMark/>
          </w:tcPr>
          <w:p w14:paraId="2341B6B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177</w:t>
            </w:r>
          </w:p>
        </w:tc>
        <w:tc>
          <w:tcPr>
            <w:tcW w:w="279" w:type="pct"/>
            <w:tcBorders>
              <w:top w:val="nil"/>
              <w:left w:val="nil"/>
              <w:bottom w:val="nil"/>
              <w:right w:val="nil"/>
            </w:tcBorders>
            <w:shd w:val="clear" w:color="auto" w:fill="auto"/>
            <w:noWrap/>
            <w:vAlign w:val="bottom"/>
            <w:hideMark/>
          </w:tcPr>
          <w:p w14:paraId="2341B6B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177</w:t>
            </w:r>
          </w:p>
        </w:tc>
      </w:tr>
      <w:tr w:rsidR="00CD529B" w:rsidRPr="00D97729" w14:paraId="2341B6CE" w14:textId="77777777" w:rsidTr="00564572">
        <w:trPr>
          <w:trHeight w:val="268"/>
        </w:trPr>
        <w:tc>
          <w:tcPr>
            <w:tcW w:w="1559" w:type="pct"/>
            <w:tcBorders>
              <w:top w:val="nil"/>
              <w:left w:val="nil"/>
              <w:bottom w:val="single" w:sz="4" w:space="0" w:color="auto"/>
              <w:right w:val="nil"/>
            </w:tcBorders>
            <w:shd w:val="clear" w:color="auto" w:fill="auto"/>
            <w:noWrap/>
            <w:vAlign w:val="bottom"/>
            <w:hideMark/>
          </w:tcPr>
          <w:p w14:paraId="2341B6C1"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planta de generación evitada ($COP Millones)</w:t>
            </w:r>
          </w:p>
        </w:tc>
        <w:tc>
          <w:tcPr>
            <w:tcW w:w="302" w:type="pct"/>
            <w:tcBorders>
              <w:top w:val="nil"/>
              <w:left w:val="nil"/>
              <w:bottom w:val="single" w:sz="4" w:space="0" w:color="auto"/>
              <w:right w:val="nil"/>
            </w:tcBorders>
            <w:shd w:val="clear" w:color="auto" w:fill="auto"/>
            <w:noWrap/>
            <w:vAlign w:val="bottom"/>
            <w:hideMark/>
          </w:tcPr>
          <w:p w14:paraId="2341B6C2"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76" w:type="pct"/>
            <w:tcBorders>
              <w:top w:val="nil"/>
              <w:left w:val="nil"/>
              <w:bottom w:val="single" w:sz="4" w:space="0" w:color="auto"/>
              <w:right w:val="nil"/>
            </w:tcBorders>
            <w:shd w:val="clear" w:color="auto" w:fill="auto"/>
            <w:noWrap/>
            <w:vAlign w:val="bottom"/>
            <w:hideMark/>
          </w:tcPr>
          <w:p w14:paraId="2341B6C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2341B6C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2341B6C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2341B6C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91.463</w:t>
            </w:r>
          </w:p>
        </w:tc>
        <w:tc>
          <w:tcPr>
            <w:tcW w:w="288" w:type="pct"/>
            <w:tcBorders>
              <w:top w:val="nil"/>
              <w:left w:val="nil"/>
              <w:bottom w:val="single" w:sz="4" w:space="0" w:color="auto"/>
              <w:right w:val="nil"/>
            </w:tcBorders>
            <w:shd w:val="clear" w:color="auto" w:fill="auto"/>
            <w:noWrap/>
            <w:vAlign w:val="bottom"/>
            <w:hideMark/>
          </w:tcPr>
          <w:p w14:paraId="2341B6C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2341B6C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2341B6C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2341B6C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single" w:sz="4" w:space="0" w:color="auto"/>
              <w:right w:val="nil"/>
            </w:tcBorders>
            <w:shd w:val="clear" w:color="auto" w:fill="auto"/>
            <w:noWrap/>
            <w:vAlign w:val="bottom"/>
            <w:hideMark/>
          </w:tcPr>
          <w:p w14:paraId="2341B6C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0" w:type="pct"/>
            <w:tcBorders>
              <w:top w:val="nil"/>
              <w:left w:val="nil"/>
              <w:bottom w:val="single" w:sz="4" w:space="0" w:color="auto"/>
              <w:right w:val="nil"/>
            </w:tcBorders>
            <w:shd w:val="clear" w:color="auto" w:fill="auto"/>
            <w:noWrap/>
            <w:vAlign w:val="bottom"/>
            <w:hideMark/>
          </w:tcPr>
          <w:p w14:paraId="2341B6C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single" w:sz="4" w:space="0" w:color="auto"/>
              <w:right w:val="nil"/>
            </w:tcBorders>
            <w:shd w:val="clear" w:color="auto" w:fill="auto"/>
            <w:noWrap/>
            <w:vAlign w:val="bottom"/>
            <w:hideMark/>
          </w:tcPr>
          <w:p w14:paraId="2341B6C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97729" w14:paraId="2341B6DC" w14:textId="77777777" w:rsidTr="00564572">
        <w:trPr>
          <w:trHeight w:val="268"/>
        </w:trPr>
        <w:tc>
          <w:tcPr>
            <w:tcW w:w="1559" w:type="pct"/>
            <w:tcBorders>
              <w:top w:val="nil"/>
              <w:left w:val="nil"/>
              <w:bottom w:val="single" w:sz="4" w:space="0" w:color="auto"/>
              <w:right w:val="nil"/>
            </w:tcBorders>
            <w:shd w:val="clear" w:color="auto" w:fill="auto"/>
            <w:noWrap/>
            <w:vAlign w:val="bottom"/>
            <w:hideMark/>
          </w:tcPr>
          <w:p w14:paraId="2341B6CF" w14:textId="77777777" w:rsidR="00CD529B" w:rsidRPr="00D97729" w:rsidRDefault="00CD529B" w:rsidP="00564572">
            <w:pPr>
              <w:ind w:firstLineChars="100" w:firstLine="150"/>
              <w:rPr>
                <w:rFonts w:ascii="Calibri" w:hAnsi="Calibri" w:cs="Calibri"/>
                <w:color w:val="000000"/>
                <w:sz w:val="15"/>
                <w:szCs w:val="15"/>
                <w:lang w:eastAsia="es-CO"/>
              </w:rPr>
            </w:pPr>
            <w:r w:rsidRPr="00D97729">
              <w:rPr>
                <w:rFonts w:ascii="Calibri" w:hAnsi="Calibri" w:cs="Calibri"/>
                <w:color w:val="000000"/>
                <w:sz w:val="15"/>
                <w:szCs w:val="15"/>
                <w:lang w:eastAsia="es-CO"/>
              </w:rPr>
              <w:t>Total Beneficios ($COP Millones)</w:t>
            </w:r>
          </w:p>
        </w:tc>
        <w:tc>
          <w:tcPr>
            <w:tcW w:w="302" w:type="pct"/>
            <w:tcBorders>
              <w:top w:val="nil"/>
              <w:left w:val="nil"/>
              <w:bottom w:val="single" w:sz="4" w:space="0" w:color="auto"/>
              <w:right w:val="nil"/>
            </w:tcBorders>
            <w:shd w:val="clear" w:color="auto" w:fill="auto"/>
            <w:noWrap/>
            <w:vAlign w:val="bottom"/>
            <w:hideMark/>
          </w:tcPr>
          <w:p w14:paraId="2341B6D0" w14:textId="77777777" w:rsidR="00CD529B" w:rsidRPr="00D97729" w:rsidRDefault="00CD529B" w:rsidP="00564572">
            <w:pPr>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76" w:type="pct"/>
            <w:tcBorders>
              <w:top w:val="nil"/>
              <w:left w:val="nil"/>
              <w:bottom w:val="single" w:sz="4" w:space="0" w:color="auto"/>
              <w:right w:val="nil"/>
            </w:tcBorders>
            <w:shd w:val="clear" w:color="auto" w:fill="auto"/>
            <w:noWrap/>
            <w:vAlign w:val="bottom"/>
            <w:hideMark/>
          </w:tcPr>
          <w:p w14:paraId="2341B6D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3.782</w:t>
            </w:r>
          </w:p>
        </w:tc>
        <w:tc>
          <w:tcPr>
            <w:tcW w:w="288" w:type="pct"/>
            <w:tcBorders>
              <w:top w:val="nil"/>
              <w:left w:val="nil"/>
              <w:bottom w:val="single" w:sz="4" w:space="0" w:color="auto"/>
              <w:right w:val="nil"/>
            </w:tcBorders>
            <w:shd w:val="clear" w:color="auto" w:fill="auto"/>
            <w:noWrap/>
            <w:vAlign w:val="bottom"/>
            <w:hideMark/>
          </w:tcPr>
          <w:p w14:paraId="2341B6D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7.565</w:t>
            </w:r>
          </w:p>
        </w:tc>
        <w:tc>
          <w:tcPr>
            <w:tcW w:w="288" w:type="pct"/>
            <w:tcBorders>
              <w:top w:val="nil"/>
              <w:left w:val="nil"/>
              <w:bottom w:val="single" w:sz="4" w:space="0" w:color="auto"/>
              <w:right w:val="nil"/>
            </w:tcBorders>
            <w:shd w:val="clear" w:color="auto" w:fill="auto"/>
            <w:noWrap/>
            <w:vAlign w:val="bottom"/>
            <w:hideMark/>
          </w:tcPr>
          <w:p w14:paraId="2341B6D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11.347</w:t>
            </w:r>
          </w:p>
        </w:tc>
        <w:tc>
          <w:tcPr>
            <w:tcW w:w="288" w:type="pct"/>
            <w:tcBorders>
              <w:top w:val="nil"/>
              <w:left w:val="nil"/>
              <w:bottom w:val="single" w:sz="4" w:space="0" w:color="auto"/>
              <w:right w:val="nil"/>
            </w:tcBorders>
            <w:shd w:val="clear" w:color="auto" w:fill="auto"/>
            <w:noWrap/>
            <w:vAlign w:val="bottom"/>
            <w:hideMark/>
          </w:tcPr>
          <w:p w14:paraId="2341B6D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106.593</w:t>
            </w:r>
          </w:p>
        </w:tc>
        <w:tc>
          <w:tcPr>
            <w:tcW w:w="288" w:type="pct"/>
            <w:tcBorders>
              <w:top w:val="nil"/>
              <w:left w:val="nil"/>
              <w:bottom w:val="single" w:sz="4" w:space="0" w:color="auto"/>
              <w:right w:val="nil"/>
            </w:tcBorders>
            <w:shd w:val="clear" w:color="auto" w:fill="auto"/>
            <w:noWrap/>
            <w:vAlign w:val="bottom"/>
            <w:hideMark/>
          </w:tcPr>
          <w:p w14:paraId="2341B6D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2341B6D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2341B6D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2341B6D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2341B6D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0" w:type="pct"/>
            <w:tcBorders>
              <w:top w:val="nil"/>
              <w:left w:val="nil"/>
              <w:bottom w:val="single" w:sz="4" w:space="0" w:color="auto"/>
              <w:right w:val="nil"/>
            </w:tcBorders>
            <w:shd w:val="clear" w:color="auto" w:fill="auto"/>
            <w:noWrap/>
            <w:vAlign w:val="bottom"/>
            <w:hideMark/>
          </w:tcPr>
          <w:p w14:paraId="2341B6D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79" w:type="pct"/>
            <w:tcBorders>
              <w:top w:val="nil"/>
              <w:left w:val="nil"/>
              <w:bottom w:val="single" w:sz="4" w:space="0" w:color="auto"/>
              <w:right w:val="nil"/>
            </w:tcBorders>
            <w:shd w:val="clear" w:color="auto" w:fill="auto"/>
            <w:noWrap/>
            <w:vAlign w:val="bottom"/>
            <w:hideMark/>
          </w:tcPr>
          <w:p w14:paraId="2341B6D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18.912</w:t>
            </w:r>
          </w:p>
        </w:tc>
      </w:tr>
      <w:tr w:rsidR="00CD529B" w:rsidRPr="00D97729" w14:paraId="2341B6EA" w14:textId="77777777" w:rsidTr="00564572">
        <w:trPr>
          <w:trHeight w:val="268"/>
        </w:trPr>
        <w:tc>
          <w:tcPr>
            <w:tcW w:w="1559" w:type="pct"/>
            <w:tcBorders>
              <w:top w:val="nil"/>
              <w:left w:val="nil"/>
              <w:bottom w:val="nil"/>
              <w:right w:val="nil"/>
            </w:tcBorders>
            <w:shd w:val="clear" w:color="auto" w:fill="auto"/>
            <w:noWrap/>
            <w:vAlign w:val="bottom"/>
            <w:hideMark/>
          </w:tcPr>
          <w:p w14:paraId="2341B6DD" w14:textId="77777777" w:rsidR="00CD529B" w:rsidRPr="00D97729" w:rsidRDefault="00CD529B" w:rsidP="00564572">
            <w:pPr>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Inversión y Costos</w:t>
            </w:r>
          </w:p>
        </w:tc>
        <w:tc>
          <w:tcPr>
            <w:tcW w:w="302" w:type="pct"/>
            <w:tcBorders>
              <w:top w:val="nil"/>
              <w:left w:val="nil"/>
              <w:bottom w:val="nil"/>
              <w:right w:val="nil"/>
            </w:tcBorders>
            <w:shd w:val="clear" w:color="auto" w:fill="auto"/>
            <w:noWrap/>
            <w:vAlign w:val="bottom"/>
            <w:hideMark/>
          </w:tcPr>
          <w:p w14:paraId="2341B6DE" w14:textId="77777777" w:rsidR="00CD529B" w:rsidRPr="00D97729" w:rsidRDefault="00CD529B" w:rsidP="00564572">
            <w:pPr>
              <w:rPr>
                <w:rFonts w:ascii="Calibri" w:hAnsi="Calibri" w:cs="Calibri"/>
                <w:b/>
                <w:bCs/>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2341B6DF"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E0"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E1"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E2"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E3"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E4"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E5"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E6" w14:textId="77777777" w:rsidR="00CD529B" w:rsidRPr="000D0E52"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6E7" w14:textId="77777777" w:rsidR="00CD529B" w:rsidRPr="000D0E52"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6E8" w14:textId="77777777" w:rsidR="00CD529B" w:rsidRPr="000D0E52"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6E9" w14:textId="77777777" w:rsidR="00CD529B" w:rsidRPr="000D0E52" w:rsidRDefault="00CD529B" w:rsidP="00564572">
            <w:pPr>
              <w:rPr>
                <w:sz w:val="15"/>
                <w:szCs w:val="15"/>
                <w:lang w:eastAsia="es-CO"/>
              </w:rPr>
            </w:pPr>
          </w:p>
        </w:tc>
      </w:tr>
      <w:tr w:rsidR="00CD529B" w:rsidRPr="00D97729" w14:paraId="2341B6F8" w14:textId="77777777" w:rsidTr="00564572">
        <w:trPr>
          <w:trHeight w:val="268"/>
        </w:trPr>
        <w:tc>
          <w:tcPr>
            <w:tcW w:w="1559" w:type="pct"/>
            <w:tcBorders>
              <w:top w:val="nil"/>
              <w:left w:val="nil"/>
              <w:bottom w:val="nil"/>
              <w:right w:val="nil"/>
            </w:tcBorders>
            <w:shd w:val="clear" w:color="auto" w:fill="auto"/>
            <w:noWrap/>
            <w:vAlign w:val="bottom"/>
            <w:hideMark/>
          </w:tcPr>
          <w:p w14:paraId="2341B6EB" w14:textId="77777777" w:rsidR="00CD529B" w:rsidRPr="00D97729" w:rsidRDefault="00CD529B" w:rsidP="00564572">
            <w:pPr>
              <w:ind w:firstLineChars="100" w:firstLine="150"/>
              <w:rPr>
                <w:rFonts w:ascii="Calibri" w:hAnsi="Calibri" w:cs="Calibri"/>
                <w:color w:val="000000"/>
                <w:sz w:val="15"/>
                <w:szCs w:val="15"/>
                <w:lang w:eastAsia="es-CO"/>
              </w:rPr>
            </w:pPr>
            <w:r w:rsidRPr="00D97729">
              <w:rPr>
                <w:rFonts w:ascii="Calibri" w:hAnsi="Calibri" w:cs="Calibri"/>
                <w:color w:val="000000"/>
                <w:sz w:val="15"/>
                <w:szCs w:val="15"/>
                <w:lang w:eastAsia="es-CO"/>
              </w:rPr>
              <w:t>Inversión en iluminación eficiente</w:t>
            </w:r>
          </w:p>
        </w:tc>
        <w:tc>
          <w:tcPr>
            <w:tcW w:w="302" w:type="pct"/>
            <w:tcBorders>
              <w:top w:val="nil"/>
              <w:left w:val="nil"/>
              <w:bottom w:val="nil"/>
              <w:right w:val="nil"/>
            </w:tcBorders>
            <w:shd w:val="clear" w:color="auto" w:fill="auto"/>
            <w:noWrap/>
            <w:vAlign w:val="bottom"/>
            <w:hideMark/>
          </w:tcPr>
          <w:p w14:paraId="2341B6EC" w14:textId="77777777" w:rsidR="00CD529B" w:rsidRPr="00D97729" w:rsidRDefault="00CD529B" w:rsidP="00564572">
            <w:pPr>
              <w:ind w:firstLineChars="100" w:firstLine="150"/>
              <w:rPr>
                <w:rFonts w:ascii="Calibri" w:hAnsi="Calibri" w:cs="Calibri"/>
                <w:color w:val="000000"/>
                <w:sz w:val="15"/>
                <w:szCs w:val="15"/>
                <w:lang w:eastAsia="es-CO"/>
              </w:rPr>
            </w:pPr>
          </w:p>
        </w:tc>
        <w:tc>
          <w:tcPr>
            <w:tcW w:w="276" w:type="pct"/>
            <w:tcBorders>
              <w:top w:val="nil"/>
              <w:left w:val="nil"/>
              <w:bottom w:val="nil"/>
              <w:right w:val="nil"/>
            </w:tcBorders>
            <w:shd w:val="clear" w:color="auto" w:fill="auto"/>
            <w:noWrap/>
            <w:vAlign w:val="bottom"/>
            <w:hideMark/>
          </w:tcPr>
          <w:p w14:paraId="2341B6E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nil"/>
              <w:left w:val="nil"/>
              <w:bottom w:val="nil"/>
              <w:right w:val="nil"/>
            </w:tcBorders>
            <w:shd w:val="clear" w:color="auto" w:fill="auto"/>
            <w:noWrap/>
            <w:vAlign w:val="bottom"/>
            <w:hideMark/>
          </w:tcPr>
          <w:p w14:paraId="2341B6E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nil"/>
              <w:left w:val="nil"/>
              <w:bottom w:val="nil"/>
              <w:right w:val="nil"/>
            </w:tcBorders>
            <w:shd w:val="clear" w:color="auto" w:fill="auto"/>
            <w:noWrap/>
            <w:vAlign w:val="bottom"/>
            <w:hideMark/>
          </w:tcPr>
          <w:p w14:paraId="2341B6E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nil"/>
              <w:left w:val="nil"/>
              <w:bottom w:val="nil"/>
              <w:right w:val="nil"/>
            </w:tcBorders>
            <w:shd w:val="clear" w:color="auto" w:fill="auto"/>
            <w:noWrap/>
            <w:vAlign w:val="bottom"/>
            <w:hideMark/>
          </w:tcPr>
          <w:p w14:paraId="2341B6F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nil"/>
              <w:left w:val="nil"/>
              <w:bottom w:val="nil"/>
              <w:right w:val="nil"/>
            </w:tcBorders>
            <w:shd w:val="clear" w:color="auto" w:fill="auto"/>
            <w:noWrap/>
            <w:vAlign w:val="bottom"/>
            <w:hideMark/>
          </w:tcPr>
          <w:p w14:paraId="2341B6F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nil"/>
              <w:left w:val="nil"/>
              <w:bottom w:val="nil"/>
              <w:right w:val="nil"/>
            </w:tcBorders>
            <w:shd w:val="clear" w:color="auto" w:fill="auto"/>
            <w:noWrap/>
            <w:vAlign w:val="bottom"/>
            <w:hideMark/>
          </w:tcPr>
          <w:p w14:paraId="2341B6F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2341B6F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2341B6F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nil"/>
              <w:left w:val="nil"/>
              <w:bottom w:val="nil"/>
              <w:right w:val="nil"/>
            </w:tcBorders>
            <w:shd w:val="clear" w:color="auto" w:fill="auto"/>
            <w:noWrap/>
            <w:vAlign w:val="bottom"/>
            <w:hideMark/>
          </w:tcPr>
          <w:p w14:paraId="2341B6F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0" w:type="pct"/>
            <w:tcBorders>
              <w:top w:val="nil"/>
              <w:left w:val="nil"/>
              <w:bottom w:val="nil"/>
              <w:right w:val="nil"/>
            </w:tcBorders>
            <w:shd w:val="clear" w:color="auto" w:fill="auto"/>
            <w:noWrap/>
            <w:vAlign w:val="bottom"/>
            <w:hideMark/>
          </w:tcPr>
          <w:p w14:paraId="2341B6F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nil"/>
              <w:right w:val="nil"/>
            </w:tcBorders>
            <w:shd w:val="clear" w:color="auto" w:fill="auto"/>
            <w:noWrap/>
            <w:vAlign w:val="bottom"/>
            <w:hideMark/>
          </w:tcPr>
          <w:p w14:paraId="2341B6F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97729" w14:paraId="2341B706" w14:textId="77777777" w:rsidTr="00564572">
        <w:trPr>
          <w:trHeight w:val="268"/>
        </w:trPr>
        <w:tc>
          <w:tcPr>
            <w:tcW w:w="1559" w:type="pct"/>
            <w:tcBorders>
              <w:top w:val="single" w:sz="4" w:space="0" w:color="auto"/>
              <w:left w:val="nil"/>
              <w:bottom w:val="single" w:sz="4" w:space="0" w:color="auto"/>
              <w:right w:val="nil"/>
            </w:tcBorders>
            <w:shd w:val="clear" w:color="auto" w:fill="auto"/>
            <w:noWrap/>
            <w:vAlign w:val="bottom"/>
            <w:hideMark/>
          </w:tcPr>
          <w:p w14:paraId="2341B6F9"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Total Inversión y Costos ($COP Millones)</w:t>
            </w:r>
          </w:p>
        </w:tc>
        <w:tc>
          <w:tcPr>
            <w:tcW w:w="302" w:type="pct"/>
            <w:tcBorders>
              <w:top w:val="single" w:sz="4" w:space="0" w:color="auto"/>
              <w:left w:val="nil"/>
              <w:bottom w:val="single" w:sz="4" w:space="0" w:color="auto"/>
              <w:right w:val="nil"/>
            </w:tcBorders>
            <w:shd w:val="clear" w:color="auto" w:fill="auto"/>
            <w:noWrap/>
            <w:vAlign w:val="bottom"/>
            <w:hideMark/>
          </w:tcPr>
          <w:p w14:paraId="2341B6FA"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76" w:type="pct"/>
            <w:tcBorders>
              <w:top w:val="single" w:sz="4" w:space="0" w:color="auto"/>
              <w:left w:val="nil"/>
              <w:bottom w:val="single" w:sz="4" w:space="0" w:color="auto"/>
              <w:right w:val="nil"/>
            </w:tcBorders>
            <w:shd w:val="clear" w:color="auto" w:fill="auto"/>
            <w:noWrap/>
            <w:vAlign w:val="bottom"/>
            <w:hideMark/>
          </w:tcPr>
          <w:p w14:paraId="2341B6F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single" w:sz="4" w:space="0" w:color="auto"/>
              <w:left w:val="nil"/>
              <w:bottom w:val="single" w:sz="4" w:space="0" w:color="auto"/>
              <w:right w:val="nil"/>
            </w:tcBorders>
            <w:shd w:val="clear" w:color="auto" w:fill="auto"/>
            <w:noWrap/>
            <w:vAlign w:val="bottom"/>
            <w:hideMark/>
          </w:tcPr>
          <w:p w14:paraId="2341B6F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single" w:sz="4" w:space="0" w:color="auto"/>
              <w:left w:val="nil"/>
              <w:bottom w:val="single" w:sz="4" w:space="0" w:color="auto"/>
              <w:right w:val="nil"/>
            </w:tcBorders>
            <w:shd w:val="clear" w:color="auto" w:fill="auto"/>
            <w:noWrap/>
            <w:vAlign w:val="bottom"/>
            <w:hideMark/>
          </w:tcPr>
          <w:p w14:paraId="2341B6F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single" w:sz="4" w:space="0" w:color="auto"/>
              <w:left w:val="nil"/>
              <w:bottom w:val="single" w:sz="4" w:space="0" w:color="auto"/>
              <w:right w:val="nil"/>
            </w:tcBorders>
            <w:shd w:val="clear" w:color="auto" w:fill="auto"/>
            <w:noWrap/>
            <w:vAlign w:val="bottom"/>
            <w:hideMark/>
          </w:tcPr>
          <w:p w14:paraId="2341B6F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single" w:sz="4" w:space="0" w:color="auto"/>
              <w:left w:val="nil"/>
              <w:bottom w:val="single" w:sz="4" w:space="0" w:color="auto"/>
              <w:right w:val="nil"/>
            </w:tcBorders>
            <w:shd w:val="clear" w:color="auto" w:fill="auto"/>
            <w:noWrap/>
            <w:vAlign w:val="bottom"/>
            <w:hideMark/>
          </w:tcPr>
          <w:p w14:paraId="2341B6F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1.826</w:t>
            </w:r>
          </w:p>
        </w:tc>
        <w:tc>
          <w:tcPr>
            <w:tcW w:w="288" w:type="pct"/>
            <w:tcBorders>
              <w:top w:val="single" w:sz="4" w:space="0" w:color="auto"/>
              <w:left w:val="nil"/>
              <w:bottom w:val="single" w:sz="4" w:space="0" w:color="auto"/>
              <w:right w:val="nil"/>
            </w:tcBorders>
            <w:shd w:val="clear" w:color="auto" w:fill="auto"/>
            <w:noWrap/>
            <w:vAlign w:val="bottom"/>
            <w:hideMark/>
          </w:tcPr>
          <w:p w14:paraId="2341B70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single" w:sz="4" w:space="0" w:color="auto"/>
              <w:left w:val="nil"/>
              <w:bottom w:val="single" w:sz="4" w:space="0" w:color="auto"/>
              <w:right w:val="nil"/>
            </w:tcBorders>
            <w:shd w:val="clear" w:color="auto" w:fill="auto"/>
            <w:noWrap/>
            <w:vAlign w:val="bottom"/>
            <w:hideMark/>
          </w:tcPr>
          <w:p w14:paraId="2341B70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single" w:sz="4" w:space="0" w:color="auto"/>
              <w:left w:val="nil"/>
              <w:bottom w:val="single" w:sz="4" w:space="0" w:color="auto"/>
              <w:right w:val="nil"/>
            </w:tcBorders>
            <w:shd w:val="clear" w:color="auto" w:fill="auto"/>
            <w:noWrap/>
            <w:vAlign w:val="bottom"/>
            <w:hideMark/>
          </w:tcPr>
          <w:p w14:paraId="2341B70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8" w:type="pct"/>
            <w:tcBorders>
              <w:top w:val="single" w:sz="4" w:space="0" w:color="auto"/>
              <w:left w:val="nil"/>
              <w:bottom w:val="single" w:sz="4" w:space="0" w:color="auto"/>
              <w:right w:val="nil"/>
            </w:tcBorders>
            <w:shd w:val="clear" w:color="auto" w:fill="auto"/>
            <w:noWrap/>
            <w:vAlign w:val="bottom"/>
            <w:hideMark/>
          </w:tcPr>
          <w:p w14:paraId="2341B70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0" w:type="pct"/>
            <w:tcBorders>
              <w:top w:val="single" w:sz="4" w:space="0" w:color="auto"/>
              <w:left w:val="nil"/>
              <w:bottom w:val="single" w:sz="4" w:space="0" w:color="auto"/>
              <w:right w:val="nil"/>
            </w:tcBorders>
            <w:shd w:val="clear" w:color="auto" w:fill="auto"/>
            <w:noWrap/>
            <w:vAlign w:val="bottom"/>
            <w:hideMark/>
          </w:tcPr>
          <w:p w14:paraId="2341B70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single" w:sz="4" w:space="0" w:color="auto"/>
              <w:left w:val="nil"/>
              <w:bottom w:val="single" w:sz="4" w:space="0" w:color="auto"/>
              <w:right w:val="nil"/>
            </w:tcBorders>
            <w:shd w:val="clear" w:color="auto" w:fill="auto"/>
            <w:noWrap/>
            <w:vAlign w:val="bottom"/>
            <w:hideMark/>
          </w:tcPr>
          <w:p w14:paraId="2341B70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97729" w14:paraId="2341B714" w14:textId="77777777" w:rsidTr="00564572">
        <w:trPr>
          <w:trHeight w:val="268"/>
        </w:trPr>
        <w:tc>
          <w:tcPr>
            <w:tcW w:w="1559" w:type="pct"/>
            <w:tcBorders>
              <w:top w:val="nil"/>
              <w:left w:val="nil"/>
              <w:bottom w:val="single" w:sz="4" w:space="0" w:color="auto"/>
              <w:right w:val="nil"/>
            </w:tcBorders>
            <w:shd w:val="clear" w:color="auto" w:fill="auto"/>
            <w:noWrap/>
            <w:vAlign w:val="bottom"/>
            <w:hideMark/>
          </w:tcPr>
          <w:p w14:paraId="2341B707" w14:textId="77777777" w:rsidR="00CD529B" w:rsidRPr="00D97729" w:rsidRDefault="00CD529B" w:rsidP="00564572">
            <w:pPr>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Flujo Neto</w:t>
            </w:r>
          </w:p>
        </w:tc>
        <w:tc>
          <w:tcPr>
            <w:tcW w:w="302" w:type="pct"/>
            <w:tcBorders>
              <w:top w:val="nil"/>
              <w:left w:val="nil"/>
              <w:bottom w:val="single" w:sz="4" w:space="0" w:color="auto"/>
              <w:right w:val="nil"/>
            </w:tcBorders>
            <w:shd w:val="clear" w:color="auto" w:fill="auto"/>
            <w:noWrap/>
            <w:vAlign w:val="bottom"/>
            <w:hideMark/>
          </w:tcPr>
          <w:p w14:paraId="2341B708" w14:textId="77777777" w:rsidR="00CD529B" w:rsidRPr="00D97729" w:rsidRDefault="00CD529B" w:rsidP="00564572">
            <w:pPr>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76" w:type="pct"/>
            <w:tcBorders>
              <w:top w:val="nil"/>
              <w:left w:val="nil"/>
              <w:bottom w:val="single" w:sz="4" w:space="0" w:color="auto"/>
              <w:right w:val="nil"/>
            </w:tcBorders>
            <w:shd w:val="clear" w:color="auto" w:fill="auto"/>
            <w:noWrap/>
            <w:vAlign w:val="bottom"/>
            <w:hideMark/>
          </w:tcPr>
          <w:p w14:paraId="2341B70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1.956</w:t>
            </w:r>
          </w:p>
        </w:tc>
        <w:tc>
          <w:tcPr>
            <w:tcW w:w="288" w:type="pct"/>
            <w:tcBorders>
              <w:top w:val="nil"/>
              <w:left w:val="nil"/>
              <w:bottom w:val="single" w:sz="4" w:space="0" w:color="auto"/>
              <w:right w:val="nil"/>
            </w:tcBorders>
            <w:shd w:val="clear" w:color="auto" w:fill="auto"/>
            <w:noWrap/>
            <w:vAlign w:val="bottom"/>
            <w:hideMark/>
          </w:tcPr>
          <w:p w14:paraId="2341B70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5.739</w:t>
            </w:r>
          </w:p>
        </w:tc>
        <w:tc>
          <w:tcPr>
            <w:tcW w:w="288" w:type="pct"/>
            <w:tcBorders>
              <w:top w:val="nil"/>
              <w:left w:val="nil"/>
              <w:bottom w:val="single" w:sz="4" w:space="0" w:color="auto"/>
              <w:right w:val="nil"/>
            </w:tcBorders>
            <w:shd w:val="clear" w:color="auto" w:fill="auto"/>
            <w:noWrap/>
            <w:vAlign w:val="bottom"/>
            <w:hideMark/>
          </w:tcPr>
          <w:p w14:paraId="2341B70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9.521</w:t>
            </w:r>
          </w:p>
        </w:tc>
        <w:tc>
          <w:tcPr>
            <w:tcW w:w="288" w:type="pct"/>
            <w:tcBorders>
              <w:top w:val="nil"/>
              <w:left w:val="nil"/>
              <w:bottom w:val="single" w:sz="4" w:space="0" w:color="auto"/>
              <w:right w:val="nil"/>
            </w:tcBorders>
            <w:shd w:val="clear" w:color="auto" w:fill="auto"/>
            <w:noWrap/>
            <w:vAlign w:val="bottom"/>
            <w:hideMark/>
          </w:tcPr>
          <w:p w14:paraId="2341B70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104.767</w:t>
            </w:r>
          </w:p>
        </w:tc>
        <w:tc>
          <w:tcPr>
            <w:tcW w:w="288" w:type="pct"/>
            <w:tcBorders>
              <w:top w:val="nil"/>
              <w:left w:val="nil"/>
              <w:bottom w:val="single" w:sz="4" w:space="0" w:color="auto"/>
              <w:right w:val="nil"/>
            </w:tcBorders>
            <w:shd w:val="clear" w:color="auto" w:fill="auto"/>
            <w:noWrap/>
            <w:vAlign w:val="bottom"/>
            <w:hideMark/>
          </w:tcPr>
          <w:p w14:paraId="2341B70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17.086</w:t>
            </w:r>
          </w:p>
        </w:tc>
        <w:tc>
          <w:tcPr>
            <w:tcW w:w="288" w:type="pct"/>
            <w:tcBorders>
              <w:top w:val="nil"/>
              <w:left w:val="nil"/>
              <w:bottom w:val="single" w:sz="4" w:space="0" w:color="auto"/>
              <w:right w:val="nil"/>
            </w:tcBorders>
            <w:shd w:val="clear" w:color="auto" w:fill="auto"/>
            <w:noWrap/>
            <w:vAlign w:val="bottom"/>
            <w:hideMark/>
          </w:tcPr>
          <w:p w14:paraId="2341B70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2341B70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2341B71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8" w:type="pct"/>
            <w:tcBorders>
              <w:top w:val="nil"/>
              <w:left w:val="nil"/>
              <w:bottom w:val="single" w:sz="4" w:space="0" w:color="auto"/>
              <w:right w:val="nil"/>
            </w:tcBorders>
            <w:shd w:val="clear" w:color="auto" w:fill="auto"/>
            <w:noWrap/>
            <w:vAlign w:val="bottom"/>
            <w:hideMark/>
          </w:tcPr>
          <w:p w14:paraId="2341B71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80" w:type="pct"/>
            <w:tcBorders>
              <w:top w:val="nil"/>
              <w:left w:val="nil"/>
              <w:bottom w:val="single" w:sz="4" w:space="0" w:color="auto"/>
              <w:right w:val="nil"/>
            </w:tcBorders>
            <w:shd w:val="clear" w:color="auto" w:fill="auto"/>
            <w:noWrap/>
            <w:vAlign w:val="bottom"/>
            <w:hideMark/>
          </w:tcPr>
          <w:p w14:paraId="2341B71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18.912</w:t>
            </w:r>
          </w:p>
        </w:tc>
        <w:tc>
          <w:tcPr>
            <w:tcW w:w="279" w:type="pct"/>
            <w:tcBorders>
              <w:top w:val="nil"/>
              <w:left w:val="nil"/>
              <w:bottom w:val="single" w:sz="4" w:space="0" w:color="auto"/>
              <w:right w:val="nil"/>
            </w:tcBorders>
            <w:shd w:val="clear" w:color="auto" w:fill="auto"/>
            <w:noWrap/>
            <w:vAlign w:val="bottom"/>
            <w:hideMark/>
          </w:tcPr>
          <w:p w14:paraId="2341B71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18.912</w:t>
            </w:r>
          </w:p>
        </w:tc>
      </w:tr>
      <w:tr w:rsidR="00CD529B" w:rsidRPr="00D97729" w14:paraId="2341B722" w14:textId="77777777" w:rsidTr="00564572">
        <w:trPr>
          <w:trHeight w:val="268"/>
        </w:trPr>
        <w:tc>
          <w:tcPr>
            <w:tcW w:w="1559" w:type="pct"/>
            <w:tcBorders>
              <w:top w:val="nil"/>
              <w:left w:val="nil"/>
              <w:bottom w:val="nil"/>
              <w:right w:val="nil"/>
            </w:tcBorders>
            <w:shd w:val="clear" w:color="auto" w:fill="auto"/>
            <w:noWrap/>
            <w:vAlign w:val="bottom"/>
            <w:hideMark/>
          </w:tcPr>
          <w:p w14:paraId="2341B715" w14:textId="77777777" w:rsidR="00CD529B" w:rsidRPr="00D97729" w:rsidRDefault="00CD529B" w:rsidP="00564572">
            <w:pPr>
              <w:jc w:val="right"/>
              <w:rPr>
                <w:rFonts w:ascii="Calibri" w:hAnsi="Calibri" w:cs="Calibri"/>
                <w:color w:val="000000"/>
                <w:sz w:val="15"/>
                <w:szCs w:val="15"/>
                <w:lang w:eastAsia="es-CO"/>
              </w:rPr>
            </w:pPr>
          </w:p>
        </w:tc>
        <w:tc>
          <w:tcPr>
            <w:tcW w:w="302" w:type="pct"/>
            <w:tcBorders>
              <w:top w:val="nil"/>
              <w:left w:val="nil"/>
              <w:bottom w:val="nil"/>
              <w:right w:val="nil"/>
            </w:tcBorders>
            <w:shd w:val="clear" w:color="auto" w:fill="auto"/>
            <w:noWrap/>
            <w:vAlign w:val="bottom"/>
            <w:hideMark/>
          </w:tcPr>
          <w:p w14:paraId="2341B716" w14:textId="77777777" w:rsidR="00CD529B" w:rsidRPr="00D97729" w:rsidRDefault="00CD529B" w:rsidP="00564572">
            <w:pPr>
              <w:rPr>
                <w:sz w:val="15"/>
                <w:szCs w:val="15"/>
                <w:lang w:eastAsia="es-CO"/>
              </w:rPr>
            </w:pPr>
          </w:p>
        </w:tc>
        <w:tc>
          <w:tcPr>
            <w:tcW w:w="276" w:type="pct"/>
            <w:tcBorders>
              <w:top w:val="nil"/>
              <w:left w:val="nil"/>
              <w:bottom w:val="nil"/>
              <w:right w:val="nil"/>
            </w:tcBorders>
            <w:shd w:val="clear" w:color="auto" w:fill="auto"/>
            <w:noWrap/>
            <w:vAlign w:val="bottom"/>
            <w:hideMark/>
          </w:tcPr>
          <w:p w14:paraId="2341B717"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18"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19"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1A"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1B"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1C"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1D"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1E"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1F" w14:textId="77777777" w:rsidR="00CD529B" w:rsidRPr="00D97729"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720"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721" w14:textId="77777777" w:rsidR="00CD529B" w:rsidRPr="00D97729" w:rsidRDefault="00CD529B" w:rsidP="00564572">
            <w:pPr>
              <w:rPr>
                <w:sz w:val="15"/>
                <w:szCs w:val="15"/>
                <w:lang w:eastAsia="es-CO"/>
              </w:rPr>
            </w:pPr>
          </w:p>
        </w:tc>
      </w:tr>
      <w:tr w:rsidR="00CD529B" w:rsidRPr="00D97729" w14:paraId="2341B730" w14:textId="77777777" w:rsidTr="00564572">
        <w:trPr>
          <w:trHeight w:val="268"/>
        </w:trPr>
        <w:tc>
          <w:tcPr>
            <w:tcW w:w="1559" w:type="pct"/>
            <w:tcBorders>
              <w:top w:val="nil"/>
              <w:left w:val="nil"/>
              <w:bottom w:val="nil"/>
              <w:right w:val="nil"/>
            </w:tcBorders>
            <w:shd w:val="clear" w:color="auto" w:fill="auto"/>
            <w:noWrap/>
            <w:vAlign w:val="bottom"/>
            <w:hideMark/>
          </w:tcPr>
          <w:p w14:paraId="2341B723" w14:textId="77777777" w:rsidR="00CD529B" w:rsidRPr="00D97729" w:rsidRDefault="00CD529B" w:rsidP="00564572">
            <w:pPr>
              <w:rPr>
                <w:sz w:val="15"/>
                <w:szCs w:val="15"/>
                <w:lang w:eastAsia="es-CO"/>
              </w:rPr>
            </w:pPr>
          </w:p>
        </w:tc>
        <w:tc>
          <w:tcPr>
            <w:tcW w:w="302" w:type="pct"/>
            <w:tcBorders>
              <w:top w:val="single" w:sz="4" w:space="0" w:color="FFFFFF"/>
              <w:left w:val="nil"/>
              <w:bottom w:val="single" w:sz="4" w:space="0" w:color="auto"/>
              <w:right w:val="single" w:sz="4" w:space="0" w:color="FFFFFF"/>
            </w:tcBorders>
            <w:shd w:val="clear" w:color="000000" w:fill="203764"/>
            <w:noWrap/>
            <w:vAlign w:val="bottom"/>
            <w:hideMark/>
          </w:tcPr>
          <w:p w14:paraId="2341B724"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Beneficios</w:t>
            </w:r>
          </w:p>
        </w:tc>
        <w:tc>
          <w:tcPr>
            <w:tcW w:w="276" w:type="pct"/>
            <w:tcBorders>
              <w:top w:val="single" w:sz="4" w:space="0" w:color="FFFFFF"/>
              <w:left w:val="nil"/>
              <w:bottom w:val="single" w:sz="4" w:space="0" w:color="auto"/>
              <w:right w:val="single" w:sz="4" w:space="0" w:color="FFFFFF"/>
            </w:tcBorders>
            <w:shd w:val="clear" w:color="000000" w:fill="203764"/>
            <w:noWrap/>
            <w:vAlign w:val="bottom"/>
            <w:hideMark/>
          </w:tcPr>
          <w:p w14:paraId="2341B725"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Costos</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726"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Neto</w:t>
            </w:r>
          </w:p>
        </w:tc>
        <w:tc>
          <w:tcPr>
            <w:tcW w:w="288" w:type="pct"/>
            <w:tcBorders>
              <w:top w:val="nil"/>
              <w:left w:val="nil"/>
              <w:bottom w:val="nil"/>
              <w:right w:val="nil"/>
            </w:tcBorders>
            <w:shd w:val="clear" w:color="auto" w:fill="auto"/>
            <w:noWrap/>
            <w:vAlign w:val="bottom"/>
            <w:hideMark/>
          </w:tcPr>
          <w:p w14:paraId="2341B727" w14:textId="77777777" w:rsidR="00CD529B" w:rsidRPr="00D97729" w:rsidRDefault="00CD529B" w:rsidP="00564572">
            <w:pPr>
              <w:jc w:val="center"/>
              <w:rPr>
                <w:rFonts w:ascii="Calibri" w:hAnsi="Calibri" w:cs="Calibri"/>
                <w:color w:val="FFFFFF"/>
                <w:sz w:val="15"/>
                <w:szCs w:val="15"/>
                <w:lang w:eastAsia="es-CO"/>
              </w:rPr>
            </w:pPr>
          </w:p>
        </w:tc>
        <w:tc>
          <w:tcPr>
            <w:tcW w:w="288" w:type="pct"/>
            <w:tcBorders>
              <w:top w:val="nil"/>
              <w:left w:val="nil"/>
              <w:bottom w:val="nil"/>
              <w:right w:val="nil"/>
            </w:tcBorders>
            <w:shd w:val="clear" w:color="auto" w:fill="auto"/>
            <w:noWrap/>
            <w:vAlign w:val="bottom"/>
            <w:hideMark/>
          </w:tcPr>
          <w:p w14:paraId="2341B728"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29"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2A"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2B"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2C"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2D" w14:textId="77777777" w:rsidR="00CD529B" w:rsidRPr="00D97729"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72E"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72F" w14:textId="77777777" w:rsidR="00CD529B" w:rsidRPr="00D97729" w:rsidRDefault="00CD529B" w:rsidP="00564572">
            <w:pPr>
              <w:rPr>
                <w:sz w:val="15"/>
                <w:szCs w:val="15"/>
                <w:lang w:eastAsia="es-CO"/>
              </w:rPr>
            </w:pPr>
          </w:p>
        </w:tc>
      </w:tr>
      <w:tr w:rsidR="00CD529B" w:rsidRPr="00D97729" w14:paraId="2341B73E" w14:textId="77777777" w:rsidTr="00564572">
        <w:trPr>
          <w:trHeight w:val="268"/>
        </w:trPr>
        <w:tc>
          <w:tcPr>
            <w:tcW w:w="1559" w:type="pct"/>
            <w:tcBorders>
              <w:top w:val="single" w:sz="4" w:space="0" w:color="auto"/>
              <w:left w:val="single" w:sz="4" w:space="0" w:color="auto"/>
              <w:bottom w:val="single" w:sz="4" w:space="0" w:color="auto"/>
              <w:right w:val="nil"/>
            </w:tcBorders>
            <w:shd w:val="clear" w:color="000000" w:fill="E2EFDA"/>
            <w:noWrap/>
            <w:vAlign w:val="bottom"/>
            <w:hideMark/>
          </w:tcPr>
          <w:p w14:paraId="2341B731" w14:textId="77777777" w:rsidR="00CD529B" w:rsidRPr="00D97729" w:rsidRDefault="00CD529B" w:rsidP="00564572">
            <w:pPr>
              <w:rPr>
                <w:rFonts w:ascii="Calibri" w:hAnsi="Calibri" w:cs="Calibri"/>
                <w:color w:val="000000"/>
                <w:sz w:val="15"/>
                <w:szCs w:val="15"/>
                <w:lang w:eastAsia="es-CO"/>
              </w:rPr>
            </w:pPr>
            <w:r w:rsidRPr="00D97729">
              <w:rPr>
                <w:rFonts w:ascii="Calibri" w:hAnsi="Calibri" w:cs="Calibri"/>
                <w:color w:val="000000"/>
                <w:sz w:val="15"/>
                <w:szCs w:val="15"/>
                <w:lang w:eastAsia="es-CO"/>
              </w:rPr>
              <w:t>VPN dic 2016 ($USD Millones)</w:t>
            </w:r>
          </w:p>
        </w:tc>
        <w:tc>
          <w:tcPr>
            <w:tcW w:w="302" w:type="pct"/>
            <w:tcBorders>
              <w:top w:val="nil"/>
              <w:left w:val="nil"/>
              <w:bottom w:val="single" w:sz="4" w:space="0" w:color="auto"/>
              <w:right w:val="single" w:sz="4" w:space="0" w:color="auto"/>
            </w:tcBorders>
            <w:shd w:val="clear" w:color="000000" w:fill="E2EFDA"/>
            <w:noWrap/>
            <w:vAlign w:val="bottom"/>
            <w:hideMark/>
          </w:tcPr>
          <w:p w14:paraId="2341B73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$47</w:t>
            </w:r>
          </w:p>
        </w:tc>
        <w:tc>
          <w:tcPr>
            <w:tcW w:w="276" w:type="pct"/>
            <w:tcBorders>
              <w:top w:val="nil"/>
              <w:left w:val="nil"/>
              <w:bottom w:val="single" w:sz="4" w:space="0" w:color="auto"/>
              <w:right w:val="single" w:sz="4" w:space="0" w:color="auto"/>
            </w:tcBorders>
            <w:shd w:val="clear" w:color="000000" w:fill="E2EFDA"/>
            <w:noWrap/>
            <w:vAlign w:val="bottom"/>
            <w:hideMark/>
          </w:tcPr>
          <w:p w14:paraId="2341B73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w:t>
            </w:r>
          </w:p>
        </w:tc>
        <w:tc>
          <w:tcPr>
            <w:tcW w:w="288" w:type="pct"/>
            <w:tcBorders>
              <w:top w:val="nil"/>
              <w:left w:val="nil"/>
              <w:bottom w:val="single" w:sz="4" w:space="0" w:color="auto"/>
              <w:right w:val="single" w:sz="4" w:space="0" w:color="auto"/>
            </w:tcBorders>
            <w:shd w:val="clear" w:color="000000" w:fill="E2EFDA"/>
            <w:noWrap/>
            <w:vAlign w:val="bottom"/>
            <w:hideMark/>
          </w:tcPr>
          <w:p w14:paraId="2341B73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$44</w:t>
            </w:r>
          </w:p>
        </w:tc>
        <w:tc>
          <w:tcPr>
            <w:tcW w:w="288" w:type="pct"/>
            <w:tcBorders>
              <w:top w:val="nil"/>
              <w:left w:val="nil"/>
              <w:bottom w:val="nil"/>
              <w:right w:val="nil"/>
            </w:tcBorders>
            <w:shd w:val="clear" w:color="auto" w:fill="auto"/>
            <w:noWrap/>
            <w:vAlign w:val="bottom"/>
            <w:hideMark/>
          </w:tcPr>
          <w:p w14:paraId="2341B735" w14:textId="77777777" w:rsidR="00CD529B" w:rsidRPr="00D97729" w:rsidRDefault="00CD529B" w:rsidP="00564572">
            <w:pPr>
              <w:jc w:val="righ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736"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37"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38"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39"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3A"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3B" w14:textId="77777777" w:rsidR="00CD529B" w:rsidRPr="00D97729"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73C"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73D" w14:textId="77777777" w:rsidR="00CD529B" w:rsidRPr="00D97729" w:rsidRDefault="00CD529B" w:rsidP="00564572">
            <w:pPr>
              <w:rPr>
                <w:sz w:val="15"/>
                <w:szCs w:val="15"/>
                <w:lang w:eastAsia="es-CO"/>
              </w:rPr>
            </w:pPr>
          </w:p>
        </w:tc>
      </w:tr>
      <w:tr w:rsidR="00CD529B" w:rsidRPr="00D97729" w14:paraId="2341B74C" w14:textId="77777777" w:rsidTr="00564572">
        <w:trPr>
          <w:trHeight w:val="268"/>
        </w:trPr>
        <w:tc>
          <w:tcPr>
            <w:tcW w:w="1559" w:type="pct"/>
            <w:tcBorders>
              <w:top w:val="nil"/>
              <w:left w:val="single" w:sz="4" w:space="0" w:color="auto"/>
              <w:bottom w:val="single" w:sz="4" w:space="0" w:color="auto"/>
              <w:right w:val="nil"/>
            </w:tcBorders>
            <w:shd w:val="clear" w:color="000000" w:fill="E2EFDA"/>
            <w:noWrap/>
            <w:vAlign w:val="bottom"/>
            <w:hideMark/>
          </w:tcPr>
          <w:p w14:paraId="2341B73F" w14:textId="77777777" w:rsidR="00CD529B" w:rsidRPr="00D97729" w:rsidRDefault="00CD529B" w:rsidP="00564572">
            <w:pPr>
              <w:rPr>
                <w:rFonts w:ascii="Calibri" w:hAnsi="Calibri" w:cs="Calibri"/>
                <w:color w:val="000000"/>
                <w:sz w:val="15"/>
                <w:szCs w:val="15"/>
                <w:lang w:eastAsia="es-CO"/>
              </w:rPr>
            </w:pPr>
            <w:r w:rsidRPr="00D97729">
              <w:rPr>
                <w:rFonts w:ascii="Calibri" w:hAnsi="Calibri" w:cs="Calibri"/>
                <w:color w:val="000000"/>
                <w:sz w:val="15"/>
                <w:szCs w:val="15"/>
                <w:lang w:eastAsia="es-CO"/>
              </w:rPr>
              <w:t>VPN dic 2016 ($COP Millones)</w:t>
            </w:r>
          </w:p>
        </w:tc>
        <w:tc>
          <w:tcPr>
            <w:tcW w:w="302" w:type="pct"/>
            <w:tcBorders>
              <w:top w:val="nil"/>
              <w:left w:val="nil"/>
              <w:bottom w:val="single" w:sz="4" w:space="0" w:color="auto"/>
              <w:right w:val="single" w:sz="4" w:space="0" w:color="auto"/>
            </w:tcBorders>
            <w:shd w:val="clear" w:color="000000" w:fill="E2EFDA"/>
            <w:noWrap/>
            <w:vAlign w:val="bottom"/>
            <w:hideMark/>
          </w:tcPr>
          <w:p w14:paraId="2341B74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$140.079</w:t>
            </w:r>
          </w:p>
        </w:tc>
        <w:tc>
          <w:tcPr>
            <w:tcW w:w="276" w:type="pct"/>
            <w:tcBorders>
              <w:top w:val="nil"/>
              <w:left w:val="nil"/>
              <w:bottom w:val="single" w:sz="4" w:space="0" w:color="auto"/>
              <w:right w:val="single" w:sz="4" w:space="0" w:color="auto"/>
            </w:tcBorders>
            <w:shd w:val="clear" w:color="000000" w:fill="E2EFDA"/>
            <w:noWrap/>
            <w:vAlign w:val="bottom"/>
            <w:hideMark/>
          </w:tcPr>
          <w:p w14:paraId="2341B74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$6.583</w:t>
            </w:r>
          </w:p>
        </w:tc>
        <w:tc>
          <w:tcPr>
            <w:tcW w:w="288" w:type="pct"/>
            <w:tcBorders>
              <w:top w:val="nil"/>
              <w:left w:val="nil"/>
              <w:bottom w:val="single" w:sz="4" w:space="0" w:color="auto"/>
              <w:right w:val="single" w:sz="4" w:space="0" w:color="auto"/>
            </w:tcBorders>
            <w:shd w:val="clear" w:color="000000" w:fill="E2EFDA"/>
            <w:noWrap/>
            <w:vAlign w:val="bottom"/>
            <w:hideMark/>
          </w:tcPr>
          <w:p w14:paraId="2341B74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$133.496</w:t>
            </w:r>
          </w:p>
        </w:tc>
        <w:tc>
          <w:tcPr>
            <w:tcW w:w="288" w:type="pct"/>
            <w:tcBorders>
              <w:top w:val="nil"/>
              <w:left w:val="nil"/>
              <w:bottom w:val="nil"/>
              <w:right w:val="nil"/>
            </w:tcBorders>
            <w:shd w:val="clear" w:color="auto" w:fill="auto"/>
            <w:noWrap/>
            <w:vAlign w:val="bottom"/>
            <w:hideMark/>
          </w:tcPr>
          <w:p w14:paraId="2341B743" w14:textId="77777777" w:rsidR="00CD529B" w:rsidRPr="00D97729" w:rsidRDefault="00CD529B" w:rsidP="00564572">
            <w:pPr>
              <w:jc w:val="right"/>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744"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45"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46"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47"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48" w14:textId="77777777" w:rsidR="00CD529B" w:rsidRPr="00D97729"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749" w14:textId="77777777" w:rsidR="00CD529B" w:rsidRPr="00D97729" w:rsidRDefault="00CD529B" w:rsidP="00564572">
            <w:pPr>
              <w:rPr>
                <w:sz w:val="15"/>
                <w:szCs w:val="15"/>
                <w:lang w:eastAsia="es-CO"/>
              </w:rPr>
            </w:pPr>
          </w:p>
        </w:tc>
        <w:tc>
          <w:tcPr>
            <w:tcW w:w="280" w:type="pct"/>
            <w:tcBorders>
              <w:top w:val="nil"/>
              <w:left w:val="nil"/>
              <w:bottom w:val="nil"/>
              <w:right w:val="nil"/>
            </w:tcBorders>
            <w:shd w:val="clear" w:color="auto" w:fill="auto"/>
            <w:noWrap/>
            <w:vAlign w:val="bottom"/>
            <w:hideMark/>
          </w:tcPr>
          <w:p w14:paraId="2341B74A"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74B" w14:textId="77777777" w:rsidR="00CD529B" w:rsidRPr="00D97729" w:rsidRDefault="00CD529B" w:rsidP="00564572">
            <w:pPr>
              <w:rPr>
                <w:sz w:val="15"/>
                <w:szCs w:val="15"/>
                <w:lang w:eastAsia="es-CO"/>
              </w:rPr>
            </w:pPr>
          </w:p>
        </w:tc>
      </w:tr>
    </w:tbl>
    <w:p w14:paraId="2341B74D" w14:textId="77777777" w:rsidR="00CD529B" w:rsidRDefault="00CD529B" w:rsidP="00564572">
      <w:pPr>
        <w:ind w:left="720"/>
        <w:jc w:val="center"/>
        <w:rPr>
          <w:b/>
          <w:lang w:val="es-ES_tradnl"/>
        </w:rPr>
      </w:pPr>
      <w:bookmarkStart w:id="129" w:name="_Toc473268569"/>
      <w:bookmarkStart w:id="130" w:name="_Toc474797075"/>
    </w:p>
    <w:p w14:paraId="2341B74E" w14:textId="77777777" w:rsidR="00CD529B" w:rsidRDefault="00CD529B">
      <w:pPr>
        <w:spacing w:after="200" w:line="276" w:lineRule="auto"/>
        <w:rPr>
          <w:b/>
          <w:lang w:val="es-ES_tradnl"/>
        </w:rPr>
      </w:pPr>
      <w:r>
        <w:rPr>
          <w:b/>
          <w:lang w:val="es-ES_tradnl"/>
        </w:rPr>
        <w:br w:type="page"/>
      </w:r>
    </w:p>
    <w:p w14:paraId="2341B74F" w14:textId="77777777" w:rsidR="00CD529B" w:rsidRDefault="00CD529B" w:rsidP="00564572">
      <w:pPr>
        <w:ind w:left="720"/>
        <w:jc w:val="center"/>
        <w:rPr>
          <w:b/>
          <w:lang w:val="es-ES_tradnl"/>
        </w:rPr>
      </w:pPr>
      <w:r w:rsidRPr="00CD529B">
        <w:rPr>
          <w:b/>
          <w:lang w:val="es-ES_tradnl"/>
        </w:rPr>
        <w:lastRenderedPageBreak/>
        <w:t xml:space="preserve">Tabla </w:t>
      </w:r>
      <w:r w:rsidRPr="008C12BC">
        <w:rPr>
          <w:b/>
        </w:rPr>
        <w:fldChar w:fldCharType="begin"/>
      </w:r>
      <w:r w:rsidRPr="00CD529B">
        <w:rPr>
          <w:b/>
          <w:lang w:val="es-ES_tradnl"/>
        </w:rPr>
        <w:instrText xml:space="preserve"> SEQ Tabla \* ARABIC </w:instrText>
      </w:r>
      <w:r w:rsidRPr="008C12BC">
        <w:rPr>
          <w:b/>
        </w:rPr>
        <w:fldChar w:fldCharType="separate"/>
      </w:r>
      <w:r w:rsidRPr="00CD529B">
        <w:rPr>
          <w:b/>
          <w:noProof/>
          <w:lang w:val="es-ES_tradnl"/>
        </w:rPr>
        <w:t>21</w:t>
      </w:r>
      <w:r w:rsidRPr="008C12BC">
        <w:rPr>
          <w:b/>
        </w:rPr>
        <w:fldChar w:fldCharType="end"/>
      </w:r>
      <w:r w:rsidRPr="00CD529B">
        <w:rPr>
          <w:b/>
          <w:lang w:val="es-ES_tradnl"/>
        </w:rPr>
        <w:t xml:space="preserve"> – Proyección de beneficios y costos para la medida de sustitución de equipos de fuerza motriz (Sector Comercial)</w:t>
      </w:r>
      <w:bookmarkEnd w:id="129"/>
      <w:bookmarkEnd w:id="130"/>
    </w:p>
    <w:p w14:paraId="2341B750" w14:textId="77777777" w:rsidR="00CD529B" w:rsidRPr="00CD529B" w:rsidRDefault="00CD529B" w:rsidP="00564572">
      <w:pPr>
        <w:ind w:left="720"/>
        <w:jc w:val="center"/>
        <w:rPr>
          <w:b/>
          <w:lang w:val="es-ES_tradnl"/>
        </w:rPr>
      </w:pPr>
    </w:p>
    <w:tbl>
      <w:tblPr>
        <w:tblW w:w="5000" w:type="pct"/>
        <w:tblCellMar>
          <w:left w:w="70" w:type="dxa"/>
          <w:right w:w="70" w:type="dxa"/>
        </w:tblCellMar>
        <w:tblLook w:val="04A0" w:firstRow="1" w:lastRow="0" w:firstColumn="1" w:lastColumn="0" w:noHBand="0" w:noVBand="1"/>
      </w:tblPr>
      <w:tblGrid>
        <w:gridCol w:w="3160"/>
        <w:gridCol w:w="646"/>
        <w:gridCol w:w="528"/>
        <w:gridCol w:w="503"/>
        <w:gridCol w:w="444"/>
        <w:gridCol w:w="467"/>
        <w:gridCol w:w="444"/>
        <w:gridCol w:w="408"/>
        <w:gridCol w:w="408"/>
        <w:gridCol w:w="408"/>
        <w:gridCol w:w="408"/>
        <w:gridCol w:w="408"/>
        <w:gridCol w:w="408"/>
      </w:tblGrid>
      <w:tr w:rsidR="00CD529B" w:rsidRPr="00D97729" w14:paraId="2341B75E" w14:textId="77777777" w:rsidTr="00564572">
        <w:trPr>
          <w:trHeight w:val="300"/>
        </w:trPr>
        <w:tc>
          <w:tcPr>
            <w:tcW w:w="1536" w:type="pct"/>
            <w:tcBorders>
              <w:top w:val="single" w:sz="4" w:space="0" w:color="000000"/>
              <w:left w:val="nil"/>
              <w:bottom w:val="single" w:sz="4" w:space="0" w:color="auto"/>
              <w:right w:val="nil"/>
            </w:tcBorders>
            <w:shd w:val="clear" w:color="auto" w:fill="auto"/>
            <w:noWrap/>
            <w:vAlign w:val="bottom"/>
            <w:hideMark/>
          </w:tcPr>
          <w:p w14:paraId="2341B751"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Consumo de un motor IE1 Gwh/Año</w:t>
            </w:r>
          </w:p>
        </w:tc>
        <w:tc>
          <w:tcPr>
            <w:tcW w:w="302" w:type="pct"/>
            <w:tcBorders>
              <w:top w:val="single" w:sz="4" w:space="0" w:color="000000"/>
              <w:left w:val="nil"/>
              <w:bottom w:val="single" w:sz="4" w:space="0" w:color="auto"/>
              <w:right w:val="nil"/>
            </w:tcBorders>
            <w:shd w:val="clear" w:color="auto" w:fill="auto"/>
            <w:noWrap/>
            <w:vAlign w:val="bottom"/>
            <w:hideMark/>
          </w:tcPr>
          <w:p w14:paraId="2341B752" w14:textId="77777777" w:rsidR="00CD529B" w:rsidRPr="00D97729" w:rsidRDefault="00CD529B" w:rsidP="00564572">
            <w:pPr>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0,0110790</w:t>
            </w:r>
          </w:p>
        </w:tc>
        <w:tc>
          <w:tcPr>
            <w:tcW w:w="281" w:type="pct"/>
            <w:tcBorders>
              <w:top w:val="nil"/>
              <w:left w:val="nil"/>
              <w:bottom w:val="nil"/>
              <w:right w:val="nil"/>
            </w:tcBorders>
            <w:shd w:val="clear" w:color="auto" w:fill="auto"/>
            <w:noWrap/>
            <w:vAlign w:val="bottom"/>
            <w:hideMark/>
          </w:tcPr>
          <w:p w14:paraId="2341B753" w14:textId="77777777" w:rsidR="00CD529B" w:rsidRPr="00D97729" w:rsidRDefault="00CD529B" w:rsidP="00564572">
            <w:pPr>
              <w:jc w:val="right"/>
              <w:rPr>
                <w:rFonts w:ascii="Calibri" w:hAnsi="Calibri" w:cs="Calibri"/>
                <w:color w:val="0000FF"/>
                <w:sz w:val="15"/>
                <w:szCs w:val="15"/>
                <w:lang w:eastAsia="es-CO"/>
              </w:rPr>
            </w:pPr>
          </w:p>
        </w:tc>
        <w:tc>
          <w:tcPr>
            <w:tcW w:w="290" w:type="pct"/>
            <w:tcBorders>
              <w:top w:val="nil"/>
              <w:left w:val="nil"/>
              <w:bottom w:val="nil"/>
              <w:right w:val="nil"/>
            </w:tcBorders>
            <w:shd w:val="clear" w:color="auto" w:fill="auto"/>
            <w:noWrap/>
            <w:vAlign w:val="bottom"/>
            <w:hideMark/>
          </w:tcPr>
          <w:p w14:paraId="2341B754"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55"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56"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57"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58"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59"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5A"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5B" w14:textId="77777777" w:rsidR="00CD529B" w:rsidRPr="00D97729"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75C"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75D" w14:textId="77777777" w:rsidR="00CD529B" w:rsidRPr="00D97729" w:rsidRDefault="00CD529B" w:rsidP="00564572">
            <w:pPr>
              <w:rPr>
                <w:sz w:val="15"/>
                <w:szCs w:val="15"/>
                <w:lang w:eastAsia="es-CO"/>
              </w:rPr>
            </w:pPr>
          </w:p>
        </w:tc>
      </w:tr>
      <w:tr w:rsidR="00CD529B" w:rsidRPr="00D97729" w14:paraId="2341B76C" w14:textId="77777777" w:rsidTr="00564572">
        <w:trPr>
          <w:trHeight w:val="300"/>
        </w:trPr>
        <w:tc>
          <w:tcPr>
            <w:tcW w:w="1536" w:type="pct"/>
            <w:tcBorders>
              <w:top w:val="nil"/>
              <w:left w:val="nil"/>
              <w:bottom w:val="single" w:sz="4" w:space="0" w:color="auto"/>
              <w:right w:val="nil"/>
            </w:tcBorders>
            <w:shd w:val="clear" w:color="auto" w:fill="auto"/>
            <w:noWrap/>
            <w:vAlign w:val="bottom"/>
            <w:hideMark/>
          </w:tcPr>
          <w:p w14:paraId="2341B75F"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Potencial de ahorro promedio ponderado</w:t>
            </w:r>
          </w:p>
        </w:tc>
        <w:tc>
          <w:tcPr>
            <w:tcW w:w="302" w:type="pct"/>
            <w:tcBorders>
              <w:top w:val="nil"/>
              <w:left w:val="nil"/>
              <w:bottom w:val="single" w:sz="4" w:space="0" w:color="auto"/>
              <w:right w:val="nil"/>
            </w:tcBorders>
            <w:shd w:val="clear" w:color="auto" w:fill="auto"/>
            <w:noWrap/>
            <w:vAlign w:val="bottom"/>
            <w:hideMark/>
          </w:tcPr>
          <w:p w14:paraId="2341B760" w14:textId="77777777" w:rsidR="00CD529B" w:rsidRPr="00D97729" w:rsidRDefault="00CD529B" w:rsidP="00564572">
            <w:pPr>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6,2%</w:t>
            </w:r>
          </w:p>
        </w:tc>
        <w:tc>
          <w:tcPr>
            <w:tcW w:w="281" w:type="pct"/>
            <w:tcBorders>
              <w:top w:val="nil"/>
              <w:left w:val="nil"/>
              <w:bottom w:val="nil"/>
              <w:right w:val="nil"/>
            </w:tcBorders>
            <w:shd w:val="clear" w:color="auto" w:fill="auto"/>
            <w:noWrap/>
            <w:vAlign w:val="bottom"/>
            <w:hideMark/>
          </w:tcPr>
          <w:p w14:paraId="2341B761" w14:textId="77777777" w:rsidR="00CD529B" w:rsidRPr="00D97729" w:rsidRDefault="00CD529B" w:rsidP="00564572">
            <w:pPr>
              <w:jc w:val="right"/>
              <w:rPr>
                <w:rFonts w:ascii="Calibri" w:hAnsi="Calibri" w:cs="Calibri"/>
                <w:color w:val="0000FF"/>
                <w:sz w:val="15"/>
                <w:szCs w:val="15"/>
                <w:lang w:eastAsia="es-CO"/>
              </w:rPr>
            </w:pPr>
          </w:p>
        </w:tc>
        <w:tc>
          <w:tcPr>
            <w:tcW w:w="290" w:type="pct"/>
            <w:tcBorders>
              <w:top w:val="nil"/>
              <w:left w:val="nil"/>
              <w:bottom w:val="nil"/>
              <w:right w:val="nil"/>
            </w:tcBorders>
            <w:shd w:val="clear" w:color="auto" w:fill="auto"/>
            <w:noWrap/>
            <w:vAlign w:val="bottom"/>
            <w:hideMark/>
          </w:tcPr>
          <w:p w14:paraId="2341B762"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63"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64"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65"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66"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67"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68"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69" w14:textId="77777777" w:rsidR="00CD529B" w:rsidRPr="00D97729"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76A"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76B" w14:textId="77777777" w:rsidR="00CD529B" w:rsidRPr="00D97729" w:rsidRDefault="00CD529B" w:rsidP="00564572">
            <w:pPr>
              <w:rPr>
                <w:sz w:val="15"/>
                <w:szCs w:val="15"/>
                <w:lang w:eastAsia="es-CO"/>
              </w:rPr>
            </w:pPr>
          </w:p>
        </w:tc>
      </w:tr>
      <w:tr w:rsidR="00CD529B" w:rsidRPr="00D97729" w14:paraId="2341B77A" w14:textId="77777777" w:rsidTr="00564572">
        <w:trPr>
          <w:trHeight w:val="300"/>
        </w:trPr>
        <w:tc>
          <w:tcPr>
            <w:tcW w:w="1536" w:type="pct"/>
            <w:tcBorders>
              <w:top w:val="nil"/>
              <w:left w:val="nil"/>
              <w:bottom w:val="single" w:sz="4" w:space="0" w:color="000000"/>
              <w:right w:val="nil"/>
            </w:tcBorders>
            <w:shd w:val="clear" w:color="auto" w:fill="auto"/>
            <w:noWrap/>
            <w:vAlign w:val="bottom"/>
            <w:hideMark/>
          </w:tcPr>
          <w:p w14:paraId="2341B76D" w14:textId="77777777" w:rsidR="00CD529B" w:rsidRPr="00D97729" w:rsidRDefault="00CD529B" w:rsidP="00564572">
            <w:pPr>
              <w:rPr>
                <w:rFonts w:ascii="Calibri" w:hAnsi="Calibri" w:cs="Calibri"/>
                <w:color w:val="000000"/>
                <w:sz w:val="15"/>
                <w:szCs w:val="15"/>
                <w:lang w:eastAsia="es-CO"/>
              </w:rPr>
            </w:pPr>
            <w:r w:rsidRPr="00D97729">
              <w:rPr>
                <w:rFonts w:ascii="Calibri" w:hAnsi="Calibri" w:cs="Calibri"/>
                <w:color w:val="000000"/>
                <w:sz w:val="15"/>
                <w:szCs w:val="15"/>
                <w:lang w:eastAsia="es-CO"/>
              </w:rPr>
              <w:t>Valor por motor eficiente ($COP) (2015)</w:t>
            </w:r>
          </w:p>
        </w:tc>
        <w:tc>
          <w:tcPr>
            <w:tcW w:w="302" w:type="pct"/>
            <w:tcBorders>
              <w:top w:val="nil"/>
              <w:left w:val="nil"/>
              <w:bottom w:val="single" w:sz="4" w:space="0" w:color="auto"/>
              <w:right w:val="nil"/>
            </w:tcBorders>
            <w:shd w:val="clear" w:color="auto" w:fill="auto"/>
            <w:noWrap/>
            <w:vAlign w:val="bottom"/>
            <w:hideMark/>
          </w:tcPr>
          <w:p w14:paraId="2341B76E" w14:textId="77777777" w:rsidR="00CD529B" w:rsidRPr="00D97729" w:rsidRDefault="00CD529B" w:rsidP="00564572">
            <w:pPr>
              <w:jc w:val="right"/>
              <w:rPr>
                <w:rFonts w:ascii="Calibri" w:hAnsi="Calibri" w:cs="Calibri"/>
                <w:color w:val="0000FF"/>
                <w:sz w:val="15"/>
                <w:szCs w:val="15"/>
                <w:lang w:eastAsia="es-CO"/>
              </w:rPr>
            </w:pPr>
            <w:r w:rsidRPr="00D97729">
              <w:rPr>
                <w:rFonts w:ascii="Calibri" w:hAnsi="Calibri" w:cs="Calibri"/>
                <w:color w:val="0000FF"/>
                <w:sz w:val="15"/>
                <w:szCs w:val="15"/>
                <w:lang w:eastAsia="es-CO"/>
              </w:rPr>
              <w:t>1.645.162</w:t>
            </w:r>
          </w:p>
        </w:tc>
        <w:tc>
          <w:tcPr>
            <w:tcW w:w="281" w:type="pct"/>
            <w:tcBorders>
              <w:top w:val="nil"/>
              <w:left w:val="nil"/>
              <w:bottom w:val="nil"/>
              <w:right w:val="nil"/>
            </w:tcBorders>
            <w:shd w:val="clear" w:color="auto" w:fill="auto"/>
            <w:noWrap/>
            <w:vAlign w:val="bottom"/>
            <w:hideMark/>
          </w:tcPr>
          <w:p w14:paraId="2341B76F" w14:textId="77777777" w:rsidR="00CD529B" w:rsidRPr="00D97729" w:rsidRDefault="00CD529B" w:rsidP="00564572">
            <w:pPr>
              <w:jc w:val="right"/>
              <w:rPr>
                <w:rFonts w:ascii="Calibri" w:hAnsi="Calibri" w:cs="Calibri"/>
                <w:color w:val="0000FF"/>
                <w:sz w:val="15"/>
                <w:szCs w:val="15"/>
                <w:lang w:eastAsia="es-CO"/>
              </w:rPr>
            </w:pPr>
          </w:p>
        </w:tc>
        <w:tc>
          <w:tcPr>
            <w:tcW w:w="290" w:type="pct"/>
            <w:tcBorders>
              <w:top w:val="nil"/>
              <w:left w:val="nil"/>
              <w:bottom w:val="nil"/>
              <w:right w:val="nil"/>
            </w:tcBorders>
            <w:shd w:val="clear" w:color="auto" w:fill="auto"/>
            <w:noWrap/>
            <w:vAlign w:val="bottom"/>
            <w:hideMark/>
          </w:tcPr>
          <w:p w14:paraId="2341B770"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71"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72"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73"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74"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75"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76"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77" w14:textId="77777777" w:rsidR="00CD529B" w:rsidRPr="00D97729"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778"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779" w14:textId="77777777" w:rsidR="00CD529B" w:rsidRPr="00D97729" w:rsidRDefault="00CD529B" w:rsidP="00564572">
            <w:pPr>
              <w:rPr>
                <w:sz w:val="15"/>
                <w:szCs w:val="15"/>
                <w:lang w:eastAsia="es-CO"/>
              </w:rPr>
            </w:pPr>
          </w:p>
        </w:tc>
      </w:tr>
      <w:tr w:rsidR="00CD529B" w:rsidRPr="00D97729" w14:paraId="2341B788" w14:textId="77777777" w:rsidTr="00564572">
        <w:trPr>
          <w:trHeight w:val="300"/>
        </w:trPr>
        <w:tc>
          <w:tcPr>
            <w:tcW w:w="1536" w:type="pct"/>
            <w:tcBorders>
              <w:top w:val="nil"/>
              <w:left w:val="nil"/>
              <w:bottom w:val="nil"/>
              <w:right w:val="nil"/>
            </w:tcBorders>
            <w:shd w:val="clear" w:color="auto" w:fill="auto"/>
            <w:noWrap/>
            <w:vAlign w:val="bottom"/>
            <w:hideMark/>
          </w:tcPr>
          <w:p w14:paraId="2341B77B" w14:textId="77777777" w:rsidR="00CD529B" w:rsidRPr="00D97729" w:rsidRDefault="00CD529B" w:rsidP="00564572">
            <w:pPr>
              <w:rPr>
                <w:sz w:val="15"/>
                <w:szCs w:val="15"/>
                <w:lang w:eastAsia="es-CO"/>
              </w:rPr>
            </w:pPr>
          </w:p>
        </w:tc>
        <w:tc>
          <w:tcPr>
            <w:tcW w:w="302" w:type="pct"/>
            <w:tcBorders>
              <w:top w:val="nil"/>
              <w:left w:val="nil"/>
              <w:bottom w:val="nil"/>
              <w:right w:val="nil"/>
            </w:tcBorders>
            <w:shd w:val="clear" w:color="auto" w:fill="auto"/>
            <w:noWrap/>
            <w:vAlign w:val="bottom"/>
            <w:hideMark/>
          </w:tcPr>
          <w:p w14:paraId="2341B77C" w14:textId="77777777" w:rsidR="00CD529B" w:rsidRPr="00D97729"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77D"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7E"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7F"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80"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81"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82"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83"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84"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85" w14:textId="77777777" w:rsidR="00CD529B" w:rsidRPr="00D97729"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786"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787" w14:textId="77777777" w:rsidR="00CD529B" w:rsidRPr="00D97729" w:rsidRDefault="00CD529B" w:rsidP="00564572">
            <w:pPr>
              <w:rPr>
                <w:sz w:val="15"/>
                <w:szCs w:val="15"/>
                <w:lang w:eastAsia="es-CO"/>
              </w:rPr>
            </w:pPr>
          </w:p>
        </w:tc>
      </w:tr>
      <w:tr w:rsidR="00CD529B" w:rsidRPr="00D97729" w14:paraId="2341B796" w14:textId="77777777" w:rsidTr="00564572">
        <w:trPr>
          <w:trHeight w:val="300"/>
        </w:trPr>
        <w:tc>
          <w:tcPr>
            <w:tcW w:w="1536" w:type="pct"/>
            <w:tcBorders>
              <w:top w:val="nil"/>
              <w:left w:val="nil"/>
              <w:bottom w:val="nil"/>
              <w:right w:val="nil"/>
            </w:tcBorders>
            <w:shd w:val="clear" w:color="auto" w:fill="auto"/>
            <w:noWrap/>
            <w:vAlign w:val="bottom"/>
            <w:hideMark/>
          </w:tcPr>
          <w:p w14:paraId="2341B789" w14:textId="77777777" w:rsidR="00CD529B" w:rsidRPr="00D97729" w:rsidRDefault="00CD529B" w:rsidP="00564572">
            <w:pPr>
              <w:rPr>
                <w:sz w:val="15"/>
                <w:szCs w:val="15"/>
                <w:lang w:eastAsia="es-CO"/>
              </w:rPr>
            </w:pPr>
          </w:p>
        </w:tc>
        <w:tc>
          <w:tcPr>
            <w:tcW w:w="302" w:type="pct"/>
            <w:tcBorders>
              <w:top w:val="nil"/>
              <w:left w:val="nil"/>
              <w:bottom w:val="nil"/>
              <w:right w:val="nil"/>
            </w:tcBorders>
            <w:shd w:val="clear" w:color="auto" w:fill="auto"/>
            <w:noWrap/>
            <w:vAlign w:val="bottom"/>
            <w:hideMark/>
          </w:tcPr>
          <w:p w14:paraId="2341B78A" w14:textId="77777777" w:rsidR="00CD529B" w:rsidRPr="00D97729"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78B"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8C"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8D"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8E"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8F"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90"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91"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92"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93" w14:textId="77777777" w:rsidR="00CD529B" w:rsidRPr="00D97729"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794"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795" w14:textId="77777777" w:rsidR="00CD529B" w:rsidRPr="00D97729" w:rsidRDefault="00CD529B" w:rsidP="00564572">
            <w:pPr>
              <w:rPr>
                <w:sz w:val="15"/>
                <w:szCs w:val="15"/>
                <w:lang w:eastAsia="es-CO"/>
              </w:rPr>
            </w:pPr>
          </w:p>
        </w:tc>
      </w:tr>
      <w:tr w:rsidR="00CD529B" w:rsidRPr="00D97729" w14:paraId="2341B7A4" w14:textId="77777777" w:rsidTr="00564572">
        <w:trPr>
          <w:trHeight w:val="300"/>
        </w:trPr>
        <w:tc>
          <w:tcPr>
            <w:tcW w:w="1536" w:type="pct"/>
            <w:tcBorders>
              <w:top w:val="nil"/>
              <w:left w:val="nil"/>
              <w:bottom w:val="single" w:sz="4" w:space="0" w:color="auto"/>
              <w:right w:val="nil"/>
            </w:tcBorders>
            <w:shd w:val="clear" w:color="auto" w:fill="auto"/>
            <w:noWrap/>
            <w:vAlign w:val="bottom"/>
            <w:hideMark/>
          </w:tcPr>
          <w:p w14:paraId="2341B797" w14:textId="77777777" w:rsidR="00CD529B" w:rsidRPr="00D97729" w:rsidRDefault="00CD529B" w:rsidP="00564572">
            <w:pPr>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$COP (2016)</w:t>
            </w:r>
          </w:p>
        </w:tc>
        <w:tc>
          <w:tcPr>
            <w:tcW w:w="302" w:type="pct"/>
            <w:tcBorders>
              <w:top w:val="single" w:sz="4" w:space="0" w:color="FFFFFF"/>
              <w:left w:val="nil"/>
              <w:bottom w:val="single" w:sz="4" w:space="0" w:color="auto"/>
              <w:right w:val="single" w:sz="4" w:space="0" w:color="FFFFFF"/>
            </w:tcBorders>
            <w:shd w:val="clear" w:color="000000" w:fill="203764"/>
            <w:noWrap/>
            <w:vAlign w:val="bottom"/>
            <w:hideMark/>
          </w:tcPr>
          <w:p w14:paraId="2341B798"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2016</w:t>
            </w:r>
          </w:p>
        </w:tc>
        <w:tc>
          <w:tcPr>
            <w:tcW w:w="281" w:type="pct"/>
            <w:tcBorders>
              <w:top w:val="single" w:sz="4" w:space="0" w:color="FFFFFF"/>
              <w:left w:val="nil"/>
              <w:bottom w:val="single" w:sz="4" w:space="0" w:color="auto"/>
              <w:right w:val="single" w:sz="4" w:space="0" w:color="FFFFFF"/>
            </w:tcBorders>
            <w:shd w:val="clear" w:color="000000" w:fill="203764"/>
            <w:noWrap/>
            <w:vAlign w:val="bottom"/>
            <w:hideMark/>
          </w:tcPr>
          <w:p w14:paraId="2341B799"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2017</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79A"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2018</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79B"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2019</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79C"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2020</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79D"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2021</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79E"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2022</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79F"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2023</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7A0"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2024</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7A1"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2025</w:t>
            </w:r>
          </w:p>
        </w:tc>
        <w:tc>
          <w:tcPr>
            <w:tcW w:w="282" w:type="pct"/>
            <w:tcBorders>
              <w:top w:val="single" w:sz="4" w:space="0" w:color="FFFFFF"/>
              <w:left w:val="nil"/>
              <w:bottom w:val="single" w:sz="4" w:space="0" w:color="auto"/>
              <w:right w:val="single" w:sz="4" w:space="0" w:color="FFFFFF"/>
            </w:tcBorders>
            <w:shd w:val="clear" w:color="000000" w:fill="203764"/>
            <w:noWrap/>
            <w:vAlign w:val="bottom"/>
            <w:hideMark/>
          </w:tcPr>
          <w:p w14:paraId="2341B7A2"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2026</w:t>
            </w:r>
          </w:p>
        </w:tc>
        <w:tc>
          <w:tcPr>
            <w:tcW w:w="279" w:type="pct"/>
            <w:tcBorders>
              <w:top w:val="single" w:sz="4" w:space="0" w:color="FFFFFF"/>
              <w:left w:val="nil"/>
              <w:bottom w:val="single" w:sz="4" w:space="0" w:color="auto"/>
              <w:right w:val="single" w:sz="4" w:space="0" w:color="FFFFFF"/>
            </w:tcBorders>
            <w:shd w:val="clear" w:color="000000" w:fill="203764"/>
            <w:noWrap/>
            <w:vAlign w:val="bottom"/>
            <w:hideMark/>
          </w:tcPr>
          <w:p w14:paraId="2341B7A3"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2027</w:t>
            </w:r>
          </w:p>
        </w:tc>
      </w:tr>
      <w:tr w:rsidR="00CD529B" w:rsidRPr="00D97729" w14:paraId="2341B7B2" w14:textId="77777777" w:rsidTr="00564572">
        <w:trPr>
          <w:trHeight w:val="300"/>
        </w:trPr>
        <w:tc>
          <w:tcPr>
            <w:tcW w:w="1536" w:type="pct"/>
            <w:tcBorders>
              <w:top w:val="single" w:sz="4" w:space="0" w:color="BFBFBF"/>
              <w:left w:val="nil"/>
              <w:bottom w:val="single" w:sz="4" w:space="0" w:color="auto"/>
              <w:right w:val="nil"/>
            </w:tcBorders>
            <w:shd w:val="clear" w:color="auto" w:fill="auto"/>
            <w:noWrap/>
            <w:vAlign w:val="bottom"/>
            <w:hideMark/>
          </w:tcPr>
          <w:p w14:paraId="2341B7A5" w14:textId="77777777" w:rsidR="00CD529B" w:rsidRPr="00D97729" w:rsidRDefault="00CD529B" w:rsidP="00564572">
            <w:pPr>
              <w:rPr>
                <w:rFonts w:ascii="Calibri" w:hAnsi="Calibri" w:cs="Calibri"/>
                <w:color w:val="000000"/>
                <w:sz w:val="15"/>
                <w:szCs w:val="15"/>
                <w:lang w:eastAsia="es-CO"/>
              </w:rPr>
            </w:pPr>
            <w:r w:rsidRPr="00D97729">
              <w:rPr>
                <w:rFonts w:ascii="Calibri" w:hAnsi="Calibri" w:cs="Calibri"/>
                <w:color w:val="000000"/>
                <w:sz w:val="15"/>
                <w:szCs w:val="15"/>
                <w:lang w:eastAsia="es-CO"/>
              </w:rPr>
              <w:t>Número de motores IE1 a cambiar</w:t>
            </w:r>
          </w:p>
        </w:tc>
        <w:tc>
          <w:tcPr>
            <w:tcW w:w="302" w:type="pct"/>
            <w:tcBorders>
              <w:top w:val="single" w:sz="4" w:space="0" w:color="BFBFBF"/>
              <w:left w:val="nil"/>
              <w:bottom w:val="single" w:sz="4" w:space="0" w:color="auto"/>
              <w:right w:val="nil"/>
            </w:tcBorders>
            <w:shd w:val="clear" w:color="auto" w:fill="auto"/>
            <w:noWrap/>
            <w:vAlign w:val="bottom"/>
            <w:hideMark/>
          </w:tcPr>
          <w:p w14:paraId="2341B7A6" w14:textId="77777777" w:rsidR="00CD529B" w:rsidRPr="00D97729" w:rsidRDefault="00CD529B" w:rsidP="00564572">
            <w:pPr>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81" w:type="pct"/>
            <w:tcBorders>
              <w:top w:val="single" w:sz="4" w:space="0" w:color="BFBFBF"/>
              <w:left w:val="nil"/>
              <w:bottom w:val="single" w:sz="4" w:space="0" w:color="auto"/>
              <w:right w:val="nil"/>
            </w:tcBorders>
            <w:shd w:val="clear" w:color="auto" w:fill="auto"/>
            <w:noWrap/>
            <w:vAlign w:val="bottom"/>
            <w:hideMark/>
          </w:tcPr>
          <w:p w14:paraId="2341B7A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4.212</w:t>
            </w:r>
          </w:p>
        </w:tc>
        <w:tc>
          <w:tcPr>
            <w:tcW w:w="290" w:type="pct"/>
            <w:tcBorders>
              <w:top w:val="single" w:sz="4" w:space="0" w:color="BFBFBF"/>
              <w:left w:val="nil"/>
              <w:bottom w:val="single" w:sz="4" w:space="0" w:color="auto"/>
              <w:right w:val="nil"/>
            </w:tcBorders>
            <w:shd w:val="clear" w:color="auto" w:fill="auto"/>
            <w:noWrap/>
            <w:vAlign w:val="bottom"/>
            <w:hideMark/>
          </w:tcPr>
          <w:p w14:paraId="2341B7A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4.212</w:t>
            </w:r>
          </w:p>
        </w:tc>
        <w:tc>
          <w:tcPr>
            <w:tcW w:w="290" w:type="pct"/>
            <w:tcBorders>
              <w:top w:val="single" w:sz="4" w:space="0" w:color="BFBFBF"/>
              <w:left w:val="nil"/>
              <w:bottom w:val="single" w:sz="4" w:space="0" w:color="auto"/>
              <w:right w:val="nil"/>
            </w:tcBorders>
            <w:shd w:val="clear" w:color="auto" w:fill="auto"/>
            <w:noWrap/>
            <w:vAlign w:val="bottom"/>
            <w:hideMark/>
          </w:tcPr>
          <w:p w14:paraId="2341B7A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4.212</w:t>
            </w:r>
          </w:p>
        </w:tc>
        <w:tc>
          <w:tcPr>
            <w:tcW w:w="290" w:type="pct"/>
            <w:tcBorders>
              <w:top w:val="single" w:sz="4" w:space="0" w:color="BFBFBF"/>
              <w:left w:val="nil"/>
              <w:bottom w:val="single" w:sz="4" w:space="0" w:color="auto"/>
              <w:right w:val="nil"/>
            </w:tcBorders>
            <w:shd w:val="clear" w:color="auto" w:fill="auto"/>
            <w:noWrap/>
            <w:vAlign w:val="bottom"/>
            <w:hideMark/>
          </w:tcPr>
          <w:p w14:paraId="2341B7A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4.212</w:t>
            </w:r>
          </w:p>
        </w:tc>
        <w:tc>
          <w:tcPr>
            <w:tcW w:w="290" w:type="pct"/>
            <w:tcBorders>
              <w:top w:val="single" w:sz="4" w:space="0" w:color="BFBFBF"/>
              <w:left w:val="nil"/>
              <w:bottom w:val="single" w:sz="4" w:space="0" w:color="auto"/>
              <w:right w:val="nil"/>
            </w:tcBorders>
            <w:shd w:val="clear" w:color="auto" w:fill="auto"/>
            <w:noWrap/>
            <w:vAlign w:val="bottom"/>
            <w:hideMark/>
          </w:tcPr>
          <w:p w14:paraId="2341B7A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4.212</w:t>
            </w:r>
          </w:p>
        </w:tc>
        <w:tc>
          <w:tcPr>
            <w:tcW w:w="290" w:type="pct"/>
            <w:tcBorders>
              <w:top w:val="single" w:sz="4" w:space="0" w:color="BFBFBF"/>
              <w:left w:val="nil"/>
              <w:bottom w:val="single" w:sz="4" w:space="0" w:color="auto"/>
              <w:right w:val="nil"/>
            </w:tcBorders>
            <w:shd w:val="clear" w:color="auto" w:fill="auto"/>
            <w:noWrap/>
            <w:vAlign w:val="bottom"/>
            <w:hideMark/>
          </w:tcPr>
          <w:p w14:paraId="2341B7A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BFBFBF"/>
              <w:left w:val="nil"/>
              <w:bottom w:val="single" w:sz="4" w:space="0" w:color="auto"/>
              <w:right w:val="nil"/>
            </w:tcBorders>
            <w:shd w:val="clear" w:color="auto" w:fill="auto"/>
            <w:noWrap/>
            <w:vAlign w:val="bottom"/>
            <w:hideMark/>
          </w:tcPr>
          <w:p w14:paraId="2341B7A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BFBFBF"/>
              <w:left w:val="nil"/>
              <w:bottom w:val="single" w:sz="4" w:space="0" w:color="auto"/>
              <w:right w:val="nil"/>
            </w:tcBorders>
            <w:shd w:val="clear" w:color="auto" w:fill="auto"/>
            <w:noWrap/>
            <w:vAlign w:val="bottom"/>
            <w:hideMark/>
          </w:tcPr>
          <w:p w14:paraId="2341B7A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BFBFBF"/>
              <w:left w:val="nil"/>
              <w:bottom w:val="single" w:sz="4" w:space="0" w:color="auto"/>
              <w:right w:val="nil"/>
            </w:tcBorders>
            <w:shd w:val="clear" w:color="auto" w:fill="auto"/>
            <w:noWrap/>
            <w:vAlign w:val="bottom"/>
            <w:hideMark/>
          </w:tcPr>
          <w:p w14:paraId="2341B7A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single" w:sz="4" w:space="0" w:color="BFBFBF"/>
              <w:left w:val="nil"/>
              <w:bottom w:val="single" w:sz="4" w:space="0" w:color="auto"/>
              <w:right w:val="nil"/>
            </w:tcBorders>
            <w:shd w:val="clear" w:color="auto" w:fill="auto"/>
            <w:noWrap/>
            <w:vAlign w:val="bottom"/>
            <w:hideMark/>
          </w:tcPr>
          <w:p w14:paraId="2341B7B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single" w:sz="4" w:space="0" w:color="BFBFBF"/>
              <w:left w:val="nil"/>
              <w:bottom w:val="single" w:sz="4" w:space="0" w:color="auto"/>
              <w:right w:val="nil"/>
            </w:tcBorders>
            <w:shd w:val="clear" w:color="auto" w:fill="auto"/>
            <w:noWrap/>
            <w:vAlign w:val="bottom"/>
            <w:hideMark/>
          </w:tcPr>
          <w:p w14:paraId="2341B7B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97729" w14:paraId="2341B7C0" w14:textId="77777777" w:rsidTr="00564572">
        <w:trPr>
          <w:trHeight w:val="300"/>
        </w:trPr>
        <w:tc>
          <w:tcPr>
            <w:tcW w:w="1536" w:type="pct"/>
            <w:tcBorders>
              <w:top w:val="nil"/>
              <w:left w:val="nil"/>
              <w:bottom w:val="nil"/>
              <w:right w:val="nil"/>
            </w:tcBorders>
            <w:shd w:val="clear" w:color="auto" w:fill="auto"/>
            <w:noWrap/>
            <w:vAlign w:val="bottom"/>
            <w:hideMark/>
          </w:tcPr>
          <w:p w14:paraId="2341B7B3" w14:textId="77777777" w:rsidR="00CD529B" w:rsidRPr="00D97729" w:rsidRDefault="00CD529B" w:rsidP="00564572">
            <w:pPr>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Beneficios</w:t>
            </w:r>
          </w:p>
        </w:tc>
        <w:tc>
          <w:tcPr>
            <w:tcW w:w="302" w:type="pct"/>
            <w:tcBorders>
              <w:top w:val="nil"/>
              <w:left w:val="nil"/>
              <w:bottom w:val="nil"/>
              <w:right w:val="nil"/>
            </w:tcBorders>
            <w:shd w:val="clear" w:color="auto" w:fill="auto"/>
            <w:noWrap/>
            <w:vAlign w:val="bottom"/>
            <w:hideMark/>
          </w:tcPr>
          <w:p w14:paraId="2341B7B4" w14:textId="77777777" w:rsidR="00CD529B" w:rsidRPr="00D97729" w:rsidRDefault="00CD529B" w:rsidP="00564572">
            <w:pPr>
              <w:rPr>
                <w:rFonts w:ascii="Calibri" w:hAnsi="Calibri" w:cs="Calibri"/>
                <w:b/>
                <w:bCs/>
                <w:color w:val="000000"/>
                <w:sz w:val="15"/>
                <w:szCs w:val="15"/>
                <w:lang w:eastAsia="es-CO"/>
              </w:rPr>
            </w:pPr>
          </w:p>
        </w:tc>
        <w:tc>
          <w:tcPr>
            <w:tcW w:w="281" w:type="pct"/>
            <w:tcBorders>
              <w:top w:val="nil"/>
              <w:left w:val="nil"/>
              <w:bottom w:val="nil"/>
              <w:right w:val="nil"/>
            </w:tcBorders>
            <w:shd w:val="clear" w:color="auto" w:fill="auto"/>
            <w:noWrap/>
            <w:vAlign w:val="bottom"/>
            <w:hideMark/>
          </w:tcPr>
          <w:p w14:paraId="2341B7B5"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B6"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B7"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B8"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B9"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BA"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BB"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BC"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7BD" w14:textId="77777777" w:rsidR="00CD529B" w:rsidRPr="000D0E52"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7BE" w14:textId="77777777" w:rsidR="00CD529B" w:rsidRPr="000D0E52"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7BF" w14:textId="77777777" w:rsidR="00CD529B" w:rsidRPr="000D0E52" w:rsidRDefault="00CD529B" w:rsidP="00564572">
            <w:pPr>
              <w:rPr>
                <w:sz w:val="15"/>
                <w:szCs w:val="15"/>
                <w:lang w:eastAsia="es-CO"/>
              </w:rPr>
            </w:pPr>
          </w:p>
        </w:tc>
      </w:tr>
      <w:tr w:rsidR="00CD529B" w:rsidRPr="00D97729" w14:paraId="2341B7CE" w14:textId="77777777" w:rsidTr="00564572">
        <w:trPr>
          <w:trHeight w:val="300"/>
        </w:trPr>
        <w:tc>
          <w:tcPr>
            <w:tcW w:w="1536" w:type="pct"/>
            <w:tcBorders>
              <w:top w:val="nil"/>
              <w:left w:val="nil"/>
              <w:bottom w:val="nil"/>
              <w:right w:val="nil"/>
            </w:tcBorders>
            <w:shd w:val="clear" w:color="auto" w:fill="auto"/>
            <w:noWrap/>
            <w:vAlign w:val="bottom"/>
            <w:hideMark/>
          </w:tcPr>
          <w:p w14:paraId="2341B7C1" w14:textId="77777777" w:rsidR="00CD529B" w:rsidRPr="00D97729" w:rsidRDefault="00CD529B" w:rsidP="00564572">
            <w:pPr>
              <w:ind w:firstLineChars="100" w:firstLine="150"/>
              <w:rPr>
                <w:rFonts w:ascii="Calibri" w:hAnsi="Calibri" w:cs="Calibri"/>
                <w:color w:val="000000"/>
                <w:sz w:val="15"/>
                <w:szCs w:val="15"/>
                <w:lang w:eastAsia="es-CO"/>
              </w:rPr>
            </w:pPr>
            <w:r w:rsidRPr="00D97729">
              <w:rPr>
                <w:rFonts w:ascii="Calibri" w:hAnsi="Calibri" w:cs="Calibri"/>
                <w:color w:val="000000"/>
                <w:sz w:val="15"/>
                <w:szCs w:val="15"/>
                <w:lang w:eastAsia="es-CO"/>
              </w:rPr>
              <w:t>Ahorro GWh/año</w:t>
            </w:r>
          </w:p>
        </w:tc>
        <w:tc>
          <w:tcPr>
            <w:tcW w:w="302" w:type="pct"/>
            <w:tcBorders>
              <w:top w:val="nil"/>
              <w:left w:val="nil"/>
              <w:bottom w:val="nil"/>
              <w:right w:val="nil"/>
            </w:tcBorders>
            <w:shd w:val="clear" w:color="auto" w:fill="auto"/>
            <w:noWrap/>
            <w:vAlign w:val="bottom"/>
            <w:hideMark/>
          </w:tcPr>
          <w:p w14:paraId="2341B7C2" w14:textId="77777777" w:rsidR="00CD529B" w:rsidRPr="00D97729" w:rsidRDefault="00CD529B" w:rsidP="00564572">
            <w:pPr>
              <w:ind w:firstLineChars="100" w:firstLine="150"/>
              <w:rPr>
                <w:rFonts w:ascii="Calibri" w:hAnsi="Calibri" w:cs="Calibri"/>
                <w:color w:val="000000"/>
                <w:sz w:val="15"/>
                <w:szCs w:val="15"/>
                <w:lang w:eastAsia="es-CO"/>
              </w:rPr>
            </w:pPr>
          </w:p>
        </w:tc>
        <w:tc>
          <w:tcPr>
            <w:tcW w:w="281" w:type="pct"/>
            <w:tcBorders>
              <w:top w:val="nil"/>
              <w:left w:val="nil"/>
              <w:bottom w:val="nil"/>
              <w:right w:val="nil"/>
            </w:tcBorders>
            <w:shd w:val="clear" w:color="auto" w:fill="auto"/>
            <w:noWrap/>
            <w:vAlign w:val="bottom"/>
            <w:hideMark/>
          </w:tcPr>
          <w:p w14:paraId="2341B7C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w:t>
            </w:r>
          </w:p>
        </w:tc>
        <w:tc>
          <w:tcPr>
            <w:tcW w:w="290" w:type="pct"/>
            <w:tcBorders>
              <w:top w:val="nil"/>
              <w:left w:val="nil"/>
              <w:bottom w:val="nil"/>
              <w:right w:val="nil"/>
            </w:tcBorders>
            <w:shd w:val="clear" w:color="auto" w:fill="auto"/>
            <w:noWrap/>
            <w:vAlign w:val="bottom"/>
            <w:hideMark/>
          </w:tcPr>
          <w:p w14:paraId="2341B7C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w:t>
            </w:r>
          </w:p>
        </w:tc>
        <w:tc>
          <w:tcPr>
            <w:tcW w:w="290" w:type="pct"/>
            <w:tcBorders>
              <w:top w:val="nil"/>
              <w:left w:val="nil"/>
              <w:bottom w:val="nil"/>
              <w:right w:val="nil"/>
            </w:tcBorders>
            <w:shd w:val="clear" w:color="auto" w:fill="auto"/>
            <w:noWrap/>
            <w:vAlign w:val="bottom"/>
            <w:hideMark/>
          </w:tcPr>
          <w:p w14:paraId="2341B7C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w:t>
            </w:r>
          </w:p>
        </w:tc>
        <w:tc>
          <w:tcPr>
            <w:tcW w:w="290" w:type="pct"/>
            <w:tcBorders>
              <w:top w:val="nil"/>
              <w:left w:val="nil"/>
              <w:bottom w:val="nil"/>
              <w:right w:val="nil"/>
            </w:tcBorders>
            <w:shd w:val="clear" w:color="auto" w:fill="auto"/>
            <w:noWrap/>
            <w:vAlign w:val="bottom"/>
            <w:hideMark/>
          </w:tcPr>
          <w:p w14:paraId="2341B7C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12</w:t>
            </w:r>
          </w:p>
        </w:tc>
        <w:tc>
          <w:tcPr>
            <w:tcW w:w="290" w:type="pct"/>
            <w:tcBorders>
              <w:top w:val="nil"/>
              <w:left w:val="nil"/>
              <w:bottom w:val="nil"/>
              <w:right w:val="nil"/>
            </w:tcBorders>
            <w:shd w:val="clear" w:color="auto" w:fill="auto"/>
            <w:noWrap/>
            <w:vAlign w:val="bottom"/>
            <w:hideMark/>
          </w:tcPr>
          <w:p w14:paraId="2341B7C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90" w:type="pct"/>
            <w:tcBorders>
              <w:top w:val="nil"/>
              <w:left w:val="nil"/>
              <w:bottom w:val="nil"/>
              <w:right w:val="nil"/>
            </w:tcBorders>
            <w:shd w:val="clear" w:color="auto" w:fill="auto"/>
            <w:noWrap/>
            <w:vAlign w:val="bottom"/>
            <w:hideMark/>
          </w:tcPr>
          <w:p w14:paraId="2341B7C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90" w:type="pct"/>
            <w:tcBorders>
              <w:top w:val="nil"/>
              <w:left w:val="nil"/>
              <w:bottom w:val="nil"/>
              <w:right w:val="nil"/>
            </w:tcBorders>
            <w:shd w:val="clear" w:color="auto" w:fill="auto"/>
            <w:noWrap/>
            <w:vAlign w:val="bottom"/>
            <w:hideMark/>
          </w:tcPr>
          <w:p w14:paraId="2341B7C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90" w:type="pct"/>
            <w:tcBorders>
              <w:top w:val="nil"/>
              <w:left w:val="nil"/>
              <w:bottom w:val="nil"/>
              <w:right w:val="nil"/>
            </w:tcBorders>
            <w:shd w:val="clear" w:color="auto" w:fill="auto"/>
            <w:noWrap/>
            <w:vAlign w:val="bottom"/>
            <w:hideMark/>
          </w:tcPr>
          <w:p w14:paraId="2341B7C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90" w:type="pct"/>
            <w:tcBorders>
              <w:top w:val="nil"/>
              <w:left w:val="nil"/>
              <w:bottom w:val="nil"/>
              <w:right w:val="nil"/>
            </w:tcBorders>
            <w:shd w:val="clear" w:color="auto" w:fill="auto"/>
            <w:noWrap/>
            <w:vAlign w:val="bottom"/>
            <w:hideMark/>
          </w:tcPr>
          <w:p w14:paraId="2341B7C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82" w:type="pct"/>
            <w:tcBorders>
              <w:top w:val="nil"/>
              <w:left w:val="nil"/>
              <w:bottom w:val="nil"/>
              <w:right w:val="nil"/>
            </w:tcBorders>
            <w:shd w:val="clear" w:color="auto" w:fill="auto"/>
            <w:noWrap/>
            <w:vAlign w:val="bottom"/>
            <w:hideMark/>
          </w:tcPr>
          <w:p w14:paraId="2341B7C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w:t>
            </w:r>
          </w:p>
        </w:tc>
        <w:tc>
          <w:tcPr>
            <w:tcW w:w="279" w:type="pct"/>
            <w:tcBorders>
              <w:top w:val="nil"/>
              <w:left w:val="nil"/>
              <w:bottom w:val="nil"/>
              <w:right w:val="nil"/>
            </w:tcBorders>
            <w:shd w:val="clear" w:color="auto" w:fill="auto"/>
            <w:noWrap/>
            <w:vAlign w:val="bottom"/>
            <w:hideMark/>
          </w:tcPr>
          <w:p w14:paraId="2341B7C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w:t>
            </w:r>
          </w:p>
        </w:tc>
      </w:tr>
      <w:tr w:rsidR="00CD529B" w:rsidRPr="00D97729" w14:paraId="2341B7DC" w14:textId="77777777" w:rsidTr="00564572">
        <w:trPr>
          <w:trHeight w:val="300"/>
        </w:trPr>
        <w:tc>
          <w:tcPr>
            <w:tcW w:w="1536" w:type="pct"/>
            <w:tcBorders>
              <w:top w:val="nil"/>
              <w:left w:val="nil"/>
              <w:bottom w:val="single" w:sz="4" w:space="0" w:color="BFBFBF"/>
              <w:right w:val="nil"/>
            </w:tcBorders>
            <w:shd w:val="clear" w:color="auto" w:fill="auto"/>
            <w:noWrap/>
            <w:vAlign w:val="bottom"/>
            <w:hideMark/>
          </w:tcPr>
          <w:p w14:paraId="2341B7CF"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evitadas (TonCO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w:t>
            </w:r>
          </w:p>
        </w:tc>
        <w:tc>
          <w:tcPr>
            <w:tcW w:w="302" w:type="pct"/>
            <w:tcBorders>
              <w:top w:val="nil"/>
              <w:left w:val="nil"/>
              <w:bottom w:val="single" w:sz="4" w:space="0" w:color="BFBFBF"/>
              <w:right w:val="nil"/>
            </w:tcBorders>
            <w:shd w:val="clear" w:color="auto" w:fill="auto"/>
            <w:noWrap/>
            <w:vAlign w:val="bottom"/>
            <w:hideMark/>
          </w:tcPr>
          <w:p w14:paraId="2341B7D0"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1" w:type="pct"/>
            <w:tcBorders>
              <w:top w:val="nil"/>
              <w:left w:val="nil"/>
              <w:bottom w:val="single" w:sz="4" w:space="0" w:color="BFBFBF"/>
              <w:right w:val="nil"/>
            </w:tcBorders>
            <w:shd w:val="clear" w:color="auto" w:fill="auto"/>
            <w:noWrap/>
            <w:vAlign w:val="bottom"/>
            <w:hideMark/>
          </w:tcPr>
          <w:p w14:paraId="2341B7D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405</w:t>
            </w:r>
          </w:p>
        </w:tc>
        <w:tc>
          <w:tcPr>
            <w:tcW w:w="290" w:type="pct"/>
            <w:tcBorders>
              <w:top w:val="nil"/>
              <w:left w:val="nil"/>
              <w:bottom w:val="single" w:sz="4" w:space="0" w:color="BFBFBF"/>
              <w:right w:val="nil"/>
            </w:tcBorders>
            <w:shd w:val="clear" w:color="auto" w:fill="auto"/>
            <w:noWrap/>
            <w:vAlign w:val="bottom"/>
            <w:hideMark/>
          </w:tcPr>
          <w:p w14:paraId="2341B7D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811</w:t>
            </w:r>
          </w:p>
        </w:tc>
        <w:tc>
          <w:tcPr>
            <w:tcW w:w="290" w:type="pct"/>
            <w:tcBorders>
              <w:top w:val="nil"/>
              <w:left w:val="nil"/>
              <w:bottom w:val="single" w:sz="4" w:space="0" w:color="BFBFBF"/>
              <w:right w:val="nil"/>
            </w:tcBorders>
            <w:shd w:val="clear" w:color="auto" w:fill="auto"/>
            <w:noWrap/>
            <w:vAlign w:val="bottom"/>
            <w:hideMark/>
          </w:tcPr>
          <w:p w14:paraId="2341B7D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1.216</w:t>
            </w:r>
          </w:p>
        </w:tc>
        <w:tc>
          <w:tcPr>
            <w:tcW w:w="290" w:type="pct"/>
            <w:tcBorders>
              <w:top w:val="nil"/>
              <w:left w:val="nil"/>
              <w:bottom w:val="single" w:sz="4" w:space="0" w:color="BFBFBF"/>
              <w:right w:val="nil"/>
            </w:tcBorders>
            <w:shd w:val="clear" w:color="auto" w:fill="auto"/>
            <w:noWrap/>
            <w:vAlign w:val="bottom"/>
            <w:hideMark/>
          </w:tcPr>
          <w:p w14:paraId="2341B7D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1.621</w:t>
            </w:r>
          </w:p>
        </w:tc>
        <w:tc>
          <w:tcPr>
            <w:tcW w:w="290" w:type="pct"/>
            <w:tcBorders>
              <w:top w:val="nil"/>
              <w:left w:val="nil"/>
              <w:bottom w:val="single" w:sz="4" w:space="0" w:color="BFBFBF"/>
              <w:right w:val="nil"/>
            </w:tcBorders>
            <w:shd w:val="clear" w:color="auto" w:fill="auto"/>
            <w:noWrap/>
            <w:vAlign w:val="bottom"/>
            <w:hideMark/>
          </w:tcPr>
          <w:p w14:paraId="2341B7D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2.027</w:t>
            </w:r>
          </w:p>
        </w:tc>
        <w:tc>
          <w:tcPr>
            <w:tcW w:w="290" w:type="pct"/>
            <w:tcBorders>
              <w:top w:val="nil"/>
              <w:left w:val="nil"/>
              <w:bottom w:val="single" w:sz="4" w:space="0" w:color="BFBFBF"/>
              <w:right w:val="nil"/>
            </w:tcBorders>
            <w:shd w:val="clear" w:color="auto" w:fill="auto"/>
            <w:noWrap/>
            <w:vAlign w:val="bottom"/>
            <w:hideMark/>
          </w:tcPr>
          <w:p w14:paraId="2341B7D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2.027</w:t>
            </w:r>
          </w:p>
        </w:tc>
        <w:tc>
          <w:tcPr>
            <w:tcW w:w="290" w:type="pct"/>
            <w:tcBorders>
              <w:top w:val="nil"/>
              <w:left w:val="nil"/>
              <w:bottom w:val="single" w:sz="4" w:space="0" w:color="BFBFBF"/>
              <w:right w:val="nil"/>
            </w:tcBorders>
            <w:shd w:val="clear" w:color="auto" w:fill="auto"/>
            <w:noWrap/>
            <w:vAlign w:val="bottom"/>
            <w:hideMark/>
          </w:tcPr>
          <w:p w14:paraId="2341B7D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2.027</w:t>
            </w:r>
          </w:p>
        </w:tc>
        <w:tc>
          <w:tcPr>
            <w:tcW w:w="290" w:type="pct"/>
            <w:tcBorders>
              <w:top w:val="nil"/>
              <w:left w:val="nil"/>
              <w:bottom w:val="single" w:sz="4" w:space="0" w:color="BFBFBF"/>
              <w:right w:val="nil"/>
            </w:tcBorders>
            <w:shd w:val="clear" w:color="auto" w:fill="auto"/>
            <w:noWrap/>
            <w:vAlign w:val="bottom"/>
            <w:hideMark/>
          </w:tcPr>
          <w:p w14:paraId="2341B7D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2.027</w:t>
            </w:r>
          </w:p>
        </w:tc>
        <w:tc>
          <w:tcPr>
            <w:tcW w:w="290" w:type="pct"/>
            <w:tcBorders>
              <w:top w:val="nil"/>
              <w:left w:val="nil"/>
              <w:bottom w:val="single" w:sz="4" w:space="0" w:color="BFBFBF"/>
              <w:right w:val="nil"/>
            </w:tcBorders>
            <w:shd w:val="clear" w:color="auto" w:fill="auto"/>
            <w:noWrap/>
            <w:vAlign w:val="bottom"/>
            <w:hideMark/>
          </w:tcPr>
          <w:p w14:paraId="2341B7D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2.027</w:t>
            </w:r>
          </w:p>
        </w:tc>
        <w:tc>
          <w:tcPr>
            <w:tcW w:w="282" w:type="pct"/>
            <w:tcBorders>
              <w:top w:val="nil"/>
              <w:left w:val="nil"/>
              <w:bottom w:val="single" w:sz="4" w:space="0" w:color="BFBFBF"/>
              <w:right w:val="nil"/>
            </w:tcBorders>
            <w:shd w:val="clear" w:color="auto" w:fill="auto"/>
            <w:noWrap/>
            <w:vAlign w:val="bottom"/>
            <w:hideMark/>
          </w:tcPr>
          <w:p w14:paraId="2341B7D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2.027</w:t>
            </w:r>
          </w:p>
        </w:tc>
        <w:tc>
          <w:tcPr>
            <w:tcW w:w="279" w:type="pct"/>
            <w:tcBorders>
              <w:top w:val="nil"/>
              <w:left w:val="nil"/>
              <w:bottom w:val="single" w:sz="4" w:space="0" w:color="BFBFBF"/>
              <w:right w:val="nil"/>
            </w:tcBorders>
            <w:shd w:val="clear" w:color="auto" w:fill="auto"/>
            <w:noWrap/>
            <w:vAlign w:val="bottom"/>
            <w:hideMark/>
          </w:tcPr>
          <w:p w14:paraId="2341B7D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2.027</w:t>
            </w:r>
          </w:p>
        </w:tc>
      </w:tr>
      <w:tr w:rsidR="00CD529B" w:rsidRPr="00D97729" w14:paraId="2341B7EA" w14:textId="77777777" w:rsidTr="00564572">
        <w:trPr>
          <w:trHeight w:val="300"/>
        </w:trPr>
        <w:tc>
          <w:tcPr>
            <w:tcW w:w="1536" w:type="pct"/>
            <w:tcBorders>
              <w:top w:val="nil"/>
              <w:left w:val="nil"/>
              <w:bottom w:val="nil"/>
              <w:right w:val="nil"/>
            </w:tcBorders>
            <w:shd w:val="clear" w:color="auto" w:fill="auto"/>
            <w:noWrap/>
            <w:vAlign w:val="bottom"/>
            <w:hideMark/>
          </w:tcPr>
          <w:p w14:paraId="2341B7DD"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en Tarifa establecimiento comercial ($COP Millones)</w:t>
            </w:r>
          </w:p>
        </w:tc>
        <w:tc>
          <w:tcPr>
            <w:tcW w:w="302" w:type="pct"/>
            <w:tcBorders>
              <w:top w:val="nil"/>
              <w:left w:val="nil"/>
              <w:bottom w:val="nil"/>
              <w:right w:val="nil"/>
            </w:tcBorders>
            <w:shd w:val="clear" w:color="auto" w:fill="auto"/>
            <w:noWrap/>
            <w:vAlign w:val="bottom"/>
            <w:hideMark/>
          </w:tcPr>
          <w:p w14:paraId="2341B7DE"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1" w:type="pct"/>
            <w:tcBorders>
              <w:top w:val="nil"/>
              <w:left w:val="nil"/>
              <w:bottom w:val="nil"/>
              <w:right w:val="nil"/>
            </w:tcBorders>
            <w:shd w:val="clear" w:color="auto" w:fill="auto"/>
            <w:noWrap/>
            <w:vAlign w:val="bottom"/>
            <w:hideMark/>
          </w:tcPr>
          <w:p w14:paraId="2341B7D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927</w:t>
            </w:r>
          </w:p>
        </w:tc>
        <w:tc>
          <w:tcPr>
            <w:tcW w:w="290" w:type="pct"/>
            <w:tcBorders>
              <w:top w:val="nil"/>
              <w:left w:val="nil"/>
              <w:bottom w:val="nil"/>
              <w:right w:val="nil"/>
            </w:tcBorders>
            <w:shd w:val="clear" w:color="auto" w:fill="auto"/>
            <w:noWrap/>
            <w:vAlign w:val="bottom"/>
            <w:hideMark/>
          </w:tcPr>
          <w:p w14:paraId="2341B7E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1.855</w:t>
            </w:r>
          </w:p>
        </w:tc>
        <w:tc>
          <w:tcPr>
            <w:tcW w:w="290" w:type="pct"/>
            <w:tcBorders>
              <w:top w:val="nil"/>
              <w:left w:val="nil"/>
              <w:bottom w:val="nil"/>
              <w:right w:val="nil"/>
            </w:tcBorders>
            <w:shd w:val="clear" w:color="auto" w:fill="auto"/>
            <w:noWrap/>
            <w:vAlign w:val="bottom"/>
            <w:hideMark/>
          </w:tcPr>
          <w:p w14:paraId="2341B7E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2.782</w:t>
            </w:r>
          </w:p>
        </w:tc>
        <w:tc>
          <w:tcPr>
            <w:tcW w:w="290" w:type="pct"/>
            <w:tcBorders>
              <w:top w:val="nil"/>
              <w:left w:val="nil"/>
              <w:bottom w:val="nil"/>
              <w:right w:val="nil"/>
            </w:tcBorders>
            <w:shd w:val="clear" w:color="auto" w:fill="auto"/>
            <w:noWrap/>
            <w:vAlign w:val="bottom"/>
            <w:hideMark/>
          </w:tcPr>
          <w:p w14:paraId="2341B7E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3.709</w:t>
            </w:r>
          </w:p>
        </w:tc>
        <w:tc>
          <w:tcPr>
            <w:tcW w:w="290" w:type="pct"/>
            <w:tcBorders>
              <w:top w:val="nil"/>
              <w:left w:val="nil"/>
              <w:bottom w:val="nil"/>
              <w:right w:val="nil"/>
            </w:tcBorders>
            <w:shd w:val="clear" w:color="auto" w:fill="auto"/>
            <w:noWrap/>
            <w:vAlign w:val="bottom"/>
            <w:hideMark/>
          </w:tcPr>
          <w:p w14:paraId="2341B7E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4.636</w:t>
            </w:r>
          </w:p>
        </w:tc>
        <w:tc>
          <w:tcPr>
            <w:tcW w:w="290" w:type="pct"/>
            <w:tcBorders>
              <w:top w:val="nil"/>
              <w:left w:val="nil"/>
              <w:bottom w:val="nil"/>
              <w:right w:val="nil"/>
            </w:tcBorders>
            <w:shd w:val="clear" w:color="auto" w:fill="auto"/>
            <w:noWrap/>
            <w:vAlign w:val="bottom"/>
            <w:hideMark/>
          </w:tcPr>
          <w:p w14:paraId="2341B7E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4.636</w:t>
            </w:r>
          </w:p>
        </w:tc>
        <w:tc>
          <w:tcPr>
            <w:tcW w:w="290" w:type="pct"/>
            <w:tcBorders>
              <w:top w:val="nil"/>
              <w:left w:val="nil"/>
              <w:bottom w:val="nil"/>
              <w:right w:val="nil"/>
            </w:tcBorders>
            <w:shd w:val="clear" w:color="auto" w:fill="auto"/>
            <w:noWrap/>
            <w:vAlign w:val="bottom"/>
            <w:hideMark/>
          </w:tcPr>
          <w:p w14:paraId="2341B7E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4.636</w:t>
            </w:r>
          </w:p>
        </w:tc>
        <w:tc>
          <w:tcPr>
            <w:tcW w:w="290" w:type="pct"/>
            <w:tcBorders>
              <w:top w:val="nil"/>
              <w:left w:val="nil"/>
              <w:bottom w:val="nil"/>
              <w:right w:val="nil"/>
            </w:tcBorders>
            <w:shd w:val="clear" w:color="auto" w:fill="auto"/>
            <w:noWrap/>
            <w:vAlign w:val="bottom"/>
            <w:hideMark/>
          </w:tcPr>
          <w:p w14:paraId="2341B7E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4.636</w:t>
            </w:r>
          </w:p>
        </w:tc>
        <w:tc>
          <w:tcPr>
            <w:tcW w:w="290" w:type="pct"/>
            <w:tcBorders>
              <w:top w:val="nil"/>
              <w:left w:val="nil"/>
              <w:bottom w:val="nil"/>
              <w:right w:val="nil"/>
            </w:tcBorders>
            <w:shd w:val="clear" w:color="auto" w:fill="auto"/>
            <w:noWrap/>
            <w:vAlign w:val="bottom"/>
            <w:hideMark/>
          </w:tcPr>
          <w:p w14:paraId="2341B7E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4.636</w:t>
            </w:r>
          </w:p>
        </w:tc>
        <w:tc>
          <w:tcPr>
            <w:tcW w:w="282" w:type="pct"/>
            <w:tcBorders>
              <w:top w:val="nil"/>
              <w:left w:val="nil"/>
              <w:bottom w:val="nil"/>
              <w:right w:val="nil"/>
            </w:tcBorders>
            <w:shd w:val="clear" w:color="auto" w:fill="auto"/>
            <w:noWrap/>
            <w:vAlign w:val="bottom"/>
            <w:hideMark/>
          </w:tcPr>
          <w:p w14:paraId="2341B7E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4.636</w:t>
            </w:r>
          </w:p>
        </w:tc>
        <w:tc>
          <w:tcPr>
            <w:tcW w:w="279" w:type="pct"/>
            <w:tcBorders>
              <w:top w:val="nil"/>
              <w:left w:val="nil"/>
              <w:bottom w:val="nil"/>
              <w:right w:val="nil"/>
            </w:tcBorders>
            <w:shd w:val="clear" w:color="auto" w:fill="auto"/>
            <w:noWrap/>
            <w:vAlign w:val="bottom"/>
            <w:hideMark/>
          </w:tcPr>
          <w:p w14:paraId="2341B7E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4.636</w:t>
            </w:r>
          </w:p>
        </w:tc>
      </w:tr>
      <w:tr w:rsidR="00CD529B" w:rsidRPr="00D97729" w14:paraId="2341B7F8" w14:textId="77777777" w:rsidTr="00564572">
        <w:trPr>
          <w:trHeight w:val="300"/>
        </w:trPr>
        <w:tc>
          <w:tcPr>
            <w:tcW w:w="1536" w:type="pct"/>
            <w:tcBorders>
              <w:top w:val="nil"/>
              <w:left w:val="nil"/>
              <w:bottom w:val="nil"/>
              <w:right w:val="nil"/>
            </w:tcBorders>
            <w:shd w:val="clear" w:color="auto" w:fill="auto"/>
            <w:noWrap/>
            <w:vAlign w:val="bottom"/>
            <w:hideMark/>
          </w:tcPr>
          <w:p w14:paraId="2341B7EB"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Menores contribuciones percibidas por GDC ($COP Millones)</w:t>
            </w:r>
          </w:p>
        </w:tc>
        <w:tc>
          <w:tcPr>
            <w:tcW w:w="302" w:type="pct"/>
            <w:tcBorders>
              <w:top w:val="nil"/>
              <w:left w:val="nil"/>
              <w:bottom w:val="nil"/>
              <w:right w:val="nil"/>
            </w:tcBorders>
            <w:shd w:val="clear" w:color="auto" w:fill="auto"/>
            <w:noWrap/>
            <w:vAlign w:val="bottom"/>
            <w:hideMark/>
          </w:tcPr>
          <w:p w14:paraId="2341B7EC"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1" w:type="pct"/>
            <w:tcBorders>
              <w:top w:val="nil"/>
              <w:left w:val="nil"/>
              <w:bottom w:val="nil"/>
              <w:right w:val="nil"/>
            </w:tcBorders>
            <w:shd w:val="clear" w:color="auto" w:fill="auto"/>
            <w:noWrap/>
            <w:vAlign w:val="bottom"/>
            <w:hideMark/>
          </w:tcPr>
          <w:p w14:paraId="2341B7E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-155</w:t>
            </w:r>
          </w:p>
        </w:tc>
        <w:tc>
          <w:tcPr>
            <w:tcW w:w="290" w:type="pct"/>
            <w:tcBorders>
              <w:top w:val="nil"/>
              <w:left w:val="nil"/>
              <w:bottom w:val="nil"/>
              <w:right w:val="nil"/>
            </w:tcBorders>
            <w:shd w:val="clear" w:color="auto" w:fill="auto"/>
            <w:noWrap/>
            <w:vAlign w:val="bottom"/>
            <w:hideMark/>
          </w:tcPr>
          <w:p w14:paraId="2341B7E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-309</w:t>
            </w:r>
          </w:p>
        </w:tc>
        <w:tc>
          <w:tcPr>
            <w:tcW w:w="290" w:type="pct"/>
            <w:tcBorders>
              <w:top w:val="nil"/>
              <w:left w:val="nil"/>
              <w:bottom w:val="nil"/>
              <w:right w:val="nil"/>
            </w:tcBorders>
            <w:shd w:val="clear" w:color="auto" w:fill="auto"/>
            <w:noWrap/>
            <w:vAlign w:val="bottom"/>
            <w:hideMark/>
          </w:tcPr>
          <w:p w14:paraId="2341B7E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-464</w:t>
            </w:r>
          </w:p>
        </w:tc>
        <w:tc>
          <w:tcPr>
            <w:tcW w:w="290" w:type="pct"/>
            <w:tcBorders>
              <w:top w:val="nil"/>
              <w:left w:val="nil"/>
              <w:bottom w:val="nil"/>
              <w:right w:val="nil"/>
            </w:tcBorders>
            <w:shd w:val="clear" w:color="auto" w:fill="auto"/>
            <w:noWrap/>
            <w:vAlign w:val="bottom"/>
            <w:hideMark/>
          </w:tcPr>
          <w:p w14:paraId="2341B7F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-618</w:t>
            </w:r>
          </w:p>
        </w:tc>
        <w:tc>
          <w:tcPr>
            <w:tcW w:w="290" w:type="pct"/>
            <w:tcBorders>
              <w:top w:val="nil"/>
              <w:left w:val="nil"/>
              <w:bottom w:val="nil"/>
              <w:right w:val="nil"/>
            </w:tcBorders>
            <w:shd w:val="clear" w:color="auto" w:fill="auto"/>
            <w:noWrap/>
            <w:vAlign w:val="bottom"/>
            <w:hideMark/>
          </w:tcPr>
          <w:p w14:paraId="2341B7F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-773</w:t>
            </w:r>
          </w:p>
        </w:tc>
        <w:tc>
          <w:tcPr>
            <w:tcW w:w="290" w:type="pct"/>
            <w:tcBorders>
              <w:top w:val="nil"/>
              <w:left w:val="nil"/>
              <w:bottom w:val="nil"/>
              <w:right w:val="nil"/>
            </w:tcBorders>
            <w:shd w:val="clear" w:color="auto" w:fill="auto"/>
            <w:noWrap/>
            <w:vAlign w:val="bottom"/>
            <w:hideMark/>
          </w:tcPr>
          <w:p w14:paraId="2341B7F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-773</w:t>
            </w:r>
          </w:p>
        </w:tc>
        <w:tc>
          <w:tcPr>
            <w:tcW w:w="290" w:type="pct"/>
            <w:tcBorders>
              <w:top w:val="nil"/>
              <w:left w:val="nil"/>
              <w:bottom w:val="nil"/>
              <w:right w:val="nil"/>
            </w:tcBorders>
            <w:shd w:val="clear" w:color="auto" w:fill="auto"/>
            <w:noWrap/>
            <w:vAlign w:val="bottom"/>
            <w:hideMark/>
          </w:tcPr>
          <w:p w14:paraId="2341B7F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-773</w:t>
            </w:r>
          </w:p>
        </w:tc>
        <w:tc>
          <w:tcPr>
            <w:tcW w:w="290" w:type="pct"/>
            <w:tcBorders>
              <w:top w:val="nil"/>
              <w:left w:val="nil"/>
              <w:bottom w:val="nil"/>
              <w:right w:val="nil"/>
            </w:tcBorders>
            <w:shd w:val="clear" w:color="auto" w:fill="auto"/>
            <w:noWrap/>
            <w:vAlign w:val="bottom"/>
            <w:hideMark/>
          </w:tcPr>
          <w:p w14:paraId="2341B7F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-773</w:t>
            </w:r>
          </w:p>
        </w:tc>
        <w:tc>
          <w:tcPr>
            <w:tcW w:w="290" w:type="pct"/>
            <w:tcBorders>
              <w:top w:val="nil"/>
              <w:left w:val="nil"/>
              <w:bottom w:val="nil"/>
              <w:right w:val="nil"/>
            </w:tcBorders>
            <w:shd w:val="clear" w:color="auto" w:fill="auto"/>
            <w:noWrap/>
            <w:vAlign w:val="bottom"/>
            <w:hideMark/>
          </w:tcPr>
          <w:p w14:paraId="2341B7F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-773</w:t>
            </w:r>
          </w:p>
        </w:tc>
        <w:tc>
          <w:tcPr>
            <w:tcW w:w="282" w:type="pct"/>
            <w:tcBorders>
              <w:top w:val="nil"/>
              <w:left w:val="nil"/>
              <w:bottom w:val="nil"/>
              <w:right w:val="nil"/>
            </w:tcBorders>
            <w:shd w:val="clear" w:color="auto" w:fill="auto"/>
            <w:noWrap/>
            <w:vAlign w:val="bottom"/>
            <w:hideMark/>
          </w:tcPr>
          <w:p w14:paraId="2341B7F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-773</w:t>
            </w:r>
          </w:p>
        </w:tc>
        <w:tc>
          <w:tcPr>
            <w:tcW w:w="279" w:type="pct"/>
            <w:tcBorders>
              <w:top w:val="nil"/>
              <w:left w:val="nil"/>
              <w:bottom w:val="nil"/>
              <w:right w:val="nil"/>
            </w:tcBorders>
            <w:shd w:val="clear" w:color="auto" w:fill="auto"/>
            <w:noWrap/>
            <w:vAlign w:val="bottom"/>
            <w:hideMark/>
          </w:tcPr>
          <w:p w14:paraId="2341B7F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-773</w:t>
            </w:r>
          </w:p>
        </w:tc>
      </w:tr>
      <w:tr w:rsidR="00CD529B" w:rsidRPr="00D97729" w14:paraId="2341B806" w14:textId="77777777" w:rsidTr="00564572">
        <w:trPr>
          <w:trHeight w:val="300"/>
        </w:trPr>
        <w:tc>
          <w:tcPr>
            <w:tcW w:w="1536" w:type="pct"/>
            <w:tcBorders>
              <w:top w:val="nil"/>
              <w:left w:val="nil"/>
              <w:bottom w:val="nil"/>
              <w:right w:val="nil"/>
            </w:tcBorders>
            <w:shd w:val="clear" w:color="auto" w:fill="auto"/>
            <w:noWrap/>
            <w:vAlign w:val="bottom"/>
            <w:hideMark/>
          </w:tcPr>
          <w:p w14:paraId="2341B7F9"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($COP Millones)</w:t>
            </w:r>
          </w:p>
        </w:tc>
        <w:tc>
          <w:tcPr>
            <w:tcW w:w="302" w:type="pct"/>
            <w:tcBorders>
              <w:top w:val="nil"/>
              <w:left w:val="nil"/>
              <w:bottom w:val="nil"/>
              <w:right w:val="nil"/>
            </w:tcBorders>
            <w:shd w:val="clear" w:color="auto" w:fill="auto"/>
            <w:noWrap/>
            <w:vAlign w:val="bottom"/>
            <w:hideMark/>
          </w:tcPr>
          <w:p w14:paraId="2341B7FA"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1" w:type="pct"/>
            <w:tcBorders>
              <w:top w:val="nil"/>
              <w:left w:val="nil"/>
              <w:bottom w:val="nil"/>
              <w:right w:val="nil"/>
            </w:tcBorders>
            <w:shd w:val="clear" w:color="auto" w:fill="auto"/>
            <w:noWrap/>
            <w:vAlign w:val="bottom"/>
            <w:hideMark/>
          </w:tcPr>
          <w:p w14:paraId="2341B7F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w:t>
            </w:r>
          </w:p>
        </w:tc>
        <w:tc>
          <w:tcPr>
            <w:tcW w:w="290" w:type="pct"/>
            <w:tcBorders>
              <w:top w:val="nil"/>
              <w:left w:val="nil"/>
              <w:bottom w:val="nil"/>
              <w:right w:val="nil"/>
            </w:tcBorders>
            <w:shd w:val="clear" w:color="auto" w:fill="auto"/>
            <w:noWrap/>
            <w:vAlign w:val="bottom"/>
            <w:hideMark/>
          </w:tcPr>
          <w:p w14:paraId="2341B7F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15</w:t>
            </w:r>
          </w:p>
        </w:tc>
        <w:tc>
          <w:tcPr>
            <w:tcW w:w="290" w:type="pct"/>
            <w:tcBorders>
              <w:top w:val="nil"/>
              <w:left w:val="nil"/>
              <w:bottom w:val="nil"/>
              <w:right w:val="nil"/>
            </w:tcBorders>
            <w:shd w:val="clear" w:color="auto" w:fill="auto"/>
            <w:noWrap/>
            <w:vAlign w:val="bottom"/>
            <w:hideMark/>
          </w:tcPr>
          <w:p w14:paraId="2341B7F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w:t>
            </w:r>
          </w:p>
        </w:tc>
        <w:tc>
          <w:tcPr>
            <w:tcW w:w="290" w:type="pct"/>
            <w:tcBorders>
              <w:top w:val="nil"/>
              <w:left w:val="nil"/>
              <w:bottom w:val="nil"/>
              <w:right w:val="nil"/>
            </w:tcBorders>
            <w:shd w:val="clear" w:color="auto" w:fill="auto"/>
            <w:noWrap/>
            <w:vAlign w:val="bottom"/>
            <w:hideMark/>
          </w:tcPr>
          <w:p w14:paraId="2341B7F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29</w:t>
            </w:r>
          </w:p>
        </w:tc>
        <w:tc>
          <w:tcPr>
            <w:tcW w:w="290" w:type="pct"/>
            <w:tcBorders>
              <w:top w:val="nil"/>
              <w:left w:val="nil"/>
              <w:bottom w:val="nil"/>
              <w:right w:val="nil"/>
            </w:tcBorders>
            <w:shd w:val="clear" w:color="auto" w:fill="auto"/>
            <w:noWrap/>
            <w:vAlign w:val="bottom"/>
            <w:hideMark/>
          </w:tcPr>
          <w:p w14:paraId="2341B7F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w:t>
            </w:r>
          </w:p>
        </w:tc>
        <w:tc>
          <w:tcPr>
            <w:tcW w:w="290" w:type="pct"/>
            <w:tcBorders>
              <w:top w:val="nil"/>
              <w:left w:val="nil"/>
              <w:bottom w:val="nil"/>
              <w:right w:val="nil"/>
            </w:tcBorders>
            <w:shd w:val="clear" w:color="auto" w:fill="auto"/>
            <w:noWrap/>
            <w:vAlign w:val="bottom"/>
            <w:hideMark/>
          </w:tcPr>
          <w:p w14:paraId="2341B80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w:t>
            </w:r>
          </w:p>
        </w:tc>
        <w:tc>
          <w:tcPr>
            <w:tcW w:w="290" w:type="pct"/>
            <w:tcBorders>
              <w:top w:val="nil"/>
              <w:left w:val="nil"/>
              <w:bottom w:val="nil"/>
              <w:right w:val="nil"/>
            </w:tcBorders>
            <w:shd w:val="clear" w:color="auto" w:fill="auto"/>
            <w:noWrap/>
            <w:vAlign w:val="bottom"/>
            <w:hideMark/>
          </w:tcPr>
          <w:p w14:paraId="2341B80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w:t>
            </w:r>
          </w:p>
        </w:tc>
        <w:tc>
          <w:tcPr>
            <w:tcW w:w="290" w:type="pct"/>
            <w:tcBorders>
              <w:top w:val="nil"/>
              <w:left w:val="nil"/>
              <w:bottom w:val="nil"/>
              <w:right w:val="nil"/>
            </w:tcBorders>
            <w:shd w:val="clear" w:color="auto" w:fill="auto"/>
            <w:noWrap/>
            <w:vAlign w:val="bottom"/>
            <w:hideMark/>
          </w:tcPr>
          <w:p w14:paraId="2341B80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w:t>
            </w:r>
          </w:p>
        </w:tc>
        <w:tc>
          <w:tcPr>
            <w:tcW w:w="290" w:type="pct"/>
            <w:tcBorders>
              <w:top w:val="nil"/>
              <w:left w:val="nil"/>
              <w:bottom w:val="nil"/>
              <w:right w:val="nil"/>
            </w:tcBorders>
            <w:shd w:val="clear" w:color="auto" w:fill="auto"/>
            <w:noWrap/>
            <w:vAlign w:val="bottom"/>
            <w:hideMark/>
          </w:tcPr>
          <w:p w14:paraId="2341B80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w:t>
            </w:r>
          </w:p>
        </w:tc>
        <w:tc>
          <w:tcPr>
            <w:tcW w:w="282" w:type="pct"/>
            <w:tcBorders>
              <w:top w:val="nil"/>
              <w:left w:val="nil"/>
              <w:bottom w:val="nil"/>
              <w:right w:val="nil"/>
            </w:tcBorders>
            <w:shd w:val="clear" w:color="auto" w:fill="auto"/>
            <w:noWrap/>
            <w:vAlign w:val="bottom"/>
            <w:hideMark/>
          </w:tcPr>
          <w:p w14:paraId="2341B80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w:t>
            </w:r>
          </w:p>
        </w:tc>
        <w:tc>
          <w:tcPr>
            <w:tcW w:w="279" w:type="pct"/>
            <w:tcBorders>
              <w:top w:val="nil"/>
              <w:left w:val="nil"/>
              <w:bottom w:val="nil"/>
              <w:right w:val="nil"/>
            </w:tcBorders>
            <w:shd w:val="clear" w:color="auto" w:fill="auto"/>
            <w:noWrap/>
            <w:vAlign w:val="bottom"/>
            <w:hideMark/>
          </w:tcPr>
          <w:p w14:paraId="2341B80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w:t>
            </w:r>
          </w:p>
        </w:tc>
      </w:tr>
      <w:tr w:rsidR="00CD529B" w:rsidRPr="00D97729" w14:paraId="2341B814" w14:textId="77777777" w:rsidTr="00564572">
        <w:trPr>
          <w:trHeight w:val="300"/>
        </w:trPr>
        <w:tc>
          <w:tcPr>
            <w:tcW w:w="1536" w:type="pct"/>
            <w:tcBorders>
              <w:top w:val="nil"/>
              <w:left w:val="nil"/>
              <w:bottom w:val="single" w:sz="4" w:space="0" w:color="auto"/>
              <w:right w:val="nil"/>
            </w:tcBorders>
            <w:shd w:val="clear" w:color="auto" w:fill="auto"/>
            <w:noWrap/>
            <w:vAlign w:val="bottom"/>
            <w:hideMark/>
          </w:tcPr>
          <w:p w14:paraId="2341B807"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planta de generación evitada ($COP Millones)</w:t>
            </w:r>
          </w:p>
        </w:tc>
        <w:tc>
          <w:tcPr>
            <w:tcW w:w="302" w:type="pct"/>
            <w:tcBorders>
              <w:top w:val="nil"/>
              <w:left w:val="nil"/>
              <w:bottom w:val="single" w:sz="4" w:space="0" w:color="auto"/>
              <w:right w:val="nil"/>
            </w:tcBorders>
            <w:shd w:val="clear" w:color="auto" w:fill="auto"/>
            <w:noWrap/>
            <w:vAlign w:val="bottom"/>
            <w:hideMark/>
          </w:tcPr>
          <w:p w14:paraId="2341B808"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1" w:type="pct"/>
            <w:tcBorders>
              <w:top w:val="nil"/>
              <w:left w:val="nil"/>
              <w:bottom w:val="single" w:sz="4" w:space="0" w:color="auto"/>
              <w:right w:val="nil"/>
            </w:tcBorders>
            <w:shd w:val="clear" w:color="auto" w:fill="auto"/>
            <w:noWrap/>
            <w:vAlign w:val="bottom"/>
            <w:hideMark/>
          </w:tcPr>
          <w:p w14:paraId="2341B80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341B80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341B80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341B80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18.862</w:t>
            </w:r>
          </w:p>
        </w:tc>
        <w:tc>
          <w:tcPr>
            <w:tcW w:w="290" w:type="pct"/>
            <w:tcBorders>
              <w:top w:val="nil"/>
              <w:left w:val="nil"/>
              <w:bottom w:val="single" w:sz="4" w:space="0" w:color="auto"/>
              <w:right w:val="nil"/>
            </w:tcBorders>
            <w:shd w:val="clear" w:color="auto" w:fill="auto"/>
            <w:noWrap/>
            <w:vAlign w:val="bottom"/>
            <w:hideMark/>
          </w:tcPr>
          <w:p w14:paraId="2341B80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341B80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341B80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341B81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single" w:sz="4" w:space="0" w:color="auto"/>
              <w:right w:val="nil"/>
            </w:tcBorders>
            <w:shd w:val="clear" w:color="auto" w:fill="auto"/>
            <w:noWrap/>
            <w:vAlign w:val="bottom"/>
            <w:hideMark/>
          </w:tcPr>
          <w:p w14:paraId="2341B81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nil"/>
              <w:left w:val="nil"/>
              <w:bottom w:val="single" w:sz="4" w:space="0" w:color="auto"/>
              <w:right w:val="nil"/>
            </w:tcBorders>
            <w:shd w:val="clear" w:color="auto" w:fill="auto"/>
            <w:noWrap/>
            <w:vAlign w:val="bottom"/>
            <w:hideMark/>
          </w:tcPr>
          <w:p w14:paraId="2341B81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single" w:sz="4" w:space="0" w:color="auto"/>
              <w:right w:val="nil"/>
            </w:tcBorders>
            <w:shd w:val="clear" w:color="auto" w:fill="auto"/>
            <w:noWrap/>
            <w:vAlign w:val="bottom"/>
            <w:hideMark/>
          </w:tcPr>
          <w:p w14:paraId="2341B81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97729" w14:paraId="2341B822" w14:textId="77777777" w:rsidTr="00564572">
        <w:trPr>
          <w:trHeight w:val="300"/>
        </w:trPr>
        <w:tc>
          <w:tcPr>
            <w:tcW w:w="1536" w:type="pct"/>
            <w:tcBorders>
              <w:top w:val="nil"/>
              <w:left w:val="nil"/>
              <w:bottom w:val="single" w:sz="4" w:space="0" w:color="auto"/>
              <w:right w:val="nil"/>
            </w:tcBorders>
            <w:shd w:val="clear" w:color="auto" w:fill="auto"/>
            <w:noWrap/>
            <w:vAlign w:val="bottom"/>
            <w:hideMark/>
          </w:tcPr>
          <w:p w14:paraId="2341B815" w14:textId="77777777" w:rsidR="00CD529B" w:rsidRPr="00D97729" w:rsidRDefault="00CD529B" w:rsidP="00564572">
            <w:pPr>
              <w:ind w:firstLineChars="100" w:firstLine="150"/>
              <w:rPr>
                <w:rFonts w:ascii="Calibri" w:hAnsi="Calibri" w:cs="Calibri"/>
                <w:color w:val="000000"/>
                <w:sz w:val="15"/>
                <w:szCs w:val="15"/>
                <w:lang w:eastAsia="es-CO"/>
              </w:rPr>
            </w:pPr>
            <w:r w:rsidRPr="00D97729">
              <w:rPr>
                <w:rFonts w:ascii="Calibri" w:hAnsi="Calibri" w:cs="Calibri"/>
                <w:color w:val="000000"/>
                <w:sz w:val="15"/>
                <w:szCs w:val="15"/>
                <w:lang w:eastAsia="es-CO"/>
              </w:rPr>
              <w:t>Total Beneficios ($COP Millones)</w:t>
            </w:r>
          </w:p>
        </w:tc>
        <w:tc>
          <w:tcPr>
            <w:tcW w:w="302" w:type="pct"/>
            <w:tcBorders>
              <w:top w:val="nil"/>
              <w:left w:val="nil"/>
              <w:bottom w:val="single" w:sz="4" w:space="0" w:color="auto"/>
              <w:right w:val="nil"/>
            </w:tcBorders>
            <w:shd w:val="clear" w:color="auto" w:fill="auto"/>
            <w:noWrap/>
            <w:vAlign w:val="bottom"/>
            <w:hideMark/>
          </w:tcPr>
          <w:p w14:paraId="2341B816" w14:textId="77777777" w:rsidR="00CD529B" w:rsidRPr="00D97729" w:rsidRDefault="00CD529B" w:rsidP="00564572">
            <w:pPr>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81" w:type="pct"/>
            <w:tcBorders>
              <w:top w:val="nil"/>
              <w:left w:val="nil"/>
              <w:bottom w:val="single" w:sz="4" w:space="0" w:color="auto"/>
              <w:right w:val="nil"/>
            </w:tcBorders>
            <w:shd w:val="clear" w:color="auto" w:fill="auto"/>
            <w:noWrap/>
            <w:vAlign w:val="bottom"/>
            <w:hideMark/>
          </w:tcPr>
          <w:p w14:paraId="2341B81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780</w:t>
            </w:r>
          </w:p>
        </w:tc>
        <w:tc>
          <w:tcPr>
            <w:tcW w:w="290" w:type="pct"/>
            <w:tcBorders>
              <w:top w:val="nil"/>
              <w:left w:val="nil"/>
              <w:bottom w:val="single" w:sz="4" w:space="0" w:color="auto"/>
              <w:right w:val="nil"/>
            </w:tcBorders>
            <w:shd w:val="clear" w:color="auto" w:fill="auto"/>
            <w:noWrap/>
            <w:vAlign w:val="bottom"/>
            <w:hideMark/>
          </w:tcPr>
          <w:p w14:paraId="2341B81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1.560</w:t>
            </w:r>
          </w:p>
        </w:tc>
        <w:tc>
          <w:tcPr>
            <w:tcW w:w="290" w:type="pct"/>
            <w:tcBorders>
              <w:top w:val="nil"/>
              <w:left w:val="nil"/>
              <w:bottom w:val="single" w:sz="4" w:space="0" w:color="auto"/>
              <w:right w:val="nil"/>
            </w:tcBorders>
            <w:shd w:val="clear" w:color="auto" w:fill="auto"/>
            <w:noWrap/>
            <w:vAlign w:val="bottom"/>
            <w:hideMark/>
          </w:tcPr>
          <w:p w14:paraId="2341B81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2.340</w:t>
            </w:r>
          </w:p>
        </w:tc>
        <w:tc>
          <w:tcPr>
            <w:tcW w:w="290" w:type="pct"/>
            <w:tcBorders>
              <w:top w:val="nil"/>
              <w:left w:val="nil"/>
              <w:bottom w:val="single" w:sz="4" w:space="0" w:color="auto"/>
              <w:right w:val="nil"/>
            </w:tcBorders>
            <w:shd w:val="clear" w:color="auto" w:fill="auto"/>
            <w:noWrap/>
            <w:vAlign w:val="bottom"/>
            <w:hideMark/>
          </w:tcPr>
          <w:p w14:paraId="2341B81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21.982</w:t>
            </w:r>
          </w:p>
        </w:tc>
        <w:tc>
          <w:tcPr>
            <w:tcW w:w="290" w:type="pct"/>
            <w:tcBorders>
              <w:top w:val="nil"/>
              <w:left w:val="nil"/>
              <w:bottom w:val="single" w:sz="4" w:space="0" w:color="auto"/>
              <w:right w:val="nil"/>
            </w:tcBorders>
            <w:shd w:val="clear" w:color="auto" w:fill="auto"/>
            <w:noWrap/>
            <w:vAlign w:val="bottom"/>
            <w:hideMark/>
          </w:tcPr>
          <w:p w14:paraId="2341B81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2341B81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2341B81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2341B81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2341B81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82" w:type="pct"/>
            <w:tcBorders>
              <w:top w:val="nil"/>
              <w:left w:val="nil"/>
              <w:bottom w:val="single" w:sz="4" w:space="0" w:color="auto"/>
              <w:right w:val="nil"/>
            </w:tcBorders>
            <w:shd w:val="clear" w:color="auto" w:fill="auto"/>
            <w:noWrap/>
            <w:vAlign w:val="bottom"/>
            <w:hideMark/>
          </w:tcPr>
          <w:p w14:paraId="2341B82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79" w:type="pct"/>
            <w:tcBorders>
              <w:top w:val="nil"/>
              <w:left w:val="nil"/>
              <w:bottom w:val="single" w:sz="4" w:space="0" w:color="auto"/>
              <w:right w:val="nil"/>
            </w:tcBorders>
            <w:shd w:val="clear" w:color="auto" w:fill="auto"/>
            <w:noWrap/>
            <w:vAlign w:val="bottom"/>
            <w:hideMark/>
          </w:tcPr>
          <w:p w14:paraId="2341B82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3.900</w:t>
            </w:r>
          </w:p>
        </w:tc>
      </w:tr>
      <w:tr w:rsidR="00CD529B" w:rsidRPr="00D97729" w14:paraId="2341B830" w14:textId="77777777" w:rsidTr="00564572">
        <w:trPr>
          <w:trHeight w:val="300"/>
        </w:trPr>
        <w:tc>
          <w:tcPr>
            <w:tcW w:w="1536" w:type="pct"/>
            <w:tcBorders>
              <w:top w:val="nil"/>
              <w:left w:val="nil"/>
              <w:bottom w:val="nil"/>
              <w:right w:val="nil"/>
            </w:tcBorders>
            <w:shd w:val="clear" w:color="auto" w:fill="auto"/>
            <w:noWrap/>
            <w:vAlign w:val="bottom"/>
            <w:hideMark/>
          </w:tcPr>
          <w:p w14:paraId="2341B823" w14:textId="77777777" w:rsidR="00CD529B" w:rsidRPr="00D97729" w:rsidRDefault="00CD529B" w:rsidP="00564572">
            <w:pPr>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Inversión y Costos</w:t>
            </w:r>
          </w:p>
        </w:tc>
        <w:tc>
          <w:tcPr>
            <w:tcW w:w="302" w:type="pct"/>
            <w:tcBorders>
              <w:top w:val="nil"/>
              <w:left w:val="nil"/>
              <w:bottom w:val="nil"/>
              <w:right w:val="nil"/>
            </w:tcBorders>
            <w:shd w:val="clear" w:color="auto" w:fill="auto"/>
            <w:noWrap/>
            <w:vAlign w:val="bottom"/>
            <w:hideMark/>
          </w:tcPr>
          <w:p w14:paraId="2341B824" w14:textId="77777777" w:rsidR="00CD529B" w:rsidRPr="00D97729" w:rsidRDefault="00CD529B" w:rsidP="00564572">
            <w:pPr>
              <w:rPr>
                <w:rFonts w:ascii="Calibri" w:hAnsi="Calibri" w:cs="Calibri"/>
                <w:b/>
                <w:bCs/>
                <w:color w:val="000000"/>
                <w:sz w:val="15"/>
                <w:szCs w:val="15"/>
                <w:lang w:eastAsia="es-CO"/>
              </w:rPr>
            </w:pPr>
          </w:p>
        </w:tc>
        <w:tc>
          <w:tcPr>
            <w:tcW w:w="281" w:type="pct"/>
            <w:tcBorders>
              <w:top w:val="nil"/>
              <w:left w:val="nil"/>
              <w:bottom w:val="nil"/>
              <w:right w:val="nil"/>
            </w:tcBorders>
            <w:shd w:val="clear" w:color="auto" w:fill="auto"/>
            <w:noWrap/>
            <w:vAlign w:val="bottom"/>
            <w:hideMark/>
          </w:tcPr>
          <w:p w14:paraId="2341B825"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26"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27"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28"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29"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2A"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2B"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2C" w14:textId="77777777" w:rsidR="00CD529B" w:rsidRPr="000D0E52"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2D" w14:textId="77777777" w:rsidR="00CD529B" w:rsidRPr="000D0E52"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82E" w14:textId="77777777" w:rsidR="00CD529B" w:rsidRPr="000D0E52"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82F" w14:textId="77777777" w:rsidR="00CD529B" w:rsidRPr="000D0E52" w:rsidRDefault="00CD529B" w:rsidP="00564572">
            <w:pPr>
              <w:rPr>
                <w:sz w:val="15"/>
                <w:szCs w:val="15"/>
                <w:lang w:eastAsia="es-CO"/>
              </w:rPr>
            </w:pPr>
          </w:p>
        </w:tc>
      </w:tr>
      <w:tr w:rsidR="00CD529B" w:rsidRPr="00D97729" w14:paraId="2341B83E" w14:textId="77777777" w:rsidTr="00564572">
        <w:trPr>
          <w:trHeight w:val="300"/>
        </w:trPr>
        <w:tc>
          <w:tcPr>
            <w:tcW w:w="1536" w:type="pct"/>
            <w:tcBorders>
              <w:top w:val="nil"/>
              <w:left w:val="nil"/>
              <w:bottom w:val="nil"/>
              <w:right w:val="nil"/>
            </w:tcBorders>
            <w:shd w:val="clear" w:color="auto" w:fill="auto"/>
            <w:noWrap/>
            <w:vAlign w:val="bottom"/>
            <w:hideMark/>
          </w:tcPr>
          <w:p w14:paraId="2341B831" w14:textId="77777777" w:rsidR="00CD529B" w:rsidRPr="00D97729" w:rsidRDefault="00CD529B" w:rsidP="00564572">
            <w:pPr>
              <w:ind w:firstLineChars="100" w:firstLine="150"/>
              <w:rPr>
                <w:rFonts w:ascii="Calibri" w:hAnsi="Calibri" w:cs="Calibri"/>
                <w:color w:val="000000"/>
                <w:sz w:val="15"/>
                <w:szCs w:val="15"/>
                <w:lang w:eastAsia="es-CO"/>
              </w:rPr>
            </w:pPr>
            <w:r w:rsidRPr="00D97729">
              <w:rPr>
                <w:rFonts w:ascii="Calibri" w:hAnsi="Calibri" w:cs="Calibri"/>
                <w:color w:val="000000"/>
                <w:sz w:val="15"/>
                <w:szCs w:val="15"/>
                <w:lang w:eastAsia="es-CO"/>
              </w:rPr>
              <w:t>Inversión en motores eficientes</w:t>
            </w:r>
          </w:p>
        </w:tc>
        <w:tc>
          <w:tcPr>
            <w:tcW w:w="302" w:type="pct"/>
            <w:tcBorders>
              <w:top w:val="nil"/>
              <w:left w:val="nil"/>
              <w:bottom w:val="nil"/>
              <w:right w:val="nil"/>
            </w:tcBorders>
            <w:shd w:val="clear" w:color="auto" w:fill="auto"/>
            <w:noWrap/>
            <w:vAlign w:val="bottom"/>
            <w:hideMark/>
          </w:tcPr>
          <w:p w14:paraId="2341B832" w14:textId="77777777" w:rsidR="00CD529B" w:rsidRPr="00D97729" w:rsidRDefault="00CD529B" w:rsidP="00564572">
            <w:pPr>
              <w:ind w:firstLineChars="100" w:firstLine="150"/>
              <w:rPr>
                <w:rFonts w:ascii="Calibri" w:hAnsi="Calibri" w:cs="Calibri"/>
                <w:color w:val="000000"/>
                <w:sz w:val="15"/>
                <w:szCs w:val="15"/>
                <w:lang w:eastAsia="es-CO"/>
              </w:rPr>
            </w:pPr>
          </w:p>
        </w:tc>
        <w:tc>
          <w:tcPr>
            <w:tcW w:w="281" w:type="pct"/>
            <w:tcBorders>
              <w:top w:val="nil"/>
              <w:left w:val="nil"/>
              <w:bottom w:val="nil"/>
              <w:right w:val="nil"/>
            </w:tcBorders>
            <w:shd w:val="clear" w:color="auto" w:fill="auto"/>
            <w:noWrap/>
            <w:vAlign w:val="bottom"/>
            <w:hideMark/>
          </w:tcPr>
          <w:p w14:paraId="2341B83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nil"/>
              <w:left w:val="nil"/>
              <w:bottom w:val="nil"/>
              <w:right w:val="nil"/>
            </w:tcBorders>
            <w:shd w:val="clear" w:color="auto" w:fill="auto"/>
            <w:noWrap/>
            <w:vAlign w:val="bottom"/>
            <w:hideMark/>
          </w:tcPr>
          <w:p w14:paraId="2341B83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nil"/>
              <w:left w:val="nil"/>
              <w:bottom w:val="nil"/>
              <w:right w:val="nil"/>
            </w:tcBorders>
            <w:shd w:val="clear" w:color="auto" w:fill="auto"/>
            <w:noWrap/>
            <w:vAlign w:val="bottom"/>
            <w:hideMark/>
          </w:tcPr>
          <w:p w14:paraId="2341B83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nil"/>
              <w:left w:val="nil"/>
              <w:bottom w:val="nil"/>
              <w:right w:val="nil"/>
            </w:tcBorders>
            <w:shd w:val="clear" w:color="auto" w:fill="auto"/>
            <w:noWrap/>
            <w:vAlign w:val="bottom"/>
            <w:hideMark/>
          </w:tcPr>
          <w:p w14:paraId="2341B83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nil"/>
              <w:left w:val="nil"/>
              <w:bottom w:val="nil"/>
              <w:right w:val="nil"/>
            </w:tcBorders>
            <w:shd w:val="clear" w:color="auto" w:fill="auto"/>
            <w:noWrap/>
            <w:vAlign w:val="bottom"/>
            <w:hideMark/>
          </w:tcPr>
          <w:p w14:paraId="2341B83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nil"/>
              <w:left w:val="nil"/>
              <w:bottom w:val="nil"/>
              <w:right w:val="nil"/>
            </w:tcBorders>
            <w:shd w:val="clear" w:color="auto" w:fill="auto"/>
            <w:noWrap/>
            <w:vAlign w:val="bottom"/>
            <w:hideMark/>
          </w:tcPr>
          <w:p w14:paraId="2341B83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2341B83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2341B83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nil"/>
              <w:left w:val="nil"/>
              <w:bottom w:val="nil"/>
              <w:right w:val="nil"/>
            </w:tcBorders>
            <w:shd w:val="clear" w:color="auto" w:fill="auto"/>
            <w:noWrap/>
            <w:vAlign w:val="bottom"/>
            <w:hideMark/>
          </w:tcPr>
          <w:p w14:paraId="2341B83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nil"/>
              <w:left w:val="nil"/>
              <w:bottom w:val="nil"/>
              <w:right w:val="nil"/>
            </w:tcBorders>
            <w:shd w:val="clear" w:color="auto" w:fill="auto"/>
            <w:noWrap/>
            <w:vAlign w:val="bottom"/>
            <w:hideMark/>
          </w:tcPr>
          <w:p w14:paraId="2341B83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nil"/>
              <w:left w:val="nil"/>
              <w:bottom w:val="nil"/>
              <w:right w:val="nil"/>
            </w:tcBorders>
            <w:shd w:val="clear" w:color="auto" w:fill="auto"/>
            <w:noWrap/>
            <w:vAlign w:val="bottom"/>
            <w:hideMark/>
          </w:tcPr>
          <w:p w14:paraId="2341B83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97729" w14:paraId="2341B84C" w14:textId="77777777" w:rsidTr="00564572">
        <w:trPr>
          <w:trHeight w:val="300"/>
        </w:trPr>
        <w:tc>
          <w:tcPr>
            <w:tcW w:w="1536" w:type="pct"/>
            <w:tcBorders>
              <w:top w:val="single" w:sz="4" w:space="0" w:color="auto"/>
              <w:left w:val="nil"/>
              <w:bottom w:val="single" w:sz="4" w:space="0" w:color="auto"/>
              <w:right w:val="nil"/>
            </w:tcBorders>
            <w:shd w:val="clear" w:color="auto" w:fill="auto"/>
            <w:noWrap/>
            <w:vAlign w:val="bottom"/>
            <w:hideMark/>
          </w:tcPr>
          <w:p w14:paraId="2341B83F"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Total Inversión y Costos ($COP Millones)</w:t>
            </w:r>
          </w:p>
        </w:tc>
        <w:tc>
          <w:tcPr>
            <w:tcW w:w="302" w:type="pct"/>
            <w:tcBorders>
              <w:top w:val="single" w:sz="4" w:space="0" w:color="auto"/>
              <w:left w:val="nil"/>
              <w:bottom w:val="single" w:sz="4" w:space="0" w:color="auto"/>
              <w:right w:val="nil"/>
            </w:tcBorders>
            <w:shd w:val="clear" w:color="auto" w:fill="auto"/>
            <w:noWrap/>
            <w:vAlign w:val="bottom"/>
            <w:hideMark/>
          </w:tcPr>
          <w:p w14:paraId="2341B840"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1" w:type="pct"/>
            <w:tcBorders>
              <w:top w:val="single" w:sz="4" w:space="0" w:color="auto"/>
              <w:left w:val="nil"/>
              <w:bottom w:val="single" w:sz="4" w:space="0" w:color="auto"/>
              <w:right w:val="nil"/>
            </w:tcBorders>
            <w:shd w:val="clear" w:color="auto" w:fill="auto"/>
            <w:noWrap/>
            <w:vAlign w:val="bottom"/>
            <w:hideMark/>
          </w:tcPr>
          <w:p w14:paraId="2341B84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single" w:sz="4" w:space="0" w:color="auto"/>
              <w:left w:val="nil"/>
              <w:bottom w:val="single" w:sz="4" w:space="0" w:color="auto"/>
              <w:right w:val="nil"/>
            </w:tcBorders>
            <w:shd w:val="clear" w:color="auto" w:fill="auto"/>
            <w:noWrap/>
            <w:vAlign w:val="bottom"/>
            <w:hideMark/>
          </w:tcPr>
          <w:p w14:paraId="2341B84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single" w:sz="4" w:space="0" w:color="auto"/>
              <w:left w:val="nil"/>
              <w:bottom w:val="single" w:sz="4" w:space="0" w:color="auto"/>
              <w:right w:val="nil"/>
            </w:tcBorders>
            <w:shd w:val="clear" w:color="auto" w:fill="auto"/>
            <w:noWrap/>
            <w:vAlign w:val="bottom"/>
            <w:hideMark/>
          </w:tcPr>
          <w:p w14:paraId="2341B84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single" w:sz="4" w:space="0" w:color="auto"/>
              <w:left w:val="nil"/>
              <w:bottom w:val="single" w:sz="4" w:space="0" w:color="auto"/>
              <w:right w:val="nil"/>
            </w:tcBorders>
            <w:shd w:val="clear" w:color="auto" w:fill="auto"/>
            <w:noWrap/>
            <w:vAlign w:val="bottom"/>
            <w:hideMark/>
          </w:tcPr>
          <w:p w14:paraId="2341B84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single" w:sz="4" w:space="0" w:color="auto"/>
              <w:left w:val="nil"/>
              <w:bottom w:val="single" w:sz="4" w:space="0" w:color="auto"/>
              <w:right w:val="nil"/>
            </w:tcBorders>
            <w:shd w:val="clear" w:color="auto" w:fill="auto"/>
            <w:noWrap/>
            <w:vAlign w:val="bottom"/>
            <w:hideMark/>
          </w:tcPr>
          <w:p w14:paraId="2341B84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8.721</w:t>
            </w:r>
          </w:p>
        </w:tc>
        <w:tc>
          <w:tcPr>
            <w:tcW w:w="290" w:type="pct"/>
            <w:tcBorders>
              <w:top w:val="single" w:sz="4" w:space="0" w:color="auto"/>
              <w:left w:val="nil"/>
              <w:bottom w:val="single" w:sz="4" w:space="0" w:color="auto"/>
              <w:right w:val="nil"/>
            </w:tcBorders>
            <w:shd w:val="clear" w:color="auto" w:fill="auto"/>
            <w:noWrap/>
            <w:vAlign w:val="bottom"/>
            <w:hideMark/>
          </w:tcPr>
          <w:p w14:paraId="2341B84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auto"/>
              <w:left w:val="nil"/>
              <w:bottom w:val="single" w:sz="4" w:space="0" w:color="auto"/>
              <w:right w:val="nil"/>
            </w:tcBorders>
            <w:shd w:val="clear" w:color="auto" w:fill="auto"/>
            <w:noWrap/>
            <w:vAlign w:val="bottom"/>
            <w:hideMark/>
          </w:tcPr>
          <w:p w14:paraId="2341B84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auto"/>
              <w:left w:val="nil"/>
              <w:bottom w:val="single" w:sz="4" w:space="0" w:color="auto"/>
              <w:right w:val="nil"/>
            </w:tcBorders>
            <w:shd w:val="clear" w:color="auto" w:fill="auto"/>
            <w:noWrap/>
            <w:vAlign w:val="bottom"/>
            <w:hideMark/>
          </w:tcPr>
          <w:p w14:paraId="2341B84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0" w:type="pct"/>
            <w:tcBorders>
              <w:top w:val="single" w:sz="4" w:space="0" w:color="auto"/>
              <w:left w:val="nil"/>
              <w:bottom w:val="single" w:sz="4" w:space="0" w:color="auto"/>
              <w:right w:val="nil"/>
            </w:tcBorders>
            <w:shd w:val="clear" w:color="auto" w:fill="auto"/>
            <w:noWrap/>
            <w:vAlign w:val="bottom"/>
            <w:hideMark/>
          </w:tcPr>
          <w:p w14:paraId="2341B84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2" w:type="pct"/>
            <w:tcBorders>
              <w:top w:val="single" w:sz="4" w:space="0" w:color="auto"/>
              <w:left w:val="nil"/>
              <w:bottom w:val="single" w:sz="4" w:space="0" w:color="auto"/>
              <w:right w:val="nil"/>
            </w:tcBorders>
            <w:shd w:val="clear" w:color="auto" w:fill="auto"/>
            <w:noWrap/>
            <w:vAlign w:val="bottom"/>
            <w:hideMark/>
          </w:tcPr>
          <w:p w14:paraId="2341B84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79" w:type="pct"/>
            <w:tcBorders>
              <w:top w:val="single" w:sz="4" w:space="0" w:color="auto"/>
              <w:left w:val="nil"/>
              <w:bottom w:val="single" w:sz="4" w:space="0" w:color="auto"/>
              <w:right w:val="nil"/>
            </w:tcBorders>
            <w:shd w:val="clear" w:color="auto" w:fill="auto"/>
            <w:noWrap/>
            <w:vAlign w:val="bottom"/>
            <w:hideMark/>
          </w:tcPr>
          <w:p w14:paraId="2341B84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97729" w14:paraId="2341B85A" w14:textId="77777777" w:rsidTr="00564572">
        <w:trPr>
          <w:trHeight w:val="300"/>
        </w:trPr>
        <w:tc>
          <w:tcPr>
            <w:tcW w:w="1536" w:type="pct"/>
            <w:tcBorders>
              <w:top w:val="nil"/>
              <w:left w:val="nil"/>
              <w:bottom w:val="single" w:sz="4" w:space="0" w:color="auto"/>
              <w:right w:val="nil"/>
            </w:tcBorders>
            <w:shd w:val="clear" w:color="auto" w:fill="auto"/>
            <w:noWrap/>
            <w:vAlign w:val="bottom"/>
            <w:hideMark/>
          </w:tcPr>
          <w:p w14:paraId="2341B84D" w14:textId="77777777" w:rsidR="00CD529B" w:rsidRPr="00D97729" w:rsidRDefault="00CD529B" w:rsidP="00564572">
            <w:pPr>
              <w:rPr>
                <w:rFonts w:ascii="Calibri" w:hAnsi="Calibri" w:cs="Calibri"/>
                <w:b/>
                <w:bCs/>
                <w:color w:val="000000"/>
                <w:sz w:val="15"/>
                <w:szCs w:val="15"/>
                <w:lang w:eastAsia="es-CO"/>
              </w:rPr>
            </w:pPr>
            <w:r w:rsidRPr="00D97729">
              <w:rPr>
                <w:rFonts w:ascii="Calibri" w:hAnsi="Calibri" w:cs="Calibri"/>
                <w:b/>
                <w:bCs/>
                <w:color w:val="000000"/>
                <w:sz w:val="15"/>
                <w:szCs w:val="15"/>
                <w:lang w:eastAsia="es-CO"/>
              </w:rPr>
              <w:t>Flujo Neto</w:t>
            </w:r>
          </w:p>
        </w:tc>
        <w:tc>
          <w:tcPr>
            <w:tcW w:w="302" w:type="pct"/>
            <w:tcBorders>
              <w:top w:val="nil"/>
              <w:left w:val="nil"/>
              <w:bottom w:val="single" w:sz="4" w:space="0" w:color="auto"/>
              <w:right w:val="nil"/>
            </w:tcBorders>
            <w:shd w:val="clear" w:color="auto" w:fill="auto"/>
            <w:noWrap/>
            <w:vAlign w:val="bottom"/>
            <w:hideMark/>
          </w:tcPr>
          <w:p w14:paraId="2341B84E" w14:textId="77777777" w:rsidR="00CD529B" w:rsidRPr="00D97729" w:rsidRDefault="00CD529B" w:rsidP="00564572">
            <w:pPr>
              <w:rPr>
                <w:rFonts w:ascii="Calibri" w:hAnsi="Calibri" w:cs="Calibri"/>
                <w:color w:val="000000"/>
                <w:sz w:val="15"/>
                <w:szCs w:val="15"/>
                <w:lang w:eastAsia="es-CO"/>
              </w:rPr>
            </w:pPr>
            <w:r w:rsidRPr="00D97729">
              <w:rPr>
                <w:rFonts w:ascii="Calibri" w:hAnsi="Calibri" w:cs="Calibri"/>
                <w:color w:val="000000"/>
                <w:sz w:val="15"/>
                <w:szCs w:val="15"/>
                <w:lang w:eastAsia="es-CO"/>
              </w:rPr>
              <w:t> </w:t>
            </w:r>
          </w:p>
        </w:tc>
        <w:tc>
          <w:tcPr>
            <w:tcW w:w="281" w:type="pct"/>
            <w:tcBorders>
              <w:top w:val="nil"/>
              <w:left w:val="nil"/>
              <w:bottom w:val="single" w:sz="4" w:space="0" w:color="auto"/>
              <w:right w:val="nil"/>
            </w:tcBorders>
            <w:shd w:val="clear" w:color="auto" w:fill="auto"/>
            <w:noWrap/>
            <w:vAlign w:val="bottom"/>
            <w:hideMark/>
          </w:tcPr>
          <w:p w14:paraId="2341B84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-7.941</w:t>
            </w:r>
          </w:p>
        </w:tc>
        <w:tc>
          <w:tcPr>
            <w:tcW w:w="290" w:type="pct"/>
            <w:tcBorders>
              <w:top w:val="nil"/>
              <w:left w:val="nil"/>
              <w:bottom w:val="single" w:sz="4" w:space="0" w:color="auto"/>
              <w:right w:val="nil"/>
            </w:tcBorders>
            <w:shd w:val="clear" w:color="auto" w:fill="auto"/>
            <w:noWrap/>
            <w:vAlign w:val="bottom"/>
            <w:hideMark/>
          </w:tcPr>
          <w:p w14:paraId="2341B85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-7.161</w:t>
            </w:r>
          </w:p>
        </w:tc>
        <w:tc>
          <w:tcPr>
            <w:tcW w:w="290" w:type="pct"/>
            <w:tcBorders>
              <w:top w:val="nil"/>
              <w:left w:val="nil"/>
              <w:bottom w:val="single" w:sz="4" w:space="0" w:color="auto"/>
              <w:right w:val="nil"/>
            </w:tcBorders>
            <w:shd w:val="clear" w:color="auto" w:fill="auto"/>
            <w:noWrap/>
            <w:vAlign w:val="bottom"/>
            <w:hideMark/>
          </w:tcPr>
          <w:p w14:paraId="2341B85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-6.381</w:t>
            </w:r>
          </w:p>
        </w:tc>
        <w:tc>
          <w:tcPr>
            <w:tcW w:w="290" w:type="pct"/>
            <w:tcBorders>
              <w:top w:val="nil"/>
              <w:left w:val="nil"/>
              <w:bottom w:val="single" w:sz="4" w:space="0" w:color="auto"/>
              <w:right w:val="nil"/>
            </w:tcBorders>
            <w:shd w:val="clear" w:color="auto" w:fill="auto"/>
            <w:noWrap/>
            <w:vAlign w:val="bottom"/>
            <w:hideMark/>
          </w:tcPr>
          <w:p w14:paraId="2341B85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13.262</w:t>
            </w:r>
          </w:p>
        </w:tc>
        <w:tc>
          <w:tcPr>
            <w:tcW w:w="290" w:type="pct"/>
            <w:tcBorders>
              <w:top w:val="nil"/>
              <w:left w:val="nil"/>
              <w:bottom w:val="single" w:sz="4" w:space="0" w:color="auto"/>
              <w:right w:val="nil"/>
            </w:tcBorders>
            <w:shd w:val="clear" w:color="auto" w:fill="auto"/>
            <w:noWrap/>
            <w:vAlign w:val="bottom"/>
            <w:hideMark/>
          </w:tcPr>
          <w:p w14:paraId="2341B85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-4.821</w:t>
            </w:r>
          </w:p>
        </w:tc>
        <w:tc>
          <w:tcPr>
            <w:tcW w:w="290" w:type="pct"/>
            <w:tcBorders>
              <w:top w:val="nil"/>
              <w:left w:val="nil"/>
              <w:bottom w:val="single" w:sz="4" w:space="0" w:color="auto"/>
              <w:right w:val="nil"/>
            </w:tcBorders>
            <w:shd w:val="clear" w:color="auto" w:fill="auto"/>
            <w:noWrap/>
            <w:vAlign w:val="bottom"/>
            <w:hideMark/>
          </w:tcPr>
          <w:p w14:paraId="2341B85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2341B85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2341B85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90" w:type="pct"/>
            <w:tcBorders>
              <w:top w:val="nil"/>
              <w:left w:val="nil"/>
              <w:bottom w:val="single" w:sz="4" w:space="0" w:color="auto"/>
              <w:right w:val="nil"/>
            </w:tcBorders>
            <w:shd w:val="clear" w:color="auto" w:fill="auto"/>
            <w:noWrap/>
            <w:vAlign w:val="bottom"/>
            <w:hideMark/>
          </w:tcPr>
          <w:p w14:paraId="2341B85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82" w:type="pct"/>
            <w:tcBorders>
              <w:top w:val="nil"/>
              <w:left w:val="nil"/>
              <w:bottom w:val="single" w:sz="4" w:space="0" w:color="auto"/>
              <w:right w:val="nil"/>
            </w:tcBorders>
            <w:shd w:val="clear" w:color="auto" w:fill="auto"/>
            <w:noWrap/>
            <w:vAlign w:val="bottom"/>
            <w:hideMark/>
          </w:tcPr>
          <w:p w14:paraId="2341B85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3.900</w:t>
            </w:r>
          </w:p>
        </w:tc>
        <w:tc>
          <w:tcPr>
            <w:tcW w:w="279" w:type="pct"/>
            <w:tcBorders>
              <w:top w:val="nil"/>
              <w:left w:val="nil"/>
              <w:bottom w:val="single" w:sz="4" w:space="0" w:color="auto"/>
              <w:right w:val="nil"/>
            </w:tcBorders>
            <w:shd w:val="clear" w:color="auto" w:fill="auto"/>
            <w:noWrap/>
            <w:vAlign w:val="bottom"/>
            <w:hideMark/>
          </w:tcPr>
          <w:p w14:paraId="2341B85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3.900</w:t>
            </w:r>
          </w:p>
        </w:tc>
      </w:tr>
      <w:tr w:rsidR="00CD529B" w:rsidRPr="00D97729" w14:paraId="2341B868" w14:textId="77777777" w:rsidTr="00564572">
        <w:trPr>
          <w:trHeight w:val="300"/>
        </w:trPr>
        <w:tc>
          <w:tcPr>
            <w:tcW w:w="1536" w:type="pct"/>
            <w:tcBorders>
              <w:top w:val="nil"/>
              <w:left w:val="nil"/>
              <w:bottom w:val="nil"/>
              <w:right w:val="nil"/>
            </w:tcBorders>
            <w:shd w:val="clear" w:color="auto" w:fill="auto"/>
            <w:noWrap/>
            <w:vAlign w:val="bottom"/>
            <w:hideMark/>
          </w:tcPr>
          <w:p w14:paraId="2341B85B" w14:textId="77777777" w:rsidR="00CD529B" w:rsidRPr="00D97729" w:rsidRDefault="00CD529B" w:rsidP="00564572">
            <w:pPr>
              <w:jc w:val="right"/>
              <w:rPr>
                <w:rFonts w:ascii="Calibri" w:hAnsi="Calibri" w:cs="Calibri"/>
                <w:color w:val="000000"/>
                <w:sz w:val="15"/>
                <w:szCs w:val="15"/>
                <w:lang w:eastAsia="es-CO"/>
              </w:rPr>
            </w:pPr>
          </w:p>
        </w:tc>
        <w:tc>
          <w:tcPr>
            <w:tcW w:w="302" w:type="pct"/>
            <w:tcBorders>
              <w:top w:val="nil"/>
              <w:left w:val="nil"/>
              <w:bottom w:val="nil"/>
              <w:right w:val="nil"/>
            </w:tcBorders>
            <w:shd w:val="clear" w:color="auto" w:fill="auto"/>
            <w:noWrap/>
            <w:vAlign w:val="bottom"/>
            <w:hideMark/>
          </w:tcPr>
          <w:p w14:paraId="2341B85C" w14:textId="77777777" w:rsidR="00CD529B" w:rsidRPr="00D97729" w:rsidRDefault="00CD529B" w:rsidP="00564572">
            <w:pPr>
              <w:rPr>
                <w:sz w:val="15"/>
                <w:szCs w:val="15"/>
                <w:lang w:eastAsia="es-CO"/>
              </w:rPr>
            </w:pPr>
          </w:p>
        </w:tc>
        <w:tc>
          <w:tcPr>
            <w:tcW w:w="281" w:type="pct"/>
            <w:tcBorders>
              <w:top w:val="nil"/>
              <w:left w:val="nil"/>
              <w:bottom w:val="nil"/>
              <w:right w:val="nil"/>
            </w:tcBorders>
            <w:shd w:val="clear" w:color="auto" w:fill="auto"/>
            <w:noWrap/>
            <w:vAlign w:val="bottom"/>
            <w:hideMark/>
          </w:tcPr>
          <w:p w14:paraId="2341B85D"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5E"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5F"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60"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61"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62"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63"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64"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65" w14:textId="77777777" w:rsidR="00CD529B" w:rsidRPr="00D97729"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866"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867" w14:textId="77777777" w:rsidR="00CD529B" w:rsidRPr="00D97729" w:rsidRDefault="00CD529B" w:rsidP="00564572">
            <w:pPr>
              <w:rPr>
                <w:sz w:val="15"/>
                <w:szCs w:val="15"/>
                <w:lang w:eastAsia="es-CO"/>
              </w:rPr>
            </w:pPr>
          </w:p>
        </w:tc>
      </w:tr>
      <w:tr w:rsidR="00CD529B" w:rsidRPr="00D97729" w14:paraId="2341B876" w14:textId="77777777" w:rsidTr="00564572">
        <w:trPr>
          <w:trHeight w:val="300"/>
        </w:trPr>
        <w:tc>
          <w:tcPr>
            <w:tcW w:w="1536" w:type="pct"/>
            <w:tcBorders>
              <w:top w:val="nil"/>
              <w:left w:val="nil"/>
              <w:bottom w:val="nil"/>
              <w:right w:val="nil"/>
            </w:tcBorders>
            <w:shd w:val="clear" w:color="auto" w:fill="auto"/>
            <w:noWrap/>
            <w:vAlign w:val="bottom"/>
            <w:hideMark/>
          </w:tcPr>
          <w:p w14:paraId="2341B869" w14:textId="77777777" w:rsidR="00CD529B" w:rsidRPr="00D97729" w:rsidRDefault="00CD529B" w:rsidP="00564572">
            <w:pPr>
              <w:rPr>
                <w:sz w:val="15"/>
                <w:szCs w:val="15"/>
                <w:lang w:eastAsia="es-CO"/>
              </w:rPr>
            </w:pPr>
          </w:p>
        </w:tc>
        <w:tc>
          <w:tcPr>
            <w:tcW w:w="302" w:type="pct"/>
            <w:tcBorders>
              <w:top w:val="single" w:sz="4" w:space="0" w:color="FFFFFF"/>
              <w:left w:val="nil"/>
              <w:bottom w:val="single" w:sz="4" w:space="0" w:color="auto"/>
              <w:right w:val="single" w:sz="4" w:space="0" w:color="FFFFFF"/>
            </w:tcBorders>
            <w:shd w:val="clear" w:color="000000" w:fill="203764"/>
            <w:noWrap/>
            <w:vAlign w:val="bottom"/>
            <w:hideMark/>
          </w:tcPr>
          <w:p w14:paraId="2341B86A"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Beneficios</w:t>
            </w:r>
          </w:p>
        </w:tc>
        <w:tc>
          <w:tcPr>
            <w:tcW w:w="281" w:type="pct"/>
            <w:tcBorders>
              <w:top w:val="single" w:sz="4" w:space="0" w:color="FFFFFF"/>
              <w:left w:val="nil"/>
              <w:bottom w:val="single" w:sz="4" w:space="0" w:color="auto"/>
              <w:right w:val="single" w:sz="4" w:space="0" w:color="FFFFFF"/>
            </w:tcBorders>
            <w:shd w:val="clear" w:color="000000" w:fill="203764"/>
            <w:noWrap/>
            <w:vAlign w:val="bottom"/>
            <w:hideMark/>
          </w:tcPr>
          <w:p w14:paraId="2341B86B"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Costos</w:t>
            </w:r>
          </w:p>
        </w:tc>
        <w:tc>
          <w:tcPr>
            <w:tcW w:w="290" w:type="pct"/>
            <w:tcBorders>
              <w:top w:val="single" w:sz="4" w:space="0" w:color="FFFFFF"/>
              <w:left w:val="nil"/>
              <w:bottom w:val="single" w:sz="4" w:space="0" w:color="auto"/>
              <w:right w:val="single" w:sz="4" w:space="0" w:color="FFFFFF"/>
            </w:tcBorders>
            <w:shd w:val="clear" w:color="000000" w:fill="203764"/>
            <w:noWrap/>
            <w:vAlign w:val="bottom"/>
            <w:hideMark/>
          </w:tcPr>
          <w:p w14:paraId="2341B86C" w14:textId="77777777" w:rsidR="00CD529B" w:rsidRPr="00D97729" w:rsidRDefault="00CD529B" w:rsidP="00564572">
            <w:pPr>
              <w:jc w:val="center"/>
              <w:rPr>
                <w:rFonts w:ascii="Calibri" w:hAnsi="Calibri" w:cs="Calibri"/>
                <w:color w:val="FFFFFF"/>
                <w:sz w:val="15"/>
                <w:szCs w:val="15"/>
                <w:lang w:eastAsia="es-CO"/>
              </w:rPr>
            </w:pPr>
            <w:r w:rsidRPr="00D97729">
              <w:rPr>
                <w:rFonts w:ascii="Calibri" w:hAnsi="Calibri" w:cs="Calibri"/>
                <w:color w:val="FFFFFF"/>
                <w:sz w:val="15"/>
                <w:szCs w:val="15"/>
                <w:lang w:eastAsia="es-CO"/>
              </w:rPr>
              <w:t>Neto</w:t>
            </w:r>
          </w:p>
        </w:tc>
        <w:tc>
          <w:tcPr>
            <w:tcW w:w="290" w:type="pct"/>
            <w:tcBorders>
              <w:top w:val="nil"/>
              <w:left w:val="nil"/>
              <w:bottom w:val="nil"/>
              <w:right w:val="nil"/>
            </w:tcBorders>
            <w:shd w:val="clear" w:color="auto" w:fill="auto"/>
            <w:noWrap/>
            <w:vAlign w:val="bottom"/>
            <w:hideMark/>
          </w:tcPr>
          <w:p w14:paraId="2341B86D" w14:textId="77777777" w:rsidR="00CD529B" w:rsidRPr="00D97729" w:rsidRDefault="00CD529B" w:rsidP="00564572">
            <w:pPr>
              <w:jc w:val="center"/>
              <w:rPr>
                <w:rFonts w:ascii="Calibri" w:hAnsi="Calibri" w:cs="Calibri"/>
                <w:color w:val="FFFFFF"/>
                <w:sz w:val="15"/>
                <w:szCs w:val="15"/>
                <w:lang w:eastAsia="es-CO"/>
              </w:rPr>
            </w:pPr>
          </w:p>
        </w:tc>
        <w:tc>
          <w:tcPr>
            <w:tcW w:w="290" w:type="pct"/>
            <w:tcBorders>
              <w:top w:val="nil"/>
              <w:left w:val="nil"/>
              <w:bottom w:val="nil"/>
              <w:right w:val="nil"/>
            </w:tcBorders>
            <w:shd w:val="clear" w:color="auto" w:fill="auto"/>
            <w:noWrap/>
            <w:vAlign w:val="bottom"/>
            <w:hideMark/>
          </w:tcPr>
          <w:p w14:paraId="2341B86E"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6F"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70"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71"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72"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73" w14:textId="77777777" w:rsidR="00CD529B" w:rsidRPr="00D97729"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874"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875" w14:textId="77777777" w:rsidR="00CD529B" w:rsidRPr="00D97729" w:rsidRDefault="00CD529B" w:rsidP="00564572">
            <w:pPr>
              <w:rPr>
                <w:sz w:val="15"/>
                <w:szCs w:val="15"/>
                <w:lang w:eastAsia="es-CO"/>
              </w:rPr>
            </w:pPr>
          </w:p>
        </w:tc>
      </w:tr>
      <w:tr w:rsidR="00CD529B" w:rsidRPr="00D97729" w14:paraId="2341B884" w14:textId="77777777" w:rsidTr="00564572">
        <w:trPr>
          <w:trHeight w:val="300"/>
        </w:trPr>
        <w:tc>
          <w:tcPr>
            <w:tcW w:w="1536" w:type="pct"/>
            <w:tcBorders>
              <w:top w:val="single" w:sz="4" w:space="0" w:color="auto"/>
              <w:left w:val="single" w:sz="4" w:space="0" w:color="auto"/>
              <w:bottom w:val="single" w:sz="4" w:space="0" w:color="auto"/>
              <w:right w:val="nil"/>
            </w:tcBorders>
            <w:shd w:val="clear" w:color="000000" w:fill="E2EFDA"/>
            <w:noWrap/>
            <w:vAlign w:val="bottom"/>
            <w:hideMark/>
          </w:tcPr>
          <w:p w14:paraId="2341B877" w14:textId="77777777" w:rsidR="00CD529B" w:rsidRPr="00D97729" w:rsidRDefault="00CD529B" w:rsidP="00564572">
            <w:pPr>
              <w:rPr>
                <w:rFonts w:ascii="Calibri" w:hAnsi="Calibri" w:cs="Calibri"/>
                <w:color w:val="000000"/>
                <w:sz w:val="15"/>
                <w:szCs w:val="15"/>
                <w:lang w:eastAsia="es-CO"/>
              </w:rPr>
            </w:pPr>
            <w:r w:rsidRPr="00D97729">
              <w:rPr>
                <w:rFonts w:ascii="Calibri" w:hAnsi="Calibri" w:cs="Calibri"/>
                <w:color w:val="000000"/>
                <w:sz w:val="15"/>
                <w:szCs w:val="15"/>
                <w:lang w:eastAsia="es-CO"/>
              </w:rPr>
              <w:t>VPN dic 2016 ($USD Millones)</w:t>
            </w:r>
          </w:p>
        </w:tc>
        <w:tc>
          <w:tcPr>
            <w:tcW w:w="302" w:type="pct"/>
            <w:tcBorders>
              <w:top w:val="nil"/>
              <w:left w:val="nil"/>
              <w:bottom w:val="single" w:sz="4" w:space="0" w:color="auto"/>
              <w:right w:val="single" w:sz="4" w:space="0" w:color="auto"/>
            </w:tcBorders>
            <w:shd w:val="clear" w:color="000000" w:fill="E2EFDA"/>
            <w:noWrap/>
            <w:vAlign w:val="bottom"/>
            <w:hideMark/>
          </w:tcPr>
          <w:p w14:paraId="2341B87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$10</w:t>
            </w:r>
          </w:p>
        </w:tc>
        <w:tc>
          <w:tcPr>
            <w:tcW w:w="281" w:type="pct"/>
            <w:tcBorders>
              <w:top w:val="nil"/>
              <w:left w:val="nil"/>
              <w:bottom w:val="single" w:sz="4" w:space="0" w:color="auto"/>
              <w:right w:val="single" w:sz="4" w:space="0" w:color="auto"/>
            </w:tcBorders>
            <w:shd w:val="clear" w:color="000000" w:fill="E2EFDA"/>
            <w:noWrap/>
            <w:vAlign w:val="bottom"/>
            <w:hideMark/>
          </w:tcPr>
          <w:p w14:paraId="2341B87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$10</w:t>
            </w:r>
          </w:p>
        </w:tc>
        <w:tc>
          <w:tcPr>
            <w:tcW w:w="290" w:type="pct"/>
            <w:tcBorders>
              <w:top w:val="nil"/>
              <w:left w:val="nil"/>
              <w:bottom w:val="single" w:sz="4" w:space="0" w:color="auto"/>
              <w:right w:val="single" w:sz="4" w:space="0" w:color="auto"/>
            </w:tcBorders>
            <w:shd w:val="clear" w:color="000000" w:fill="E2EFDA"/>
            <w:noWrap/>
            <w:vAlign w:val="bottom"/>
            <w:hideMark/>
          </w:tcPr>
          <w:p w14:paraId="2341B87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FF0000"/>
                <w:sz w:val="15"/>
                <w:szCs w:val="15"/>
              </w:rPr>
              <w:t>-$1</w:t>
            </w:r>
          </w:p>
        </w:tc>
        <w:tc>
          <w:tcPr>
            <w:tcW w:w="290" w:type="pct"/>
            <w:tcBorders>
              <w:top w:val="nil"/>
              <w:left w:val="nil"/>
              <w:bottom w:val="nil"/>
              <w:right w:val="nil"/>
            </w:tcBorders>
            <w:shd w:val="clear" w:color="auto" w:fill="auto"/>
            <w:noWrap/>
            <w:vAlign w:val="bottom"/>
            <w:hideMark/>
          </w:tcPr>
          <w:p w14:paraId="2341B87B" w14:textId="77777777" w:rsidR="00CD529B" w:rsidRPr="00D97729" w:rsidRDefault="00CD529B" w:rsidP="00564572">
            <w:pPr>
              <w:jc w:val="right"/>
              <w:rPr>
                <w:rFonts w:ascii="Calibri" w:hAnsi="Calibri" w:cs="Calibri"/>
                <w:color w:val="000000"/>
                <w:sz w:val="15"/>
                <w:szCs w:val="15"/>
                <w:lang w:eastAsia="es-CO"/>
              </w:rPr>
            </w:pPr>
          </w:p>
        </w:tc>
        <w:tc>
          <w:tcPr>
            <w:tcW w:w="290" w:type="pct"/>
            <w:tcBorders>
              <w:top w:val="nil"/>
              <w:left w:val="nil"/>
              <w:bottom w:val="nil"/>
              <w:right w:val="nil"/>
            </w:tcBorders>
            <w:shd w:val="clear" w:color="auto" w:fill="auto"/>
            <w:noWrap/>
            <w:vAlign w:val="bottom"/>
            <w:hideMark/>
          </w:tcPr>
          <w:p w14:paraId="2341B87C"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7D"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7E"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7F"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80"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81" w14:textId="77777777" w:rsidR="00CD529B" w:rsidRPr="00D97729"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882"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883" w14:textId="77777777" w:rsidR="00CD529B" w:rsidRPr="00D97729" w:rsidRDefault="00CD529B" w:rsidP="00564572">
            <w:pPr>
              <w:rPr>
                <w:sz w:val="15"/>
                <w:szCs w:val="15"/>
                <w:lang w:eastAsia="es-CO"/>
              </w:rPr>
            </w:pPr>
          </w:p>
        </w:tc>
      </w:tr>
      <w:tr w:rsidR="00CD529B" w:rsidRPr="00D97729" w14:paraId="2341B892" w14:textId="77777777" w:rsidTr="00564572">
        <w:trPr>
          <w:trHeight w:val="300"/>
        </w:trPr>
        <w:tc>
          <w:tcPr>
            <w:tcW w:w="1536" w:type="pct"/>
            <w:tcBorders>
              <w:top w:val="nil"/>
              <w:left w:val="single" w:sz="4" w:space="0" w:color="auto"/>
              <w:bottom w:val="single" w:sz="4" w:space="0" w:color="auto"/>
              <w:right w:val="nil"/>
            </w:tcBorders>
            <w:shd w:val="clear" w:color="000000" w:fill="E2EFDA"/>
            <w:noWrap/>
            <w:vAlign w:val="bottom"/>
            <w:hideMark/>
          </w:tcPr>
          <w:p w14:paraId="2341B885" w14:textId="77777777" w:rsidR="00CD529B" w:rsidRPr="00D97729" w:rsidRDefault="00CD529B" w:rsidP="00564572">
            <w:pPr>
              <w:rPr>
                <w:rFonts w:ascii="Calibri" w:hAnsi="Calibri" w:cs="Calibri"/>
                <w:color w:val="000000"/>
                <w:sz w:val="15"/>
                <w:szCs w:val="15"/>
                <w:lang w:eastAsia="es-CO"/>
              </w:rPr>
            </w:pPr>
            <w:r w:rsidRPr="00D97729">
              <w:rPr>
                <w:rFonts w:ascii="Calibri" w:hAnsi="Calibri" w:cs="Calibri"/>
                <w:color w:val="000000"/>
                <w:sz w:val="15"/>
                <w:szCs w:val="15"/>
                <w:lang w:eastAsia="es-CO"/>
              </w:rPr>
              <w:t>VPN dic 2016 ($COP Millones)</w:t>
            </w:r>
          </w:p>
        </w:tc>
        <w:tc>
          <w:tcPr>
            <w:tcW w:w="302" w:type="pct"/>
            <w:tcBorders>
              <w:top w:val="nil"/>
              <w:left w:val="nil"/>
              <w:bottom w:val="single" w:sz="4" w:space="0" w:color="auto"/>
              <w:right w:val="single" w:sz="4" w:space="0" w:color="auto"/>
            </w:tcBorders>
            <w:shd w:val="clear" w:color="000000" w:fill="E2EFDA"/>
            <w:noWrap/>
            <w:vAlign w:val="bottom"/>
            <w:hideMark/>
          </w:tcPr>
          <w:p w14:paraId="2341B88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$28.888</w:t>
            </w:r>
          </w:p>
        </w:tc>
        <w:tc>
          <w:tcPr>
            <w:tcW w:w="281" w:type="pct"/>
            <w:tcBorders>
              <w:top w:val="nil"/>
              <w:left w:val="nil"/>
              <w:bottom w:val="single" w:sz="4" w:space="0" w:color="auto"/>
              <w:right w:val="single" w:sz="4" w:space="0" w:color="auto"/>
            </w:tcBorders>
            <w:shd w:val="clear" w:color="000000" w:fill="E2EFDA"/>
            <w:noWrap/>
            <w:vAlign w:val="bottom"/>
            <w:hideMark/>
          </w:tcPr>
          <w:p w14:paraId="2341B88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$31.436</w:t>
            </w:r>
          </w:p>
        </w:tc>
        <w:tc>
          <w:tcPr>
            <w:tcW w:w="290" w:type="pct"/>
            <w:tcBorders>
              <w:top w:val="nil"/>
              <w:left w:val="nil"/>
              <w:bottom w:val="single" w:sz="4" w:space="0" w:color="auto"/>
              <w:right w:val="single" w:sz="4" w:space="0" w:color="auto"/>
            </w:tcBorders>
            <w:shd w:val="clear" w:color="000000" w:fill="E2EFDA"/>
            <w:noWrap/>
            <w:vAlign w:val="bottom"/>
            <w:hideMark/>
          </w:tcPr>
          <w:p w14:paraId="2341B88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FF0000"/>
                <w:sz w:val="15"/>
                <w:szCs w:val="15"/>
              </w:rPr>
              <w:t>-$2.548</w:t>
            </w:r>
          </w:p>
        </w:tc>
        <w:tc>
          <w:tcPr>
            <w:tcW w:w="290" w:type="pct"/>
            <w:tcBorders>
              <w:top w:val="nil"/>
              <w:left w:val="nil"/>
              <w:bottom w:val="nil"/>
              <w:right w:val="nil"/>
            </w:tcBorders>
            <w:shd w:val="clear" w:color="auto" w:fill="auto"/>
            <w:noWrap/>
            <w:vAlign w:val="bottom"/>
            <w:hideMark/>
          </w:tcPr>
          <w:p w14:paraId="2341B889" w14:textId="77777777" w:rsidR="00CD529B" w:rsidRPr="00D97729" w:rsidRDefault="00CD529B" w:rsidP="00564572">
            <w:pPr>
              <w:jc w:val="right"/>
              <w:rPr>
                <w:rFonts w:ascii="Calibri" w:hAnsi="Calibri" w:cs="Calibri"/>
                <w:color w:val="000000"/>
                <w:sz w:val="15"/>
                <w:szCs w:val="15"/>
                <w:lang w:eastAsia="es-CO"/>
              </w:rPr>
            </w:pPr>
          </w:p>
        </w:tc>
        <w:tc>
          <w:tcPr>
            <w:tcW w:w="290" w:type="pct"/>
            <w:tcBorders>
              <w:top w:val="nil"/>
              <w:left w:val="nil"/>
              <w:bottom w:val="nil"/>
              <w:right w:val="nil"/>
            </w:tcBorders>
            <w:shd w:val="clear" w:color="auto" w:fill="auto"/>
            <w:noWrap/>
            <w:vAlign w:val="bottom"/>
            <w:hideMark/>
          </w:tcPr>
          <w:p w14:paraId="2341B88A"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8B"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8C"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8D"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8E" w14:textId="77777777" w:rsidR="00CD529B" w:rsidRPr="00D97729" w:rsidRDefault="00CD529B" w:rsidP="00564572">
            <w:pPr>
              <w:rPr>
                <w:sz w:val="15"/>
                <w:szCs w:val="15"/>
                <w:lang w:eastAsia="es-CO"/>
              </w:rPr>
            </w:pPr>
          </w:p>
        </w:tc>
        <w:tc>
          <w:tcPr>
            <w:tcW w:w="290" w:type="pct"/>
            <w:tcBorders>
              <w:top w:val="nil"/>
              <w:left w:val="nil"/>
              <w:bottom w:val="nil"/>
              <w:right w:val="nil"/>
            </w:tcBorders>
            <w:shd w:val="clear" w:color="auto" w:fill="auto"/>
            <w:noWrap/>
            <w:vAlign w:val="bottom"/>
            <w:hideMark/>
          </w:tcPr>
          <w:p w14:paraId="2341B88F" w14:textId="77777777" w:rsidR="00CD529B" w:rsidRPr="00D97729" w:rsidRDefault="00CD529B" w:rsidP="00564572">
            <w:pPr>
              <w:rPr>
                <w:sz w:val="15"/>
                <w:szCs w:val="15"/>
                <w:lang w:eastAsia="es-CO"/>
              </w:rPr>
            </w:pPr>
          </w:p>
        </w:tc>
        <w:tc>
          <w:tcPr>
            <w:tcW w:w="282" w:type="pct"/>
            <w:tcBorders>
              <w:top w:val="nil"/>
              <w:left w:val="nil"/>
              <w:bottom w:val="nil"/>
              <w:right w:val="nil"/>
            </w:tcBorders>
            <w:shd w:val="clear" w:color="auto" w:fill="auto"/>
            <w:noWrap/>
            <w:vAlign w:val="bottom"/>
            <w:hideMark/>
          </w:tcPr>
          <w:p w14:paraId="2341B890" w14:textId="77777777" w:rsidR="00CD529B" w:rsidRPr="00D97729" w:rsidRDefault="00CD529B" w:rsidP="00564572">
            <w:pPr>
              <w:rPr>
                <w:sz w:val="15"/>
                <w:szCs w:val="15"/>
                <w:lang w:eastAsia="es-CO"/>
              </w:rPr>
            </w:pPr>
          </w:p>
        </w:tc>
        <w:tc>
          <w:tcPr>
            <w:tcW w:w="279" w:type="pct"/>
            <w:tcBorders>
              <w:top w:val="nil"/>
              <w:left w:val="nil"/>
              <w:bottom w:val="nil"/>
              <w:right w:val="nil"/>
            </w:tcBorders>
            <w:shd w:val="clear" w:color="auto" w:fill="auto"/>
            <w:noWrap/>
            <w:vAlign w:val="bottom"/>
            <w:hideMark/>
          </w:tcPr>
          <w:p w14:paraId="2341B891" w14:textId="77777777" w:rsidR="00CD529B" w:rsidRPr="00D97729" w:rsidRDefault="00CD529B" w:rsidP="00564572">
            <w:pPr>
              <w:rPr>
                <w:sz w:val="15"/>
                <w:szCs w:val="15"/>
                <w:lang w:eastAsia="es-CO"/>
              </w:rPr>
            </w:pPr>
          </w:p>
        </w:tc>
      </w:tr>
    </w:tbl>
    <w:p w14:paraId="2341B893" w14:textId="77777777" w:rsidR="00CD529B" w:rsidRDefault="00CD529B" w:rsidP="00564572"/>
    <w:p w14:paraId="2341B894" w14:textId="77777777" w:rsidR="00CD529B" w:rsidRDefault="00CD529B" w:rsidP="00564572">
      <w:pPr>
        <w:spacing w:after="160" w:line="259" w:lineRule="auto"/>
      </w:pPr>
      <w:r>
        <w:br w:type="page"/>
      </w:r>
    </w:p>
    <w:p w14:paraId="2341B895" w14:textId="77777777" w:rsidR="00CD529B" w:rsidRPr="00CD529B" w:rsidRDefault="00CD529B" w:rsidP="00564572">
      <w:pPr>
        <w:ind w:left="720"/>
        <w:jc w:val="center"/>
        <w:rPr>
          <w:b/>
          <w:lang w:val="es-ES_tradnl"/>
        </w:rPr>
      </w:pPr>
      <w:bookmarkStart w:id="131" w:name="_Toc473268570"/>
      <w:bookmarkStart w:id="132" w:name="_Toc474797076"/>
      <w:r w:rsidRPr="00CD529B">
        <w:rPr>
          <w:b/>
          <w:lang w:val="es-ES_tradnl"/>
        </w:rPr>
        <w:lastRenderedPageBreak/>
        <w:t xml:space="preserve">Tabla </w:t>
      </w:r>
      <w:r w:rsidRPr="008C12BC">
        <w:rPr>
          <w:b/>
        </w:rPr>
        <w:fldChar w:fldCharType="begin"/>
      </w:r>
      <w:r w:rsidRPr="00CD529B">
        <w:rPr>
          <w:b/>
          <w:lang w:val="es-ES_tradnl"/>
        </w:rPr>
        <w:instrText xml:space="preserve"> SEQ Tabla \* ARABIC </w:instrText>
      </w:r>
      <w:r w:rsidRPr="008C12BC">
        <w:rPr>
          <w:b/>
        </w:rPr>
        <w:fldChar w:fldCharType="separate"/>
      </w:r>
      <w:r w:rsidRPr="00CD529B">
        <w:rPr>
          <w:b/>
          <w:noProof/>
          <w:lang w:val="es-ES_tradnl"/>
        </w:rPr>
        <w:t>22</w:t>
      </w:r>
      <w:r w:rsidRPr="008C12BC">
        <w:rPr>
          <w:b/>
        </w:rPr>
        <w:fldChar w:fldCharType="end"/>
      </w:r>
      <w:r w:rsidRPr="00CD529B">
        <w:rPr>
          <w:b/>
          <w:lang w:val="es-ES_tradnl"/>
        </w:rPr>
        <w:t xml:space="preserve"> – Proyección de beneficios y costos para la medida de sustitución de motores industria de alimentos (Sector Industrial)</w:t>
      </w:r>
      <w:bookmarkEnd w:id="131"/>
      <w:bookmarkEnd w:id="132"/>
    </w:p>
    <w:tbl>
      <w:tblPr>
        <w:tblW w:w="5000" w:type="pct"/>
        <w:tblCellMar>
          <w:left w:w="70" w:type="dxa"/>
          <w:right w:w="70" w:type="dxa"/>
        </w:tblCellMar>
        <w:tblLook w:val="04A0" w:firstRow="1" w:lastRow="0" w:firstColumn="1" w:lastColumn="0" w:noHBand="0" w:noVBand="1"/>
      </w:tblPr>
      <w:tblGrid>
        <w:gridCol w:w="2811"/>
        <w:gridCol w:w="599"/>
        <w:gridCol w:w="559"/>
        <w:gridCol w:w="559"/>
        <w:gridCol w:w="480"/>
        <w:gridCol w:w="503"/>
        <w:gridCol w:w="447"/>
        <w:gridCol w:w="447"/>
        <w:gridCol w:w="447"/>
        <w:gridCol w:w="447"/>
        <w:gridCol w:w="447"/>
        <w:gridCol w:w="447"/>
        <w:gridCol w:w="447"/>
      </w:tblGrid>
      <w:tr w:rsidR="00CD529B" w:rsidRPr="00D24E44" w14:paraId="2341B8A3" w14:textId="77777777" w:rsidTr="00564572">
        <w:trPr>
          <w:trHeight w:val="300"/>
        </w:trPr>
        <w:tc>
          <w:tcPr>
            <w:tcW w:w="1455" w:type="pct"/>
            <w:tcBorders>
              <w:top w:val="single" w:sz="4" w:space="0" w:color="000000"/>
              <w:left w:val="nil"/>
              <w:bottom w:val="nil"/>
              <w:right w:val="nil"/>
            </w:tcBorders>
            <w:shd w:val="clear" w:color="auto" w:fill="auto"/>
            <w:noWrap/>
            <w:vAlign w:val="bottom"/>
            <w:hideMark/>
          </w:tcPr>
          <w:p w14:paraId="2341B896" w14:textId="77777777" w:rsidR="00CD529B" w:rsidRPr="00D24E44" w:rsidRDefault="00CD529B" w:rsidP="00564572">
            <w:pPr>
              <w:rPr>
                <w:rFonts w:ascii="Calibri" w:hAnsi="Calibri" w:cs="Calibri"/>
                <w:color w:val="000000"/>
                <w:sz w:val="15"/>
                <w:szCs w:val="15"/>
                <w:lang w:eastAsia="es-CO"/>
              </w:rPr>
            </w:pPr>
            <w:r w:rsidRPr="00D24E44">
              <w:rPr>
                <w:rFonts w:ascii="Calibri" w:hAnsi="Calibri" w:cs="Calibri"/>
                <w:color w:val="000000"/>
                <w:sz w:val="15"/>
                <w:szCs w:val="15"/>
                <w:lang w:eastAsia="es-CO"/>
              </w:rPr>
              <w:t>Potencia motor ineficiente (Watts)</w:t>
            </w:r>
          </w:p>
        </w:tc>
        <w:tc>
          <w:tcPr>
            <w:tcW w:w="308" w:type="pct"/>
            <w:tcBorders>
              <w:top w:val="single" w:sz="4" w:space="0" w:color="000000"/>
              <w:left w:val="nil"/>
              <w:bottom w:val="nil"/>
              <w:right w:val="nil"/>
            </w:tcBorders>
            <w:shd w:val="clear" w:color="auto" w:fill="auto"/>
            <w:noWrap/>
            <w:vAlign w:val="bottom"/>
            <w:hideMark/>
          </w:tcPr>
          <w:p w14:paraId="2341B897" w14:textId="77777777" w:rsidR="00CD529B" w:rsidRPr="00D24E44" w:rsidRDefault="00CD529B" w:rsidP="00564572">
            <w:pPr>
              <w:jc w:val="right"/>
              <w:rPr>
                <w:rFonts w:ascii="Calibri" w:hAnsi="Calibri" w:cs="Calibri"/>
                <w:color w:val="0000FF"/>
                <w:sz w:val="15"/>
                <w:szCs w:val="15"/>
                <w:lang w:eastAsia="es-CO"/>
              </w:rPr>
            </w:pPr>
            <w:r w:rsidRPr="00D24E44">
              <w:rPr>
                <w:rFonts w:ascii="Calibri" w:hAnsi="Calibri" w:cs="Calibri"/>
                <w:color w:val="0000FF"/>
                <w:sz w:val="15"/>
                <w:szCs w:val="15"/>
                <w:lang w:eastAsia="es-CO"/>
              </w:rPr>
              <w:t>5.465</w:t>
            </w:r>
          </w:p>
        </w:tc>
        <w:tc>
          <w:tcPr>
            <w:tcW w:w="288" w:type="pct"/>
            <w:tcBorders>
              <w:top w:val="nil"/>
              <w:left w:val="nil"/>
              <w:bottom w:val="nil"/>
              <w:right w:val="nil"/>
            </w:tcBorders>
            <w:shd w:val="clear" w:color="auto" w:fill="auto"/>
            <w:noWrap/>
            <w:vAlign w:val="bottom"/>
            <w:hideMark/>
          </w:tcPr>
          <w:p w14:paraId="2341B898" w14:textId="77777777" w:rsidR="00CD529B" w:rsidRPr="00D24E44"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899" w14:textId="77777777" w:rsidR="00CD529B" w:rsidRPr="00D24E44"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89A"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9B"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9C"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9D"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9E"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9F"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A0" w14:textId="77777777" w:rsidR="00CD529B" w:rsidRPr="00D24E44"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8A1" w14:textId="77777777" w:rsidR="00CD529B" w:rsidRPr="00D24E44"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8A2" w14:textId="77777777" w:rsidR="00CD529B" w:rsidRPr="00D24E44" w:rsidRDefault="00CD529B" w:rsidP="00564572">
            <w:pPr>
              <w:rPr>
                <w:sz w:val="15"/>
                <w:szCs w:val="15"/>
                <w:lang w:eastAsia="es-CO"/>
              </w:rPr>
            </w:pPr>
          </w:p>
        </w:tc>
      </w:tr>
      <w:tr w:rsidR="00CD529B" w:rsidRPr="00D24E44" w14:paraId="2341B8B1" w14:textId="77777777" w:rsidTr="00564572">
        <w:trPr>
          <w:trHeight w:val="300"/>
        </w:trPr>
        <w:tc>
          <w:tcPr>
            <w:tcW w:w="1455" w:type="pct"/>
            <w:tcBorders>
              <w:top w:val="nil"/>
              <w:left w:val="nil"/>
              <w:bottom w:val="nil"/>
              <w:right w:val="nil"/>
            </w:tcBorders>
            <w:shd w:val="clear" w:color="auto" w:fill="auto"/>
            <w:noWrap/>
            <w:vAlign w:val="bottom"/>
            <w:hideMark/>
          </w:tcPr>
          <w:p w14:paraId="2341B8A4" w14:textId="77777777" w:rsidR="00CD529B" w:rsidRPr="00D24E44" w:rsidRDefault="00CD529B" w:rsidP="00564572">
            <w:pPr>
              <w:rPr>
                <w:rFonts w:ascii="Calibri" w:hAnsi="Calibri" w:cs="Calibri"/>
                <w:color w:val="000000"/>
                <w:sz w:val="15"/>
                <w:szCs w:val="15"/>
                <w:lang w:eastAsia="es-CO"/>
              </w:rPr>
            </w:pPr>
            <w:r w:rsidRPr="00D24E44">
              <w:rPr>
                <w:rFonts w:ascii="Calibri" w:hAnsi="Calibri" w:cs="Calibri"/>
                <w:color w:val="000000"/>
                <w:sz w:val="15"/>
                <w:szCs w:val="15"/>
                <w:lang w:eastAsia="es-CO"/>
              </w:rPr>
              <w:t>Potencia motor eficiente (Watts)</w:t>
            </w:r>
          </w:p>
        </w:tc>
        <w:tc>
          <w:tcPr>
            <w:tcW w:w="308" w:type="pct"/>
            <w:tcBorders>
              <w:top w:val="nil"/>
              <w:left w:val="nil"/>
              <w:bottom w:val="nil"/>
              <w:right w:val="nil"/>
            </w:tcBorders>
            <w:shd w:val="clear" w:color="auto" w:fill="auto"/>
            <w:noWrap/>
            <w:vAlign w:val="bottom"/>
            <w:hideMark/>
          </w:tcPr>
          <w:p w14:paraId="2341B8A5" w14:textId="77777777" w:rsidR="00CD529B" w:rsidRPr="00D24E44" w:rsidRDefault="00CD529B" w:rsidP="00564572">
            <w:pPr>
              <w:jc w:val="right"/>
              <w:rPr>
                <w:rFonts w:ascii="Calibri" w:hAnsi="Calibri" w:cs="Calibri"/>
                <w:color w:val="0000FF"/>
                <w:sz w:val="15"/>
                <w:szCs w:val="15"/>
                <w:lang w:eastAsia="es-CO"/>
              </w:rPr>
            </w:pPr>
            <w:r w:rsidRPr="00D24E44">
              <w:rPr>
                <w:rFonts w:ascii="Calibri" w:hAnsi="Calibri" w:cs="Calibri"/>
                <w:color w:val="0000FF"/>
                <w:sz w:val="15"/>
                <w:szCs w:val="15"/>
                <w:lang w:eastAsia="es-CO"/>
              </w:rPr>
              <w:t>5.013</w:t>
            </w:r>
          </w:p>
        </w:tc>
        <w:tc>
          <w:tcPr>
            <w:tcW w:w="288" w:type="pct"/>
            <w:tcBorders>
              <w:top w:val="nil"/>
              <w:left w:val="nil"/>
              <w:bottom w:val="nil"/>
              <w:right w:val="nil"/>
            </w:tcBorders>
            <w:shd w:val="clear" w:color="auto" w:fill="auto"/>
            <w:noWrap/>
            <w:vAlign w:val="bottom"/>
            <w:hideMark/>
          </w:tcPr>
          <w:p w14:paraId="2341B8A6" w14:textId="77777777" w:rsidR="00CD529B" w:rsidRPr="00D24E44"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8A7" w14:textId="77777777" w:rsidR="00CD529B" w:rsidRPr="00D24E44"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8A8"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A9"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AA"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AB"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AC"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AD"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AE" w14:textId="77777777" w:rsidR="00CD529B" w:rsidRPr="00D24E44"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8AF" w14:textId="77777777" w:rsidR="00CD529B" w:rsidRPr="00D24E44"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8B0" w14:textId="77777777" w:rsidR="00CD529B" w:rsidRPr="00D24E44" w:rsidRDefault="00CD529B" w:rsidP="00564572">
            <w:pPr>
              <w:rPr>
                <w:sz w:val="15"/>
                <w:szCs w:val="15"/>
                <w:lang w:eastAsia="es-CO"/>
              </w:rPr>
            </w:pPr>
          </w:p>
        </w:tc>
      </w:tr>
      <w:tr w:rsidR="00CD529B" w:rsidRPr="00D24E44" w14:paraId="2341B8BF" w14:textId="77777777" w:rsidTr="00564572">
        <w:trPr>
          <w:trHeight w:val="300"/>
        </w:trPr>
        <w:tc>
          <w:tcPr>
            <w:tcW w:w="1455" w:type="pct"/>
            <w:tcBorders>
              <w:top w:val="nil"/>
              <w:left w:val="nil"/>
              <w:bottom w:val="single" w:sz="4" w:space="0" w:color="000000"/>
              <w:right w:val="nil"/>
            </w:tcBorders>
            <w:shd w:val="clear" w:color="auto" w:fill="auto"/>
            <w:noWrap/>
            <w:vAlign w:val="bottom"/>
            <w:hideMark/>
          </w:tcPr>
          <w:p w14:paraId="2341B8B2"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Horas de uso promedio año (hrs)</w:t>
            </w:r>
          </w:p>
        </w:tc>
        <w:tc>
          <w:tcPr>
            <w:tcW w:w="308" w:type="pct"/>
            <w:tcBorders>
              <w:top w:val="nil"/>
              <w:left w:val="nil"/>
              <w:bottom w:val="single" w:sz="4" w:space="0" w:color="000000"/>
              <w:right w:val="nil"/>
            </w:tcBorders>
            <w:shd w:val="clear" w:color="auto" w:fill="auto"/>
            <w:noWrap/>
            <w:vAlign w:val="bottom"/>
            <w:hideMark/>
          </w:tcPr>
          <w:p w14:paraId="2341B8B3" w14:textId="77777777" w:rsidR="00CD529B" w:rsidRPr="00D24E44" w:rsidRDefault="00CD529B" w:rsidP="00564572">
            <w:pPr>
              <w:jc w:val="right"/>
              <w:rPr>
                <w:rFonts w:ascii="Calibri" w:hAnsi="Calibri" w:cs="Calibri"/>
                <w:color w:val="0000FF"/>
                <w:sz w:val="15"/>
                <w:szCs w:val="15"/>
                <w:lang w:eastAsia="es-CO"/>
              </w:rPr>
            </w:pPr>
            <w:r w:rsidRPr="00D24E44">
              <w:rPr>
                <w:rFonts w:ascii="Calibri" w:hAnsi="Calibri" w:cs="Calibri"/>
                <w:color w:val="0000FF"/>
                <w:sz w:val="15"/>
                <w:szCs w:val="15"/>
                <w:lang w:eastAsia="es-CO"/>
              </w:rPr>
              <w:t>4.380</w:t>
            </w:r>
          </w:p>
        </w:tc>
        <w:tc>
          <w:tcPr>
            <w:tcW w:w="288" w:type="pct"/>
            <w:tcBorders>
              <w:top w:val="nil"/>
              <w:left w:val="nil"/>
              <w:bottom w:val="nil"/>
              <w:right w:val="nil"/>
            </w:tcBorders>
            <w:shd w:val="clear" w:color="auto" w:fill="auto"/>
            <w:noWrap/>
            <w:vAlign w:val="bottom"/>
            <w:hideMark/>
          </w:tcPr>
          <w:p w14:paraId="2341B8B4" w14:textId="77777777" w:rsidR="00CD529B" w:rsidRPr="00D24E44"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8B5" w14:textId="77777777" w:rsidR="00CD529B" w:rsidRPr="00D24E44"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8B6"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B7"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B8"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B9"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BA"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BB"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BC" w14:textId="77777777" w:rsidR="00CD529B" w:rsidRPr="00D24E44"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8BD" w14:textId="77777777" w:rsidR="00CD529B" w:rsidRPr="00D24E44"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8BE" w14:textId="77777777" w:rsidR="00CD529B" w:rsidRPr="00D24E44" w:rsidRDefault="00CD529B" w:rsidP="00564572">
            <w:pPr>
              <w:rPr>
                <w:sz w:val="15"/>
                <w:szCs w:val="15"/>
                <w:lang w:eastAsia="es-CO"/>
              </w:rPr>
            </w:pPr>
          </w:p>
        </w:tc>
      </w:tr>
      <w:tr w:rsidR="00CD529B" w:rsidRPr="00D24E44" w14:paraId="2341B8CD"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8C0"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Costo promedio de un motor eficiente ($COP) (2015)</w:t>
            </w:r>
          </w:p>
        </w:tc>
        <w:tc>
          <w:tcPr>
            <w:tcW w:w="308" w:type="pct"/>
            <w:tcBorders>
              <w:top w:val="nil"/>
              <w:left w:val="nil"/>
              <w:bottom w:val="single" w:sz="4" w:space="0" w:color="auto"/>
              <w:right w:val="nil"/>
            </w:tcBorders>
            <w:shd w:val="clear" w:color="auto" w:fill="auto"/>
            <w:noWrap/>
            <w:vAlign w:val="bottom"/>
            <w:hideMark/>
          </w:tcPr>
          <w:p w14:paraId="2341B8C1" w14:textId="77777777" w:rsidR="00CD529B" w:rsidRPr="00D24E44" w:rsidRDefault="00CD529B" w:rsidP="00564572">
            <w:pPr>
              <w:jc w:val="right"/>
              <w:rPr>
                <w:rFonts w:ascii="Calibri" w:hAnsi="Calibri" w:cs="Calibri"/>
                <w:color w:val="0000FF"/>
                <w:sz w:val="15"/>
                <w:szCs w:val="15"/>
                <w:lang w:eastAsia="es-CO"/>
              </w:rPr>
            </w:pPr>
            <w:r w:rsidRPr="00D24E44">
              <w:rPr>
                <w:rFonts w:ascii="Calibri" w:hAnsi="Calibri" w:cs="Calibri"/>
                <w:color w:val="0000FF"/>
                <w:sz w:val="15"/>
                <w:szCs w:val="15"/>
                <w:lang w:eastAsia="es-CO"/>
              </w:rPr>
              <w:t>2.446.328</w:t>
            </w:r>
          </w:p>
        </w:tc>
        <w:tc>
          <w:tcPr>
            <w:tcW w:w="288" w:type="pct"/>
            <w:tcBorders>
              <w:top w:val="nil"/>
              <w:left w:val="nil"/>
              <w:bottom w:val="nil"/>
              <w:right w:val="nil"/>
            </w:tcBorders>
            <w:shd w:val="clear" w:color="auto" w:fill="auto"/>
            <w:noWrap/>
            <w:vAlign w:val="bottom"/>
            <w:hideMark/>
          </w:tcPr>
          <w:p w14:paraId="2341B8C2" w14:textId="77777777" w:rsidR="00CD529B" w:rsidRPr="00D24E44"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8C3" w14:textId="77777777" w:rsidR="00CD529B" w:rsidRPr="00D24E44"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8C4"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C5"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C6"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C7"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C8"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C9"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CA" w14:textId="77777777" w:rsidR="00CD529B" w:rsidRPr="00D24E44"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8CB" w14:textId="77777777" w:rsidR="00CD529B" w:rsidRPr="00D24E44"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8CC" w14:textId="77777777" w:rsidR="00CD529B" w:rsidRPr="00D24E44" w:rsidRDefault="00CD529B" w:rsidP="00564572">
            <w:pPr>
              <w:rPr>
                <w:sz w:val="15"/>
                <w:szCs w:val="15"/>
                <w:lang w:eastAsia="es-CO"/>
              </w:rPr>
            </w:pPr>
          </w:p>
        </w:tc>
      </w:tr>
      <w:tr w:rsidR="00CD529B" w:rsidRPr="00D24E44" w14:paraId="2341B8DB" w14:textId="77777777" w:rsidTr="00564572">
        <w:trPr>
          <w:trHeight w:val="300"/>
        </w:trPr>
        <w:tc>
          <w:tcPr>
            <w:tcW w:w="1455" w:type="pct"/>
            <w:tcBorders>
              <w:top w:val="nil"/>
              <w:left w:val="nil"/>
              <w:bottom w:val="nil"/>
              <w:right w:val="nil"/>
            </w:tcBorders>
            <w:shd w:val="clear" w:color="auto" w:fill="auto"/>
            <w:noWrap/>
            <w:vAlign w:val="bottom"/>
            <w:hideMark/>
          </w:tcPr>
          <w:p w14:paraId="2341B8CE" w14:textId="77777777" w:rsidR="00CD529B" w:rsidRPr="00D24E44" w:rsidRDefault="00CD529B" w:rsidP="00564572">
            <w:pPr>
              <w:rPr>
                <w:sz w:val="15"/>
                <w:szCs w:val="15"/>
                <w:lang w:eastAsia="es-CO"/>
              </w:rPr>
            </w:pPr>
          </w:p>
        </w:tc>
        <w:tc>
          <w:tcPr>
            <w:tcW w:w="308" w:type="pct"/>
            <w:tcBorders>
              <w:top w:val="nil"/>
              <w:left w:val="nil"/>
              <w:bottom w:val="nil"/>
              <w:right w:val="nil"/>
            </w:tcBorders>
            <w:shd w:val="clear" w:color="auto" w:fill="auto"/>
            <w:noWrap/>
            <w:vAlign w:val="bottom"/>
            <w:hideMark/>
          </w:tcPr>
          <w:p w14:paraId="2341B8CF" w14:textId="77777777" w:rsidR="00CD529B" w:rsidRPr="00D24E44"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8D0" w14:textId="77777777" w:rsidR="00CD529B" w:rsidRPr="00D24E44"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8D1" w14:textId="77777777" w:rsidR="00CD529B" w:rsidRPr="00D24E44"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8D2"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D3"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D4"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D5"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D6"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D7"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D8" w14:textId="77777777" w:rsidR="00CD529B" w:rsidRPr="00D24E44"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8D9" w14:textId="77777777" w:rsidR="00CD529B" w:rsidRPr="00D24E44"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8DA" w14:textId="77777777" w:rsidR="00CD529B" w:rsidRPr="00D24E44" w:rsidRDefault="00CD529B" w:rsidP="00564572">
            <w:pPr>
              <w:rPr>
                <w:sz w:val="15"/>
                <w:szCs w:val="15"/>
                <w:lang w:eastAsia="es-CO"/>
              </w:rPr>
            </w:pPr>
          </w:p>
        </w:tc>
      </w:tr>
      <w:tr w:rsidR="00CD529B" w:rsidRPr="00D24E44" w14:paraId="2341B8E9" w14:textId="77777777" w:rsidTr="00564572">
        <w:trPr>
          <w:trHeight w:val="300"/>
        </w:trPr>
        <w:tc>
          <w:tcPr>
            <w:tcW w:w="1455" w:type="pct"/>
            <w:tcBorders>
              <w:top w:val="nil"/>
              <w:left w:val="nil"/>
              <w:bottom w:val="nil"/>
              <w:right w:val="nil"/>
            </w:tcBorders>
            <w:shd w:val="clear" w:color="auto" w:fill="auto"/>
            <w:noWrap/>
            <w:vAlign w:val="bottom"/>
            <w:hideMark/>
          </w:tcPr>
          <w:p w14:paraId="2341B8DC" w14:textId="77777777" w:rsidR="00CD529B" w:rsidRPr="00D24E44" w:rsidRDefault="00CD529B" w:rsidP="00564572">
            <w:pPr>
              <w:rPr>
                <w:sz w:val="15"/>
                <w:szCs w:val="15"/>
                <w:lang w:eastAsia="es-CO"/>
              </w:rPr>
            </w:pPr>
          </w:p>
        </w:tc>
        <w:tc>
          <w:tcPr>
            <w:tcW w:w="308" w:type="pct"/>
            <w:tcBorders>
              <w:top w:val="nil"/>
              <w:left w:val="nil"/>
              <w:bottom w:val="nil"/>
              <w:right w:val="nil"/>
            </w:tcBorders>
            <w:shd w:val="clear" w:color="auto" w:fill="auto"/>
            <w:noWrap/>
            <w:vAlign w:val="bottom"/>
            <w:hideMark/>
          </w:tcPr>
          <w:p w14:paraId="2341B8DD" w14:textId="77777777" w:rsidR="00CD529B" w:rsidRPr="00D24E44"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8DE" w14:textId="77777777" w:rsidR="00CD529B" w:rsidRPr="00D24E44"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8DF" w14:textId="77777777" w:rsidR="00CD529B" w:rsidRPr="00D24E44"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8E0"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E1"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E2"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E3"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E4"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E5"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8E6" w14:textId="77777777" w:rsidR="00CD529B" w:rsidRPr="00D24E44"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8E7" w14:textId="77777777" w:rsidR="00CD529B" w:rsidRPr="00D24E44"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8E8" w14:textId="77777777" w:rsidR="00CD529B" w:rsidRPr="00D24E44" w:rsidRDefault="00CD529B" w:rsidP="00564572">
            <w:pPr>
              <w:rPr>
                <w:sz w:val="15"/>
                <w:szCs w:val="15"/>
                <w:lang w:eastAsia="es-CO"/>
              </w:rPr>
            </w:pPr>
          </w:p>
        </w:tc>
      </w:tr>
      <w:tr w:rsidR="00CD529B" w:rsidRPr="00D24E44" w14:paraId="2341B8F7"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8EA" w14:textId="77777777" w:rsidR="00CD529B" w:rsidRPr="00D24E44" w:rsidRDefault="00CD529B" w:rsidP="00564572">
            <w:pPr>
              <w:rPr>
                <w:rFonts w:ascii="Calibri" w:hAnsi="Calibri" w:cs="Calibri"/>
                <w:b/>
                <w:bCs/>
                <w:color w:val="000000"/>
                <w:sz w:val="15"/>
                <w:szCs w:val="15"/>
                <w:lang w:eastAsia="es-CO"/>
              </w:rPr>
            </w:pPr>
            <w:r w:rsidRPr="00D24E44">
              <w:rPr>
                <w:rFonts w:ascii="Calibri" w:hAnsi="Calibri" w:cs="Calibri"/>
                <w:b/>
                <w:bCs/>
                <w:color w:val="000000"/>
                <w:sz w:val="15"/>
                <w:szCs w:val="15"/>
                <w:lang w:eastAsia="es-CO"/>
              </w:rPr>
              <w:t>$COP (2016)</w:t>
            </w: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2341B8EB"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2016</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8EC"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2017</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2341B8ED"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2018</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2341B8EE"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2019</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8EF"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2020</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8F0"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2021</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8F1"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2022</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8F2"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2023</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8F3"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2024</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8F4"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2025</w:t>
            </w:r>
          </w:p>
        </w:tc>
        <w:tc>
          <w:tcPr>
            <w:tcW w:w="289" w:type="pct"/>
            <w:tcBorders>
              <w:top w:val="single" w:sz="4" w:space="0" w:color="FFFFFF"/>
              <w:left w:val="nil"/>
              <w:bottom w:val="single" w:sz="4" w:space="0" w:color="auto"/>
              <w:right w:val="single" w:sz="4" w:space="0" w:color="FFFFFF"/>
            </w:tcBorders>
            <w:shd w:val="clear" w:color="000000" w:fill="203764"/>
            <w:noWrap/>
            <w:vAlign w:val="bottom"/>
            <w:hideMark/>
          </w:tcPr>
          <w:p w14:paraId="2341B8F5"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2026</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2341B8F6"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2027</w:t>
            </w:r>
          </w:p>
        </w:tc>
      </w:tr>
      <w:tr w:rsidR="00CD529B" w:rsidRPr="00D24E44" w14:paraId="2341B905" w14:textId="77777777" w:rsidTr="00564572">
        <w:trPr>
          <w:trHeight w:val="300"/>
        </w:trPr>
        <w:tc>
          <w:tcPr>
            <w:tcW w:w="1455" w:type="pct"/>
            <w:tcBorders>
              <w:top w:val="nil"/>
              <w:left w:val="nil"/>
              <w:bottom w:val="single" w:sz="4" w:space="0" w:color="000000"/>
              <w:right w:val="nil"/>
            </w:tcBorders>
            <w:shd w:val="clear" w:color="auto" w:fill="auto"/>
            <w:noWrap/>
            <w:vAlign w:val="bottom"/>
            <w:hideMark/>
          </w:tcPr>
          <w:p w14:paraId="2341B8F8" w14:textId="77777777" w:rsidR="00CD529B" w:rsidRPr="00D24E44" w:rsidRDefault="00CD529B" w:rsidP="00564572">
            <w:pPr>
              <w:rPr>
                <w:rFonts w:ascii="Calibri" w:hAnsi="Calibri" w:cs="Calibri"/>
                <w:color w:val="000000"/>
                <w:sz w:val="15"/>
                <w:szCs w:val="15"/>
                <w:lang w:eastAsia="es-CO"/>
              </w:rPr>
            </w:pPr>
            <w:r w:rsidRPr="00D24E44">
              <w:rPr>
                <w:rFonts w:ascii="Calibri" w:hAnsi="Calibri" w:cs="Calibri"/>
                <w:color w:val="000000"/>
                <w:sz w:val="15"/>
                <w:szCs w:val="15"/>
                <w:lang w:eastAsia="es-CO"/>
              </w:rPr>
              <w:t>Numero de motores a sustituir por año</w:t>
            </w:r>
          </w:p>
        </w:tc>
        <w:tc>
          <w:tcPr>
            <w:tcW w:w="308" w:type="pct"/>
            <w:tcBorders>
              <w:top w:val="nil"/>
              <w:left w:val="nil"/>
              <w:bottom w:val="single" w:sz="4" w:space="0" w:color="000000"/>
              <w:right w:val="nil"/>
            </w:tcBorders>
            <w:shd w:val="clear" w:color="auto" w:fill="auto"/>
            <w:noWrap/>
            <w:vAlign w:val="bottom"/>
            <w:hideMark/>
          </w:tcPr>
          <w:p w14:paraId="2341B8F9" w14:textId="77777777" w:rsidR="00CD529B" w:rsidRPr="00D24E44" w:rsidRDefault="00CD529B" w:rsidP="00564572">
            <w:pPr>
              <w:rPr>
                <w:rFonts w:ascii="Calibri" w:hAnsi="Calibri" w:cs="Calibri"/>
                <w:color w:val="000000"/>
                <w:sz w:val="15"/>
                <w:szCs w:val="15"/>
                <w:lang w:eastAsia="es-CO"/>
              </w:rPr>
            </w:pPr>
            <w:r w:rsidRPr="00D24E44">
              <w:rPr>
                <w:rFonts w:ascii="Calibri" w:hAnsi="Calibri" w:cs="Calibri"/>
                <w:color w:val="000000"/>
                <w:sz w:val="15"/>
                <w:szCs w:val="15"/>
                <w:lang w:eastAsia="es-CO"/>
              </w:rPr>
              <w:t> </w:t>
            </w:r>
          </w:p>
        </w:tc>
        <w:tc>
          <w:tcPr>
            <w:tcW w:w="288" w:type="pct"/>
            <w:tcBorders>
              <w:top w:val="nil"/>
              <w:left w:val="nil"/>
              <w:bottom w:val="single" w:sz="4" w:space="0" w:color="000000"/>
              <w:right w:val="nil"/>
            </w:tcBorders>
            <w:shd w:val="clear" w:color="auto" w:fill="auto"/>
            <w:noWrap/>
            <w:vAlign w:val="bottom"/>
            <w:hideMark/>
          </w:tcPr>
          <w:p w14:paraId="2341B8F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14.335</w:t>
            </w:r>
          </w:p>
        </w:tc>
        <w:tc>
          <w:tcPr>
            <w:tcW w:w="296" w:type="pct"/>
            <w:tcBorders>
              <w:top w:val="nil"/>
              <w:left w:val="nil"/>
              <w:bottom w:val="single" w:sz="4" w:space="0" w:color="000000"/>
              <w:right w:val="nil"/>
            </w:tcBorders>
            <w:shd w:val="clear" w:color="auto" w:fill="auto"/>
            <w:noWrap/>
            <w:vAlign w:val="bottom"/>
            <w:hideMark/>
          </w:tcPr>
          <w:p w14:paraId="2341B8F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14.335</w:t>
            </w:r>
          </w:p>
        </w:tc>
        <w:tc>
          <w:tcPr>
            <w:tcW w:w="296" w:type="pct"/>
            <w:tcBorders>
              <w:top w:val="nil"/>
              <w:left w:val="nil"/>
              <w:bottom w:val="single" w:sz="4" w:space="0" w:color="000000"/>
              <w:right w:val="nil"/>
            </w:tcBorders>
            <w:shd w:val="clear" w:color="auto" w:fill="auto"/>
            <w:noWrap/>
            <w:vAlign w:val="bottom"/>
            <w:hideMark/>
          </w:tcPr>
          <w:p w14:paraId="2341B8F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14.335</w:t>
            </w:r>
          </w:p>
        </w:tc>
        <w:tc>
          <w:tcPr>
            <w:tcW w:w="297" w:type="pct"/>
            <w:tcBorders>
              <w:top w:val="nil"/>
              <w:left w:val="nil"/>
              <w:bottom w:val="single" w:sz="4" w:space="0" w:color="000000"/>
              <w:right w:val="nil"/>
            </w:tcBorders>
            <w:shd w:val="clear" w:color="auto" w:fill="auto"/>
            <w:noWrap/>
            <w:vAlign w:val="bottom"/>
            <w:hideMark/>
          </w:tcPr>
          <w:p w14:paraId="2341B8F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14.335</w:t>
            </w:r>
          </w:p>
        </w:tc>
        <w:tc>
          <w:tcPr>
            <w:tcW w:w="297" w:type="pct"/>
            <w:tcBorders>
              <w:top w:val="nil"/>
              <w:left w:val="nil"/>
              <w:bottom w:val="single" w:sz="4" w:space="0" w:color="000000"/>
              <w:right w:val="nil"/>
            </w:tcBorders>
            <w:shd w:val="clear" w:color="auto" w:fill="auto"/>
            <w:noWrap/>
            <w:vAlign w:val="bottom"/>
            <w:hideMark/>
          </w:tcPr>
          <w:p w14:paraId="2341B8F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8F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90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90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90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single" w:sz="4" w:space="0" w:color="000000"/>
              <w:right w:val="nil"/>
            </w:tcBorders>
            <w:shd w:val="clear" w:color="auto" w:fill="auto"/>
            <w:noWrap/>
            <w:vAlign w:val="bottom"/>
            <w:hideMark/>
          </w:tcPr>
          <w:p w14:paraId="2341B90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nil"/>
              <w:left w:val="nil"/>
              <w:bottom w:val="single" w:sz="4" w:space="0" w:color="000000"/>
              <w:right w:val="nil"/>
            </w:tcBorders>
            <w:shd w:val="clear" w:color="auto" w:fill="auto"/>
            <w:noWrap/>
            <w:vAlign w:val="bottom"/>
            <w:hideMark/>
          </w:tcPr>
          <w:p w14:paraId="2341B90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24E44" w14:paraId="2341B913" w14:textId="77777777" w:rsidTr="00564572">
        <w:trPr>
          <w:trHeight w:val="300"/>
        </w:trPr>
        <w:tc>
          <w:tcPr>
            <w:tcW w:w="1455" w:type="pct"/>
            <w:tcBorders>
              <w:top w:val="nil"/>
              <w:left w:val="nil"/>
              <w:bottom w:val="nil"/>
              <w:right w:val="nil"/>
            </w:tcBorders>
            <w:shd w:val="clear" w:color="auto" w:fill="auto"/>
            <w:noWrap/>
            <w:vAlign w:val="bottom"/>
            <w:hideMark/>
          </w:tcPr>
          <w:p w14:paraId="2341B906" w14:textId="77777777" w:rsidR="00CD529B" w:rsidRPr="00D24E44" w:rsidRDefault="00CD529B" w:rsidP="00564572">
            <w:pPr>
              <w:rPr>
                <w:rFonts w:ascii="Calibri" w:hAnsi="Calibri" w:cs="Calibri"/>
                <w:b/>
                <w:bCs/>
                <w:color w:val="000000"/>
                <w:sz w:val="15"/>
                <w:szCs w:val="15"/>
                <w:lang w:eastAsia="es-CO"/>
              </w:rPr>
            </w:pPr>
            <w:r w:rsidRPr="00D24E44">
              <w:rPr>
                <w:rFonts w:ascii="Calibri" w:hAnsi="Calibri" w:cs="Calibri"/>
                <w:b/>
                <w:bCs/>
                <w:color w:val="000000"/>
                <w:sz w:val="15"/>
                <w:szCs w:val="15"/>
                <w:lang w:eastAsia="es-CO"/>
              </w:rPr>
              <w:t>Beneficios</w:t>
            </w:r>
          </w:p>
        </w:tc>
        <w:tc>
          <w:tcPr>
            <w:tcW w:w="308" w:type="pct"/>
            <w:tcBorders>
              <w:top w:val="nil"/>
              <w:left w:val="nil"/>
              <w:bottom w:val="nil"/>
              <w:right w:val="nil"/>
            </w:tcBorders>
            <w:shd w:val="clear" w:color="auto" w:fill="auto"/>
            <w:noWrap/>
            <w:vAlign w:val="bottom"/>
            <w:hideMark/>
          </w:tcPr>
          <w:p w14:paraId="2341B907" w14:textId="77777777" w:rsidR="00CD529B" w:rsidRPr="00D24E44" w:rsidRDefault="00CD529B" w:rsidP="00564572">
            <w:pPr>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908" w14:textId="77777777" w:rsidR="00CD529B" w:rsidRPr="000D0E52"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909" w14:textId="77777777" w:rsidR="00CD529B" w:rsidRPr="000D0E52"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90A"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0B"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0C"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0D"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0E"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0F"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10" w14:textId="77777777" w:rsidR="00CD529B" w:rsidRPr="000D0E52"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911" w14:textId="77777777" w:rsidR="00CD529B" w:rsidRPr="000D0E52"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912" w14:textId="77777777" w:rsidR="00CD529B" w:rsidRPr="000D0E52" w:rsidRDefault="00CD529B" w:rsidP="00564572">
            <w:pPr>
              <w:rPr>
                <w:sz w:val="15"/>
                <w:szCs w:val="15"/>
                <w:lang w:eastAsia="es-CO"/>
              </w:rPr>
            </w:pPr>
          </w:p>
        </w:tc>
      </w:tr>
      <w:tr w:rsidR="00CD529B" w:rsidRPr="00D24E44" w14:paraId="2341B921" w14:textId="77777777" w:rsidTr="00564572">
        <w:trPr>
          <w:trHeight w:val="300"/>
        </w:trPr>
        <w:tc>
          <w:tcPr>
            <w:tcW w:w="1455" w:type="pct"/>
            <w:tcBorders>
              <w:top w:val="nil"/>
              <w:left w:val="nil"/>
              <w:bottom w:val="nil"/>
              <w:right w:val="nil"/>
            </w:tcBorders>
            <w:shd w:val="clear" w:color="auto" w:fill="auto"/>
            <w:noWrap/>
            <w:vAlign w:val="bottom"/>
            <w:hideMark/>
          </w:tcPr>
          <w:p w14:paraId="2341B914" w14:textId="77777777" w:rsidR="00CD529B" w:rsidRPr="00D24E44" w:rsidRDefault="00CD529B" w:rsidP="00564572">
            <w:pPr>
              <w:ind w:firstLineChars="100" w:firstLine="150"/>
              <w:rPr>
                <w:rFonts w:ascii="Calibri" w:hAnsi="Calibri" w:cs="Calibri"/>
                <w:color w:val="000000"/>
                <w:sz w:val="15"/>
                <w:szCs w:val="15"/>
                <w:lang w:eastAsia="es-CO"/>
              </w:rPr>
            </w:pPr>
            <w:r w:rsidRPr="00D24E44">
              <w:rPr>
                <w:rFonts w:ascii="Calibri" w:hAnsi="Calibri" w:cs="Calibri"/>
                <w:color w:val="000000"/>
                <w:sz w:val="15"/>
                <w:szCs w:val="15"/>
                <w:lang w:eastAsia="es-CO"/>
              </w:rPr>
              <w:t>Ahorro GWh/año</w:t>
            </w:r>
          </w:p>
        </w:tc>
        <w:tc>
          <w:tcPr>
            <w:tcW w:w="308" w:type="pct"/>
            <w:tcBorders>
              <w:top w:val="nil"/>
              <w:left w:val="nil"/>
              <w:bottom w:val="nil"/>
              <w:right w:val="nil"/>
            </w:tcBorders>
            <w:shd w:val="clear" w:color="auto" w:fill="auto"/>
            <w:noWrap/>
            <w:vAlign w:val="bottom"/>
            <w:hideMark/>
          </w:tcPr>
          <w:p w14:paraId="2341B915" w14:textId="77777777" w:rsidR="00CD529B" w:rsidRPr="00D24E44" w:rsidRDefault="00CD529B" w:rsidP="00564572">
            <w:pPr>
              <w:ind w:firstLineChars="100" w:firstLine="150"/>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91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w:t>
            </w:r>
          </w:p>
        </w:tc>
        <w:tc>
          <w:tcPr>
            <w:tcW w:w="296" w:type="pct"/>
            <w:tcBorders>
              <w:top w:val="nil"/>
              <w:left w:val="nil"/>
              <w:bottom w:val="nil"/>
              <w:right w:val="nil"/>
            </w:tcBorders>
            <w:shd w:val="clear" w:color="auto" w:fill="auto"/>
            <w:noWrap/>
            <w:vAlign w:val="bottom"/>
            <w:hideMark/>
          </w:tcPr>
          <w:p w14:paraId="2341B91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57</w:t>
            </w:r>
          </w:p>
        </w:tc>
        <w:tc>
          <w:tcPr>
            <w:tcW w:w="296" w:type="pct"/>
            <w:tcBorders>
              <w:top w:val="nil"/>
              <w:left w:val="nil"/>
              <w:bottom w:val="nil"/>
              <w:right w:val="nil"/>
            </w:tcBorders>
            <w:shd w:val="clear" w:color="auto" w:fill="auto"/>
            <w:noWrap/>
            <w:vAlign w:val="bottom"/>
            <w:hideMark/>
          </w:tcPr>
          <w:p w14:paraId="2341B91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85</w:t>
            </w:r>
          </w:p>
        </w:tc>
        <w:tc>
          <w:tcPr>
            <w:tcW w:w="297" w:type="pct"/>
            <w:tcBorders>
              <w:top w:val="nil"/>
              <w:left w:val="nil"/>
              <w:bottom w:val="nil"/>
              <w:right w:val="nil"/>
            </w:tcBorders>
            <w:shd w:val="clear" w:color="auto" w:fill="auto"/>
            <w:noWrap/>
            <w:vAlign w:val="bottom"/>
            <w:hideMark/>
          </w:tcPr>
          <w:p w14:paraId="2341B91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97" w:type="pct"/>
            <w:tcBorders>
              <w:top w:val="nil"/>
              <w:left w:val="nil"/>
              <w:bottom w:val="nil"/>
              <w:right w:val="nil"/>
            </w:tcBorders>
            <w:shd w:val="clear" w:color="auto" w:fill="auto"/>
            <w:noWrap/>
            <w:vAlign w:val="bottom"/>
            <w:hideMark/>
          </w:tcPr>
          <w:p w14:paraId="2341B91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97" w:type="pct"/>
            <w:tcBorders>
              <w:top w:val="nil"/>
              <w:left w:val="nil"/>
              <w:bottom w:val="nil"/>
              <w:right w:val="nil"/>
            </w:tcBorders>
            <w:shd w:val="clear" w:color="auto" w:fill="auto"/>
            <w:noWrap/>
            <w:vAlign w:val="bottom"/>
            <w:hideMark/>
          </w:tcPr>
          <w:p w14:paraId="2341B91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97" w:type="pct"/>
            <w:tcBorders>
              <w:top w:val="nil"/>
              <w:left w:val="nil"/>
              <w:bottom w:val="nil"/>
              <w:right w:val="nil"/>
            </w:tcBorders>
            <w:shd w:val="clear" w:color="auto" w:fill="auto"/>
            <w:noWrap/>
            <w:vAlign w:val="bottom"/>
            <w:hideMark/>
          </w:tcPr>
          <w:p w14:paraId="2341B91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97" w:type="pct"/>
            <w:tcBorders>
              <w:top w:val="nil"/>
              <w:left w:val="nil"/>
              <w:bottom w:val="nil"/>
              <w:right w:val="nil"/>
            </w:tcBorders>
            <w:shd w:val="clear" w:color="auto" w:fill="auto"/>
            <w:noWrap/>
            <w:vAlign w:val="bottom"/>
            <w:hideMark/>
          </w:tcPr>
          <w:p w14:paraId="2341B91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97" w:type="pct"/>
            <w:tcBorders>
              <w:top w:val="nil"/>
              <w:left w:val="nil"/>
              <w:bottom w:val="nil"/>
              <w:right w:val="nil"/>
            </w:tcBorders>
            <w:shd w:val="clear" w:color="auto" w:fill="auto"/>
            <w:noWrap/>
            <w:vAlign w:val="bottom"/>
            <w:hideMark/>
          </w:tcPr>
          <w:p w14:paraId="2341B91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89" w:type="pct"/>
            <w:tcBorders>
              <w:top w:val="nil"/>
              <w:left w:val="nil"/>
              <w:bottom w:val="nil"/>
              <w:right w:val="nil"/>
            </w:tcBorders>
            <w:shd w:val="clear" w:color="auto" w:fill="auto"/>
            <w:noWrap/>
            <w:vAlign w:val="bottom"/>
            <w:hideMark/>
          </w:tcPr>
          <w:p w14:paraId="2341B91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114</w:t>
            </w:r>
          </w:p>
        </w:tc>
        <w:tc>
          <w:tcPr>
            <w:tcW w:w="287" w:type="pct"/>
            <w:tcBorders>
              <w:top w:val="nil"/>
              <w:left w:val="nil"/>
              <w:bottom w:val="nil"/>
              <w:right w:val="nil"/>
            </w:tcBorders>
            <w:shd w:val="clear" w:color="auto" w:fill="auto"/>
            <w:noWrap/>
            <w:vAlign w:val="bottom"/>
            <w:hideMark/>
          </w:tcPr>
          <w:p w14:paraId="2341B92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114</w:t>
            </w:r>
          </w:p>
        </w:tc>
      </w:tr>
      <w:tr w:rsidR="00CD529B" w:rsidRPr="00D24E44" w14:paraId="2341B92F" w14:textId="77777777" w:rsidTr="00564572">
        <w:trPr>
          <w:trHeight w:val="300"/>
        </w:trPr>
        <w:tc>
          <w:tcPr>
            <w:tcW w:w="1455" w:type="pct"/>
            <w:tcBorders>
              <w:top w:val="nil"/>
              <w:left w:val="nil"/>
              <w:bottom w:val="single" w:sz="4" w:space="0" w:color="BFBFBF"/>
              <w:right w:val="nil"/>
            </w:tcBorders>
            <w:shd w:val="clear" w:color="auto" w:fill="auto"/>
            <w:noWrap/>
            <w:vAlign w:val="bottom"/>
            <w:hideMark/>
          </w:tcPr>
          <w:p w14:paraId="2341B922"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evitadas (TonCO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w:t>
            </w:r>
          </w:p>
        </w:tc>
        <w:tc>
          <w:tcPr>
            <w:tcW w:w="308" w:type="pct"/>
            <w:tcBorders>
              <w:top w:val="nil"/>
              <w:left w:val="nil"/>
              <w:bottom w:val="single" w:sz="4" w:space="0" w:color="BFBFBF"/>
              <w:right w:val="nil"/>
            </w:tcBorders>
            <w:shd w:val="clear" w:color="auto" w:fill="auto"/>
            <w:noWrap/>
            <w:vAlign w:val="bottom"/>
            <w:hideMark/>
          </w:tcPr>
          <w:p w14:paraId="2341B923"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8" w:type="pct"/>
            <w:tcBorders>
              <w:top w:val="nil"/>
              <w:left w:val="nil"/>
              <w:bottom w:val="single" w:sz="4" w:space="0" w:color="BFBFBF"/>
              <w:right w:val="nil"/>
            </w:tcBorders>
            <w:shd w:val="clear" w:color="auto" w:fill="auto"/>
            <w:noWrap/>
            <w:vAlign w:val="bottom"/>
            <w:hideMark/>
          </w:tcPr>
          <w:p w14:paraId="2341B92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3.983</w:t>
            </w:r>
          </w:p>
        </w:tc>
        <w:tc>
          <w:tcPr>
            <w:tcW w:w="296" w:type="pct"/>
            <w:tcBorders>
              <w:top w:val="nil"/>
              <w:left w:val="nil"/>
              <w:bottom w:val="single" w:sz="4" w:space="0" w:color="BFBFBF"/>
              <w:right w:val="nil"/>
            </w:tcBorders>
            <w:shd w:val="clear" w:color="auto" w:fill="auto"/>
            <w:noWrap/>
            <w:vAlign w:val="bottom"/>
            <w:hideMark/>
          </w:tcPr>
          <w:p w14:paraId="2341B92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7.966</w:t>
            </w:r>
          </w:p>
        </w:tc>
        <w:tc>
          <w:tcPr>
            <w:tcW w:w="296" w:type="pct"/>
            <w:tcBorders>
              <w:top w:val="nil"/>
              <w:left w:val="nil"/>
              <w:bottom w:val="single" w:sz="4" w:space="0" w:color="BFBFBF"/>
              <w:right w:val="nil"/>
            </w:tcBorders>
            <w:shd w:val="clear" w:color="auto" w:fill="auto"/>
            <w:noWrap/>
            <w:vAlign w:val="bottom"/>
            <w:hideMark/>
          </w:tcPr>
          <w:p w14:paraId="2341B92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11.950</w:t>
            </w:r>
          </w:p>
        </w:tc>
        <w:tc>
          <w:tcPr>
            <w:tcW w:w="297" w:type="pct"/>
            <w:tcBorders>
              <w:top w:val="nil"/>
              <w:left w:val="nil"/>
              <w:bottom w:val="single" w:sz="4" w:space="0" w:color="BFBFBF"/>
              <w:right w:val="nil"/>
            </w:tcBorders>
            <w:shd w:val="clear" w:color="auto" w:fill="auto"/>
            <w:noWrap/>
            <w:vAlign w:val="bottom"/>
            <w:hideMark/>
          </w:tcPr>
          <w:p w14:paraId="2341B92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97" w:type="pct"/>
            <w:tcBorders>
              <w:top w:val="nil"/>
              <w:left w:val="nil"/>
              <w:bottom w:val="single" w:sz="4" w:space="0" w:color="BFBFBF"/>
              <w:right w:val="nil"/>
            </w:tcBorders>
            <w:shd w:val="clear" w:color="auto" w:fill="auto"/>
            <w:noWrap/>
            <w:vAlign w:val="bottom"/>
            <w:hideMark/>
          </w:tcPr>
          <w:p w14:paraId="2341B92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97" w:type="pct"/>
            <w:tcBorders>
              <w:top w:val="nil"/>
              <w:left w:val="nil"/>
              <w:bottom w:val="single" w:sz="4" w:space="0" w:color="BFBFBF"/>
              <w:right w:val="nil"/>
            </w:tcBorders>
            <w:shd w:val="clear" w:color="auto" w:fill="auto"/>
            <w:noWrap/>
            <w:vAlign w:val="bottom"/>
            <w:hideMark/>
          </w:tcPr>
          <w:p w14:paraId="2341B92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97" w:type="pct"/>
            <w:tcBorders>
              <w:top w:val="nil"/>
              <w:left w:val="nil"/>
              <w:bottom w:val="single" w:sz="4" w:space="0" w:color="BFBFBF"/>
              <w:right w:val="nil"/>
            </w:tcBorders>
            <w:shd w:val="clear" w:color="auto" w:fill="auto"/>
            <w:noWrap/>
            <w:vAlign w:val="bottom"/>
            <w:hideMark/>
          </w:tcPr>
          <w:p w14:paraId="2341B92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97" w:type="pct"/>
            <w:tcBorders>
              <w:top w:val="nil"/>
              <w:left w:val="nil"/>
              <w:bottom w:val="single" w:sz="4" w:space="0" w:color="BFBFBF"/>
              <w:right w:val="nil"/>
            </w:tcBorders>
            <w:shd w:val="clear" w:color="auto" w:fill="auto"/>
            <w:noWrap/>
            <w:vAlign w:val="bottom"/>
            <w:hideMark/>
          </w:tcPr>
          <w:p w14:paraId="2341B92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97" w:type="pct"/>
            <w:tcBorders>
              <w:top w:val="nil"/>
              <w:left w:val="nil"/>
              <w:bottom w:val="single" w:sz="4" w:space="0" w:color="BFBFBF"/>
              <w:right w:val="nil"/>
            </w:tcBorders>
            <w:shd w:val="clear" w:color="auto" w:fill="auto"/>
            <w:noWrap/>
            <w:vAlign w:val="bottom"/>
            <w:hideMark/>
          </w:tcPr>
          <w:p w14:paraId="2341B92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89" w:type="pct"/>
            <w:tcBorders>
              <w:top w:val="nil"/>
              <w:left w:val="nil"/>
              <w:bottom w:val="single" w:sz="4" w:space="0" w:color="BFBFBF"/>
              <w:right w:val="nil"/>
            </w:tcBorders>
            <w:shd w:val="clear" w:color="auto" w:fill="auto"/>
            <w:noWrap/>
            <w:vAlign w:val="bottom"/>
            <w:hideMark/>
          </w:tcPr>
          <w:p w14:paraId="2341B92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15.933</w:t>
            </w:r>
          </w:p>
        </w:tc>
        <w:tc>
          <w:tcPr>
            <w:tcW w:w="287" w:type="pct"/>
            <w:tcBorders>
              <w:top w:val="nil"/>
              <w:left w:val="nil"/>
              <w:bottom w:val="single" w:sz="4" w:space="0" w:color="BFBFBF"/>
              <w:right w:val="nil"/>
            </w:tcBorders>
            <w:shd w:val="clear" w:color="auto" w:fill="auto"/>
            <w:noWrap/>
            <w:vAlign w:val="bottom"/>
            <w:hideMark/>
          </w:tcPr>
          <w:p w14:paraId="2341B92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15.933</w:t>
            </w:r>
          </w:p>
        </w:tc>
      </w:tr>
      <w:tr w:rsidR="00CD529B" w:rsidRPr="00D24E44" w14:paraId="2341B93D" w14:textId="77777777" w:rsidTr="00564572">
        <w:trPr>
          <w:trHeight w:val="300"/>
        </w:trPr>
        <w:tc>
          <w:tcPr>
            <w:tcW w:w="1455" w:type="pct"/>
            <w:tcBorders>
              <w:top w:val="nil"/>
              <w:left w:val="nil"/>
              <w:bottom w:val="nil"/>
              <w:right w:val="nil"/>
            </w:tcBorders>
            <w:shd w:val="clear" w:color="auto" w:fill="auto"/>
            <w:noWrap/>
            <w:vAlign w:val="bottom"/>
            <w:hideMark/>
          </w:tcPr>
          <w:p w14:paraId="2341B930"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en Tarifa para industrial ($COP Millones)</w:t>
            </w:r>
          </w:p>
        </w:tc>
        <w:tc>
          <w:tcPr>
            <w:tcW w:w="308" w:type="pct"/>
            <w:tcBorders>
              <w:top w:val="nil"/>
              <w:left w:val="nil"/>
              <w:bottom w:val="nil"/>
              <w:right w:val="nil"/>
            </w:tcBorders>
            <w:shd w:val="clear" w:color="auto" w:fill="auto"/>
            <w:noWrap/>
            <w:vAlign w:val="bottom"/>
            <w:hideMark/>
          </w:tcPr>
          <w:p w14:paraId="2341B931"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8" w:type="pct"/>
            <w:tcBorders>
              <w:top w:val="nil"/>
              <w:left w:val="nil"/>
              <w:bottom w:val="nil"/>
              <w:right w:val="nil"/>
            </w:tcBorders>
            <w:shd w:val="clear" w:color="auto" w:fill="auto"/>
            <w:noWrap/>
            <w:vAlign w:val="bottom"/>
            <w:hideMark/>
          </w:tcPr>
          <w:p w14:paraId="2341B93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7.593</w:t>
            </w:r>
          </w:p>
        </w:tc>
        <w:tc>
          <w:tcPr>
            <w:tcW w:w="296" w:type="pct"/>
            <w:tcBorders>
              <w:top w:val="nil"/>
              <w:left w:val="nil"/>
              <w:bottom w:val="nil"/>
              <w:right w:val="nil"/>
            </w:tcBorders>
            <w:shd w:val="clear" w:color="auto" w:fill="auto"/>
            <w:noWrap/>
            <w:vAlign w:val="bottom"/>
            <w:hideMark/>
          </w:tcPr>
          <w:p w14:paraId="2341B93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15.186</w:t>
            </w:r>
          </w:p>
        </w:tc>
        <w:tc>
          <w:tcPr>
            <w:tcW w:w="296" w:type="pct"/>
            <w:tcBorders>
              <w:top w:val="nil"/>
              <w:left w:val="nil"/>
              <w:bottom w:val="nil"/>
              <w:right w:val="nil"/>
            </w:tcBorders>
            <w:shd w:val="clear" w:color="auto" w:fill="auto"/>
            <w:noWrap/>
            <w:vAlign w:val="bottom"/>
            <w:hideMark/>
          </w:tcPr>
          <w:p w14:paraId="2341B93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22.779</w:t>
            </w:r>
          </w:p>
        </w:tc>
        <w:tc>
          <w:tcPr>
            <w:tcW w:w="297" w:type="pct"/>
            <w:tcBorders>
              <w:top w:val="nil"/>
              <w:left w:val="nil"/>
              <w:bottom w:val="nil"/>
              <w:right w:val="nil"/>
            </w:tcBorders>
            <w:shd w:val="clear" w:color="auto" w:fill="auto"/>
            <w:noWrap/>
            <w:vAlign w:val="bottom"/>
            <w:hideMark/>
          </w:tcPr>
          <w:p w14:paraId="2341B93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97" w:type="pct"/>
            <w:tcBorders>
              <w:top w:val="nil"/>
              <w:left w:val="nil"/>
              <w:bottom w:val="nil"/>
              <w:right w:val="nil"/>
            </w:tcBorders>
            <w:shd w:val="clear" w:color="auto" w:fill="auto"/>
            <w:noWrap/>
            <w:vAlign w:val="bottom"/>
            <w:hideMark/>
          </w:tcPr>
          <w:p w14:paraId="2341B93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97" w:type="pct"/>
            <w:tcBorders>
              <w:top w:val="nil"/>
              <w:left w:val="nil"/>
              <w:bottom w:val="nil"/>
              <w:right w:val="nil"/>
            </w:tcBorders>
            <w:shd w:val="clear" w:color="auto" w:fill="auto"/>
            <w:noWrap/>
            <w:vAlign w:val="bottom"/>
            <w:hideMark/>
          </w:tcPr>
          <w:p w14:paraId="2341B93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97" w:type="pct"/>
            <w:tcBorders>
              <w:top w:val="nil"/>
              <w:left w:val="nil"/>
              <w:bottom w:val="nil"/>
              <w:right w:val="nil"/>
            </w:tcBorders>
            <w:shd w:val="clear" w:color="auto" w:fill="auto"/>
            <w:noWrap/>
            <w:vAlign w:val="bottom"/>
            <w:hideMark/>
          </w:tcPr>
          <w:p w14:paraId="2341B93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97" w:type="pct"/>
            <w:tcBorders>
              <w:top w:val="nil"/>
              <w:left w:val="nil"/>
              <w:bottom w:val="nil"/>
              <w:right w:val="nil"/>
            </w:tcBorders>
            <w:shd w:val="clear" w:color="auto" w:fill="auto"/>
            <w:noWrap/>
            <w:vAlign w:val="bottom"/>
            <w:hideMark/>
          </w:tcPr>
          <w:p w14:paraId="2341B93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97" w:type="pct"/>
            <w:tcBorders>
              <w:top w:val="nil"/>
              <w:left w:val="nil"/>
              <w:bottom w:val="nil"/>
              <w:right w:val="nil"/>
            </w:tcBorders>
            <w:shd w:val="clear" w:color="auto" w:fill="auto"/>
            <w:noWrap/>
            <w:vAlign w:val="bottom"/>
            <w:hideMark/>
          </w:tcPr>
          <w:p w14:paraId="2341B93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89" w:type="pct"/>
            <w:tcBorders>
              <w:top w:val="nil"/>
              <w:left w:val="nil"/>
              <w:bottom w:val="nil"/>
              <w:right w:val="nil"/>
            </w:tcBorders>
            <w:shd w:val="clear" w:color="auto" w:fill="auto"/>
            <w:noWrap/>
            <w:vAlign w:val="bottom"/>
            <w:hideMark/>
          </w:tcPr>
          <w:p w14:paraId="2341B93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30.372</w:t>
            </w:r>
          </w:p>
        </w:tc>
        <w:tc>
          <w:tcPr>
            <w:tcW w:w="287" w:type="pct"/>
            <w:tcBorders>
              <w:top w:val="nil"/>
              <w:left w:val="nil"/>
              <w:bottom w:val="nil"/>
              <w:right w:val="nil"/>
            </w:tcBorders>
            <w:shd w:val="clear" w:color="auto" w:fill="auto"/>
            <w:noWrap/>
            <w:vAlign w:val="bottom"/>
            <w:hideMark/>
          </w:tcPr>
          <w:p w14:paraId="2341B93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30.372</w:t>
            </w:r>
          </w:p>
        </w:tc>
      </w:tr>
      <w:tr w:rsidR="00CD529B" w:rsidRPr="00D24E44" w14:paraId="2341B94B" w14:textId="77777777" w:rsidTr="00564572">
        <w:trPr>
          <w:trHeight w:val="300"/>
        </w:trPr>
        <w:tc>
          <w:tcPr>
            <w:tcW w:w="1455" w:type="pct"/>
            <w:tcBorders>
              <w:top w:val="nil"/>
              <w:left w:val="nil"/>
              <w:bottom w:val="nil"/>
              <w:right w:val="nil"/>
            </w:tcBorders>
            <w:shd w:val="clear" w:color="auto" w:fill="auto"/>
            <w:noWrap/>
            <w:vAlign w:val="bottom"/>
            <w:hideMark/>
          </w:tcPr>
          <w:p w14:paraId="2341B93E"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emisiones de CO</w:t>
            </w:r>
            <w:r w:rsidRPr="00CD529B">
              <w:rPr>
                <w:rFonts w:ascii="Calibri" w:hAnsi="Calibri" w:cs="Calibri"/>
                <w:color w:val="000000"/>
                <w:sz w:val="15"/>
                <w:szCs w:val="15"/>
                <w:vertAlign w:val="subscript"/>
                <w:lang w:val="es-ES_tradnl" w:eastAsia="es-CO"/>
              </w:rPr>
              <w:t xml:space="preserve">2 </w:t>
            </w:r>
            <w:r w:rsidRPr="00CD529B">
              <w:rPr>
                <w:rFonts w:ascii="Calibri" w:hAnsi="Calibri" w:cs="Calibri"/>
                <w:color w:val="000000"/>
                <w:sz w:val="15"/>
                <w:szCs w:val="15"/>
                <w:lang w:val="es-ES_tradnl" w:eastAsia="es-CO"/>
              </w:rPr>
              <w:t>($COP Millones)</w:t>
            </w:r>
          </w:p>
        </w:tc>
        <w:tc>
          <w:tcPr>
            <w:tcW w:w="308" w:type="pct"/>
            <w:tcBorders>
              <w:top w:val="nil"/>
              <w:left w:val="nil"/>
              <w:bottom w:val="nil"/>
              <w:right w:val="nil"/>
            </w:tcBorders>
            <w:shd w:val="clear" w:color="auto" w:fill="auto"/>
            <w:noWrap/>
            <w:vAlign w:val="bottom"/>
            <w:hideMark/>
          </w:tcPr>
          <w:p w14:paraId="2341B93F"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8" w:type="pct"/>
            <w:tcBorders>
              <w:top w:val="nil"/>
              <w:left w:val="nil"/>
              <w:bottom w:val="nil"/>
              <w:right w:val="nil"/>
            </w:tcBorders>
            <w:shd w:val="clear" w:color="auto" w:fill="auto"/>
            <w:noWrap/>
            <w:vAlign w:val="bottom"/>
            <w:hideMark/>
          </w:tcPr>
          <w:p w14:paraId="2341B94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72</w:t>
            </w:r>
          </w:p>
        </w:tc>
        <w:tc>
          <w:tcPr>
            <w:tcW w:w="296" w:type="pct"/>
            <w:tcBorders>
              <w:top w:val="nil"/>
              <w:left w:val="nil"/>
              <w:bottom w:val="nil"/>
              <w:right w:val="nil"/>
            </w:tcBorders>
            <w:shd w:val="clear" w:color="auto" w:fill="auto"/>
            <w:noWrap/>
            <w:vAlign w:val="bottom"/>
            <w:hideMark/>
          </w:tcPr>
          <w:p w14:paraId="2341B94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144</w:t>
            </w:r>
          </w:p>
        </w:tc>
        <w:tc>
          <w:tcPr>
            <w:tcW w:w="296" w:type="pct"/>
            <w:tcBorders>
              <w:top w:val="nil"/>
              <w:left w:val="nil"/>
              <w:bottom w:val="nil"/>
              <w:right w:val="nil"/>
            </w:tcBorders>
            <w:shd w:val="clear" w:color="auto" w:fill="auto"/>
            <w:noWrap/>
            <w:vAlign w:val="bottom"/>
            <w:hideMark/>
          </w:tcPr>
          <w:p w14:paraId="2341B94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215</w:t>
            </w:r>
          </w:p>
        </w:tc>
        <w:tc>
          <w:tcPr>
            <w:tcW w:w="297" w:type="pct"/>
            <w:tcBorders>
              <w:top w:val="nil"/>
              <w:left w:val="nil"/>
              <w:bottom w:val="nil"/>
              <w:right w:val="nil"/>
            </w:tcBorders>
            <w:shd w:val="clear" w:color="auto" w:fill="auto"/>
            <w:noWrap/>
            <w:vAlign w:val="bottom"/>
            <w:hideMark/>
          </w:tcPr>
          <w:p w14:paraId="2341B94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97" w:type="pct"/>
            <w:tcBorders>
              <w:top w:val="nil"/>
              <w:left w:val="nil"/>
              <w:bottom w:val="nil"/>
              <w:right w:val="nil"/>
            </w:tcBorders>
            <w:shd w:val="clear" w:color="auto" w:fill="auto"/>
            <w:noWrap/>
            <w:vAlign w:val="bottom"/>
            <w:hideMark/>
          </w:tcPr>
          <w:p w14:paraId="2341B94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97" w:type="pct"/>
            <w:tcBorders>
              <w:top w:val="nil"/>
              <w:left w:val="nil"/>
              <w:bottom w:val="nil"/>
              <w:right w:val="nil"/>
            </w:tcBorders>
            <w:shd w:val="clear" w:color="auto" w:fill="auto"/>
            <w:noWrap/>
            <w:vAlign w:val="bottom"/>
            <w:hideMark/>
          </w:tcPr>
          <w:p w14:paraId="2341B94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97" w:type="pct"/>
            <w:tcBorders>
              <w:top w:val="nil"/>
              <w:left w:val="nil"/>
              <w:bottom w:val="nil"/>
              <w:right w:val="nil"/>
            </w:tcBorders>
            <w:shd w:val="clear" w:color="auto" w:fill="auto"/>
            <w:noWrap/>
            <w:vAlign w:val="bottom"/>
            <w:hideMark/>
          </w:tcPr>
          <w:p w14:paraId="2341B94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97" w:type="pct"/>
            <w:tcBorders>
              <w:top w:val="nil"/>
              <w:left w:val="nil"/>
              <w:bottom w:val="nil"/>
              <w:right w:val="nil"/>
            </w:tcBorders>
            <w:shd w:val="clear" w:color="auto" w:fill="auto"/>
            <w:noWrap/>
            <w:vAlign w:val="bottom"/>
            <w:hideMark/>
          </w:tcPr>
          <w:p w14:paraId="2341B94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97" w:type="pct"/>
            <w:tcBorders>
              <w:top w:val="nil"/>
              <w:left w:val="nil"/>
              <w:bottom w:val="nil"/>
              <w:right w:val="nil"/>
            </w:tcBorders>
            <w:shd w:val="clear" w:color="auto" w:fill="auto"/>
            <w:noWrap/>
            <w:vAlign w:val="bottom"/>
            <w:hideMark/>
          </w:tcPr>
          <w:p w14:paraId="2341B94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89" w:type="pct"/>
            <w:tcBorders>
              <w:top w:val="nil"/>
              <w:left w:val="nil"/>
              <w:bottom w:val="nil"/>
              <w:right w:val="nil"/>
            </w:tcBorders>
            <w:shd w:val="clear" w:color="auto" w:fill="auto"/>
            <w:noWrap/>
            <w:vAlign w:val="bottom"/>
            <w:hideMark/>
          </w:tcPr>
          <w:p w14:paraId="2341B94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287</w:t>
            </w:r>
          </w:p>
        </w:tc>
        <w:tc>
          <w:tcPr>
            <w:tcW w:w="287" w:type="pct"/>
            <w:tcBorders>
              <w:top w:val="nil"/>
              <w:left w:val="nil"/>
              <w:bottom w:val="nil"/>
              <w:right w:val="nil"/>
            </w:tcBorders>
            <w:shd w:val="clear" w:color="auto" w:fill="auto"/>
            <w:noWrap/>
            <w:vAlign w:val="bottom"/>
            <w:hideMark/>
          </w:tcPr>
          <w:p w14:paraId="2341B94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287</w:t>
            </w:r>
          </w:p>
        </w:tc>
      </w:tr>
      <w:tr w:rsidR="00CD529B" w:rsidRPr="00D24E44" w14:paraId="2341B959"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94C"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planta de generación evitada ($COP Millones)</w:t>
            </w:r>
          </w:p>
        </w:tc>
        <w:tc>
          <w:tcPr>
            <w:tcW w:w="308" w:type="pct"/>
            <w:tcBorders>
              <w:top w:val="nil"/>
              <w:left w:val="nil"/>
              <w:bottom w:val="single" w:sz="4" w:space="0" w:color="auto"/>
              <w:right w:val="nil"/>
            </w:tcBorders>
            <w:shd w:val="clear" w:color="auto" w:fill="auto"/>
            <w:noWrap/>
            <w:vAlign w:val="bottom"/>
            <w:hideMark/>
          </w:tcPr>
          <w:p w14:paraId="2341B94D"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8" w:type="pct"/>
            <w:tcBorders>
              <w:top w:val="nil"/>
              <w:left w:val="nil"/>
              <w:bottom w:val="single" w:sz="4" w:space="0" w:color="auto"/>
              <w:right w:val="nil"/>
            </w:tcBorders>
            <w:shd w:val="clear" w:color="auto" w:fill="auto"/>
            <w:noWrap/>
            <w:vAlign w:val="bottom"/>
            <w:hideMark/>
          </w:tcPr>
          <w:p w14:paraId="2341B94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2341B94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2341B95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95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148.272</w:t>
            </w:r>
          </w:p>
        </w:tc>
        <w:tc>
          <w:tcPr>
            <w:tcW w:w="297" w:type="pct"/>
            <w:tcBorders>
              <w:top w:val="nil"/>
              <w:left w:val="nil"/>
              <w:bottom w:val="single" w:sz="4" w:space="0" w:color="auto"/>
              <w:right w:val="nil"/>
            </w:tcBorders>
            <w:shd w:val="clear" w:color="auto" w:fill="auto"/>
            <w:noWrap/>
            <w:vAlign w:val="bottom"/>
            <w:hideMark/>
          </w:tcPr>
          <w:p w14:paraId="2341B95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95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95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95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95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single" w:sz="4" w:space="0" w:color="auto"/>
              <w:right w:val="nil"/>
            </w:tcBorders>
            <w:shd w:val="clear" w:color="auto" w:fill="auto"/>
            <w:noWrap/>
            <w:vAlign w:val="bottom"/>
            <w:hideMark/>
          </w:tcPr>
          <w:p w14:paraId="2341B95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95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24E44" w14:paraId="2341B967"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95A" w14:textId="77777777" w:rsidR="00CD529B" w:rsidRPr="00D24E44" w:rsidRDefault="00CD529B" w:rsidP="00564572">
            <w:pPr>
              <w:ind w:firstLineChars="100" w:firstLine="150"/>
              <w:rPr>
                <w:rFonts w:ascii="Calibri" w:hAnsi="Calibri" w:cs="Calibri"/>
                <w:color w:val="000000"/>
                <w:sz w:val="15"/>
                <w:szCs w:val="15"/>
                <w:lang w:eastAsia="es-CO"/>
              </w:rPr>
            </w:pPr>
            <w:r w:rsidRPr="00D24E44">
              <w:rPr>
                <w:rFonts w:ascii="Calibri" w:hAnsi="Calibri" w:cs="Calibri"/>
                <w:color w:val="000000"/>
                <w:sz w:val="15"/>
                <w:szCs w:val="15"/>
                <w:lang w:eastAsia="es-CO"/>
              </w:rPr>
              <w:t>Total Beneficios ($COP Millones)</w:t>
            </w:r>
          </w:p>
        </w:tc>
        <w:tc>
          <w:tcPr>
            <w:tcW w:w="308" w:type="pct"/>
            <w:tcBorders>
              <w:top w:val="nil"/>
              <w:left w:val="nil"/>
              <w:bottom w:val="single" w:sz="4" w:space="0" w:color="auto"/>
              <w:right w:val="nil"/>
            </w:tcBorders>
            <w:shd w:val="clear" w:color="auto" w:fill="auto"/>
            <w:noWrap/>
            <w:vAlign w:val="bottom"/>
            <w:hideMark/>
          </w:tcPr>
          <w:p w14:paraId="2341B95B" w14:textId="77777777" w:rsidR="00CD529B" w:rsidRPr="00D24E44" w:rsidRDefault="00CD529B" w:rsidP="00564572">
            <w:pPr>
              <w:rPr>
                <w:rFonts w:ascii="Calibri" w:hAnsi="Calibri" w:cs="Calibri"/>
                <w:color w:val="000000"/>
                <w:sz w:val="15"/>
                <w:szCs w:val="15"/>
                <w:lang w:eastAsia="es-CO"/>
              </w:rPr>
            </w:pPr>
            <w:r w:rsidRPr="00D24E44">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2341B95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7.665</w:t>
            </w:r>
          </w:p>
        </w:tc>
        <w:tc>
          <w:tcPr>
            <w:tcW w:w="296" w:type="pct"/>
            <w:tcBorders>
              <w:top w:val="nil"/>
              <w:left w:val="nil"/>
              <w:bottom w:val="single" w:sz="4" w:space="0" w:color="auto"/>
              <w:right w:val="nil"/>
            </w:tcBorders>
            <w:shd w:val="clear" w:color="auto" w:fill="auto"/>
            <w:noWrap/>
            <w:vAlign w:val="bottom"/>
            <w:hideMark/>
          </w:tcPr>
          <w:p w14:paraId="2341B95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15.330</w:t>
            </w:r>
          </w:p>
        </w:tc>
        <w:tc>
          <w:tcPr>
            <w:tcW w:w="296" w:type="pct"/>
            <w:tcBorders>
              <w:top w:val="nil"/>
              <w:left w:val="nil"/>
              <w:bottom w:val="single" w:sz="4" w:space="0" w:color="auto"/>
              <w:right w:val="nil"/>
            </w:tcBorders>
            <w:shd w:val="clear" w:color="auto" w:fill="auto"/>
            <w:noWrap/>
            <w:vAlign w:val="bottom"/>
            <w:hideMark/>
          </w:tcPr>
          <w:p w14:paraId="2341B95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22.994</w:t>
            </w:r>
          </w:p>
        </w:tc>
        <w:tc>
          <w:tcPr>
            <w:tcW w:w="297" w:type="pct"/>
            <w:tcBorders>
              <w:top w:val="nil"/>
              <w:left w:val="nil"/>
              <w:bottom w:val="single" w:sz="4" w:space="0" w:color="auto"/>
              <w:right w:val="nil"/>
            </w:tcBorders>
            <w:shd w:val="clear" w:color="auto" w:fill="auto"/>
            <w:noWrap/>
            <w:vAlign w:val="bottom"/>
            <w:hideMark/>
          </w:tcPr>
          <w:p w14:paraId="2341B95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178.931</w:t>
            </w:r>
          </w:p>
        </w:tc>
        <w:tc>
          <w:tcPr>
            <w:tcW w:w="297" w:type="pct"/>
            <w:tcBorders>
              <w:top w:val="nil"/>
              <w:left w:val="nil"/>
              <w:bottom w:val="single" w:sz="4" w:space="0" w:color="auto"/>
              <w:right w:val="nil"/>
            </w:tcBorders>
            <w:shd w:val="clear" w:color="auto" w:fill="auto"/>
            <w:noWrap/>
            <w:vAlign w:val="bottom"/>
            <w:hideMark/>
          </w:tcPr>
          <w:p w14:paraId="2341B96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2341B96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2341B96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2341B96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2341B96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89" w:type="pct"/>
            <w:tcBorders>
              <w:top w:val="nil"/>
              <w:left w:val="nil"/>
              <w:bottom w:val="single" w:sz="4" w:space="0" w:color="auto"/>
              <w:right w:val="nil"/>
            </w:tcBorders>
            <w:shd w:val="clear" w:color="auto" w:fill="auto"/>
            <w:noWrap/>
            <w:vAlign w:val="bottom"/>
            <w:hideMark/>
          </w:tcPr>
          <w:p w14:paraId="2341B96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87" w:type="pct"/>
            <w:tcBorders>
              <w:top w:val="nil"/>
              <w:left w:val="nil"/>
              <w:bottom w:val="single" w:sz="4" w:space="0" w:color="auto"/>
              <w:right w:val="nil"/>
            </w:tcBorders>
            <w:shd w:val="clear" w:color="auto" w:fill="auto"/>
            <w:noWrap/>
            <w:vAlign w:val="bottom"/>
            <w:hideMark/>
          </w:tcPr>
          <w:p w14:paraId="2341B96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r>
      <w:tr w:rsidR="00CD529B" w:rsidRPr="00D24E44" w14:paraId="2341B975" w14:textId="77777777" w:rsidTr="00564572">
        <w:trPr>
          <w:trHeight w:val="300"/>
        </w:trPr>
        <w:tc>
          <w:tcPr>
            <w:tcW w:w="1455" w:type="pct"/>
            <w:tcBorders>
              <w:top w:val="nil"/>
              <w:left w:val="nil"/>
              <w:bottom w:val="nil"/>
              <w:right w:val="nil"/>
            </w:tcBorders>
            <w:shd w:val="clear" w:color="auto" w:fill="auto"/>
            <w:noWrap/>
            <w:vAlign w:val="bottom"/>
            <w:hideMark/>
          </w:tcPr>
          <w:p w14:paraId="2341B968" w14:textId="77777777" w:rsidR="00CD529B" w:rsidRPr="00D24E44" w:rsidRDefault="00CD529B" w:rsidP="00564572">
            <w:pPr>
              <w:rPr>
                <w:rFonts w:ascii="Calibri" w:hAnsi="Calibri" w:cs="Calibri"/>
                <w:b/>
                <w:bCs/>
                <w:color w:val="000000"/>
                <w:sz w:val="15"/>
                <w:szCs w:val="15"/>
                <w:lang w:eastAsia="es-CO"/>
              </w:rPr>
            </w:pPr>
            <w:r w:rsidRPr="00D24E44">
              <w:rPr>
                <w:rFonts w:ascii="Calibri" w:hAnsi="Calibri" w:cs="Calibri"/>
                <w:b/>
                <w:bCs/>
                <w:color w:val="000000"/>
                <w:sz w:val="15"/>
                <w:szCs w:val="15"/>
                <w:lang w:eastAsia="es-CO"/>
              </w:rPr>
              <w:t>Inversión y Costos</w:t>
            </w:r>
          </w:p>
        </w:tc>
        <w:tc>
          <w:tcPr>
            <w:tcW w:w="308" w:type="pct"/>
            <w:tcBorders>
              <w:top w:val="nil"/>
              <w:left w:val="nil"/>
              <w:bottom w:val="nil"/>
              <w:right w:val="nil"/>
            </w:tcBorders>
            <w:shd w:val="clear" w:color="auto" w:fill="auto"/>
            <w:noWrap/>
            <w:vAlign w:val="bottom"/>
            <w:hideMark/>
          </w:tcPr>
          <w:p w14:paraId="2341B969" w14:textId="77777777" w:rsidR="00CD529B" w:rsidRPr="00D24E44" w:rsidRDefault="00CD529B" w:rsidP="00564572">
            <w:pPr>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96A" w14:textId="77777777" w:rsidR="00CD529B" w:rsidRPr="000D0E52"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96B" w14:textId="77777777" w:rsidR="00CD529B" w:rsidRPr="000D0E52"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96C"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6D"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6E"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6F"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70"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71"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72" w14:textId="77777777" w:rsidR="00CD529B" w:rsidRPr="000D0E52"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973" w14:textId="77777777" w:rsidR="00CD529B" w:rsidRPr="000D0E52"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974" w14:textId="77777777" w:rsidR="00CD529B" w:rsidRPr="000D0E52" w:rsidRDefault="00CD529B" w:rsidP="00564572">
            <w:pPr>
              <w:rPr>
                <w:sz w:val="15"/>
                <w:szCs w:val="15"/>
                <w:lang w:eastAsia="es-CO"/>
              </w:rPr>
            </w:pPr>
          </w:p>
        </w:tc>
      </w:tr>
      <w:tr w:rsidR="00CD529B" w:rsidRPr="00D24E44" w14:paraId="2341B983" w14:textId="77777777" w:rsidTr="00564572">
        <w:trPr>
          <w:trHeight w:val="300"/>
        </w:trPr>
        <w:tc>
          <w:tcPr>
            <w:tcW w:w="1455" w:type="pct"/>
            <w:tcBorders>
              <w:top w:val="nil"/>
              <w:left w:val="nil"/>
              <w:bottom w:val="nil"/>
              <w:right w:val="nil"/>
            </w:tcBorders>
            <w:shd w:val="clear" w:color="auto" w:fill="auto"/>
            <w:noWrap/>
            <w:vAlign w:val="bottom"/>
            <w:hideMark/>
          </w:tcPr>
          <w:p w14:paraId="2341B976" w14:textId="77777777" w:rsidR="00CD529B" w:rsidRPr="00D24E44" w:rsidRDefault="00CD529B" w:rsidP="00564572">
            <w:pPr>
              <w:ind w:firstLineChars="100" w:firstLine="150"/>
              <w:rPr>
                <w:rFonts w:ascii="Calibri" w:hAnsi="Calibri" w:cs="Calibri"/>
                <w:color w:val="000000"/>
                <w:sz w:val="15"/>
                <w:szCs w:val="15"/>
                <w:lang w:eastAsia="es-CO"/>
              </w:rPr>
            </w:pPr>
            <w:r w:rsidRPr="00D24E44">
              <w:rPr>
                <w:rFonts w:ascii="Calibri" w:hAnsi="Calibri" w:cs="Calibri"/>
                <w:color w:val="000000"/>
                <w:sz w:val="15"/>
                <w:szCs w:val="15"/>
                <w:lang w:eastAsia="es-CO"/>
              </w:rPr>
              <w:t>Inversión en motores eficientes</w:t>
            </w:r>
          </w:p>
        </w:tc>
        <w:tc>
          <w:tcPr>
            <w:tcW w:w="308" w:type="pct"/>
            <w:tcBorders>
              <w:top w:val="nil"/>
              <w:left w:val="nil"/>
              <w:bottom w:val="nil"/>
              <w:right w:val="nil"/>
            </w:tcBorders>
            <w:shd w:val="clear" w:color="auto" w:fill="auto"/>
            <w:noWrap/>
            <w:vAlign w:val="bottom"/>
            <w:hideMark/>
          </w:tcPr>
          <w:p w14:paraId="2341B977" w14:textId="77777777" w:rsidR="00CD529B" w:rsidRPr="00D24E44" w:rsidRDefault="00CD529B" w:rsidP="00564572">
            <w:pPr>
              <w:ind w:firstLineChars="100" w:firstLine="150"/>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97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6" w:type="pct"/>
            <w:tcBorders>
              <w:top w:val="nil"/>
              <w:left w:val="nil"/>
              <w:bottom w:val="nil"/>
              <w:right w:val="nil"/>
            </w:tcBorders>
            <w:shd w:val="clear" w:color="auto" w:fill="auto"/>
            <w:noWrap/>
            <w:vAlign w:val="bottom"/>
            <w:hideMark/>
          </w:tcPr>
          <w:p w14:paraId="2341B97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6" w:type="pct"/>
            <w:tcBorders>
              <w:top w:val="nil"/>
              <w:left w:val="nil"/>
              <w:bottom w:val="nil"/>
              <w:right w:val="nil"/>
            </w:tcBorders>
            <w:shd w:val="clear" w:color="auto" w:fill="auto"/>
            <w:noWrap/>
            <w:vAlign w:val="bottom"/>
            <w:hideMark/>
          </w:tcPr>
          <w:p w14:paraId="2341B97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7" w:type="pct"/>
            <w:tcBorders>
              <w:top w:val="nil"/>
              <w:left w:val="nil"/>
              <w:bottom w:val="nil"/>
              <w:right w:val="nil"/>
            </w:tcBorders>
            <w:shd w:val="clear" w:color="auto" w:fill="auto"/>
            <w:noWrap/>
            <w:vAlign w:val="bottom"/>
            <w:hideMark/>
          </w:tcPr>
          <w:p w14:paraId="2341B97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7" w:type="pct"/>
            <w:tcBorders>
              <w:top w:val="nil"/>
              <w:left w:val="nil"/>
              <w:bottom w:val="nil"/>
              <w:right w:val="nil"/>
            </w:tcBorders>
            <w:shd w:val="clear" w:color="auto" w:fill="auto"/>
            <w:noWrap/>
            <w:vAlign w:val="bottom"/>
            <w:hideMark/>
          </w:tcPr>
          <w:p w14:paraId="2341B97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97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97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97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98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nil"/>
              <w:right w:val="nil"/>
            </w:tcBorders>
            <w:shd w:val="clear" w:color="auto" w:fill="auto"/>
            <w:noWrap/>
            <w:vAlign w:val="bottom"/>
            <w:hideMark/>
          </w:tcPr>
          <w:p w14:paraId="2341B98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2341B98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24E44" w14:paraId="2341B991" w14:textId="77777777" w:rsidTr="00564572">
        <w:trPr>
          <w:trHeight w:val="300"/>
        </w:trPr>
        <w:tc>
          <w:tcPr>
            <w:tcW w:w="1455" w:type="pct"/>
            <w:tcBorders>
              <w:top w:val="single" w:sz="4" w:space="0" w:color="auto"/>
              <w:left w:val="nil"/>
              <w:bottom w:val="single" w:sz="4" w:space="0" w:color="auto"/>
              <w:right w:val="nil"/>
            </w:tcBorders>
            <w:shd w:val="clear" w:color="auto" w:fill="auto"/>
            <w:noWrap/>
            <w:vAlign w:val="bottom"/>
            <w:hideMark/>
          </w:tcPr>
          <w:p w14:paraId="2341B984"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Total Inversión y Costos ($COP Millones)</w:t>
            </w:r>
          </w:p>
        </w:tc>
        <w:tc>
          <w:tcPr>
            <w:tcW w:w="308" w:type="pct"/>
            <w:tcBorders>
              <w:top w:val="single" w:sz="4" w:space="0" w:color="auto"/>
              <w:left w:val="nil"/>
              <w:bottom w:val="single" w:sz="4" w:space="0" w:color="auto"/>
              <w:right w:val="nil"/>
            </w:tcBorders>
            <w:shd w:val="clear" w:color="auto" w:fill="auto"/>
            <w:noWrap/>
            <w:vAlign w:val="bottom"/>
            <w:hideMark/>
          </w:tcPr>
          <w:p w14:paraId="2341B985"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8" w:type="pct"/>
            <w:tcBorders>
              <w:top w:val="single" w:sz="4" w:space="0" w:color="auto"/>
              <w:left w:val="nil"/>
              <w:bottom w:val="single" w:sz="4" w:space="0" w:color="auto"/>
              <w:right w:val="nil"/>
            </w:tcBorders>
            <w:shd w:val="clear" w:color="auto" w:fill="auto"/>
            <w:noWrap/>
            <w:vAlign w:val="bottom"/>
            <w:hideMark/>
          </w:tcPr>
          <w:p w14:paraId="2341B98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6" w:type="pct"/>
            <w:tcBorders>
              <w:top w:val="single" w:sz="4" w:space="0" w:color="auto"/>
              <w:left w:val="nil"/>
              <w:bottom w:val="single" w:sz="4" w:space="0" w:color="auto"/>
              <w:right w:val="nil"/>
            </w:tcBorders>
            <w:shd w:val="clear" w:color="auto" w:fill="auto"/>
            <w:noWrap/>
            <w:vAlign w:val="bottom"/>
            <w:hideMark/>
          </w:tcPr>
          <w:p w14:paraId="2341B98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6" w:type="pct"/>
            <w:tcBorders>
              <w:top w:val="single" w:sz="4" w:space="0" w:color="auto"/>
              <w:left w:val="nil"/>
              <w:bottom w:val="single" w:sz="4" w:space="0" w:color="auto"/>
              <w:right w:val="nil"/>
            </w:tcBorders>
            <w:shd w:val="clear" w:color="auto" w:fill="auto"/>
            <w:noWrap/>
            <w:vAlign w:val="bottom"/>
            <w:hideMark/>
          </w:tcPr>
          <w:p w14:paraId="2341B98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7" w:type="pct"/>
            <w:tcBorders>
              <w:top w:val="single" w:sz="4" w:space="0" w:color="auto"/>
              <w:left w:val="nil"/>
              <w:bottom w:val="single" w:sz="4" w:space="0" w:color="auto"/>
              <w:right w:val="nil"/>
            </w:tcBorders>
            <w:shd w:val="clear" w:color="auto" w:fill="auto"/>
            <w:noWrap/>
            <w:vAlign w:val="bottom"/>
            <w:hideMark/>
          </w:tcPr>
          <w:p w14:paraId="2341B98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37.083</w:t>
            </w:r>
          </w:p>
        </w:tc>
        <w:tc>
          <w:tcPr>
            <w:tcW w:w="297" w:type="pct"/>
            <w:tcBorders>
              <w:top w:val="single" w:sz="4" w:space="0" w:color="auto"/>
              <w:left w:val="nil"/>
              <w:bottom w:val="single" w:sz="4" w:space="0" w:color="auto"/>
              <w:right w:val="nil"/>
            </w:tcBorders>
            <w:shd w:val="clear" w:color="auto" w:fill="auto"/>
            <w:noWrap/>
            <w:vAlign w:val="bottom"/>
            <w:hideMark/>
          </w:tcPr>
          <w:p w14:paraId="2341B98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98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98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98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98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single" w:sz="4" w:space="0" w:color="auto"/>
              <w:left w:val="nil"/>
              <w:bottom w:val="single" w:sz="4" w:space="0" w:color="auto"/>
              <w:right w:val="nil"/>
            </w:tcBorders>
            <w:shd w:val="clear" w:color="auto" w:fill="auto"/>
            <w:noWrap/>
            <w:vAlign w:val="bottom"/>
            <w:hideMark/>
          </w:tcPr>
          <w:p w14:paraId="2341B98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2341B99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D24E44" w14:paraId="2341B99F"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992" w14:textId="77777777" w:rsidR="00CD529B" w:rsidRPr="00D24E44" w:rsidRDefault="00CD529B" w:rsidP="00564572">
            <w:pPr>
              <w:rPr>
                <w:rFonts w:ascii="Calibri" w:hAnsi="Calibri" w:cs="Calibri"/>
                <w:b/>
                <w:bCs/>
                <w:color w:val="000000"/>
                <w:sz w:val="15"/>
                <w:szCs w:val="15"/>
                <w:lang w:eastAsia="es-CO"/>
              </w:rPr>
            </w:pPr>
            <w:r w:rsidRPr="00D24E44">
              <w:rPr>
                <w:rFonts w:ascii="Calibri" w:hAnsi="Calibri" w:cs="Calibri"/>
                <w:b/>
                <w:bCs/>
                <w:color w:val="000000"/>
                <w:sz w:val="15"/>
                <w:szCs w:val="15"/>
                <w:lang w:eastAsia="es-CO"/>
              </w:rPr>
              <w:t>Flujo Neto</w:t>
            </w:r>
          </w:p>
        </w:tc>
        <w:tc>
          <w:tcPr>
            <w:tcW w:w="308" w:type="pct"/>
            <w:tcBorders>
              <w:top w:val="nil"/>
              <w:left w:val="nil"/>
              <w:bottom w:val="single" w:sz="4" w:space="0" w:color="auto"/>
              <w:right w:val="nil"/>
            </w:tcBorders>
            <w:shd w:val="clear" w:color="auto" w:fill="auto"/>
            <w:noWrap/>
            <w:vAlign w:val="bottom"/>
            <w:hideMark/>
          </w:tcPr>
          <w:p w14:paraId="2341B993" w14:textId="77777777" w:rsidR="00CD529B" w:rsidRPr="00D24E44" w:rsidRDefault="00CD529B" w:rsidP="00564572">
            <w:pPr>
              <w:rPr>
                <w:rFonts w:ascii="Calibri" w:hAnsi="Calibri" w:cs="Calibri"/>
                <w:color w:val="000000"/>
                <w:sz w:val="15"/>
                <w:szCs w:val="15"/>
                <w:lang w:eastAsia="es-CO"/>
              </w:rPr>
            </w:pPr>
            <w:r w:rsidRPr="00D24E44">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2341B99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-29.418</w:t>
            </w:r>
          </w:p>
        </w:tc>
        <w:tc>
          <w:tcPr>
            <w:tcW w:w="296" w:type="pct"/>
            <w:tcBorders>
              <w:top w:val="nil"/>
              <w:left w:val="nil"/>
              <w:bottom w:val="single" w:sz="4" w:space="0" w:color="auto"/>
              <w:right w:val="nil"/>
            </w:tcBorders>
            <w:shd w:val="clear" w:color="auto" w:fill="auto"/>
            <w:noWrap/>
            <w:vAlign w:val="bottom"/>
            <w:hideMark/>
          </w:tcPr>
          <w:p w14:paraId="2341B99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-21.753</w:t>
            </w:r>
          </w:p>
        </w:tc>
        <w:tc>
          <w:tcPr>
            <w:tcW w:w="296" w:type="pct"/>
            <w:tcBorders>
              <w:top w:val="nil"/>
              <w:left w:val="nil"/>
              <w:bottom w:val="single" w:sz="4" w:space="0" w:color="auto"/>
              <w:right w:val="nil"/>
            </w:tcBorders>
            <w:shd w:val="clear" w:color="auto" w:fill="auto"/>
            <w:noWrap/>
            <w:vAlign w:val="bottom"/>
            <w:hideMark/>
          </w:tcPr>
          <w:p w14:paraId="2341B99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-14.089</w:t>
            </w:r>
          </w:p>
        </w:tc>
        <w:tc>
          <w:tcPr>
            <w:tcW w:w="297" w:type="pct"/>
            <w:tcBorders>
              <w:top w:val="nil"/>
              <w:left w:val="nil"/>
              <w:bottom w:val="single" w:sz="4" w:space="0" w:color="auto"/>
              <w:right w:val="nil"/>
            </w:tcBorders>
            <w:shd w:val="clear" w:color="auto" w:fill="auto"/>
            <w:noWrap/>
            <w:vAlign w:val="bottom"/>
            <w:hideMark/>
          </w:tcPr>
          <w:p w14:paraId="2341B99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141.848</w:t>
            </w:r>
          </w:p>
        </w:tc>
        <w:tc>
          <w:tcPr>
            <w:tcW w:w="297" w:type="pct"/>
            <w:tcBorders>
              <w:top w:val="nil"/>
              <w:left w:val="nil"/>
              <w:bottom w:val="single" w:sz="4" w:space="0" w:color="auto"/>
              <w:right w:val="nil"/>
            </w:tcBorders>
            <w:shd w:val="clear" w:color="auto" w:fill="auto"/>
            <w:noWrap/>
            <w:vAlign w:val="bottom"/>
            <w:hideMark/>
          </w:tcPr>
          <w:p w14:paraId="2341B99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2341B99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2341B99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2341B99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97" w:type="pct"/>
            <w:tcBorders>
              <w:top w:val="nil"/>
              <w:left w:val="nil"/>
              <w:bottom w:val="single" w:sz="4" w:space="0" w:color="auto"/>
              <w:right w:val="nil"/>
            </w:tcBorders>
            <w:shd w:val="clear" w:color="auto" w:fill="auto"/>
            <w:noWrap/>
            <w:vAlign w:val="bottom"/>
            <w:hideMark/>
          </w:tcPr>
          <w:p w14:paraId="2341B99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89" w:type="pct"/>
            <w:tcBorders>
              <w:top w:val="nil"/>
              <w:left w:val="nil"/>
              <w:bottom w:val="single" w:sz="4" w:space="0" w:color="auto"/>
              <w:right w:val="nil"/>
            </w:tcBorders>
            <w:shd w:val="clear" w:color="auto" w:fill="auto"/>
            <w:noWrap/>
            <w:vAlign w:val="bottom"/>
            <w:hideMark/>
          </w:tcPr>
          <w:p w14:paraId="2341B99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c>
          <w:tcPr>
            <w:tcW w:w="287" w:type="pct"/>
            <w:tcBorders>
              <w:top w:val="nil"/>
              <w:left w:val="nil"/>
              <w:bottom w:val="single" w:sz="4" w:space="0" w:color="auto"/>
              <w:right w:val="nil"/>
            </w:tcBorders>
            <w:shd w:val="clear" w:color="auto" w:fill="auto"/>
            <w:noWrap/>
            <w:vAlign w:val="bottom"/>
            <w:hideMark/>
          </w:tcPr>
          <w:p w14:paraId="2341B99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30.659</w:t>
            </w:r>
          </w:p>
        </w:tc>
      </w:tr>
      <w:tr w:rsidR="00CD529B" w:rsidRPr="00D24E44" w14:paraId="2341B9AD" w14:textId="77777777" w:rsidTr="00564572">
        <w:trPr>
          <w:trHeight w:val="300"/>
        </w:trPr>
        <w:tc>
          <w:tcPr>
            <w:tcW w:w="1455" w:type="pct"/>
            <w:tcBorders>
              <w:top w:val="nil"/>
              <w:left w:val="nil"/>
              <w:bottom w:val="nil"/>
              <w:right w:val="nil"/>
            </w:tcBorders>
            <w:shd w:val="clear" w:color="auto" w:fill="auto"/>
            <w:noWrap/>
            <w:vAlign w:val="bottom"/>
            <w:hideMark/>
          </w:tcPr>
          <w:p w14:paraId="2341B9A0" w14:textId="77777777" w:rsidR="00CD529B" w:rsidRPr="00D24E44" w:rsidRDefault="00CD529B" w:rsidP="00564572">
            <w:pPr>
              <w:jc w:val="right"/>
              <w:rPr>
                <w:rFonts w:ascii="Calibri" w:hAnsi="Calibri" w:cs="Calibri"/>
                <w:color w:val="000000"/>
                <w:sz w:val="15"/>
                <w:szCs w:val="15"/>
                <w:lang w:eastAsia="es-CO"/>
              </w:rPr>
            </w:pPr>
          </w:p>
        </w:tc>
        <w:tc>
          <w:tcPr>
            <w:tcW w:w="308" w:type="pct"/>
            <w:tcBorders>
              <w:top w:val="nil"/>
              <w:left w:val="nil"/>
              <w:bottom w:val="nil"/>
              <w:right w:val="nil"/>
            </w:tcBorders>
            <w:shd w:val="clear" w:color="auto" w:fill="auto"/>
            <w:noWrap/>
            <w:vAlign w:val="bottom"/>
            <w:hideMark/>
          </w:tcPr>
          <w:p w14:paraId="2341B9A1" w14:textId="77777777" w:rsidR="00CD529B" w:rsidRPr="00D24E44"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9A2" w14:textId="77777777" w:rsidR="00CD529B" w:rsidRPr="00D24E44"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9A3" w14:textId="77777777" w:rsidR="00CD529B" w:rsidRPr="00D24E44"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9A4"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A5"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A6"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A7"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A8"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A9"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AA" w14:textId="77777777" w:rsidR="00CD529B" w:rsidRPr="00D24E44"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9AB" w14:textId="77777777" w:rsidR="00CD529B" w:rsidRPr="00D24E44"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9AC" w14:textId="77777777" w:rsidR="00CD529B" w:rsidRPr="00D24E44" w:rsidRDefault="00CD529B" w:rsidP="00564572">
            <w:pPr>
              <w:rPr>
                <w:sz w:val="15"/>
                <w:szCs w:val="15"/>
                <w:lang w:eastAsia="es-CO"/>
              </w:rPr>
            </w:pPr>
          </w:p>
        </w:tc>
      </w:tr>
      <w:tr w:rsidR="00CD529B" w:rsidRPr="00D24E44" w14:paraId="2341B9BB" w14:textId="77777777" w:rsidTr="00564572">
        <w:trPr>
          <w:trHeight w:val="300"/>
        </w:trPr>
        <w:tc>
          <w:tcPr>
            <w:tcW w:w="1455" w:type="pct"/>
            <w:tcBorders>
              <w:top w:val="nil"/>
              <w:left w:val="nil"/>
              <w:bottom w:val="nil"/>
              <w:right w:val="nil"/>
            </w:tcBorders>
            <w:shd w:val="clear" w:color="auto" w:fill="auto"/>
            <w:noWrap/>
            <w:vAlign w:val="bottom"/>
            <w:hideMark/>
          </w:tcPr>
          <w:p w14:paraId="2341B9AE" w14:textId="77777777" w:rsidR="00CD529B" w:rsidRPr="00D24E44" w:rsidRDefault="00CD529B" w:rsidP="00564572">
            <w:pPr>
              <w:rPr>
                <w:sz w:val="15"/>
                <w:szCs w:val="15"/>
                <w:lang w:eastAsia="es-CO"/>
              </w:rPr>
            </w:pP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2341B9AF"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Beneficios</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9B0"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Costos</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2341B9B1" w14:textId="77777777" w:rsidR="00CD529B" w:rsidRPr="00D24E44" w:rsidRDefault="00CD529B" w:rsidP="00564572">
            <w:pPr>
              <w:jc w:val="center"/>
              <w:rPr>
                <w:rFonts w:ascii="Calibri" w:hAnsi="Calibri" w:cs="Calibri"/>
                <w:color w:val="FFFFFF"/>
                <w:sz w:val="15"/>
                <w:szCs w:val="15"/>
                <w:lang w:eastAsia="es-CO"/>
              </w:rPr>
            </w:pPr>
            <w:r w:rsidRPr="00D24E44">
              <w:rPr>
                <w:rFonts w:ascii="Calibri" w:hAnsi="Calibri" w:cs="Calibri"/>
                <w:color w:val="FFFFFF"/>
                <w:sz w:val="15"/>
                <w:szCs w:val="15"/>
                <w:lang w:eastAsia="es-CO"/>
              </w:rPr>
              <w:t>Neto</w:t>
            </w:r>
          </w:p>
        </w:tc>
        <w:tc>
          <w:tcPr>
            <w:tcW w:w="296" w:type="pct"/>
            <w:tcBorders>
              <w:top w:val="nil"/>
              <w:left w:val="nil"/>
              <w:bottom w:val="nil"/>
              <w:right w:val="nil"/>
            </w:tcBorders>
            <w:shd w:val="clear" w:color="auto" w:fill="auto"/>
            <w:noWrap/>
            <w:vAlign w:val="bottom"/>
            <w:hideMark/>
          </w:tcPr>
          <w:p w14:paraId="2341B9B2" w14:textId="77777777" w:rsidR="00CD529B" w:rsidRPr="00D24E44" w:rsidRDefault="00CD529B" w:rsidP="00564572">
            <w:pPr>
              <w:jc w:val="center"/>
              <w:rPr>
                <w:rFonts w:ascii="Calibri" w:hAnsi="Calibri" w:cs="Calibri"/>
                <w:color w:val="FFFFFF"/>
                <w:sz w:val="15"/>
                <w:szCs w:val="15"/>
                <w:lang w:eastAsia="es-CO"/>
              </w:rPr>
            </w:pPr>
          </w:p>
        </w:tc>
        <w:tc>
          <w:tcPr>
            <w:tcW w:w="297" w:type="pct"/>
            <w:tcBorders>
              <w:top w:val="nil"/>
              <w:left w:val="nil"/>
              <w:bottom w:val="nil"/>
              <w:right w:val="nil"/>
            </w:tcBorders>
            <w:shd w:val="clear" w:color="auto" w:fill="auto"/>
            <w:noWrap/>
            <w:vAlign w:val="bottom"/>
            <w:hideMark/>
          </w:tcPr>
          <w:p w14:paraId="2341B9B3"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B4"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B5"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B6"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B7"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B8" w14:textId="77777777" w:rsidR="00CD529B" w:rsidRPr="00D24E44"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9B9" w14:textId="77777777" w:rsidR="00CD529B" w:rsidRPr="00D24E44"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9BA" w14:textId="77777777" w:rsidR="00CD529B" w:rsidRPr="00D24E44" w:rsidRDefault="00CD529B" w:rsidP="00564572">
            <w:pPr>
              <w:rPr>
                <w:sz w:val="15"/>
                <w:szCs w:val="15"/>
                <w:lang w:eastAsia="es-CO"/>
              </w:rPr>
            </w:pPr>
          </w:p>
        </w:tc>
      </w:tr>
      <w:tr w:rsidR="00CD529B" w:rsidRPr="00D24E44" w14:paraId="2341B9C9" w14:textId="77777777" w:rsidTr="00564572">
        <w:trPr>
          <w:trHeight w:val="300"/>
        </w:trPr>
        <w:tc>
          <w:tcPr>
            <w:tcW w:w="1455" w:type="pct"/>
            <w:tcBorders>
              <w:top w:val="single" w:sz="4" w:space="0" w:color="auto"/>
              <w:left w:val="single" w:sz="4" w:space="0" w:color="auto"/>
              <w:bottom w:val="single" w:sz="4" w:space="0" w:color="auto"/>
              <w:right w:val="nil"/>
            </w:tcBorders>
            <w:shd w:val="clear" w:color="000000" w:fill="E2EFDA"/>
            <w:noWrap/>
            <w:vAlign w:val="bottom"/>
            <w:hideMark/>
          </w:tcPr>
          <w:p w14:paraId="2341B9BC" w14:textId="77777777" w:rsidR="00CD529B" w:rsidRPr="00D24E44" w:rsidRDefault="00CD529B" w:rsidP="00564572">
            <w:pPr>
              <w:rPr>
                <w:rFonts w:ascii="Calibri" w:hAnsi="Calibri" w:cs="Calibri"/>
                <w:color w:val="000000"/>
                <w:sz w:val="15"/>
                <w:szCs w:val="15"/>
                <w:lang w:eastAsia="es-CO"/>
              </w:rPr>
            </w:pPr>
            <w:r w:rsidRPr="00D24E44">
              <w:rPr>
                <w:rFonts w:ascii="Calibri" w:hAnsi="Calibri" w:cs="Calibri"/>
                <w:color w:val="000000"/>
                <w:sz w:val="15"/>
                <w:szCs w:val="15"/>
                <w:lang w:eastAsia="es-CO"/>
              </w:rPr>
              <w:t>VPN dic 2016 ($USD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2341B9B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$79</w:t>
            </w:r>
          </w:p>
        </w:tc>
        <w:tc>
          <w:tcPr>
            <w:tcW w:w="288" w:type="pct"/>
            <w:tcBorders>
              <w:top w:val="nil"/>
              <w:left w:val="nil"/>
              <w:bottom w:val="single" w:sz="4" w:space="0" w:color="auto"/>
              <w:right w:val="single" w:sz="4" w:space="0" w:color="auto"/>
            </w:tcBorders>
            <w:shd w:val="clear" w:color="000000" w:fill="E2EFDA"/>
            <w:noWrap/>
            <w:vAlign w:val="bottom"/>
            <w:hideMark/>
          </w:tcPr>
          <w:p w14:paraId="2341B9B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$38</w:t>
            </w:r>
          </w:p>
        </w:tc>
        <w:tc>
          <w:tcPr>
            <w:tcW w:w="296" w:type="pct"/>
            <w:tcBorders>
              <w:top w:val="nil"/>
              <w:left w:val="nil"/>
              <w:bottom w:val="single" w:sz="4" w:space="0" w:color="auto"/>
              <w:right w:val="single" w:sz="4" w:space="0" w:color="auto"/>
            </w:tcBorders>
            <w:shd w:val="clear" w:color="000000" w:fill="E2EFDA"/>
            <w:noWrap/>
            <w:vAlign w:val="bottom"/>
            <w:hideMark/>
          </w:tcPr>
          <w:p w14:paraId="2341B9B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$42</w:t>
            </w:r>
          </w:p>
        </w:tc>
        <w:tc>
          <w:tcPr>
            <w:tcW w:w="296" w:type="pct"/>
            <w:tcBorders>
              <w:top w:val="nil"/>
              <w:left w:val="nil"/>
              <w:bottom w:val="nil"/>
              <w:right w:val="nil"/>
            </w:tcBorders>
            <w:shd w:val="clear" w:color="auto" w:fill="auto"/>
            <w:noWrap/>
            <w:vAlign w:val="bottom"/>
            <w:hideMark/>
          </w:tcPr>
          <w:p w14:paraId="2341B9C0" w14:textId="77777777" w:rsidR="00CD529B" w:rsidRPr="00D24E44" w:rsidRDefault="00CD529B" w:rsidP="00564572">
            <w:pPr>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2341B9C1"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C2"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C3"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C4"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C5"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C6" w14:textId="77777777" w:rsidR="00CD529B" w:rsidRPr="00D24E44"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9C7" w14:textId="77777777" w:rsidR="00CD529B" w:rsidRPr="00D24E44"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9C8" w14:textId="77777777" w:rsidR="00CD529B" w:rsidRPr="00D24E44" w:rsidRDefault="00CD529B" w:rsidP="00564572">
            <w:pPr>
              <w:rPr>
                <w:sz w:val="15"/>
                <w:szCs w:val="15"/>
                <w:lang w:eastAsia="es-CO"/>
              </w:rPr>
            </w:pPr>
          </w:p>
        </w:tc>
      </w:tr>
      <w:tr w:rsidR="00CD529B" w:rsidRPr="00D24E44" w14:paraId="2341B9D7" w14:textId="77777777" w:rsidTr="00564572">
        <w:trPr>
          <w:trHeight w:val="300"/>
        </w:trPr>
        <w:tc>
          <w:tcPr>
            <w:tcW w:w="1455" w:type="pct"/>
            <w:tcBorders>
              <w:top w:val="nil"/>
              <w:left w:val="single" w:sz="4" w:space="0" w:color="auto"/>
              <w:bottom w:val="single" w:sz="4" w:space="0" w:color="auto"/>
              <w:right w:val="nil"/>
            </w:tcBorders>
            <w:shd w:val="clear" w:color="000000" w:fill="E2EFDA"/>
            <w:noWrap/>
            <w:vAlign w:val="bottom"/>
            <w:hideMark/>
          </w:tcPr>
          <w:p w14:paraId="2341B9CA" w14:textId="77777777" w:rsidR="00CD529B" w:rsidRPr="00D24E44" w:rsidRDefault="00CD529B" w:rsidP="00564572">
            <w:pPr>
              <w:rPr>
                <w:rFonts w:ascii="Calibri" w:hAnsi="Calibri" w:cs="Calibri"/>
                <w:color w:val="000000"/>
                <w:sz w:val="15"/>
                <w:szCs w:val="15"/>
                <w:lang w:eastAsia="es-CO"/>
              </w:rPr>
            </w:pPr>
            <w:r w:rsidRPr="00D24E44">
              <w:rPr>
                <w:rFonts w:ascii="Calibri" w:hAnsi="Calibri" w:cs="Calibri"/>
                <w:color w:val="000000"/>
                <w:sz w:val="15"/>
                <w:szCs w:val="15"/>
                <w:lang w:eastAsia="es-CO"/>
              </w:rPr>
              <w:t>VPN dic 2016 ($COP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2341B9C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$238.067</w:t>
            </w:r>
          </w:p>
        </w:tc>
        <w:tc>
          <w:tcPr>
            <w:tcW w:w="288" w:type="pct"/>
            <w:tcBorders>
              <w:top w:val="nil"/>
              <w:left w:val="nil"/>
              <w:bottom w:val="single" w:sz="4" w:space="0" w:color="auto"/>
              <w:right w:val="single" w:sz="4" w:space="0" w:color="auto"/>
            </w:tcBorders>
            <w:shd w:val="clear" w:color="000000" w:fill="E2EFDA"/>
            <w:noWrap/>
            <w:vAlign w:val="bottom"/>
            <w:hideMark/>
          </w:tcPr>
          <w:p w14:paraId="2341B9C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$112.634</w:t>
            </w:r>
          </w:p>
        </w:tc>
        <w:tc>
          <w:tcPr>
            <w:tcW w:w="296" w:type="pct"/>
            <w:tcBorders>
              <w:top w:val="nil"/>
              <w:left w:val="nil"/>
              <w:bottom w:val="single" w:sz="4" w:space="0" w:color="auto"/>
              <w:right w:val="single" w:sz="4" w:space="0" w:color="auto"/>
            </w:tcBorders>
            <w:shd w:val="clear" w:color="000000" w:fill="E2EFDA"/>
            <w:noWrap/>
            <w:vAlign w:val="bottom"/>
            <w:hideMark/>
          </w:tcPr>
          <w:p w14:paraId="2341B9C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$125.433</w:t>
            </w:r>
          </w:p>
        </w:tc>
        <w:tc>
          <w:tcPr>
            <w:tcW w:w="296" w:type="pct"/>
            <w:tcBorders>
              <w:top w:val="nil"/>
              <w:left w:val="nil"/>
              <w:bottom w:val="nil"/>
              <w:right w:val="nil"/>
            </w:tcBorders>
            <w:shd w:val="clear" w:color="auto" w:fill="auto"/>
            <w:noWrap/>
            <w:vAlign w:val="bottom"/>
            <w:hideMark/>
          </w:tcPr>
          <w:p w14:paraId="2341B9CE" w14:textId="77777777" w:rsidR="00CD529B" w:rsidRPr="00D24E44" w:rsidRDefault="00CD529B" w:rsidP="00564572">
            <w:pPr>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2341B9CF"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D0"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D1"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D2"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D3" w14:textId="77777777" w:rsidR="00CD529B" w:rsidRPr="00D24E44"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D4" w14:textId="77777777" w:rsidR="00CD529B" w:rsidRPr="00D24E44"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9D5" w14:textId="77777777" w:rsidR="00CD529B" w:rsidRPr="00D24E44"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9D6" w14:textId="77777777" w:rsidR="00CD529B" w:rsidRPr="00D24E44" w:rsidRDefault="00CD529B" w:rsidP="00564572">
            <w:pPr>
              <w:rPr>
                <w:sz w:val="15"/>
                <w:szCs w:val="15"/>
                <w:lang w:eastAsia="es-CO"/>
              </w:rPr>
            </w:pPr>
          </w:p>
        </w:tc>
      </w:tr>
    </w:tbl>
    <w:p w14:paraId="2341B9D8" w14:textId="77777777" w:rsidR="00CD529B" w:rsidRDefault="00CD529B" w:rsidP="00564572"/>
    <w:p w14:paraId="2341B9D9" w14:textId="77777777" w:rsidR="00CD529B" w:rsidRDefault="00CD529B" w:rsidP="00564572">
      <w:pPr>
        <w:spacing w:after="160" w:line="259" w:lineRule="auto"/>
      </w:pPr>
      <w:r>
        <w:br w:type="page"/>
      </w:r>
    </w:p>
    <w:p w14:paraId="2341B9DA" w14:textId="77777777" w:rsidR="00CD529B" w:rsidRPr="00CD529B" w:rsidRDefault="00CD529B" w:rsidP="00564572">
      <w:pPr>
        <w:ind w:left="720"/>
        <w:jc w:val="center"/>
        <w:rPr>
          <w:b/>
          <w:lang w:val="es-ES_tradnl"/>
        </w:rPr>
      </w:pPr>
      <w:bookmarkStart w:id="133" w:name="_Toc473268571"/>
      <w:bookmarkStart w:id="134" w:name="_Toc474797077"/>
      <w:r w:rsidRPr="00CD529B">
        <w:rPr>
          <w:b/>
          <w:lang w:val="es-ES_tradnl"/>
        </w:rPr>
        <w:lastRenderedPageBreak/>
        <w:t xml:space="preserve">Tabla </w:t>
      </w:r>
      <w:r w:rsidRPr="008C12BC">
        <w:rPr>
          <w:b/>
        </w:rPr>
        <w:fldChar w:fldCharType="begin"/>
      </w:r>
      <w:r w:rsidRPr="00CD529B">
        <w:rPr>
          <w:b/>
          <w:lang w:val="es-ES_tradnl"/>
        </w:rPr>
        <w:instrText xml:space="preserve"> SEQ Tabla \* ARABIC </w:instrText>
      </w:r>
      <w:r w:rsidRPr="008C12BC">
        <w:rPr>
          <w:b/>
        </w:rPr>
        <w:fldChar w:fldCharType="separate"/>
      </w:r>
      <w:r w:rsidRPr="00CD529B">
        <w:rPr>
          <w:b/>
          <w:noProof/>
          <w:lang w:val="es-ES_tradnl"/>
        </w:rPr>
        <w:t>23</w:t>
      </w:r>
      <w:r w:rsidRPr="008C12BC">
        <w:rPr>
          <w:b/>
        </w:rPr>
        <w:fldChar w:fldCharType="end"/>
      </w:r>
      <w:r w:rsidRPr="00CD529B">
        <w:rPr>
          <w:b/>
          <w:lang w:val="es-ES_tradnl"/>
        </w:rPr>
        <w:t xml:space="preserve"> – Proyección de beneficios y costos para la medida de sustitución de motores industria de químicos (Sector Industrial)</w:t>
      </w:r>
      <w:bookmarkEnd w:id="133"/>
      <w:bookmarkEnd w:id="134"/>
    </w:p>
    <w:tbl>
      <w:tblPr>
        <w:tblW w:w="5000" w:type="pct"/>
        <w:tblCellMar>
          <w:left w:w="70" w:type="dxa"/>
          <w:right w:w="70" w:type="dxa"/>
        </w:tblCellMar>
        <w:tblLook w:val="04A0" w:firstRow="1" w:lastRow="0" w:firstColumn="1" w:lastColumn="0" w:noHBand="0" w:noVBand="1"/>
      </w:tblPr>
      <w:tblGrid>
        <w:gridCol w:w="2835"/>
        <w:gridCol w:w="604"/>
        <w:gridCol w:w="507"/>
        <w:gridCol w:w="562"/>
        <w:gridCol w:w="483"/>
        <w:gridCol w:w="506"/>
        <w:gridCol w:w="449"/>
        <w:gridCol w:w="449"/>
        <w:gridCol w:w="449"/>
        <w:gridCol w:w="449"/>
        <w:gridCol w:w="449"/>
        <w:gridCol w:w="449"/>
        <w:gridCol w:w="449"/>
      </w:tblGrid>
      <w:tr w:rsidR="00CD529B" w:rsidRPr="00EE79BE" w14:paraId="2341B9E8" w14:textId="77777777" w:rsidTr="00564572">
        <w:trPr>
          <w:trHeight w:val="300"/>
        </w:trPr>
        <w:tc>
          <w:tcPr>
            <w:tcW w:w="1455" w:type="pct"/>
            <w:tcBorders>
              <w:top w:val="single" w:sz="4" w:space="0" w:color="000000"/>
              <w:left w:val="nil"/>
              <w:bottom w:val="nil"/>
              <w:right w:val="nil"/>
            </w:tcBorders>
            <w:shd w:val="clear" w:color="auto" w:fill="auto"/>
            <w:noWrap/>
            <w:vAlign w:val="bottom"/>
            <w:hideMark/>
          </w:tcPr>
          <w:p w14:paraId="2341B9DB"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Potencia motor ineficiente (Watts)</w:t>
            </w:r>
          </w:p>
        </w:tc>
        <w:tc>
          <w:tcPr>
            <w:tcW w:w="308" w:type="pct"/>
            <w:tcBorders>
              <w:top w:val="single" w:sz="4" w:space="0" w:color="000000"/>
              <w:left w:val="nil"/>
              <w:bottom w:val="nil"/>
              <w:right w:val="nil"/>
            </w:tcBorders>
            <w:shd w:val="clear" w:color="auto" w:fill="auto"/>
            <w:noWrap/>
            <w:vAlign w:val="bottom"/>
            <w:hideMark/>
          </w:tcPr>
          <w:p w14:paraId="2341B9DC" w14:textId="77777777" w:rsidR="00CD529B" w:rsidRPr="00EE79BE" w:rsidRDefault="00CD529B" w:rsidP="00564572">
            <w:pPr>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5.465</w:t>
            </w:r>
          </w:p>
        </w:tc>
        <w:tc>
          <w:tcPr>
            <w:tcW w:w="288" w:type="pct"/>
            <w:tcBorders>
              <w:top w:val="nil"/>
              <w:left w:val="nil"/>
              <w:bottom w:val="nil"/>
              <w:right w:val="nil"/>
            </w:tcBorders>
            <w:shd w:val="clear" w:color="auto" w:fill="auto"/>
            <w:noWrap/>
            <w:vAlign w:val="bottom"/>
            <w:hideMark/>
          </w:tcPr>
          <w:p w14:paraId="2341B9DD" w14:textId="77777777" w:rsidR="00CD529B" w:rsidRPr="00EE79BE"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9DE"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9DF"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E0"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E1"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E2"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E3"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E4"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E5"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9E6"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9E7" w14:textId="77777777" w:rsidR="00CD529B" w:rsidRPr="00EE79BE" w:rsidRDefault="00CD529B" w:rsidP="00564572">
            <w:pPr>
              <w:rPr>
                <w:sz w:val="15"/>
                <w:szCs w:val="15"/>
                <w:lang w:eastAsia="es-CO"/>
              </w:rPr>
            </w:pPr>
          </w:p>
        </w:tc>
      </w:tr>
      <w:tr w:rsidR="00CD529B" w:rsidRPr="00EE79BE" w14:paraId="2341B9F6" w14:textId="77777777" w:rsidTr="00564572">
        <w:trPr>
          <w:trHeight w:val="300"/>
        </w:trPr>
        <w:tc>
          <w:tcPr>
            <w:tcW w:w="1455" w:type="pct"/>
            <w:tcBorders>
              <w:top w:val="nil"/>
              <w:left w:val="nil"/>
              <w:bottom w:val="nil"/>
              <w:right w:val="nil"/>
            </w:tcBorders>
            <w:shd w:val="clear" w:color="auto" w:fill="auto"/>
            <w:noWrap/>
            <w:vAlign w:val="bottom"/>
            <w:hideMark/>
          </w:tcPr>
          <w:p w14:paraId="2341B9E9"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Potencia motor eficiente (Watts)</w:t>
            </w:r>
          </w:p>
        </w:tc>
        <w:tc>
          <w:tcPr>
            <w:tcW w:w="308" w:type="pct"/>
            <w:tcBorders>
              <w:top w:val="nil"/>
              <w:left w:val="nil"/>
              <w:bottom w:val="nil"/>
              <w:right w:val="nil"/>
            </w:tcBorders>
            <w:shd w:val="clear" w:color="auto" w:fill="auto"/>
            <w:noWrap/>
            <w:vAlign w:val="bottom"/>
            <w:hideMark/>
          </w:tcPr>
          <w:p w14:paraId="2341B9EA" w14:textId="77777777" w:rsidR="00CD529B" w:rsidRPr="00EE79BE" w:rsidRDefault="00CD529B" w:rsidP="00564572">
            <w:pPr>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5.013</w:t>
            </w:r>
          </w:p>
        </w:tc>
        <w:tc>
          <w:tcPr>
            <w:tcW w:w="288" w:type="pct"/>
            <w:tcBorders>
              <w:top w:val="nil"/>
              <w:left w:val="nil"/>
              <w:bottom w:val="nil"/>
              <w:right w:val="nil"/>
            </w:tcBorders>
            <w:shd w:val="clear" w:color="auto" w:fill="auto"/>
            <w:noWrap/>
            <w:vAlign w:val="bottom"/>
            <w:hideMark/>
          </w:tcPr>
          <w:p w14:paraId="2341B9EB" w14:textId="77777777" w:rsidR="00CD529B" w:rsidRPr="00EE79BE"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9EC"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9ED"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EE"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EF"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F0"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F1"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F2"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F3"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9F4"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9F5" w14:textId="77777777" w:rsidR="00CD529B" w:rsidRPr="00EE79BE" w:rsidRDefault="00CD529B" w:rsidP="00564572">
            <w:pPr>
              <w:rPr>
                <w:sz w:val="15"/>
                <w:szCs w:val="15"/>
                <w:lang w:eastAsia="es-CO"/>
              </w:rPr>
            </w:pPr>
          </w:p>
        </w:tc>
      </w:tr>
      <w:tr w:rsidR="00CD529B" w:rsidRPr="00EE79BE" w14:paraId="2341BA04" w14:textId="77777777" w:rsidTr="00564572">
        <w:trPr>
          <w:trHeight w:val="300"/>
        </w:trPr>
        <w:tc>
          <w:tcPr>
            <w:tcW w:w="1455" w:type="pct"/>
            <w:tcBorders>
              <w:top w:val="nil"/>
              <w:left w:val="nil"/>
              <w:bottom w:val="single" w:sz="4" w:space="0" w:color="000000"/>
              <w:right w:val="nil"/>
            </w:tcBorders>
            <w:shd w:val="clear" w:color="auto" w:fill="auto"/>
            <w:noWrap/>
            <w:vAlign w:val="bottom"/>
            <w:hideMark/>
          </w:tcPr>
          <w:p w14:paraId="2341B9F7"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Horas de uso promedio año (hrs)</w:t>
            </w:r>
          </w:p>
        </w:tc>
        <w:tc>
          <w:tcPr>
            <w:tcW w:w="308" w:type="pct"/>
            <w:tcBorders>
              <w:top w:val="nil"/>
              <w:left w:val="nil"/>
              <w:bottom w:val="single" w:sz="4" w:space="0" w:color="000000"/>
              <w:right w:val="nil"/>
            </w:tcBorders>
            <w:shd w:val="clear" w:color="auto" w:fill="auto"/>
            <w:noWrap/>
            <w:vAlign w:val="bottom"/>
            <w:hideMark/>
          </w:tcPr>
          <w:p w14:paraId="2341B9F8" w14:textId="77777777" w:rsidR="00CD529B" w:rsidRPr="00EE79BE" w:rsidRDefault="00CD529B" w:rsidP="00564572">
            <w:pPr>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4.380</w:t>
            </w:r>
          </w:p>
        </w:tc>
        <w:tc>
          <w:tcPr>
            <w:tcW w:w="288" w:type="pct"/>
            <w:tcBorders>
              <w:top w:val="nil"/>
              <w:left w:val="nil"/>
              <w:bottom w:val="nil"/>
              <w:right w:val="nil"/>
            </w:tcBorders>
            <w:shd w:val="clear" w:color="auto" w:fill="auto"/>
            <w:noWrap/>
            <w:vAlign w:val="bottom"/>
            <w:hideMark/>
          </w:tcPr>
          <w:p w14:paraId="2341B9F9" w14:textId="77777777" w:rsidR="00CD529B" w:rsidRPr="00EE79BE"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9FA"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9FB"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FC"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FD"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FE"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9FF"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00"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01"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A02"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A03" w14:textId="77777777" w:rsidR="00CD529B" w:rsidRPr="00EE79BE" w:rsidRDefault="00CD529B" w:rsidP="00564572">
            <w:pPr>
              <w:rPr>
                <w:sz w:val="15"/>
                <w:szCs w:val="15"/>
                <w:lang w:eastAsia="es-CO"/>
              </w:rPr>
            </w:pPr>
          </w:p>
        </w:tc>
      </w:tr>
      <w:tr w:rsidR="00CD529B" w:rsidRPr="00EE79BE" w14:paraId="2341BA12"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A05"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Costo promedio de un motor eficiente ($COP) (2015)</w:t>
            </w:r>
          </w:p>
        </w:tc>
        <w:tc>
          <w:tcPr>
            <w:tcW w:w="308" w:type="pct"/>
            <w:tcBorders>
              <w:top w:val="nil"/>
              <w:left w:val="nil"/>
              <w:bottom w:val="single" w:sz="4" w:space="0" w:color="auto"/>
              <w:right w:val="nil"/>
            </w:tcBorders>
            <w:shd w:val="clear" w:color="auto" w:fill="auto"/>
            <w:noWrap/>
            <w:vAlign w:val="bottom"/>
            <w:hideMark/>
          </w:tcPr>
          <w:p w14:paraId="2341BA06" w14:textId="77777777" w:rsidR="00CD529B" w:rsidRPr="00EE79BE" w:rsidRDefault="00CD529B" w:rsidP="00564572">
            <w:pPr>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2.446.328</w:t>
            </w:r>
          </w:p>
        </w:tc>
        <w:tc>
          <w:tcPr>
            <w:tcW w:w="288" w:type="pct"/>
            <w:tcBorders>
              <w:top w:val="nil"/>
              <w:left w:val="nil"/>
              <w:bottom w:val="nil"/>
              <w:right w:val="nil"/>
            </w:tcBorders>
            <w:shd w:val="clear" w:color="auto" w:fill="auto"/>
            <w:noWrap/>
            <w:vAlign w:val="bottom"/>
            <w:hideMark/>
          </w:tcPr>
          <w:p w14:paraId="2341BA07" w14:textId="77777777" w:rsidR="00CD529B" w:rsidRPr="00EE79BE"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A08"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A09"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0A"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0B"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0C"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0D"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0E"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0F"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A10"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A11" w14:textId="77777777" w:rsidR="00CD529B" w:rsidRPr="00EE79BE" w:rsidRDefault="00CD529B" w:rsidP="00564572">
            <w:pPr>
              <w:rPr>
                <w:sz w:val="15"/>
                <w:szCs w:val="15"/>
                <w:lang w:eastAsia="es-CO"/>
              </w:rPr>
            </w:pPr>
          </w:p>
        </w:tc>
      </w:tr>
      <w:tr w:rsidR="00CD529B" w:rsidRPr="00EE79BE" w14:paraId="2341BA20" w14:textId="77777777" w:rsidTr="00564572">
        <w:trPr>
          <w:trHeight w:val="300"/>
        </w:trPr>
        <w:tc>
          <w:tcPr>
            <w:tcW w:w="1455" w:type="pct"/>
            <w:tcBorders>
              <w:top w:val="nil"/>
              <w:left w:val="nil"/>
              <w:bottom w:val="nil"/>
              <w:right w:val="nil"/>
            </w:tcBorders>
            <w:shd w:val="clear" w:color="auto" w:fill="auto"/>
            <w:noWrap/>
            <w:vAlign w:val="bottom"/>
            <w:hideMark/>
          </w:tcPr>
          <w:p w14:paraId="2341BA13" w14:textId="77777777" w:rsidR="00CD529B" w:rsidRPr="00EE79BE" w:rsidRDefault="00CD529B" w:rsidP="00564572">
            <w:pPr>
              <w:rPr>
                <w:sz w:val="15"/>
                <w:szCs w:val="15"/>
                <w:lang w:eastAsia="es-CO"/>
              </w:rPr>
            </w:pPr>
          </w:p>
        </w:tc>
        <w:tc>
          <w:tcPr>
            <w:tcW w:w="308" w:type="pct"/>
            <w:tcBorders>
              <w:top w:val="nil"/>
              <w:left w:val="nil"/>
              <w:bottom w:val="nil"/>
              <w:right w:val="nil"/>
            </w:tcBorders>
            <w:shd w:val="clear" w:color="auto" w:fill="auto"/>
            <w:noWrap/>
            <w:vAlign w:val="bottom"/>
            <w:hideMark/>
          </w:tcPr>
          <w:p w14:paraId="2341BA14" w14:textId="77777777" w:rsidR="00CD529B" w:rsidRPr="00EE79BE"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A15"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A16"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A17"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18"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19"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1A"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1B"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1C"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1D"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A1E"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A1F" w14:textId="77777777" w:rsidR="00CD529B" w:rsidRPr="00EE79BE" w:rsidRDefault="00CD529B" w:rsidP="00564572">
            <w:pPr>
              <w:rPr>
                <w:sz w:val="15"/>
                <w:szCs w:val="15"/>
                <w:lang w:eastAsia="es-CO"/>
              </w:rPr>
            </w:pPr>
          </w:p>
        </w:tc>
      </w:tr>
      <w:tr w:rsidR="00CD529B" w:rsidRPr="00EE79BE" w14:paraId="2341BA2E" w14:textId="77777777" w:rsidTr="00564572">
        <w:trPr>
          <w:trHeight w:val="300"/>
        </w:trPr>
        <w:tc>
          <w:tcPr>
            <w:tcW w:w="1455" w:type="pct"/>
            <w:tcBorders>
              <w:top w:val="nil"/>
              <w:left w:val="nil"/>
              <w:bottom w:val="nil"/>
              <w:right w:val="nil"/>
            </w:tcBorders>
            <w:shd w:val="clear" w:color="auto" w:fill="auto"/>
            <w:noWrap/>
            <w:vAlign w:val="bottom"/>
            <w:hideMark/>
          </w:tcPr>
          <w:p w14:paraId="2341BA21" w14:textId="77777777" w:rsidR="00CD529B" w:rsidRPr="00EE79BE" w:rsidRDefault="00CD529B" w:rsidP="00564572">
            <w:pPr>
              <w:rPr>
                <w:sz w:val="15"/>
                <w:szCs w:val="15"/>
                <w:lang w:eastAsia="es-CO"/>
              </w:rPr>
            </w:pPr>
          </w:p>
        </w:tc>
        <w:tc>
          <w:tcPr>
            <w:tcW w:w="308" w:type="pct"/>
            <w:tcBorders>
              <w:top w:val="nil"/>
              <w:left w:val="nil"/>
              <w:bottom w:val="nil"/>
              <w:right w:val="nil"/>
            </w:tcBorders>
            <w:shd w:val="clear" w:color="auto" w:fill="auto"/>
            <w:noWrap/>
            <w:vAlign w:val="bottom"/>
            <w:hideMark/>
          </w:tcPr>
          <w:p w14:paraId="2341BA22" w14:textId="77777777" w:rsidR="00CD529B" w:rsidRPr="00EE79BE"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A23"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A24"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A25"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26"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27"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28"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29"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2A"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2B"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A2C"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A2D" w14:textId="77777777" w:rsidR="00CD529B" w:rsidRPr="00EE79BE" w:rsidRDefault="00CD529B" w:rsidP="00564572">
            <w:pPr>
              <w:rPr>
                <w:sz w:val="15"/>
                <w:szCs w:val="15"/>
                <w:lang w:eastAsia="es-CO"/>
              </w:rPr>
            </w:pPr>
          </w:p>
        </w:tc>
      </w:tr>
      <w:tr w:rsidR="00CD529B" w:rsidRPr="00EE79BE" w14:paraId="2341BA3C"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A2F" w14:textId="77777777" w:rsidR="00CD529B" w:rsidRPr="00EE79BE" w:rsidRDefault="00CD529B" w:rsidP="00564572">
            <w:pPr>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$COP (2016)</w:t>
            </w: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2341BA30"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2016</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A31"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2017</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2341BA32"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2018</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2341BA33"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2019</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A34"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2020</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A35"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2021</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A36"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2022</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A37"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2023</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A38"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2024</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A39"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2025</w:t>
            </w:r>
          </w:p>
        </w:tc>
        <w:tc>
          <w:tcPr>
            <w:tcW w:w="289" w:type="pct"/>
            <w:tcBorders>
              <w:top w:val="single" w:sz="4" w:space="0" w:color="FFFFFF"/>
              <w:left w:val="nil"/>
              <w:bottom w:val="single" w:sz="4" w:space="0" w:color="auto"/>
              <w:right w:val="single" w:sz="4" w:space="0" w:color="FFFFFF"/>
            </w:tcBorders>
            <w:shd w:val="clear" w:color="000000" w:fill="203764"/>
            <w:noWrap/>
            <w:vAlign w:val="bottom"/>
            <w:hideMark/>
          </w:tcPr>
          <w:p w14:paraId="2341BA3A"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2026</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2341BA3B"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2027</w:t>
            </w:r>
          </w:p>
        </w:tc>
      </w:tr>
      <w:tr w:rsidR="00CD529B" w:rsidRPr="00EE79BE" w14:paraId="2341BA4A" w14:textId="77777777" w:rsidTr="00564572">
        <w:trPr>
          <w:trHeight w:val="300"/>
        </w:trPr>
        <w:tc>
          <w:tcPr>
            <w:tcW w:w="1455" w:type="pct"/>
            <w:tcBorders>
              <w:top w:val="nil"/>
              <w:left w:val="nil"/>
              <w:bottom w:val="single" w:sz="4" w:space="0" w:color="000000"/>
              <w:right w:val="nil"/>
            </w:tcBorders>
            <w:shd w:val="clear" w:color="auto" w:fill="auto"/>
            <w:noWrap/>
            <w:vAlign w:val="bottom"/>
            <w:hideMark/>
          </w:tcPr>
          <w:p w14:paraId="2341BA3D"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Numero de motores a sustituir por año</w:t>
            </w:r>
          </w:p>
        </w:tc>
        <w:tc>
          <w:tcPr>
            <w:tcW w:w="308" w:type="pct"/>
            <w:tcBorders>
              <w:top w:val="nil"/>
              <w:left w:val="nil"/>
              <w:bottom w:val="single" w:sz="4" w:space="0" w:color="000000"/>
              <w:right w:val="nil"/>
            </w:tcBorders>
            <w:shd w:val="clear" w:color="auto" w:fill="auto"/>
            <w:noWrap/>
            <w:vAlign w:val="bottom"/>
            <w:hideMark/>
          </w:tcPr>
          <w:p w14:paraId="2341BA3E"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000000"/>
              <w:right w:val="nil"/>
            </w:tcBorders>
            <w:shd w:val="clear" w:color="auto" w:fill="auto"/>
            <w:noWrap/>
            <w:vAlign w:val="bottom"/>
            <w:hideMark/>
          </w:tcPr>
          <w:p w14:paraId="2341BA3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11.892</w:t>
            </w:r>
          </w:p>
        </w:tc>
        <w:tc>
          <w:tcPr>
            <w:tcW w:w="296" w:type="pct"/>
            <w:tcBorders>
              <w:top w:val="nil"/>
              <w:left w:val="nil"/>
              <w:bottom w:val="single" w:sz="4" w:space="0" w:color="000000"/>
              <w:right w:val="nil"/>
            </w:tcBorders>
            <w:shd w:val="clear" w:color="auto" w:fill="auto"/>
            <w:noWrap/>
            <w:vAlign w:val="bottom"/>
            <w:hideMark/>
          </w:tcPr>
          <w:p w14:paraId="2341BA4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11.892</w:t>
            </w:r>
          </w:p>
        </w:tc>
        <w:tc>
          <w:tcPr>
            <w:tcW w:w="296" w:type="pct"/>
            <w:tcBorders>
              <w:top w:val="nil"/>
              <w:left w:val="nil"/>
              <w:bottom w:val="single" w:sz="4" w:space="0" w:color="000000"/>
              <w:right w:val="nil"/>
            </w:tcBorders>
            <w:shd w:val="clear" w:color="auto" w:fill="auto"/>
            <w:noWrap/>
            <w:vAlign w:val="bottom"/>
            <w:hideMark/>
          </w:tcPr>
          <w:p w14:paraId="2341BA4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11.892</w:t>
            </w:r>
          </w:p>
        </w:tc>
        <w:tc>
          <w:tcPr>
            <w:tcW w:w="297" w:type="pct"/>
            <w:tcBorders>
              <w:top w:val="nil"/>
              <w:left w:val="nil"/>
              <w:bottom w:val="single" w:sz="4" w:space="0" w:color="000000"/>
              <w:right w:val="nil"/>
            </w:tcBorders>
            <w:shd w:val="clear" w:color="auto" w:fill="auto"/>
            <w:noWrap/>
            <w:vAlign w:val="bottom"/>
            <w:hideMark/>
          </w:tcPr>
          <w:p w14:paraId="2341BA4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11.892</w:t>
            </w:r>
          </w:p>
        </w:tc>
        <w:tc>
          <w:tcPr>
            <w:tcW w:w="297" w:type="pct"/>
            <w:tcBorders>
              <w:top w:val="nil"/>
              <w:left w:val="nil"/>
              <w:bottom w:val="single" w:sz="4" w:space="0" w:color="000000"/>
              <w:right w:val="nil"/>
            </w:tcBorders>
            <w:shd w:val="clear" w:color="auto" w:fill="auto"/>
            <w:noWrap/>
            <w:vAlign w:val="bottom"/>
            <w:hideMark/>
          </w:tcPr>
          <w:p w14:paraId="2341BA4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A4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A4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A4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A4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single" w:sz="4" w:space="0" w:color="000000"/>
              <w:right w:val="nil"/>
            </w:tcBorders>
            <w:shd w:val="clear" w:color="auto" w:fill="auto"/>
            <w:noWrap/>
            <w:vAlign w:val="bottom"/>
            <w:hideMark/>
          </w:tcPr>
          <w:p w14:paraId="2341BA4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nil"/>
              <w:left w:val="nil"/>
              <w:bottom w:val="single" w:sz="4" w:space="0" w:color="000000"/>
              <w:right w:val="nil"/>
            </w:tcBorders>
            <w:shd w:val="clear" w:color="auto" w:fill="auto"/>
            <w:noWrap/>
            <w:vAlign w:val="bottom"/>
            <w:hideMark/>
          </w:tcPr>
          <w:p w14:paraId="2341BA4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EE79BE" w14:paraId="2341BA58" w14:textId="77777777" w:rsidTr="00564572">
        <w:trPr>
          <w:trHeight w:val="300"/>
        </w:trPr>
        <w:tc>
          <w:tcPr>
            <w:tcW w:w="1455" w:type="pct"/>
            <w:tcBorders>
              <w:top w:val="nil"/>
              <w:left w:val="nil"/>
              <w:bottom w:val="nil"/>
              <w:right w:val="nil"/>
            </w:tcBorders>
            <w:shd w:val="clear" w:color="auto" w:fill="auto"/>
            <w:noWrap/>
            <w:vAlign w:val="bottom"/>
            <w:hideMark/>
          </w:tcPr>
          <w:p w14:paraId="2341BA4B" w14:textId="77777777" w:rsidR="00CD529B" w:rsidRPr="00EE79BE" w:rsidRDefault="00CD529B" w:rsidP="00564572">
            <w:pPr>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Beneficios</w:t>
            </w:r>
          </w:p>
        </w:tc>
        <w:tc>
          <w:tcPr>
            <w:tcW w:w="308" w:type="pct"/>
            <w:tcBorders>
              <w:top w:val="nil"/>
              <w:left w:val="nil"/>
              <w:bottom w:val="nil"/>
              <w:right w:val="nil"/>
            </w:tcBorders>
            <w:shd w:val="clear" w:color="auto" w:fill="auto"/>
            <w:noWrap/>
            <w:vAlign w:val="bottom"/>
            <w:hideMark/>
          </w:tcPr>
          <w:p w14:paraId="2341BA4C" w14:textId="77777777" w:rsidR="00CD529B" w:rsidRPr="00EE79BE" w:rsidRDefault="00CD529B" w:rsidP="00564572">
            <w:pPr>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A4D" w14:textId="77777777" w:rsidR="00CD529B" w:rsidRPr="000D0E52"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A4E" w14:textId="77777777" w:rsidR="00CD529B" w:rsidRPr="000D0E52"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A4F"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50"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51"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52"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53"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54"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55" w14:textId="77777777" w:rsidR="00CD529B" w:rsidRPr="000D0E52"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A56" w14:textId="77777777" w:rsidR="00CD529B" w:rsidRPr="000D0E52"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A57" w14:textId="77777777" w:rsidR="00CD529B" w:rsidRPr="000D0E52" w:rsidRDefault="00CD529B" w:rsidP="00564572">
            <w:pPr>
              <w:rPr>
                <w:sz w:val="15"/>
                <w:szCs w:val="15"/>
                <w:lang w:eastAsia="es-CO"/>
              </w:rPr>
            </w:pPr>
          </w:p>
        </w:tc>
      </w:tr>
      <w:tr w:rsidR="00CD529B" w:rsidRPr="00EE79BE" w14:paraId="2341BA66" w14:textId="77777777" w:rsidTr="00564572">
        <w:trPr>
          <w:trHeight w:val="300"/>
        </w:trPr>
        <w:tc>
          <w:tcPr>
            <w:tcW w:w="1455" w:type="pct"/>
            <w:tcBorders>
              <w:top w:val="nil"/>
              <w:left w:val="nil"/>
              <w:bottom w:val="nil"/>
              <w:right w:val="nil"/>
            </w:tcBorders>
            <w:shd w:val="clear" w:color="auto" w:fill="auto"/>
            <w:noWrap/>
            <w:vAlign w:val="bottom"/>
            <w:hideMark/>
          </w:tcPr>
          <w:p w14:paraId="2341BA59" w14:textId="77777777" w:rsidR="00CD529B" w:rsidRPr="00EE79BE" w:rsidRDefault="00CD529B" w:rsidP="00564572">
            <w:pPr>
              <w:ind w:firstLineChars="100" w:firstLine="150"/>
              <w:rPr>
                <w:rFonts w:ascii="Calibri" w:hAnsi="Calibri" w:cs="Calibri"/>
                <w:color w:val="000000"/>
                <w:sz w:val="15"/>
                <w:szCs w:val="15"/>
                <w:lang w:eastAsia="es-CO"/>
              </w:rPr>
            </w:pPr>
            <w:r w:rsidRPr="00EE79BE">
              <w:rPr>
                <w:rFonts w:ascii="Calibri" w:hAnsi="Calibri" w:cs="Calibri"/>
                <w:color w:val="000000"/>
                <w:sz w:val="15"/>
                <w:szCs w:val="15"/>
                <w:lang w:eastAsia="es-CO"/>
              </w:rPr>
              <w:t>Ahorro GWh/año</w:t>
            </w:r>
          </w:p>
        </w:tc>
        <w:tc>
          <w:tcPr>
            <w:tcW w:w="308" w:type="pct"/>
            <w:tcBorders>
              <w:top w:val="nil"/>
              <w:left w:val="nil"/>
              <w:bottom w:val="nil"/>
              <w:right w:val="nil"/>
            </w:tcBorders>
            <w:shd w:val="clear" w:color="auto" w:fill="auto"/>
            <w:noWrap/>
            <w:vAlign w:val="bottom"/>
            <w:hideMark/>
          </w:tcPr>
          <w:p w14:paraId="2341BA5A" w14:textId="77777777" w:rsidR="00CD529B" w:rsidRPr="00EE79BE" w:rsidRDefault="00CD529B" w:rsidP="00564572">
            <w:pPr>
              <w:ind w:firstLineChars="100" w:firstLine="150"/>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A5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24</w:t>
            </w:r>
          </w:p>
        </w:tc>
        <w:tc>
          <w:tcPr>
            <w:tcW w:w="296" w:type="pct"/>
            <w:tcBorders>
              <w:top w:val="nil"/>
              <w:left w:val="nil"/>
              <w:bottom w:val="nil"/>
              <w:right w:val="nil"/>
            </w:tcBorders>
            <w:shd w:val="clear" w:color="auto" w:fill="auto"/>
            <w:noWrap/>
            <w:vAlign w:val="bottom"/>
            <w:hideMark/>
          </w:tcPr>
          <w:p w14:paraId="2341BA5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47</w:t>
            </w:r>
          </w:p>
        </w:tc>
        <w:tc>
          <w:tcPr>
            <w:tcW w:w="296" w:type="pct"/>
            <w:tcBorders>
              <w:top w:val="nil"/>
              <w:left w:val="nil"/>
              <w:bottom w:val="nil"/>
              <w:right w:val="nil"/>
            </w:tcBorders>
            <w:shd w:val="clear" w:color="auto" w:fill="auto"/>
            <w:noWrap/>
            <w:vAlign w:val="bottom"/>
            <w:hideMark/>
          </w:tcPr>
          <w:p w14:paraId="2341BA5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71</w:t>
            </w:r>
          </w:p>
        </w:tc>
        <w:tc>
          <w:tcPr>
            <w:tcW w:w="297" w:type="pct"/>
            <w:tcBorders>
              <w:top w:val="nil"/>
              <w:left w:val="nil"/>
              <w:bottom w:val="nil"/>
              <w:right w:val="nil"/>
            </w:tcBorders>
            <w:shd w:val="clear" w:color="auto" w:fill="auto"/>
            <w:noWrap/>
            <w:vAlign w:val="bottom"/>
            <w:hideMark/>
          </w:tcPr>
          <w:p w14:paraId="2341BA5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97" w:type="pct"/>
            <w:tcBorders>
              <w:top w:val="nil"/>
              <w:left w:val="nil"/>
              <w:bottom w:val="nil"/>
              <w:right w:val="nil"/>
            </w:tcBorders>
            <w:shd w:val="clear" w:color="auto" w:fill="auto"/>
            <w:noWrap/>
            <w:vAlign w:val="bottom"/>
            <w:hideMark/>
          </w:tcPr>
          <w:p w14:paraId="2341BA5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97" w:type="pct"/>
            <w:tcBorders>
              <w:top w:val="nil"/>
              <w:left w:val="nil"/>
              <w:bottom w:val="nil"/>
              <w:right w:val="nil"/>
            </w:tcBorders>
            <w:shd w:val="clear" w:color="auto" w:fill="auto"/>
            <w:noWrap/>
            <w:vAlign w:val="bottom"/>
            <w:hideMark/>
          </w:tcPr>
          <w:p w14:paraId="2341BA6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97" w:type="pct"/>
            <w:tcBorders>
              <w:top w:val="nil"/>
              <w:left w:val="nil"/>
              <w:bottom w:val="nil"/>
              <w:right w:val="nil"/>
            </w:tcBorders>
            <w:shd w:val="clear" w:color="auto" w:fill="auto"/>
            <w:noWrap/>
            <w:vAlign w:val="bottom"/>
            <w:hideMark/>
          </w:tcPr>
          <w:p w14:paraId="2341BA6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97" w:type="pct"/>
            <w:tcBorders>
              <w:top w:val="nil"/>
              <w:left w:val="nil"/>
              <w:bottom w:val="nil"/>
              <w:right w:val="nil"/>
            </w:tcBorders>
            <w:shd w:val="clear" w:color="auto" w:fill="auto"/>
            <w:noWrap/>
            <w:vAlign w:val="bottom"/>
            <w:hideMark/>
          </w:tcPr>
          <w:p w14:paraId="2341BA6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97" w:type="pct"/>
            <w:tcBorders>
              <w:top w:val="nil"/>
              <w:left w:val="nil"/>
              <w:bottom w:val="nil"/>
              <w:right w:val="nil"/>
            </w:tcBorders>
            <w:shd w:val="clear" w:color="auto" w:fill="auto"/>
            <w:noWrap/>
            <w:vAlign w:val="bottom"/>
            <w:hideMark/>
          </w:tcPr>
          <w:p w14:paraId="2341BA6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89" w:type="pct"/>
            <w:tcBorders>
              <w:top w:val="nil"/>
              <w:left w:val="nil"/>
              <w:bottom w:val="nil"/>
              <w:right w:val="nil"/>
            </w:tcBorders>
            <w:shd w:val="clear" w:color="auto" w:fill="auto"/>
            <w:noWrap/>
            <w:vAlign w:val="bottom"/>
            <w:hideMark/>
          </w:tcPr>
          <w:p w14:paraId="2341BA6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94</w:t>
            </w:r>
          </w:p>
        </w:tc>
        <w:tc>
          <w:tcPr>
            <w:tcW w:w="287" w:type="pct"/>
            <w:tcBorders>
              <w:top w:val="nil"/>
              <w:left w:val="nil"/>
              <w:bottom w:val="nil"/>
              <w:right w:val="nil"/>
            </w:tcBorders>
            <w:shd w:val="clear" w:color="auto" w:fill="auto"/>
            <w:noWrap/>
            <w:vAlign w:val="bottom"/>
            <w:hideMark/>
          </w:tcPr>
          <w:p w14:paraId="2341BA6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94</w:t>
            </w:r>
          </w:p>
        </w:tc>
      </w:tr>
      <w:tr w:rsidR="00CD529B" w:rsidRPr="00EE79BE" w14:paraId="2341BA74" w14:textId="77777777" w:rsidTr="00564572">
        <w:trPr>
          <w:trHeight w:val="300"/>
        </w:trPr>
        <w:tc>
          <w:tcPr>
            <w:tcW w:w="1455" w:type="pct"/>
            <w:tcBorders>
              <w:top w:val="nil"/>
              <w:left w:val="nil"/>
              <w:bottom w:val="single" w:sz="4" w:space="0" w:color="BFBFBF"/>
              <w:right w:val="nil"/>
            </w:tcBorders>
            <w:shd w:val="clear" w:color="auto" w:fill="auto"/>
            <w:noWrap/>
            <w:vAlign w:val="bottom"/>
            <w:hideMark/>
          </w:tcPr>
          <w:p w14:paraId="2341BA67"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evitadas (TonCO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w:t>
            </w:r>
          </w:p>
        </w:tc>
        <w:tc>
          <w:tcPr>
            <w:tcW w:w="308" w:type="pct"/>
            <w:tcBorders>
              <w:top w:val="nil"/>
              <w:left w:val="nil"/>
              <w:bottom w:val="single" w:sz="4" w:space="0" w:color="BFBFBF"/>
              <w:right w:val="nil"/>
            </w:tcBorders>
            <w:shd w:val="clear" w:color="auto" w:fill="auto"/>
            <w:noWrap/>
            <w:vAlign w:val="bottom"/>
            <w:hideMark/>
          </w:tcPr>
          <w:p w14:paraId="2341BA68"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8" w:type="pct"/>
            <w:tcBorders>
              <w:top w:val="nil"/>
              <w:left w:val="nil"/>
              <w:bottom w:val="single" w:sz="4" w:space="0" w:color="BFBFBF"/>
              <w:right w:val="nil"/>
            </w:tcBorders>
            <w:shd w:val="clear" w:color="auto" w:fill="auto"/>
            <w:noWrap/>
            <w:vAlign w:val="bottom"/>
            <w:hideMark/>
          </w:tcPr>
          <w:p w14:paraId="2341BA6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3.304</w:t>
            </w:r>
          </w:p>
        </w:tc>
        <w:tc>
          <w:tcPr>
            <w:tcW w:w="296" w:type="pct"/>
            <w:tcBorders>
              <w:top w:val="nil"/>
              <w:left w:val="nil"/>
              <w:bottom w:val="single" w:sz="4" w:space="0" w:color="BFBFBF"/>
              <w:right w:val="nil"/>
            </w:tcBorders>
            <w:shd w:val="clear" w:color="auto" w:fill="auto"/>
            <w:noWrap/>
            <w:vAlign w:val="bottom"/>
            <w:hideMark/>
          </w:tcPr>
          <w:p w14:paraId="2341BA6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6.609</w:t>
            </w:r>
          </w:p>
        </w:tc>
        <w:tc>
          <w:tcPr>
            <w:tcW w:w="296" w:type="pct"/>
            <w:tcBorders>
              <w:top w:val="nil"/>
              <w:left w:val="nil"/>
              <w:bottom w:val="single" w:sz="4" w:space="0" w:color="BFBFBF"/>
              <w:right w:val="nil"/>
            </w:tcBorders>
            <w:shd w:val="clear" w:color="auto" w:fill="auto"/>
            <w:noWrap/>
            <w:vAlign w:val="bottom"/>
            <w:hideMark/>
          </w:tcPr>
          <w:p w14:paraId="2341BA6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9.913</w:t>
            </w:r>
          </w:p>
        </w:tc>
        <w:tc>
          <w:tcPr>
            <w:tcW w:w="297" w:type="pct"/>
            <w:tcBorders>
              <w:top w:val="nil"/>
              <w:left w:val="nil"/>
              <w:bottom w:val="single" w:sz="4" w:space="0" w:color="BFBFBF"/>
              <w:right w:val="nil"/>
            </w:tcBorders>
            <w:shd w:val="clear" w:color="auto" w:fill="auto"/>
            <w:noWrap/>
            <w:vAlign w:val="bottom"/>
            <w:hideMark/>
          </w:tcPr>
          <w:p w14:paraId="2341BA6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97" w:type="pct"/>
            <w:tcBorders>
              <w:top w:val="nil"/>
              <w:left w:val="nil"/>
              <w:bottom w:val="single" w:sz="4" w:space="0" w:color="BFBFBF"/>
              <w:right w:val="nil"/>
            </w:tcBorders>
            <w:shd w:val="clear" w:color="auto" w:fill="auto"/>
            <w:noWrap/>
            <w:vAlign w:val="bottom"/>
            <w:hideMark/>
          </w:tcPr>
          <w:p w14:paraId="2341BA6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97" w:type="pct"/>
            <w:tcBorders>
              <w:top w:val="nil"/>
              <w:left w:val="nil"/>
              <w:bottom w:val="single" w:sz="4" w:space="0" w:color="BFBFBF"/>
              <w:right w:val="nil"/>
            </w:tcBorders>
            <w:shd w:val="clear" w:color="auto" w:fill="auto"/>
            <w:noWrap/>
            <w:vAlign w:val="bottom"/>
            <w:hideMark/>
          </w:tcPr>
          <w:p w14:paraId="2341BA6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97" w:type="pct"/>
            <w:tcBorders>
              <w:top w:val="nil"/>
              <w:left w:val="nil"/>
              <w:bottom w:val="single" w:sz="4" w:space="0" w:color="BFBFBF"/>
              <w:right w:val="nil"/>
            </w:tcBorders>
            <w:shd w:val="clear" w:color="auto" w:fill="auto"/>
            <w:noWrap/>
            <w:vAlign w:val="bottom"/>
            <w:hideMark/>
          </w:tcPr>
          <w:p w14:paraId="2341BA6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97" w:type="pct"/>
            <w:tcBorders>
              <w:top w:val="nil"/>
              <w:left w:val="nil"/>
              <w:bottom w:val="single" w:sz="4" w:space="0" w:color="BFBFBF"/>
              <w:right w:val="nil"/>
            </w:tcBorders>
            <w:shd w:val="clear" w:color="auto" w:fill="auto"/>
            <w:noWrap/>
            <w:vAlign w:val="bottom"/>
            <w:hideMark/>
          </w:tcPr>
          <w:p w14:paraId="2341BA7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97" w:type="pct"/>
            <w:tcBorders>
              <w:top w:val="nil"/>
              <w:left w:val="nil"/>
              <w:bottom w:val="single" w:sz="4" w:space="0" w:color="BFBFBF"/>
              <w:right w:val="nil"/>
            </w:tcBorders>
            <w:shd w:val="clear" w:color="auto" w:fill="auto"/>
            <w:noWrap/>
            <w:vAlign w:val="bottom"/>
            <w:hideMark/>
          </w:tcPr>
          <w:p w14:paraId="2341BA7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89" w:type="pct"/>
            <w:tcBorders>
              <w:top w:val="nil"/>
              <w:left w:val="nil"/>
              <w:bottom w:val="single" w:sz="4" w:space="0" w:color="BFBFBF"/>
              <w:right w:val="nil"/>
            </w:tcBorders>
            <w:shd w:val="clear" w:color="auto" w:fill="auto"/>
            <w:noWrap/>
            <w:vAlign w:val="bottom"/>
            <w:hideMark/>
          </w:tcPr>
          <w:p w14:paraId="2341BA7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13.218</w:t>
            </w:r>
          </w:p>
        </w:tc>
        <w:tc>
          <w:tcPr>
            <w:tcW w:w="287" w:type="pct"/>
            <w:tcBorders>
              <w:top w:val="nil"/>
              <w:left w:val="nil"/>
              <w:bottom w:val="single" w:sz="4" w:space="0" w:color="BFBFBF"/>
              <w:right w:val="nil"/>
            </w:tcBorders>
            <w:shd w:val="clear" w:color="auto" w:fill="auto"/>
            <w:noWrap/>
            <w:vAlign w:val="bottom"/>
            <w:hideMark/>
          </w:tcPr>
          <w:p w14:paraId="2341BA7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13.218</w:t>
            </w:r>
          </w:p>
        </w:tc>
      </w:tr>
      <w:tr w:rsidR="00CD529B" w:rsidRPr="00EE79BE" w14:paraId="2341BA82" w14:textId="77777777" w:rsidTr="00564572">
        <w:trPr>
          <w:trHeight w:val="300"/>
        </w:trPr>
        <w:tc>
          <w:tcPr>
            <w:tcW w:w="1455" w:type="pct"/>
            <w:tcBorders>
              <w:top w:val="nil"/>
              <w:left w:val="nil"/>
              <w:bottom w:val="nil"/>
              <w:right w:val="nil"/>
            </w:tcBorders>
            <w:shd w:val="clear" w:color="auto" w:fill="auto"/>
            <w:noWrap/>
            <w:vAlign w:val="bottom"/>
            <w:hideMark/>
          </w:tcPr>
          <w:p w14:paraId="2341BA75"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en Tarifa para industrial ($COP Millones)</w:t>
            </w:r>
          </w:p>
        </w:tc>
        <w:tc>
          <w:tcPr>
            <w:tcW w:w="308" w:type="pct"/>
            <w:tcBorders>
              <w:top w:val="nil"/>
              <w:left w:val="nil"/>
              <w:bottom w:val="nil"/>
              <w:right w:val="nil"/>
            </w:tcBorders>
            <w:shd w:val="clear" w:color="auto" w:fill="auto"/>
            <w:noWrap/>
            <w:vAlign w:val="bottom"/>
            <w:hideMark/>
          </w:tcPr>
          <w:p w14:paraId="2341BA76"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8" w:type="pct"/>
            <w:tcBorders>
              <w:top w:val="nil"/>
              <w:left w:val="nil"/>
              <w:bottom w:val="nil"/>
              <w:right w:val="nil"/>
            </w:tcBorders>
            <w:shd w:val="clear" w:color="auto" w:fill="auto"/>
            <w:noWrap/>
            <w:vAlign w:val="bottom"/>
            <w:hideMark/>
          </w:tcPr>
          <w:p w14:paraId="2341BA7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6.299</w:t>
            </w:r>
          </w:p>
        </w:tc>
        <w:tc>
          <w:tcPr>
            <w:tcW w:w="296" w:type="pct"/>
            <w:tcBorders>
              <w:top w:val="nil"/>
              <w:left w:val="nil"/>
              <w:bottom w:val="nil"/>
              <w:right w:val="nil"/>
            </w:tcBorders>
            <w:shd w:val="clear" w:color="auto" w:fill="auto"/>
            <w:noWrap/>
            <w:vAlign w:val="bottom"/>
            <w:hideMark/>
          </w:tcPr>
          <w:p w14:paraId="2341BA7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12.598</w:t>
            </w:r>
          </w:p>
        </w:tc>
        <w:tc>
          <w:tcPr>
            <w:tcW w:w="296" w:type="pct"/>
            <w:tcBorders>
              <w:top w:val="nil"/>
              <w:left w:val="nil"/>
              <w:bottom w:val="nil"/>
              <w:right w:val="nil"/>
            </w:tcBorders>
            <w:shd w:val="clear" w:color="auto" w:fill="auto"/>
            <w:noWrap/>
            <w:vAlign w:val="bottom"/>
            <w:hideMark/>
          </w:tcPr>
          <w:p w14:paraId="2341BA7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18.897</w:t>
            </w:r>
          </w:p>
        </w:tc>
        <w:tc>
          <w:tcPr>
            <w:tcW w:w="297" w:type="pct"/>
            <w:tcBorders>
              <w:top w:val="nil"/>
              <w:left w:val="nil"/>
              <w:bottom w:val="nil"/>
              <w:right w:val="nil"/>
            </w:tcBorders>
            <w:shd w:val="clear" w:color="auto" w:fill="auto"/>
            <w:noWrap/>
            <w:vAlign w:val="bottom"/>
            <w:hideMark/>
          </w:tcPr>
          <w:p w14:paraId="2341BA7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97" w:type="pct"/>
            <w:tcBorders>
              <w:top w:val="nil"/>
              <w:left w:val="nil"/>
              <w:bottom w:val="nil"/>
              <w:right w:val="nil"/>
            </w:tcBorders>
            <w:shd w:val="clear" w:color="auto" w:fill="auto"/>
            <w:noWrap/>
            <w:vAlign w:val="bottom"/>
            <w:hideMark/>
          </w:tcPr>
          <w:p w14:paraId="2341BA7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97" w:type="pct"/>
            <w:tcBorders>
              <w:top w:val="nil"/>
              <w:left w:val="nil"/>
              <w:bottom w:val="nil"/>
              <w:right w:val="nil"/>
            </w:tcBorders>
            <w:shd w:val="clear" w:color="auto" w:fill="auto"/>
            <w:noWrap/>
            <w:vAlign w:val="bottom"/>
            <w:hideMark/>
          </w:tcPr>
          <w:p w14:paraId="2341BA7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97" w:type="pct"/>
            <w:tcBorders>
              <w:top w:val="nil"/>
              <w:left w:val="nil"/>
              <w:bottom w:val="nil"/>
              <w:right w:val="nil"/>
            </w:tcBorders>
            <w:shd w:val="clear" w:color="auto" w:fill="auto"/>
            <w:noWrap/>
            <w:vAlign w:val="bottom"/>
            <w:hideMark/>
          </w:tcPr>
          <w:p w14:paraId="2341BA7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97" w:type="pct"/>
            <w:tcBorders>
              <w:top w:val="nil"/>
              <w:left w:val="nil"/>
              <w:bottom w:val="nil"/>
              <w:right w:val="nil"/>
            </w:tcBorders>
            <w:shd w:val="clear" w:color="auto" w:fill="auto"/>
            <w:noWrap/>
            <w:vAlign w:val="bottom"/>
            <w:hideMark/>
          </w:tcPr>
          <w:p w14:paraId="2341BA7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97" w:type="pct"/>
            <w:tcBorders>
              <w:top w:val="nil"/>
              <w:left w:val="nil"/>
              <w:bottom w:val="nil"/>
              <w:right w:val="nil"/>
            </w:tcBorders>
            <w:shd w:val="clear" w:color="auto" w:fill="auto"/>
            <w:noWrap/>
            <w:vAlign w:val="bottom"/>
            <w:hideMark/>
          </w:tcPr>
          <w:p w14:paraId="2341BA7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89" w:type="pct"/>
            <w:tcBorders>
              <w:top w:val="nil"/>
              <w:left w:val="nil"/>
              <w:bottom w:val="nil"/>
              <w:right w:val="nil"/>
            </w:tcBorders>
            <w:shd w:val="clear" w:color="auto" w:fill="auto"/>
            <w:noWrap/>
            <w:vAlign w:val="bottom"/>
            <w:hideMark/>
          </w:tcPr>
          <w:p w14:paraId="2341BA8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25.196</w:t>
            </w:r>
          </w:p>
        </w:tc>
        <w:tc>
          <w:tcPr>
            <w:tcW w:w="287" w:type="pct"/>
            <w:tcBorders>
              <w:top w:val="nil"/>
              <w:left w:val="nil"/>
              <w:bottom w:val="nil"/>
              <w:right w:val="nil"/>
            </w:tcBorders>
            <w:shd w:val="clear" w:color="auto" w:fill="auto"/>
            <w:noWrap/>
            <w:vAlign w:val="bottom"/>
            <w:hideMark/>
          </w:tcPr>
          <w:p w14:paraId="2341BA8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25.196</w:t>
            </w:r>
          </w:p>
        </w:tc>
      </w:tr>
      <w:tr w:rsidR="00CD529B" w:rsidRPr="00EE79BE" w14:paraId="2341BA90" w14:textId="77777777" w:rsidTr="00564572">
        <w:trPr>
          <w:trHeight w:val="300"/>
        </w:trPr>
        <w:tc>
          <w:tcPr>
            <w:tcW w:w="1455" w:type="pct"/>
            <w:tcBorders>
              <w:top w:val="nil"/>
              <w:left w:val="nil"/>
              <w:bottom w:val="nil"/>
              <w:right w:val="nil"/>
            </w:tcBorders>
            <w:shd w:val="clear" w:color="auto" w:fill="auto"/>
            <w:noWrap/>
            <w:vAlign w:val="bottom"/>
            <w:hideMark/>
          </w:tcPr>
          <w:p w14:paraId="2341BA83"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($COP Millones)</w:t>
            </w:r>
          </w:p>
        </w:tc>
        <w:tc>
          <w:tcPr>
            <w:tcW w:w="308" w:type="pct"/>
            <w:tcBorders>
              <w:top w:val="nil"/>
              <w:left w:val="nil"/>
              <w:bottom w:val="nil"/>
              <w:right w:val="nil"/>
            </w:tcBorders>
            <w:shd w:val="clear" w:color="auto" w:fill="auto"/>
            <w:noWrap/>
            <w:vAlign w:val="bottom"/>
            <w:hideMark/>
          </w:tcPr>
          <w:p w14:paraId="2341BA84"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8" w:type="pct"/>
            <w:tcBorders>
              <w:top w:val="nil"/>
              <w:left w:val="nil"/>
              <w:bottom w:val="nil"/>
              <w:right w:val="nil"/>
            </w:tcBorders>
            <w:shd w:val="clear" w:color="auto" w:fill="auto"/>
            <w:noWrap/>
            <w:vAlign w:val="bottom"/>
            <w:hideMark/>
          </w:tcPr>
          <w:p w14:paraId="2341BA8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60</w:t>
            </w:r>
          </w:p>
        </w:tc>
        <w:tc>
          <w:tcPr>
            <w:tcW w:w="296" w:type="pct"/>
            <w:tcBorders>
              <w:top w:val="nil"/>
              <w:left w:val="nil"/>
              <w:bottom w:val="nil"/>
              <w:right w:val="nil"/>
            </w:tcBorders>
            <w:shd w:val="clear" w:color="auto" w:fill="auto"/>
            <w:noWrap/>
            <w:vAlign w:val="bottom"/>
            <w:hideMark/>
          </w:tcPr>
          <w:p w14:paraId="2341BA8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119</w:t>
            </w:r>
          </w:p>
        </w:tc>
        <w:tc>
          <w:tcPr>
            <w:tcW w:w="296" w:type="pct"/>
            <w:tcBorders>
              <w:top w:val="nil"/>
              <w:left w:val="nil"/>
              <w:bottom w:val="nil"/>
              <w:right w:val="nil"/>
            </w:tcBorders>
            <w:shd w:val="clear" w:color="auto" w:fill="auto"/>
            <w:noWrap/>
            <w:vAlign w:val="bottom"/>
            <w:hideMark/>
          </w:tcPr>
          <w:p w14:paraId="2341BA8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179</w:t>
            </w:r>
          </w:p>
        </w:tc>
        <w:tc>
          <w:tcPr>
            <w:tcW w:w="297" w:type="pct"/>
            <w:tcBorders>
              <w:top w:val="nil"/>
              <w:left w:val="nil"/>
              <w:bottom w:val="nil"/>
              <w:right w:val="nil"/>
            </w:tcBorders>
            <w:shd w:val="clear" w:color="auto" w:fill="auto"/>
            <w:noWrap/>
            <w:vAlign w:val="bottom"/>
            <w:hideMark/>
          </w:tcPr>
          <w:p w14:paraId="2341BA8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97" w:type="pct"/>
            <w:tcBorders>
              <w:top w:val="nil"/>
              <w:left w:val="nil"/>
              <w:bottom w:val="nil"/>
              <w:right w:val="nil"/>
            </w:tcBorders>
            <w:shd w:val="clear" w:color="auto" w:fill="auto"/>
            <w:noWrap/>
            <w:vAlign w:val="bottom"/>
            <w:hideMark/>
          </w:tcPr>
          <w:p w14:paraId="2341BA8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97" w:type="pct"/>
            <w:tcBorders>
              <w:top w:val="nil"/>
              <w:left w:val="nil"/>
              <w:bottom w:val="nil"/>
              <w:right w:val="nil"/>
            </w:tcBorders>
            <w:shd w:val="clear" w:color="auto" w:fill="auto"/>
            <w:noWrap/>
            <w:vAlign w:val="bottom"/>
            <w:hideMark/>
          </w:tcPr>
          <w:p w14:paraId="2341BA8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97" w:type="pct"/>
            <w:tcBorders>
              <w:top w:val="nil"/>
              <w:left w:val="nil"/>
              <w:bottom w:val="nil"/>
              <w:right w:val="nil"/>
            </w:tcBorders>
            <w:shd w:val="clear" w:color="auto" w:fill="auto"/>
            <w:noWrap/>
            <w:vAlign w:val="bottom"/>
            <w:hideMark/>
          </w:tcPr>
          <w:p w14:paraId="2341BA8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97" w:type="pct"/>
            <w:tcBorders>
              <w:top w:val="nil"/>
              <w:left w:val="nil"/>
              <w:bottom w:val="nil"/>
              <w:right w:val="nil"/>
            </w:tcBorders>
            <w:shd w:val="clear" w:color="auto" w:fill="auto"/>
            <w:noWrap/>
            <w:vAlign w:val="bottom"/>
            <w:hideMark/>
          </w:tcPr>
          <w:p w14:paraId="2341BA8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97" w:type="pct"/>
            <w:tcBorders>
              <w:top w:val="nil"/>
              <w:left w:val="nil"/>
              <w:bottom w:val="nil"/>
              <w:right w:val="nil"/>
            </w:tcBorders>
            <w:shd w:val="clear" w:color="auto" w:fill="auto"/>
            <w:noWrap/>
            <w:vAlign w:val="bottom"/>
            <w:hideMark/>
          </w:tcPr>
          <w:p w14:paraId="2341BA8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89" w:type="pct"/>
            <w:tcBorders>
              <w:top w:val="nil"/>
              <w:left w:val="nil"/>
              <w:bottom w:val="nil"/>
              <w:right w:val="nil"/>
            </w:tcBorders>
            <w:shd w:val="clear" w:color="auto" w:fill="auto"/>
            <w:noWrap/>
            <w:vAlign w:val="bottom"/>
            <w:hideMark/>
          </w:tcPr>
          <w:p w14:paraId="2341BA8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238</w:t>
            </w:r>
          </w:p>
        </w:tc>
        <w:tc>
          <w:tcPr>
            <w:tcW w:w="287" w:type="pct"/>
            <w:tcBorders>
              <w:top w:val="nil"/>
              <w:left w:val="nil"/>
              <w:bottom w:val="nil"/>
              <w:right w:val="nil"/>
            </w:tcBorders>
            <w:shd w:val="clear" w:color="auto" w:fill="auto"/>
            <w:noWrap/>
            <w:vAlign w:val="bottom"/>
            <w:hideMark/>
          </w:tcPr>
          <w:p w14:paraId="2341BA8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238</w:t>
            </w:r>
          </w:p>
        </w:tc>
      </w:tr>
      <w:tr w:rsidR="00CD529B" w:rsidRPr="00EE79BE" w14:paraId="2341BA9E"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A91"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planta de generación evitada ($COP Millones)</w:t>
            </w:r>
          </w:p>
        </w:tc>
        <w:tc>
          <w:tcPr>
            <w:tcW w:w="308" w:type="pct"/>
            <w:tcBorders>
              <w:top w:val="nil"/>
              <w:left w:val="nil"/>
              <w:bottom w:val="single" w:sz="4" w:space="0" w:color="auto"/>
              <w:right w:val="nil"/>
            </w:tcBorders>
            <w:shd w:val="clear" w:color="auto" w:fill="auto"/>
            <w:noWrap/>
            <w:vAlign w:val="bottom"/>
            <w:hideMark/>
          </w:tcPr>
          <w:p w14:paraId="2341BA92"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8" w:type="pct"/>
            <w:tcBorders>
              <w:top w:val="nil"/>
              <w:left w:val="nil"/>
              <w:bottom w:val="single" w:sz="4" w:space="0" w:color="auto"/>
              <w:right w:val="nil"/>
            </w:tcBorders>
            <w:shd w:val="clear" w:color="auto" w:fill="auto"/>
            <w:noWrap/>
            <w:vAlign w:val="bottom"/>
            <w:hideMark/>
          </w:tcPr>
          <w:p w14:paraId="2341BA9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2341BA9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2341BA9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A9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123.006</w:t>
            </w:r>
          </w:p>
        </w:tc>
        <w:tc>
          <w:tcPr>
            <w:tcW w:w="297" w:type="pct"/>
            <w:tcBorders>
              <w:top w:val="nil"/>
              <w:left w:val="nil"/>
              <w:bottom w:val="single" w:sz="4" w:space="0" w:color="auto"/>
              <w:right w:val="nil"/>
            </w:tcBorders>
            <w:shd w:val="clear" w:color="auto" w:fill="auto"/>
            <w:noWrap/>
            <w:vAlign w:val="bottom"/>
            <w:hideMark/>
          </w:tcPr>
          <w:p w14:paraId="2341BA9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A9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A9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A9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A9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single" w:sz="4" w:space="0" w:color="auto"/>
              <w:right w:val="nil"/>
            </w:tcBorders>
            <w:shd w:val="clear" w:color="auto" w:fill="auto"/>
            <w:noWrap/>
            <w:vAlign w:val="bottom"/>
            <w:hideMark/>
          </w:tcPr>
          <w:p w14:paraId="2341BA9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A9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EE79BE" w14:paraId="2341BAAC"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A9F" w14:textId="77777777" w:rsidR="00CD529B" w:rsidRPr="00EE79BE" w:rsidRDefault="00CD529B" w:rsidP="00564572">
            <w:pPr>
              <w:ind w:firstLineChars="100" w:firstLine="150"/>
              <w:rPr>
                <w:rFonts w:ascii="Calibri" w:hAnsi="Calibri" w:cs="Calibri"/>
                <w:color w:val="000000"/>
                <w:sz w:val="15"/>
                <w:szCs w:val="15"/>
                <w:lang w:eastAsia="es-CO"/>
              </w:rPr>
            </w:pPr>
            <w:r w:rsidRPr="00EE79BE">
              <w:rPr>
                <w:rFonts w:ascii="Calibri" w:hAnsi="Calibri" w:cs="Calibri"/>
                <w:color w:val="000000"/>
                <w:sz w:val="15"/>
                <w:szCs w:val="15"/>
                <w:lang w:eastAsia="es-CO"/>
              </w:rPr>
              <w:t>Total Beneficios ($COP Millones)</w:t>
            </w:r>
          </w:p>
        </w:tc>
        <w:tc>
          <w:tcPr>
            <w:tcW w:w="308" w:type="pct"/>
            <w:tcBorders>
              <w:top w:val="nil"/>
              <w:left w:val="nil"/>
              <w:bottom w:val="single" w:sz="4" w:space="0" w:color="auto"/>
              <w:right w:val="nil"/>
            </w:tcBorders>
            <w:shd w:val="clear" w:color="auto" w:fill="auto"/>
            <w:noWrap/>
            <w:vAlign w:val="bottom"/>
            <w:hideMark/>
          </w:tcPr>
          <w:p w14:paraId="2341BAA0"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2341BAA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6.359</w:t>
            </w:r>
          </w:p>
        </w:tc>
        <w:tc>
          <w:tcPr>
            <w:tcW w:w="296" w:type="pct"/>
            <w:tcBorders>
              <w:top w:val="nil"/>
              <w:left w:val="nil"/>
              <w:bottom w:val="single" w:sz="4" w:space="0" w:color="auto"/>
              <w:right w:val="nil"/>
            </w:tcBorders>
            <w:shd w:val="clear" w:color="auto" w:fill="auto"/>
            <w:noWrap/>
            <w:vAlign w:val="bottom"/>
            <w:hideMark/>
          </w:tcPr>
          <w:p w14:paraId="2341BAA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12.717</w:t>
            </w:r>
          </w:p>
        </w:tc>
        <w:tc>
          <w:tcPr>
            <w:tcW w:w="296" w:type="pct"/>
            <w:tcBorders>
              <w:top w:val="nil"/>
              <w:left w:val="nil"/>
              <w:bottom w:val="single" w:sz="4" w:space="0" w:color="auto"/>
              <w:right w:val="nil"/>
            </w:tcBorders>
            <w:shd w:val="clear" w:color="auto" w:fill="auto"/>
            <w:noWrap/>
            <w:vAlign w:val="bottom"/>
            <w:hideMark/>
          </w:tcPr>
          <w:p w14:paraId="2341BAA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19.076</w:t>
            </w:r>
          </w:p>
        </w:tc>
        <w:tc>
          <w:tcPr>
            <w:tcW w:w="297" w:type="pct"/>
            <w:tcBorders>
              <w:top w:val="nil"/>
              <w:left w:val="nil"/>
              <w:bottom w:val="single" w:sz="4" w:space="0" w:color="auto"/>
              <w:right w:val="nil"/>
            </w:tcBorders>
            <w:shd w:val="clear" w:color="auto" w:fill="auto"/>
            <w:noWrap/>
            <w:vAlign w:val="bottom"/>
            <w:hideMark/>
          </w:tcPr>
          <w:p w14:paraId="2341BAA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148.440</w:t>
            </w:r>
          </w:p>
        </w:tc>
        <w:tc>
          <w:tcPr>
            <w:tcW w:w="297" w:type="pct"/>
            <w:tcBorders>
              <w:top w:val="nil"/>
              <w:left w:val="nil"/>
              <w:bottom w:val="single" w:sz="4" w:space="0" w:color="auto"/>
              <w:right w:val="nil"/>
            </w:tcBorders>
            <w:shd w:val="clear" w:color="auto" w:fill="auto"/>
            <w:noWrap/>
            <w:vAlign w:val="bottom"/>
            <w:hideMark/>
          </w:tcPr>
          <w:p w14:paraId="2341BAA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2341BAA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2341BAA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2341BAA8"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2341BAA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89" w:type="pct"/>
            <w:tcBorders>
              <w:top w:val="nil"/>
              <w:left w:val="nil"/>
              <w:bottom w:val="single" w:sz="4" w:space="0" w:color="auto"/>
              <w:right w:val="nil"/>
            </w:tcBorders>
            <w:shd w:val="clear" w:color="auto" w:fill="auto"/>
            <w:noWrap/>
            <w:vAlign w:val="bottom"/>
            <w:hideMark/>
          </w:tcPr>
          <w:p w14:paraId="2341BAA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87" w:type="pct"/>
            <w:tcBorders>
              <w:top w:val="nil"/>
              <w:left w:val="nil"/>
              <w:bottom w:val="single" w:sz="4" w:space="0" w:color="auto"/>
              <w:right w:val="nil"/>
            </w:tcBorders>
            <w:shd w:val="clear" w:color="auto" w:fill="auto"/>
            <w:noWrap/>
            <w:vAlign w:val="bottom"/>
            <w:hideMark/>
          </w:tcPr>
          <w:p w14:paraId="2341BAA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r>
      <w:tr w:rsidR="00CD529B" w:rsidRPr="00EE79BE" w14:paraId="2341BABA" w14:textId="77777777" w:rsidTr="00564572">
        <w:trPr>
          <w:trHeight w:val="300"/>
        </w:trPr>
        <w:tc>
          <w:tcPr>
            <w:tcW w:w="1455" w:type="pct"/>
            <w:tcBorders>
              <w:top w:val="nil"/>
              <w:left w:val="nil"/>
              <w:bottom w:val="nil"/>
              <w:right w:val="nil"/>
            </w:tcBorders>
            <w:shd w:val="clear" w:color="auto" w:fill="auto"/>
            <w:noWrap/>
            <w:vAlign w:val="bottom"/>
            <w:hideMark/>
          </w:tcPr>
          <w:p w14:paraId="2341BAAD" w14:textId="77777777" w:rsidR="00CD529B" w:rsidRPr="00EE79BE" w:rsidRDefault="00CD529B" w:rsidP="00564572">
            <w:pPr>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Inversión y Costos</w:t>
            </w:r>
          </w:p>
        </w:tc>
        <w:tc>
          <w:tcPr>
            <w:tcW w:w="308" w:type="pct"/>
            <w:tcBorders>
              <w:top w:val="nil"/>
              <w:left w:val="nil"/>
              <w:bottom w:val="nil"/>
              <w:right w:val="nil"/>
            </w:tcBorders>
            <w:shd w:val="clear" w:color="auto" w:fill="auto"/>
            <w:noWrap/>
            <w:vAlign w:val="bottom"/>
            <w:hideMark/>
          </w:tcPr>
          <w:p w14:paraId="2341BAAE" w14:textId="77777777" w:rsidR="00CD529B" w:rsidRPr="00EE79BE" w:rsidRDefault="00CD529B" w:rsidP="00564572">
            <w:pPr>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AAF" w14:textId="77777777" w:rsidR="00CD529B" w:rsidRPr="000D0E52"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AB0" w14:textId="77777777" w:rsidR="00CD529B" w:rsidRPr="000D0E52"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AB1"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B2"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B3"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B4"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B5"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B6" w14:textId="77777777" w:rsidR="00CD529B" w:rsidRPr="000D0E52"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B7" w14:textId="77777777" w:rsidR="00CD529B" w:rsidRPr="000D0E52"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AB8" w14:textId="77777777" w:rsidR="00CD529B" w:rsidRPr="000D0E52"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AB9" w14:textId="77777777" w:rsidR="00CD529B" w:rsidRPr="000D0E52" w:rsidRDefault="00CD529B" w:rsidP="00564572">
            <w:pPr>
              <w:rPr>
                <w:sz w:val="15"/>
                <w:szCs w:val="15"/>
                <w:lang w:eastAsia="es-CO"/>
              </w:rPr>
            </w:pPr>
          </w:p>
        </w:tc>
      </w:tr>
      <w:tr w:rsidR="00CD529B" w:rsidRPr="00EE79BE" w14:paraId="2341BAC8" w14:textId="77777777" w:rsidTr="00564572">
        <w:trPr>
          <w:trHeight w:val="300"/>
        </w:trPr>
        <w:tc>
          <w:tcPr>
            <w:tcW w:w="1455" w:type="pct"/>
            <w:tcBorders>
              <w:top w:val="nil"/>
              <w:left w:val="nil"/>
              <w:bottom w:val="nil"/>
              <w:right w:val="nil"/>
            </w:tcBorders>
            <w:shd w:val="clear" w:color="auto" w:fill="auto"/>
            <w:noWrap/>
            <w:vAlign w:val="bottom"/>
            <w:hideMark/>
          </w:tcPr>
          <w:p w14:paraId="2341BABB" w14:textId="77777777" w:rsidR="00CD529B" w:rsidRPr="00EE79BE" w:rsidRDefault="00CD529B" w:rsidP="00564572">
            <w:pPr>
              <w:ind w:firstLineChars="100" w:firstLine="150"/>
              <w:rPr>
                <w:rFonts w:ascii="Calibri" w:hAnsi="Calibri" w:cs="Calibri"/>
                <w:color w:val="000000"/>
                <w:sz w:val="15"/>
                <w:szCs w:val="15"/>
                <w:lang w:eastAsia="es-CO"/>
              </w:rPr>
            </w:pPr>
            <w:r w:rsidRPr="00EE79BE">
              <w:rPr>
                <w:rFonts w:ascii="Calibri" w:hAnsi="Calibri" w:cs="Calibri"/>
                <w:color w:val="000000"/>
                <w:sz w:val="15"/>
                <w:szCs w:val="15"/>
                <w:lang w:eastAsia="es-CO"/>
              </w:rPr>
              <w:t>Inversión en motores eficientes</w:t>
            </w:r>
          </w:p>
        </w:tc>
        <w:tc>
          <w:tcPr>
            <w:tcW w:w="308" w:type="pct"/>
            <w:tcBorders>
              <w:top w:val="nil"/>
              <w:left w:val="nil"/>
              <w:bottom w:val="nil"/>
              <w:right w:val="nil"/>
            </w:tcBorders>
            <w:shd w:val="clear" w:color="auto" w:fill="auto"/>
            <w:noWrap/>
            <w:vAlign w:val="bottom"/>
            <w:hideMark/>
          </w:tcPr>
          <w:p w14:paraId="2341BABC" w14:textId="77777777" w:rsidR="00CD529B" w:rsidRPr="00EE79BE" w:rsidRDefault="00CD529B" w:rsidP="00564572">
            <w:pPr>
              <w:ind w:firstLineChars="100" w:firstLine="150"/>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AB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6" w:type="pct"/>
            <w:tcBorders>
              <w:top w:val="nil"/>
              <w:left w:val="nil"/>
              <w:bottom w:val="nil"/>
              <w:right w:val="nil"/>
            </w:tcBorders>
            <w:shd w:val="clear" w:color="auto" w:fill="auto"/>
            <w:noWrap/>
            <w:vAlign w:val="bottom"/>
            <w:hideMark/>
          </w:tcPr>
          <w:p w14:paraId="2341BAB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6" w:type="pct"/>
            <w:tcBorders>
              <w:top w:val="nil"/>
              <w:left w:val="nil"/>
              <w:bottom w:val="nil"/>
              <w:right w:val="nil"/>
            </w:tcBorders>
            <w:shd w:val="clear" w:color="auto" w:fill="auto"/>
            <w:noWrap/>
            <w:vAlign w:val="bottom"/>
            <w:hideMark/>
          </w:tcPr>
          <w:p w14:paraId="2341BAB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7" w:type="pct"/>
            <w:tcBorders>
              <w:top w:val="nil"/>
              <w:left w:val="nil"/>
              <w:bottom w:val="nil"/>
              <w:right w:val="nil"/>
            </w:tcBorders>
            <w:shd w:val="clear" w:color="auto" w:fill="auto"/>
            <w:noWrap/>
            <w:vAlign w:val="bottom"/>
            <w:hideMark/>
          </w:tcPr>
          <w:p w14:paraId="2341BAC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7" w:type="pct"/>
            <w:tcBorders>
              <w:top w:val="nil"/>
              <w:left w:val="nil"/>
              <w:bottom w:val="nil"/>
              <w:right w:val="nil"/>
            </w:tcBorders>
            <w:shd w:val="clear" w:color="auto" w:fill="auto"/>
            <w:noWrap/>
            <w:vAlign w:val="bottom"/>
            <w:hideMark/>
          </w:tcPr>
          <w:p w14:paraId="2341BAC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AC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AC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AC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AC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nil"/>
              <w:left w:val="nil"/>
              <w:bottom w:val="nil"/>
              <w:right w:val="nil"/>
            </w:tcBorders>
            <w:shd w:val="clear" w:color="auto" w:fill="auto"/>
            <w:noWrap/>
            <w:vAlign w:val="bottom"/>
            <w:hideMark/>
          </w:tcPr>
          <w:p w14:paraId="2341BAC6"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2341BAC7"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EE79BE" w14:paraId="2341BAD6" w14:textId="77777777" w:rsidTr="00564572">
        <w:trPr>
          <w:trHeight w:val="300"/>
        </w:trPr>
        <w:tc>
          <w:tcPr>
            <w:tcW w:w="1455" w:type="pct"/>
            <w:tcBorders>
              <w:top w:val="single" w:sz="4" w:space="0" w:color="auto"/>
              <w:left w:val="nil"/>
              <w:bottom w:val="single" w:sz="4" w:space="0" w:color="auto"/>
              <w:right w:val="nil"/>
            </w:tcBorders>
            <w:shd w:val="clear" w:color="auto" w:fill="auto"/>
            <w:noWrap/>
            <w:vAlign w:val="bottom"/>
            <w:hideMark/>
          </w:tcPr>
          <w:p w14:paraId="2341BAC9"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Total Inversión y Costos ($COP Millones)</w:t>
            </w:r>
          </w:p>
        </w:tc>
        <w:tc>
          <w:tcPr>
            <w:tcW w:w="308" w:type="pct"/>
            <w:tcBorders>
              <w:top w:val="single" w:sz="4" w:space="0" w:color="auto"/>
              <w:left w:val="nil"/>
              <w:bottom w:val="single" w:sz="4" w:space="0" w:color="auto"/>
              <w:right w:val="nil"/>
            </w:tcBorders>
            <w:shd w:val="clear" w:color="auto" w:fill="auto"/>
            <w:noWrap/>
            <w:vAlign w:val="bottom"/>
            <w:hideMark/>
          </w:tcPr>
          <w:p w14:paraId="2341BACA"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8" w:type="pct"/>
            <w:tcBorders>
              <w:top w:val="single" w:sz="4" w:space="0" w:color="auto"/>
              <w:left w:val="nil"/>
              <w:bottom w:val="single" w:sz="4" w:space="0" w:color="auto"/>
              <w:right w:val="nil"/>
            </w:tcBorders>
            <w:shd w:val="clear" w:color="auto" w:fill="auto"/>
            <w:noWrap/>
            <w:vAlign w:val="bottom"/>
            <w:hideMark/>
          </w:tcPr>
          <w:p w14:paraId="2341BAC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6" w:type="pct"/>
            <w:tcBorders>
              <w:top w:val="single" w:sz="4" w:space="0" w:color="auto"/>
              <w:left w:val="nil"/>
              <w:bottom w:val="single" w:sz="4" w:space="0" w:color="auto"/>
              <w:right w:val="nil"/>
            </w:tcBorders>
            <w:shd w:val="clear" w:color="auto" w:fill="auto"/>
            <w:noWrap/>
            <w:vAlign w:val="bottom"/>
            <w:hideMark/>
          </w:tcPr>
          <w:p w14:paraId="2341BAC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6" w:type="pct"/>
            <w:tcBorders>
              <w:top w:val="single" w:sz="4" w:space="0" w:color="auto"/>
              <w:left w:val="nil"/>
              <w:bottom w:val="single" w:sz="4" w:space="0" w:color="auto"/>
              <w:right w:val="nil"/>
            </w:tcBorders>
            <w:shd w:val="clear" w:color="auto" w:fill="auto"/>
            <w:noWrap/>
            <w:vAlign w:val="bottom"/>
            <w:hideMark/>
          </w:tcPr>
          <w:p w14:paraId="2341BAC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7" w:type="pct"/>
            <w:tcBorders>
              <w:top w:val="single" w:sz="4" w:space="0" w:color="auto"/>
              <w:left w:val="nil"/>
              <w:bottom w:val="single" w:sz="4" w:space="0" w:color="auto"/>
              <w:right w:val="nil"/>
            </w:tcBorders>
            <w:shd w:val="clear" w:color="auto" w:fill="auto"/>
            <w:noWrap/>
            <w:vAlign w:val="bottom"/>
            <w:hideMark/>
          </w:tcPr>
          <w:p w14:paraId="2341BAC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30.764</w:t>
            </w:r>
          </w:p>
        </w:tc>
        <w:tc>
          <w:tcPr>
            <w:tcW w:w="297" w:type="pct"/>
            <w:tcBorders>
              <w:top w:val="single" w:sz="4" w:space="0" w:color="auto"/>
              <w:left w:val="nil"/>
              <w:bottom w:val="single" w:sz="4" w:space="0" w:color="auto"/>
              <w:right w:val="nil"/>
            </w:tcBorders>
            <w:shd w:val="clear" w:color="auto" w:fill="auto"/>
            <w:noWrap/>
            <w:vAlign w:val="bottom"/>
            <w:hideMark/>
          </w:tcPr>
          <w:p w14:paraId="2341BAC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AD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AD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AD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AD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9" w:type="pct"/>
            <w:tcBorders>
              <w:top w:val="single" w:sz="4" w:space="0" w:color="auto"/>
              <w:left w:val="nil"/>
              <w:bottom w:val="single" w:sz="4" w:space="0" w:color="auto"/>
              <w:right w:val="nil"/>
            </w:tcBorders>
            <w:shd w:val="clear" w:color="auto" w:fill="auto"/>
            <w:noWrap/>
            <w:vAlign w:val="bottom"/>
            <w:hideMark/>
          </w:tcPr>
          <w:p w14:paraId="2341BAD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2341BAD5"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0</w:t>
            </w:r>
          </w:p>
        </w:tc>
      </w:tr>
      <w:tr w:rsidR="00CD529B" w:rsidRPr="00EE79BE" w14:paraId="2341BAE4"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AD7" w14:textId="77777777" w:rsidR="00CD529B" w:rsidRPr="00EE79BE" w:rsidRDefault="00CD529B" w:rsidP="00564572">
            <w:pPr>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Flujo Neto</w:t>
            </w:r>
          </w:p>
        </w:tc>
        <w:tc>
          <w:tcPr>
            <w:tcW w:w="308" w:type="pct"/>
            <w:tcBorders>
              <w:top w:val="nil"/>
              <w:left w:val="nil"/>
              <w:bottom w:val="single" w:sz="4" w:space="0" w:color="auto"/>
              <w:right w:val="nil"/>
            </w:tcBorders>
            <w:shd w:val="clear" w:color="auto" w:fill="auto"/>
            <w:noWrap/>
            <w:vAlign w:val="bottom"/>
            <w:hideMark/>
          </w:tcPr>
          <w:p w14:paraId="2341BAD8"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2341BAD9"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-24.405</w:t>
            </w:r>
          </w:p>
        </w:tc>
        <w:tc>
          <w:tcPr>
            <w:tcW w:w="296" w:type="pct"/>
            <w:tcBorders>
              <w:top w:val="nil"/>
              <w:left w:val="nil"/>
              <w:bottom w:val="single" w:sz="4" w:space="0" w:color="auto"/>
              <w:right w:val="nil"/>
            </w:tcBorders>
            <w:shd w:val="clear" w:color="auto" w:fill="auto"/>
            <w:noWrap/>
            <w:vAlign w:val="bottom"/>
            <w:hideMark/>
          </w:tcPr>
          <w:p w14:paraId="2341BADA"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-18.047</w:t>
            </w:r>
          </w:p>
        </w:tc>
        <w:tc>
          <w:tcPr>
            <w:tcW w:w="296" w:type="pct"/>
            <w:tcBorders>
              <w:top w:val="nil"/>
              <w:left w:val="nil"/>
              <w:bottom w:val="single" w:sz="4" w:space="0" w:color="auto"/>
              <w:right w:val="nil"/>
            </w:tcBorders>
            <w:shd w:val="clear" w:color="auto" w:fill="auto"/>
            <w:noWrap/>
            <w:vAlign w:val="bottom"/>
            <w:hideMark/>
          </w:tcPr>
          <w:p w14:paraId="2341BADB"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-11.688</w:t>
            </w:r>
          </w:p>
        </w:tc>
        <w:tc>
          <w:tcPr>
            <w:tcW w:w="297" w:type="pct"/>
            <w:tcBorders>
              <w:top w:val="nil"/>
              <w:left w:val="nil"/>
              <w:bottom w:val="single" w:sz="4" w:space="0" w:color="auto"/>
              <w:right w:val="nil"/>
            </w:tcBorders>
            <w:shd w:val="clear" w:color="auto" w:fill="auto"/>
            <w:noWrap/>
            <w:vAlign w:val="bottom"/>
            <w:hideMark/>
          </w:tcPr>
          <w:p w14:paraId="2341BADC"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117.677</w:t>
            </w:r>
          </w:p>
        </w:tc>
        <w:tc>
          <w:tcPr>
            <w:tcW w:w="297" w:type="pct"/>
            <w:tcBorders>
              <w:top w:val="nil"/>
              <w:left w:val="nil"/>
              <w:bottom w:val="single" w:sz="4" w:space="0" w:color="auto"/>
              <w:right w:val="nil"/>
            </w:tcBorders>
            <w:shd w:val="clear" w:color="auto" w:fill="auto"/>
            <w:noWrap/>
            <w:vAlign w:val="bottom"/>
            <w:hideMark/>
          </w:tcPr>
          <w:p w14:paraId="2341BADD"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2341BADE"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2341BADF"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2341BAE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97" w:type="pct"/>
            <w:tcBorders>
              <w:top w:val="nil"/>
              <w:left w:val="nil"/>
              <w:bottom w:val="single" w:sz="4" w:space="0" w:color="auto"/>
              <w:right w:val="nil"/>
            </w:tcBorders>
            <w:shd w:val="clear" w:color="auto" w:fill="auto"/>
            <w:noWrap/>
            <w:vAlign w:val="bottom"/>
            <w:hideMark/>
          </w:tcPr>
          <w:p w14:paraId="2341BAE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89" w:type="pct"/>
            <w:tcBorders>
              <w:top w:val="nil"/>
              <w:left w:val="nil"/>
              <w:bottom w:val="single" w:sz="4" w:space="0" w:color="auto"/>
              <w:right w:val="nil"/>
            </w:tcBorders>
            <w:shd w:val="clear" w:color="auto" w:fill="auto"/>
            <w:noWrap/>
            <w:vAlign w:val="bottom"/>
            <w:hideMark/>
          </w:tcPr>
          <w:p w14:paraId="2341BAE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c>
          <w:tcPr>
            <w:tcW w:w="287" w:type="pct"/>
            <w:tcBorders>
              <w:top w:val="nil"/>
              <w:left w:val="nil"/>
              <w:bottom w:val="single" w:sz="4" w:space="0" w:color="auto"/>
              <w:right w:val="nil"/>
            </w:tcBorders>
            <w:shd w:val="clear" w:color="auto" w:fill="auto"/>
            <w:noWrap/>
            <w:vAlign w:val="bottom"/>
            <w:hideMark/>
          </w:tcPr>
          <w:p w14:paraId="2341BAE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25.435</w:t>
            </w:r>
          </w:p>
        </w:tc>
      </w:tr>
      <w:tr w:rsidR="00CD529B" w:rsidRPr="00EE79BE" w14:paraId="2341BAF2" w14:textId="77777777" w:rsidTr="00564572">
        <w:trPr>
          <w:trHeight w:val="300"/>
        </w:trPr>
        <w:tc>
          <w:tcPr>
            <w:tcW w:w="1455" w:type="pct"/>
            <w:tcBorders>
              <w:top w:val="nil"/>
              <w:left w:val="nil"/>
              <w:bottom w:val="nil"/>
              <w:right w:val="nil"/>
            </w:tcBorders>
            <w:shd w:val="clear" w:color="auto" w:fill="auto"/>
            <w:noWrap/>
            <w:vAlign w:val="bottom"/>
            <w:hideMark/>
          </w:tcPr>
          <w:p w14:paraId="2341BAE5" w14:textId="77777777" w:rsidR="00CD529B" w:rsidRPr="00EE79BE" w:rsidRDefault="00CD529B" w:rsidP="00564572">
            <w:pPr>
              <w:jc w:val="right"/>
              <w:rPr>
                <w:rFonts w:ascii="Calibri" w:hAnsi="Calibri" w:cs="Calibri"/>
                <w:color w:val="000000"/>
                <w:sz w:val="15"/>
                <w:szCs w:val="15"/>
                <w:lang w:eastAsia="es-CO"/>
              </w:rPr>
            </w:pPr>
          </w:p>
        </w:tc>
        <w:tc>
          <w:tcPr>
            <w:tcW w:w="308" w:type="pct"/>
            <w:tcBorders>
              <w:top w:val="nil"/>
              <w:left w:val="nil"/>
              <w:bottom w:val="nil"/>
              <w:right w:val="nil"/>
            </w:tcBorders>
            <w:shd w:val="clear" w:color="auto" w:fill="auto"/>
            <w:noWrap/>
            <w:vAlign w:val="bottom"/>
            <w:hideMark/>
          </w:tcPr>
          <w:p w14:paraId="2341BAE6" w14:textId="77777777" w:rsidR="00CD529B" w:rsidRPr="00EE79BE"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AE7"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AE8"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AE9"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EA"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EB"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EC"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ED"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EE"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EF"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AF0"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AF1" w14:textId="77777777" w:rsidR="00CD529B" w:rsidRPr="00EE79BE" w:rsidRDefault="00CD529B" w:rsidP="00564572">
            <w:pPr>
              <w:rPr>
                <w:sz w:val="15"/>
                <w:szCs w:val="15"/>
                <w:lang w:eastAsia="es-CO"/>
              </w:rPr>
            </w:pPr>
          </w:p>
        </w:tc>
      </w:tr>
      <w:tr w:rsidR="00CD529B" w:rsidRPr="00EE79BE" w14:paraId="2341BB00" w14:textId="77777777" w:rsidTr="00564572">
        <w:trPr>
          <w:trHeight w:val="300"/>
        </w:trPr>
        <w:tc>
          <w:tcPr>
            <w:tcW w:w="1455" w:type="pct"/>
            <w:tcBorders>
              <w:top w:val="nil"/>
              <w:left w:val="nil"/>
              <w:bottom w:val="nil"/>
              <w:right w:val="nil"/>
            </w:tcBorders>
            <w:shd w:val="clear" w:color="auto" w:fill="auto"/>
            <w:noWrap/>
            <w:vAlign w:val="bottom"/>
            <w:hideMark/>
          </w:tcPr>
          <w:p w14:paraId="2341BAF3" w14:textId="77777777" w:rsidR="00CD529B" w:rsidRPr="00EE79BE" w:rsidRDefault="00CD529B" w:rsidP="00564572">
            <w:pPr>
              <w:rPr>
                <w:sz w:val="15"/>
                <w:szCs w:val="15"/>
                <w:lang w:eastAsia="es-CO"/>
              </w:rPr>
            </w:pP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2341BAF4"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Beneficios</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AF5"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Costos</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2341BAF6"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Neto</w:t>
            </w:r>
          </w:p>
        </w:tc>
        <w:tc>
          <w:tcPr>
            <w:tcW w:w="296" w:type="pct"/>
            <w:tcBorders>
              <w:top w:val="nil"/>
              <w:left w:val="nil"/>
              <w:bottom w:val="nil"/>
              <w:right w:val="nil"/>
            </w:tcBorders>
            <w:shd w:val="clear" w:color="auto" w:fill="auto"/>
            <w:noWrap/>
            <w:vAlign w:val="bottom"/>
            <w:hideMark/>
          </w:tcPr>
          <w:p w14:paraId="2341BAF7" w14:textId="77777777" w:rsidR="00CD529B" w:rsidRPr="00EE79BE" w:rsidRDefault="00CD529B" w:rsidP="00564572">
            <w:pPr>
              <w:jc w:val="center"/>
              <w:rPr>
                <w:rFonts w:ascii="Calibri" w:hAnsi="Calibri" w:cs="Calibri"/>
                <w:color w:val="FFFFFF"/>
                <w:sz w:val="15"/>
                <w:szCs w:val="15"/>
                <w:lang w:eastAsia="es-CO"/>
              </w:rPr>
            </w:pPr>
          </w:p>
        </w:tc>
        <w:tc>
          <w:tcPr>
            <w:tcW w:w="297" w:type="pct"/>
            <w:tcBorders>
              <w:top w:val="nil"/>
              <w:left w:val="nil"/>
              <w:bottom w:val="nil"/>
              <w:right w:val="nil"/>
            </w:tcBorders>
            <w:shd w:val="clear" w:color="auto" w:fill="auto"/>
            <w:noWrap/>
            <w:vAlign w:val="bottom"/>
            <w:hideMark/>
          </w:tcPr>
          <w:p w14:paraId="2341BAF8"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F9"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FA"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FB"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FC"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AFD"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AFE"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AFF" w14:textId="77777777" w:rsidR="00CD529B" w:rsidRPr="00EE79BE" w:rsidRDefault="00CD529B" w:rsidP="00564572">
            <w:pPr>
              <w:rPr>
                <w:sz w:val="15"/>
                <w:szCs w:val="15"/>
                <w:lang w:eastAsia="es-CO"/>
              </w:rPr>
            </w:pPr>
          </w:p>
        </w:tc>
      </w:tr>
      <w:tr w:rsidR="00CD529B" w:rsidRPr="00EE79BE" w14:paraId="2341BB0E" w14:textId="77777777" w:rsidTr="00564572">
        <w:trPr>
          <w:trHeight w:val="300"/>
        </w:trPr>
        <w:tc>
          <w:tcPr>
            <w:tcW w:w="1455" w:type="pct"/>
            <w:tcBorders>
              <w:top w:val="single" w:sz="4" w:space="0" w:color="auto"/>
              <w:left w:val="single" w:sz="4" w:space="0" w:color="auto"/>
              <w:bottom w:val="single" w:sz="4" w:space="0" w:color="auto"/>
              <w:right w:val="nil"/>
            </w:tcBorders>
            <w:shd w:val="clear" w:color="000000" w:fill="E2EFDA"/>
            <w:noWrap/>
            <w:vAlign w:val="bottom"/>
            <w:hideMark/>
          </w:tcPr>
          <w:p w14:paraId="2341BB01"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VPN dic 2016 ($USD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2341BB0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$66</w:t>
            </w:r>
          </w:p>
        </w:tc>
        <w:tc>
          <w:tcPr>
            <w:tcW w:w="288" w:type="pct"/>
            <w:tcBorders>
              <w:top w:val="nil"/>
              <w:left w:val="nil"/>
              <w:bottom w:val="single" w:sz="4" w:space="0" w:color="auto"/>
              <w:right w:val="single" w:sz="4" w:space="0" w:color="auto"/>
            </w:tcBorders>
            <w:shd w:val="clear" w:color="000000" w:fill="E2EFDA"/>
            <w:noWrap/>
            <w:vAlign w:val="bottom"/>
            <w:hideMark/>
          </w:tcPr>
          <w:p w14:paraId="2341BB03"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$31</w:t>
            </w:r>
          </w:p>
        </w:tc>
        <w:tc>
          <w:tcPr>
            <w:tcW w:w="296" w:type="pct"/>
            <w:tcBorders>
              <w:top w:val="nil"/>
              <w:left w:val="nil"/>
              <w:bottom w:val="single" w:sz="4" w:space="0" w:color="auto"/>
              <w:right w:val="single" w:sz="4" w:space="0" w:color="auto"/>
            </w:tcBorders>
            <w:shd w:val="clear" w:color="000000" w:fill="E2EFDA"/>
            <w:noWrap/>
            <w:vAlign w:val="bottom"/>
            <w:hideMark/>
          </w:tcPr>
          <w:p w14:paraId="2341BB04"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$35</w:t>
            </w:r>
          </w:p>
        </w:tc>
        <w:tc>
          <w:tcPr>
            <w:tcW w:w="296" w:type="pct"/>
            <w:tcBorders>
              <w:top w:val="nil"/>
              <w:left w:val="nil"/>
              <w:bottom w:val="nil"/>
              <w:right w:val="nil"/>
            </w:tcBorders>
            <w:shd w:val="clear" w:color="auto" w:fill="auto"/>
            <w:noWrap/>
            <w:vAlign w:val="bottom"/>
            <w:hideMark/>
          </w:tcPr>
          <w:p w14:paraId="2341BB05" w14:textId="77777777" w:rsidR="00CD529B" w:rsidRPr="00EE79BE" w:rsidRDefault="00CD529B" w:rsidP="00564572">
            <w:pPr>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2341BB06"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07"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08"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09"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0A"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0B"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B0C"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B0D" w14:textId="77777777" w:rsidR="00CD529B" w:rsidRPr="00EE79BE" w:rsidRDefault="00CD529B" w:rsidP="00564572">
            <w:pPr>
              <w:rPr>
                <w:sz w:val="15"/>
                <w:szCs w:val="15"/>
                <w:lang w:eastAsia="es-CO"/>
              </w:rPr>
            </w:pPr>
          </w:p>
        </w:tc>
      </w:tr>
      <w:tr w:rsidR="00CD529B" w:rsidRPr="00EE79BE" w14:paraId="2341BB1C" w14:textId="77777777" w:rsidTr="00564572">
        <w:trPr>
          <w:trHeight w:val="300"/>
        </w:trPr>
        <w:tc>
          <w:tcPr>
            <w:tcW w:w="1455" w:type="pct"/>
            <w:tcBorders>
              <w:top w:val="nil"/>
              <w:left w:val="single" w:sz="4" w:space="0" w:color="auto"/>
              <w:bottom w:val="single" w:sz="4" w:space="0" w:color="auto"/>
              <w:right w:val="nil"/>
            </w:tcBorders>
            <w:shd w:val="clear" w:color="000000" w:fill="E2EFDA"/>
            <w:noWrap/>
            <w:vAlign w:val="bottom"/>
            <w:hideMark/>
          </w:tcPr>
          <w:p w14:paraId="2341BB0F"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VPN dic 2016 ($COP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2341BB10"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$197.500</w:t>
            </w:r>
          </w:p>
        </w:tc>
        <w:tc>
          <w:tcPr>
            <w:tcW w:w="288" w:type="pct"/>
            <w:tcBorders>
              <w:top w:val="nil"/>
              <w:left w:val="nil"/>
              <w:bottom w:val="single" w:sz="4" w:space="0" w:color="auto"/>
              <w:right w:val="single" w:sz="4" w:space="0" w:color="auto"/>
            </w:tcBorders>
            <w:shd w:val="clear" w:color="000000" w:fill="E2EFDA"/>
            <w:noWrap/>
            <w:vAlign w:val="bottom"/>
            <w:hideMark/>
          </w:tcPr>
          <w:p w14:paraId="2341BB11"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$93.441</w:t>
            </w:r>
          </w:p>
        </w:tc>
        <w:tc>
          <w:tcPr>
            <w:tcW w:w="296" w:type="pct"/>
            <w:tcBorders>
              <w:top w:val="nil"/>
              <w:left w:val="nil"/>
              <w:bottom w:val="single" w:sz="4" w:space="0" w:color="auto"/>
              <w:right w:val="single" w:sz="4" w:space="0" w:color="auto"/>
            </w:tcBorders>
            <w:shd w:val="clear" w:color="000000" w:fill="E2EFDA"/>
            <w:noWrap/>
            <w:vAlign w:val="bottom"/>
            <w:hideMark/>
          </w:tcPr>
          <w:p w14:paraId="2341BB12" w14:textId="77777777" w:rsidR="00CD529B" w:rsidRPr="000D0E52" w:rsidRDefault="00CD529B" w:rsidP="00564572">
            <w:pPr>
              <w:jc w:val="right"/>
              <w:rPr>
                <w:rFonts w:ascii="Calibri" w:hAnsi="Calibri" w:cs="Calibri"/>
                <w:color w:val="000000"/>
                <w:sz w:val="15"/>
                <w:szCs w:val="15"/>
                <w:lang w:eastAsia="es-CO"/>
              </w:rPr>
            </w:pPr>
            <w:r w:rsidRPr="000D0E52">
              <w:rPr>
                <w:rFonts w:ascii="Calibri" w:hAnsi="Calibri"/>
                <w:color w:val="000000"/>
                <w:sz w:val="15"/>
                <w:szCs w:val="15"/>
              </w:rPr>
              <w:t>$104.059</w:t>
            </w:r>
          </w:p>
        </w:tc>
        <w:tc>
          <w:tcPr>
            <w:tcW w:w="296" w:type="pct"/>
            <w:tcBorders>
              <w:top w:val="nil"/>
              <w:left w:val="nil"/>
              <w:bottom w:val="nil"/>
              <w:right w:val="nil"/>
            </w:tcBorders>
            <w:shd w:val="clear" w:color="auto" w:fill="auto"/>
            <w:noWrap/>
            <w:vAlign w:val="bottom"/>
            <w:hideMark/>
          </w:tcPr>
          <w:p w14:paraId="2341BB13" w14:textId="77777777" w:rsidR="00CD529B" w:rsidRPr="00EE79BE" w:rsidRDefault="00CD529B" w:rsidP="00564572">
            <w:pPr>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2341BB14"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15"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16"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17"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18"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19"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B1A"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B1B" w14:textId="77777777" w:rsidR="00CD529B" w:rsidRPr="00EE79BE" w:rsidRDefault="00CD529B" w:rsidP="00564572">
            <w:pPr>
              <w:rPr>
                <w:sz w:val="15"/>
                <w:szCs w:val="15"/>
                <w:lang w:eastAsia="es-CO"/>
              </w:rPr>
            </w:pPr>
          </w:p>
        </w:tc>
      </w:tr>
    </w:tbl>
    <w:p w14:paraId="2341BB1D" w14:textId="77777777" w:rsidR="00CD529B" w:rsidRDefault="00CD529B" w:rsidP="00564572"/>
    <w:p w14:paraId="2341BB1E" w14:textId="77777777" w:rsidR="00CD529B" w:rsidRDefault="00CD529B" w:rsidP="00564572">
      <w:pPr>
        <w:spacing w:after="160" w:line="259" w:lineRule="auto"/>
      </w:pPr>
      <w:r>
        <w:br w:type="page"/>
      </w:r>
    </w:p>
    <w:p w14:paraId="2341BB1F" w14:textId="77777777" w:rsidR="00CD529B" w:rsidRPr="00CD529B" w:rsidRDefault="00CD529B" w:rsidP="00564572">
      <w:pPr>
        <w:ind w:left="720"/>
        <w:jc w:val="center"/>
        <w:rPr>
          <w:b/>
          <w:lang w:val="es-ES_tradnl"/>
        </w:rPr>
      </w:pPr>
      <w:bookmarkStart w:id="135" w:name="_Toc473268572"/>
      <w:bookmarkStart w:id="136" w:name="_Toc474797078"/>
      <w:r w:rsidRPr="00CD529B">
        <w:rPr>
          <w:b/>
          <w:lang w:val="es-ES_tradnl"/>
        </w:rPr>
        <w:lastRenderedPageBreak/>
        <w:t xml:space="preserve">Tabla </w:t>
      </w:r>
      <w:r w:rsidRPr="008C12BC">
        <w:rPr>
          <w:b/>
        </w:rPr>
        <w:fldChar w:fldCharType="begin"/>
      </w:r>
      <w:r w:rsidRPr="00CD529B">
        <w:rPr>
          <w:b/>
          <w:lang w:val="es-ES_tradnl"/>
        </w:rPr>
        <w:instrText xml:space="preserve"> SEQ Tabla \* ARABIC </w:instrText>
      </w:r>
      <w:r w:rsidRPr="008C12BC">
        <w:rPr>
          <w:b/>
        </w:rPr>
        <w:fldChar w:fldCharType="separate"/>
      </w:r>
      <w:r w:rsidRPr="00CD529B">
        <w:rPr>
          <w:b/>
          <w:noProof/>
          <w:lang w:val="es-ES_tradnl"/>
        </w:rPr>
        <w:t>24</w:t>
      </w:r>
      <w:r w:rsidRPr="008C12BC">
        <w:rPr>
          <w:b/>
        </w:rPr>
        <w:fldChar w:fldCharType="end"/>
      </w:r>
      <w:r w:rsidRPr="00CD529B">
        <w:rPr>
          <w:b/>
          <w:lang w:val="es-ES_tradnl"/>
        </w:rPr>
        <w:t xml:space="preserve"> – Proyección de beneficios y costos para la medida de sustitución de motores industria metalúrgica (Sector Industrial)</w:t>
      </w:r>
      <w:bookmarkEnd w:id="135"/>
      <w:bookmarkEnd w:id="136"/>
    </w:p>
    <w:tbl>
      <w:tblPr>
        <w:tblW w:w="5000" w:type="pct"/>
        <w:tblCellMar>
          <w:left w:w="70" w:type="dxa"/>
          <w:right w:w="70" w:type="dxa"/>
        </w:tblCellMar>
        <w:tblLook w:val="04A0" w:firstRow="1" w:lastRow="0" w:firstColumn="1" w:lastColumn="0" w:noHBand="0" w:noVBand="1"/>
      </w:tblPr>
      <w:tblGrid>
        <w:gridCol w:w="2894"/>
        <w:gridCol w:w="614"/>
        <w:gridCol w:w="514"/>
        <w:gridCol w:w="514"/>
        <w:gridCol w:w="456"/>
        <w:gridCol w:w="456"/>
        <w:gridCol w:w="456"/>
        <w:gridCol w:w="456"/>
        <w:gridCol w:w="456"/>
        <w:gridCol w:w="456"/>
        <w:gridCol w:w="456"/>
        <w:gridCol w:w="456"/>
        <w:gridCol w:w="456"/>
      </w:tblGrid>
      <w:tr w:rsidR="00CD529B" w:rsidRPr="00EE79BE" w14:paraId="2341BB2D" w14:textId="77777777" w:rsidTr="00564572">
        <w:trPr>
          <w:trHeight w:val="300"/>
        </w:trPr>
        <w:tc>
          <w:tcPr>
            <w:tcW w:w="1455" w:type="pct"/>
            <w:tcBorders>
              <w:top w:val="single" w:sz="4" w:space="0" w:color="000000"/>
              <w:left w:val="nil"/>
              <w:bottom w:val="nil"/>
              <w:right w:val="nil"/>
            </w:tcBorders>
            <w:shd w:val="clear" w:color="auto" w:fill="auto"/>
            <w:noWrap/>
            <w:vAlign w:val="bottom"/>
            <w:hideMark/>
          </w:tcPr>
          <w:p w14:paraId="2341BB20"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Potencia motor ineficiente (Watts)</w:t>
            </w:r>
          </w:p>
        </w:tc>
        <w:tc>
          <w:tcPr>
            <w:tcW w:w="308" w:type="pct"/>
            <w:tcBorders>
              <w:top w:val="single" w:sz="4" w:space="0" w:color="000000"/>
              <w:left w:val="nil"/>
              <w:bottom w:val="nil"/>
              <w:right w:val="nil"/>
            </w:tcBorders>
            <w:shd w:val="clear" w:color="auto" w:fill="auto"/>
            <w:noWrap/>
            <w:vAlign w:val="bottom"/>
            <w:hideMark/>
          </w:tcPr>
          <w:p w14:paraId="2341BB21" w14:textId="77777777" w:rsidR="00CD529B" w:rsidRPr="00EE79BE" w:rsidRDefault="00CD529B" w:rsidP="00564572">
            <w:pPr>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5.465</w:t>
            </w:r>
          </w:p>
        </w:tc>
        <w:tc>
          <w:tcPr>
            <w:tcW w:w="288" w:type="pct"/>
            <w:tcBorders>
              <w:top w:val="nil"/>
              <w:left w:val="nil"/>
              <w:bottom w:val="nil"/>
              <w:right w:val="nil"/>
            </w:tcBorders>
            <w:shd w:val="clear" w:color="auto" w:fill="auto"/>
            <w:noWrap/>
            <w:vAlign w:val="bottom"/>
            <w:hideMark/>
          </w:tcPr>
          <w:p w14:paraId="2341BB22" w14:textId="77777777" w:rsidR="00CD529B" w:rsidRPr="00EE79BE"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B23"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B24"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25"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26"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27"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28"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29"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2A"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B2B"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B2C" w14:textId="77777777" w:rsidR="00CD529B" w:rsidRPr="00EE79BE" w:rsidRDefault="00CD529B" w:rsidP="00564572">
            <w:pPr>
              <w:rPr>
                <w:sz w:val="15"/>
                <w:szCs w:val="15"/>
                <w:lang w:eastAsia="es-CO"/>
              </w:rPr>
            </w:pPr>
          </w:p>
        </w:tc>
      </w:tr>
      <w:tr w:rsidR="00CD529B" w:rsidRPr="00EE79BE" w14:paraId="2341BB3B" w14:textId="77777777" w:rsidTr="00564572">
        <w:trPr>
          <w:trHeight w:val="300"/>
        </w:trPr>
        <w:tc>
          <w:tcPr>
            <w:tcW w:w="1455" w:type="pct"/>
            <w:tcBorders>
              <w:top w:val="nil"/>
              <w:left w:val="nil"/>
              <w:bottom w:val="nil"/>
              <w:right w:val="nil"/>
            </w:tcBorders>
            <w:shd w:val="clear" w:color="auto" w:fill="auto"/>
            <w:noWrap/>
            <w:vAlign w:val="bottom"/>
            <w:hideMark/>
          </w:tcPr>
          <w:p w14:paraId="2341BB2E"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Potencia motor eficiente (Watts)</w:t>
            </w:r>
          </w:p>
        </w:tc>
        <w:tc>
          <w:tcPr>
            <w:tcW w:w="308" w:type="pct"/>
            <w:tcBorders>
              <w:top w:val="nil"/>
              <w:left w:val="nil"/>
              <w:bottom w:val="nil"/>
              <w:right w:val="nil"/>
            </w:tcBorders>
            <w:shd w:val="clear" w:color="auto" w:fill="auto"/>
            <w:noWrap/>
            <w:vAlign w:val="bottom"/>
            <w:hideMark/>
          </w:tcPr>
          <w:p w14:paraId="2341BB2F" w14:textId="77777777" w:rsidR="00CD529B" w:rsidRPr="00EE79BE" w:rsidRDefault="00CD529B" w:rsidP="00564572">
            <w:pPr>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5.013</w:t>
            </w:r>
          </w:p>
        </w:tc>
        <w:tc>
          <w:tcPr>
            <w:tcW w:w="288" w:type="pct"/>
            <w:tcBorders>
              <w:top w:val="nil"/>
              <w:left w:val="nil"/>
              <w:bottom w:val="nil"/>
              <w:right w:val="nil"/>
            </w:tcBorders>
            <w:shd w:val="clear" w:color="auto" w:fill="auto"/>
            <w:noWrap/>
            <w:vAlign w:val="bottom"/>
            <w:hideMark/>
          </w:tcPr>
          <w:p w14:paraId="2341BB30" w14:textId="77777777" w:rsidR="00CD529B" w:rsidRPr="00EE79BE"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B31"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B32"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33"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34"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35"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36"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37"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38"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B39"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B3A" w14:textId="77777777" w:rsidR="00CD529B" w:rsidRPr="00EE79BE" w:rsidRDefault="00CD529B" w:rsidP="00564572">
            <w:pPr>
              <w:rPr>
                <w:sz w:val="15"/>
                <w:szCs w:val="15"/>
                <w:lang w:eastAsia="es-CO"/>
              </w:rPr>
            </w:pPr>
          </w:p>
        </w:tc>
      </w:tr>
      <w:tr w:rsidR="00CD529B" w:rsidRPr="00EE79BE" w14:paraId="2341BB49" w14:textId="77777777" w:rsidTr="00564572">
        <w:trPr>
          <w:trHeight w:val="300"/>
        </w:trPr>
        <w:tc>
          <w:tcPr>
            <w:tcW w:w="1455" w:type="pct"/>
            <w:tcBorders>
              <w:top w:val="nil"/>
              <w:left w:val="nil"/>
              <w:bottom w:val="single" w:sz="4" w:space="0" w:color="000000"/>
              <w:right w:val="nil"/>
            </w:tcBorders>
            <w:shd w:val="clear" w:color="auto" w:fill="auto"/>
            <w:noWrap/>
            <w:vAlign w:val="bottom"/>
            <w:hideMark/>
          </w:tcPr>
          <w:p w14:paraId="2341BB3C"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Horas de uso promedio año (hrs)</w:t>
            </w:r>
          </w:p>
        </w:tc>
        <w:tc>
          <w:tcPr>
            <w:tcW w:w="308" w:type="pct"/>
            <w:tcBorders>
              <w:top w:val="nil"/>
              <w:left w:val="nil"/>
              <w:bottom w:val="single" w:sz="4" w:space="0" w:color="000000"/>
              <w:right w:val="nil"/>
            </w:tcBorders>
            <w:shd w:val="clear" w:color="auto" w:fill="auto"/>
            <w:noWrap/>
            <w:vAlign w:val="bottom"/>
            <w:hideMark/>
          </w:tcPr>
          <w:p w14:paraId="2341BB3D" w14:textId="77777777" w:rsidR="00CD529B" w:rsidRPr="00EE79BE" w:rsidRDefault="00CD529B" w:rsidP="00564572">
            <w:pPr>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4.380</w:t>
            </w:r>
          </w:p>
        </w:tc>
        <w:tc>
          <w:tcPr>
            <w:tcW w:w="288" w:type="pct"/>
            <w:tcBorders>
              <w:top w:val="nil"/>
              <w:left w:val="nil"/>
              <w:bottom w:val="nil"/>
              <w:right w:val="nil"/>
            </w:tcBorders>
            <w:shd w:val="clear" w:color="auto" w:fill="auto"/>
            <w:noWrap/>
            <w:vAlign w:val="bottom"/>
            <w:hideMark/>
          </w:tcPr>
          <w:p w14:paraId="2341BB3E" w14:textId="77777777" w:rsidR="00CD529B" w:rsidRPr="00EE79BE"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B3F"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B40"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41"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42"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43"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44"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45"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46"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B47"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B48" w14:textId="77777777" w:rsidR="00CD529B" w:rsidRPr="00EE79BE" w:rsidRDefault="00CD529B" w:rsidP="00564572">
            <w:pPr>
              <w:rPr>
                <w:sz w:val="15"/>
                <w:szCs w:val="15"/>
                <w:lang w:eastAsia="es-CO"/>
              </w:rPr>
            </w:pPr>
          </w:p>
        </w:tc>
      </w:tr>
      <w:tr w:rsidR="00CD529B" w:rsidRPr="00EE79BE" w14:paraId="2341BB57"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B4A"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Costo promedio de un motor eficiente ($COP) (2015)</w:t>
            </w:r>
          </w:p>
        </w:tc>
        <w:tc>
          <w:tcPr>
            <w:tcW w:w="308" w:type="pct"/>
            <w:tcBorders>
              <w:top w:val="nil"/>
              <w:left w:val="nil"/>
              <w:bottom w:val="single" w:sz="4" w:space="0" w:color="auto"/>
              <w:right w:val="nil"/>
            </w:tcBorders>
            <w:shd w:val="clear" w:color="auto" w:fill="auto"/>
            <w:noWrap/>
            <w:vAlign w:val="bottom"/>
            <w:hideMark/>
          </w:tcPr>
          <w:p w14:paraId="2341BB4B" w14:textId="77777777" w:rsidR="00CD529B" w:rsidRPr="00EE79BE" w:rsidRDefault="00CD529B" w:rsidP="00564572">
            <w:pPr>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2.446.328</w:t>
            </w:r>
          </w:p>
        </w:tc>
        <w:tc>
          <w:tcPr>
            <w:tcW w:w="288" w:type="pct"/>
            <w:tcBorders>
              <w:top w:val="nil"/>
              <w:left w:val="nil"/>
              <w:bottom w:val="nil"/>
              <w:right w:val="nil"/>
            </w:tcBorders>
            <w:shd w:val="clear" w:color="auto" w:fill="auto"/>
            <w:noWrap/>
            <w:vAlign w:val="bottom"/>
            <w:hideMark/>
          </w:tcPr>
          <w:p w14:paraId="2341BB4C" w14:textId="77777777" w:rsidR="00CD529B" w:rsidRPr="00EE79BE"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B4D"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B4E"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4F"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50"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51"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52"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53"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54"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B55"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B56" w14:textId="77777777" w:rsidR="00CD529B" w:rsidRPr="00EE79BE" w:rsidRDefault="00CD529B" w:rsidP="00564572">
            <w:pPr>
              <w:rPr>
                <w:sz w:val="15"/>
                <w:szCs w:val="15"/>
                <w:lang w:eastAsia="es-CO"/>
              </w:rPr>
            </w:pPr>
          </w:p>
        </w:tc>
      </w:tr>
      <w:tr w:rsidR="00CD529B" w:rsidRPr="00EE79BE" w14:paraId="2341BB65" w14:textId="77777777" w:rsidTr="00564572">
        <w:trPr>
          <w:trHeight w:val="300"/>
        </w:trPr>
        <w:tc>
          <w:tcPr>
            <w:tcW w:w="1455" w:type="pct"/>
            <w:tcBorders>
              <w:top w:val="nil"/>
              <w:left w:val="nil"/>
              <w:bottom w:val="nil"/>
              <w:right w:val="nil"/>
            </w:tcBorders>
            <w:shd w:val="clear" w:color="auto" w:fill="auto"/>
            <w:noWrap/>
            <w:vAlign w:val="bottom"/>
            <w:hideMark/>
          </w:tcPr>
          <w:p w14:paraId="2341BB58" w14:textId="77777777" w:rsidR="00CD529B" w:rsidRPr="00EE79BE" w:rsidRDefault="00CD529B" w:rsidP="00564572">
            <w:pPr>
              <w:rPr>
                <w:sz w:val="15"/>
                <w:szCs w:val="15"/>
                <w:lang w:eastAsia="es-CO"/>
              </w:rPr>
            </w:pPr>
          </w:p>
        </w:tc>
        <w:tc>
          <w:tcPr>
            <w:tcW w:w="308" w:type="pct"/>
            <w:tcBorders>
              <w:top w:val="nil"/>
              <w:left w:val="nil"/>
              <w:bottom w:val="nil"/>
              <w:right w:val="nil"/>
            </w:tcBorders>
            <w:shd w:val="clear" w:color="auto" w:fill="auto"/>
            <w:noWrap/>
            <w:vAlign w:val="bottom"/>
            <w:hideMark/>
          </w:tcPr>
          <w:p w14:paraId="2341BB59" w14:textId="77777777" w:rsidR="00CD529B" w:rsidRPr="00EE79BE"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B5A"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B5B"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B5C"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5D"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5E"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5F"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60"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61"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62"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B63"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B64" w14:textId="77777777" w:rsidR="00CD529B" w:rsidRPr="00EE79BE" w:rsidRDefault="00CD529B" w:rsidP="00564572">
            <w:pPr>
              <w:rPr>
                <w:sz w:val="15"/>
                <w:szCs w:val="15"/>
                <w:lang w:eastAsia="es-CO"/>
              </w:rPr>
            </w:pPr>
          </w:p>
        </w:tc>
      </w:tr>
      <w:tr w:rsidR="00CD529B" w:rsidRPr="00EE79BE" w14:paraId="2341BB73" w14:textId="77777777" w:rsidTr="00564572">
        <w:trPr>
          <w:trHeight w:val="300"/>
        </w:trPr>
        <w:tc>
          <w:tcPr>
            <w:tcW w:w="1455" w:type="pct"/>
            <w:tcBorders>
              <w:top w:val="nil"/>
              <w:left w:val="nil"/>
              <w:bottom w:val="nil"/>
              <w:right w:val="nil"/>
            </w:tcBorders>
            <w:shd w:val="clear" w:color="auto" w:fill="auto"/>
            <w:noWrap/>
            <w:vAlign w:val="bottom"/>
            <w:hideMark/>
          </w:tcPr>
          <w:p w14:paraId="2341BB66" w14:textId="77777777" w:rsidR="00CD529B" w:rsidRPr="00EE79BE" w:rsidRDefault="00CD529B" w:rsidP="00564572">
            <w:pPr>
              <w:rPr>
                <w:sz w:val="15"/>
                <w:szCs w:val="15"/>
                <w:lang w:eastAsia="es-CO"/>
              </w:rPr>
            </w:pPr>
          </w:p>
        </w:tc>
        <w:tc>
          <w:tcPr>
            <w:tcW w:w="308" w:type="pct"/>
            <w:tcBorders>
              <w:top w:val="nil"/>
              <w:left w:val="nil"/>
              <w:bottom w:val="nil"/>
              <w:right w:val="nil"/>
            </w:tcBorders>
            <w:shd w:val="clear" w:color="auto" w:fill="auto"/>
            <w:noWrap/>
            <w:vAlign w:val="bottom"/>
            <w:hideMark/>
          </w:tcPr>
          <w:p w14:paraId="2341BB67" w14:textId="77777777" w:rsidR="00CD529B" w:rsidRPr="00EE79BE"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B68"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B69"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B6A"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6B"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6C"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6D"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6E"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6F"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70"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B71"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B72" w14:textId="77777777" w:rsidR="00CD529B" w:rsidRPr="00EE79BE" w:rsidRDefault="00CD529B" w:rsidP="00564572">
            <w:pPr>
              <w:rPr>
                <w:sz w:val="15"/>
                <w:szCs w:val="15"/>
                <w:lang w:eastAsia="es-CO"/>
              </w:rPr>
            </w:pPr>
          </w:p>
        </w:tc>
      </w:tr>
      <w:tr w:rsidR="00CD529B" w:rsidRPr="00EE79BE" w14:paraId="2341BB81"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B74" w14:textId="77777777" w:rsidR="00CD529B" w:rsidRPr="00EE79BE" w:rsidRDefault="00CD529B" w:rsidP="00564572">
            <w:pPr>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$COP (2016)</w:t>
            </w: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2341BB75"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2016</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B76"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2017</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2341BB77"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2018</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2341BB78"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2019</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B79"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2020</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B7A"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2021</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B7B"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2022</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B7C"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2023</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B7D"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2024</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B7E"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2025</w:t>
            </w:r>
          </w:p>
        </w:tc>
        <w:tc>
          <w:tcPr>
            <w:tcW w:w="289" w:type="pct"/>
            <w:tcBorders>
              <w:top w:val="single" w:sz="4" w:space="0" w:color="FFFFFF"/>
              <w:left w:val="nil"/>
              <w:bottom w:val="single" w:sz="4" w:space="0" w:color="auto"/>
              <w:right w:val="single" w:sz="4" w:space="0" w:color="FFFFFF"/>
            </w:tcBorders>
            <w:shd w:val="clear" w:color="000000" w:fill="203764"/>
            <w:noWrap/>
            <w:vAlign w:val="bottom"/>
            <w:hideMark/>
          </w:tcPr>
          <w:p w14:paraId="2341BB7F"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2026</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2341BB80"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2027</w:t>
            </w:r>
          </w:p>
        </w:tc>
      </w:tr>
      <w:tr w:rsidR="00CD529B" w:rsidRPr="00EE79BE" w14:paraId="2341BB8F" w14:textId="77777777" w:rsidTr="00564572">
        <w:trPr>
          <w:trHeight w:val="300"/>
        </w:trPr>
        <w:tc>
          <w:tcPr>
            <w:tcW w:w="1455" w:type="pct"/>
            <w:tcBorders>
              <w:top w:val="nil"/>
              <w:left w:val="nil"/>
              <w:bottom w:val="single" w:sz="4" w:space="0" w:color="000000"/>
              <w:right w:val="nil"/>
            </w:tcBorders>
            <w:shd w:val="clear" w:color="auto" w:fill="auto"/>
            <w:noWrap/>
            <w:vAlign w:val="bottom"/>
            <w:hideMark/>
          </w:tcPr>
          <w:p w14:paraId="2341BB82"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Numero de motores a sustituir por año</w:t>
            </w:r>
          </w:p>
        </w:tc>
        <w:tc>
          <w:tcPr>
            <w:tcW w:w="308" w:type="pct"/>
            <w:tcBorders>
              <w:top w:val="nil"/>
              <w:left w:val="nil"/>
              <w:bottom w:val="single" w:sz="4" w:space="0" w:color="000000"/>
              <w:right w:val="nil"/>
            </w:tcBorders>
            <w:shd w:val="clear" w:color="auto" w:fill="auto"/>
            <w:noWrap/>
            <w:vAlign w:val="bottom"/>
            <w:hideMark/>
          </w:tcPr>
          <w:p w14:paraId="2341BB83"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000000"/>
              <w:right w:val="nil"/>
            </w:tcBorders>
            <w:shd w:val="clear" w:color="auto" w:fill="auto"/>
            <w:noWrap/>
            <w:vAlign w:val="bottom"/>
            <w:hideMark/>
          </w:tcPr>
          <w:p w14:paraId="2341BB8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5.994</w:t>
            </w:r>
          </w:p>
        </w:tc>
        <w:tc>
          <w:tcPr>
            <w:tcW w:w="296" w:type="pct"/>
            <w:tcBorders>
              <w:top w:val="nil"/>
              <w:left w:val="nil"/>
              <w:bottom w:val="single" w:sz="4" w:space="0" w:color="000000"/>
              <w:right w:val="nil"/>
            </w:tcBorders>
            <w:shd w:val="clear" w:color="auto" w:fill="auto"/>
            <w:noWrap/>
            <w:vAlign w:val="bottom"/>
            <w:hideMark/>
          </w:tcPr>
          <w:p w14:paraId="2341BB8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5.994</w:t>
            </w:r>
          </w:p>
        </w:tc>
        <w:tc>
          <w:tcPr>
            <w:tcW w:w="296" w:type="pct"/>
            <w:tcBorders>
              <w:top w:val="nil"/>
              <w:left w:val="nil"/>
              <w:bottom w:val="single" w:sz="4" w:space="0" w:color="000000"/>
              <w:right w:val="nil"/>
            </w:tcBorders>
            <w:shd w:val="clear" w:color="auto" w:fill="auto"/>
            <w:noWrap/>
            <w:vAlign w:val="bottom"/>
            <w:hideMark/>
          </w:tcPr>
          <w:p w14:paraId="2341BB8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5.994</w:t>
            </w:r>
          </w:p>
        </w:tc>
        <w:tc>
          <w:tcPr>
            <w:tcW w:w="297" w:type="pct"/>
            <w:tcBorders>
              <w:top w:val="nil"/>
              <w:left w:val="nil"/>
              <w:bottom w:val="single" w:sz="4" w:space="0" w:color="000000"/>
              <w:right w:val="nil"/>
            </w:tcBorders>
            <w:shd w:val="clear" w:color="auto" w:fill="auto"/>
            <w:noWrap/>
            <w:vAlign w:val="bottom"/>
            <w:hideMark/>
          </w:tcPr>
          <w:p w14:paraId="2341BB8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5.994</w:t>
            </w:r>
          </w:p>
        </w:tc>
        <w:tc>
          <w:tcPr>
            <w:tcW w:w="297" w:type="pct"/>
            <w:tcBorders>
              <w:top w:val="nil"/>
              <w:left w:val="nil"/>
              <w:bottom w:val="single" w:sz="4" w:space="0" w:color="000000"/>
              <w:right w:val="nil"/>
            </w:tcBorders>
            <w:shd w:val="clear" w:color="auto" w:fill="auto"/>
            <w:noWrap/>
            <w:vAlign w:val="bottom"/>
            <w:hideMark/>
          </w:tcPr>
          <w:p w14:paraId="2341BB8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B8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B8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B8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B8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nil"/>
              <w:left w:val="nil"/>
              <w:bottom w:val="single" w:sz="4" w:space="0" w:color="000000"/>
              <w:right w:val="nil"/>
            </w:tcBorders>
            <w:shd w:val="clear" w:color="auto" w:fill="auto"/>
            <w:noWrap/>
            <w:vAlign w:val="bottom"/>
            <w:hideMark/>
          </w:tcPr>
          <w:p w14:paraId="2341BB8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nil"/>
              <w:left w:val="nil"/>
              <w:bottom w:val="single" w:sz="4" w:space="0" w:color="000000"/>
              <w:right w:val="nil"/>
            </w:tcBorders>
            <w:shd w:val="clear" w:color="auto" w:fill="auto"/>
            <w:noWrap/>
            <w:vAlign w:val="bottom"/>
            <w:hideMark/>
          </w:tcPr>
          <w:p w14:paraId="2341BB8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r>
      <w:tr w:rsidR="00CD529B" w:rsidRPr="00EE79BE" w14:paraId="2341BB9D" w14:textId="77777777" w:rsidTr="00564572">
        <w:trPr>
          <w:trHeight w:val="300"/>
        </w:trPr>
        <w:tc>
          <w:tcPr>
            <w:tcW w:w="1455" w:type="pct"/>
            <w:tcBorders>
              <w:top w:val="nil"/>
              <w:left w:val="nil"/>
              <w:bottom w:val="nil"/>
              <w:right w:val="nil"/>
            </w:tcBorders>
            <w:shd w:val="clear" w:color="auto" w:fill="auto"/>
            <w:noWrap/>
            <w:vAlign w:val="bottom"/>
            <w:hideMark/>
          </w:tcPr>
          <w:p w14:paraId="2341BB90" w14:textId="77777777" w:rsidR="00CD529B" w:rsidRPr="00EE79BE" w:rsidRDefault="00CD529B" w:rsidP="00564572">
            <w:pPr>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Beneficios</w:t>
            </w:r>
          </w:p>
        </w:tc>
        <w:tc>
          <w:tcPr>
            <w:tcW w:w="308" w:type="pct"/>
            <w:tcBorders>
              <w:top w:val="nil"/>
              <w:left w:val="nil"/>
              <w:bottom w:val="nil"/>
              <w:right w:val="nil"/>
            </w:tcBorders>
            <w:shd w:val="clear" w:color="auto" w:fill="auto"/>
            <w:noWrap/>
            <w:vAlign w:val="bottom"/>
            <w:hideMark/>
          </w:tcPr>
          <w:p w14:paraId="2341BB91" w14:textId="77777777" w:rsidR="00CD529B" w:rsidRPr="00EE79BE" w:rsidRDefault="00CD529B" w:rsidP="00564572">
            <w:pPr>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B92" w14:textId="77777777" w:rsidR="00CD529B" w:rsidRPr="003E19D8"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B93" w14:textId="77777777" w:rsidR="00CD529B" w:rsidRPr="003E19D8"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B94"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95"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96"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97"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98"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99"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9A" w14:textId="77777777" w:rsidR="00CD529B" w:rsidRPr="003E19D8"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B9B" w14:textId="77777777" w:rsidR="00CD529B" w:rsidRPr="003E19D8"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B9C" w14:textId="77777777" w:rsidR="00CD529B" w:rsidRPr="003E19D8" w:rsidRDefault="00CD529B" w:rsidP="00564572">
            <w:pPr>
              <w:rPr>
                <w:sz w:val="15"/>
                <w:szCs w:val="15"/>
                <w:lang w:eastAsia="es-CO"/>
              </w:rPr>
            </w:pPr>
          </w:p>
        </w:tc>
      </w:tr>
      <w:tr w:rsidR="00CD529B" w:rsidRPr="00EE79BE" w14:paraId="2341BBAB" w14:textId="77777777" w:rsidTr="00564572">
        <w:trPr>
          <w:trHeight w:val="300"/>
        </w:trPr>
        <w:tc>
          <w:tcPr>
            <w:tcW w:w="1455" w:type="pct"/>
            <w:tcBorders>
              <w:top w:val="nil"/>
              <w:left w:val="nil"/>
              <w:bottom w:val="nil"/>
              <w:right w:val="nil"/>
            </w:tcBorders>
            <w:shd w:val="clear" w:color="auto" w:fill="auto"/>
            <w:noWrap/>
            <w:vAlign w:val="bottom"/>
            <w:hideMark/>
          </w:tcPr>
          <w:p w14:paraId="2341BB9E" w14:textId="77777777" w:rsidR="00CD529B" w:rsidRPr="00EE79BE" w:rsidRDefault="00CD529B" w:rsidP="00564572">
            <w:pPr>
              <w:ind w:firstLineChars="100" w:firstLine="150"/>
              <w:rPr>
                <w:rFonts w:ascii="Calibri" w:hAnsi="Calibri" w:cs="Calibri"/>
                <w:color w:val="000000"/>
                <w:sz w:val="15"/>
                <w:szCs w:val="15"/>
                <w:lang w:eastAsia="es-CO"/>
              </w:rPr>
            </w:pPr>
            <w:r w:rsidRPr="00EE79BE">
              <w:rPr>
                <w:rFonts w:ascii="Calibri" w:hAnsi="Calibri" w:cs="Calibri"/>
                <w:color w:val="000000"/>
                <w:sz w:val="15"/>
                <w:szCs w:val="15"/>
                <w:lang w:eastAsia="es-CO"/>
              </w:rPr>
              <w:t>Ahorro GWh/año</w:t>
            </w:r>
          </w:p>
        </w:tc>
        <w:tc>
          <w:tcPr>
            <w:tcW w:w="308" w:type="pct"/>
            <w:tcBorders>
              <w:top w:val="nil"/>
              <w:left w:val="nil"/>
              <w:bottom w:val="nil"/>
              <w:right w:val="nil"/>
            </w:tcBorders>
            <w:shd w:val="clear" w:color="auto" w:fill="auto"/>
            <w:noWrap/>
            <w:vAlign w:val="bottom"/>
            <w:hideMark/>
          </w:tcPr>
          <w:p w14:paraId="2341BB9F" w14:textId="77777777" w:rsidR="00CD529B" w:rsidRPr="00EE79BE" w:rsidRDefault="00CD529B" w:rsidP="00564572">
            <w:pPr>
              <w:ind w:firstLineChars="100" w:firstLine="150"/>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BA0"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w:t>
            </w:r>
          </w:p>
        </w:tc>
        <w:tc>
          <w:tcPr>
            <w:tcW w:w="296" w:type="pct"/>
            <w:tcBorders>
              <w:top w:val="nil"/>
              <w:left w:val="nil"/>
              <w:bottom w:val="nil"/>
              <w:right w:val="nil"/>
            </w:tcBorders>
            <w:shd w:val="clear" w:color="auto" w:fill="auto"/>
            <w:noWrap/>
            <w:vAlign w:val="bottom"/>
            <w:hideMark/>
          </w:tcPr>
          <w:p w14:paraId="2341BBA1"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6" w:type="pct"/>
            <w:tcBorders>
              <w:top w:val="nil"/>
              <w:left w:val="nil"/>
              <w:bottom w:val="nil"/>
              <w:right w:val="nil"/>
            </w:tcBorders>
            <w:shd w:val="clear" w:color="auto" w:fill="auto"/>
            <w:noWrap/>
            <w:vAlign w:val="bottom"/>
            <w:hideMark/>
          </w:tcPr>
          <w:p w14:paraId="2341BBA2"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36</w:t>
            </w:r>
          </w:p>
        </w:tc>
        <w:tc>
          <w:tcPr>
            <w:tcW w:w="297" w:type="pct"/>
            <w:tcBorders>
              <w:top w:val="nil"/>
              <w:left w:val="nil"/>
              <w:bottom w:val="nil"/>
              <w:right w:val="nil"/>
            </w:tcBorders>
            <w:shd w:val="clear" w:color="auto" w:fill="auto"/>
            <w:noWrap/>
            <w:vAlign w:val="bottom"/>
            <w:hideMark/>
          </w:tcPr>
          <w:p w14:paraId="2341BBA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97" w:type="pct"/>
            <w:tcBorders>
              <w:top w:val="nil"/>
              <w:left w:val="nil"/>
              <w:bottom w:val="nil"/>
              <w:right w:val="nil"/>
            </w:tcBorders>
            <w:shd w:val="clear" w:color="auto" w:fill="auto"/>
            <w:noWrap/>
            <w:vAlign w:val="bottom"/>
            <w:hideMark/>
          </w:tcPr>
          <w:p w14:paraId="2341BBA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97" w:type="pct"/>
            <w:tcBorders>
              <w:top w:val="nil"/>
              <w:left w:val="nil"/>
              <w:bottom w:val="nil"/>
              <w:right w:val="nil"/>
            </w:tcBorders>
            <w:shd w:val="clear" w:color="auto" w:fill="auto"/>
            <w:noWrap/>
            <w:vAlign w:val="bottom"/>
            <w:hideMark/>
          </w:tcPr>
          <w:p w14:paraId="2341BBA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97" w:type="pct"/>
            <w:tcBorders>
              <w:top w:val="nil"/>
              <w:left w:val="nil"/>
              <w:bottom w:val="nil"/>
              <w:right w:val="nil"/>
            </w:tcBorders>
            <w:shd w:val="clear" w:color="auto" w:fill="auto"/>
            <w:noWrap/>
            <w:vAlign w:val="bottom"/>
            <w:hideMark/>
          </w:tcPr>
          <w:p w14:paraId="2341BBA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97" w:type="pct"/>
            <w:tcBorders>
              <w:top w:val="nil"/>
              <w:left w:val="nil"/>
              <w:bottom w:val="nil"/>
              <w:right w:val="nil"/>
            </w:tcBorders>
            <w:shd w:val="clear" w:color="auto" w:fill="auto"/>
            <w:noWrap/>
            <w:vAlign w:val="bottom"/>
            <w:hideMark/>
          </w:tcPr>
          <w:p w14:paraId="2341BBA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97" w:type="pct"/>
            <w:tcBorders>
              <w:top w:val="nil"/>
              <w:left w:val="nil"/>
              <w:bottom w:val="nil"/>
              <w:right w:val="nil"/>
            </w:tcBorders>
            <w:shd w:val="clear" w:color="auto" w:fill="auto"/>
            <w:noWrap/>
            <w:vAlign w:val="bottom"/>
            <w:hideMark/>
          </w:tcPr>
          <w:p w14:paraId="2341BBA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89" w:type="pct"/>
            <w:tcBorders>
              <w:top w:val="nil"/>
              <w:left w:val="nil"/>
              <w:bottom w:val="nil"/>
              <w:right w:val="nil"/>
            </w:tcBorders>
            <w:shd w:val="clear" w:color="auto" w:fill="auto"/>
            <w:noWrap/>
            <w:vAlign w:val="bottom"/>
            <w:hideMark/>
          </w:tcPr>
          <w:p w14:paraId="2341BBA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47</w:t>
            </w:r>
          </w:p>
        </w:tc>
        <w:tc>
          <w:tcPr>
            <w:tcW w:w="287" w:type="pct"/>
            <w:tcBorders>
              <w:top w:val="nil"/>
              <w:left w:val="nil"/>
              <w:bottom w:val="nil"/>
              <w:right w:val="nil"/>
            </w:tcBorders>
            <w:shd w:val="clear" w:color="auto" w:fill="auto"/>
            <w:noWrap/>
            <w:vAlign w:val="bottom"/>
            <w:hideMark/>
          </w:tcPr>
          <w:p w14:paraId="2341BBA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47</w:t>
            </w:r>
          </w:p>
        </w:tc>
      </w:tr>
      <w:tr w:rsidR="00CD529B" w:rsidRPr="00EE79BE" w14:paraId="2341BBB9" w14:textId="77777777" w:rsidTr="00564572">
        <w:trPr>
          <w:trHeight w:val="300"/>
        </w:trPr>
        <w:tc>
          <w:tcPr>
            <w:tcW w:w="1455" w:type="pct"/>
            <w:tcBorders>
              <w:top w:val="nil"/>
              <w:left w:val="nil"/>
              <w:bottom w:val="single" w:sz="4" w:space="0" w:color="BFBFBF"/>
              <w:right w:val="nil"/>
            </w:tcBorders>
            <w:shd w:val="clear" w:color="auto" w:fill="auto"/>
            <w:noWrap/>
            <w:vAlign w:val="bottom"/>
            <w:hideMark/>
          </w:tcPr>
          <w:p w14:paraId="2341BBAC"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evitadas (TonCO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w:t>
            </w:r>
          </w:p>
        </w:tc>
        <w:tc>
          <w:tcPr>
            <w:tcW w:w="308" w:type="pct"/>
            <w:tcBorders>
              <w:top w:val="nil"/>
              <w:left w:val="nil"/>
              <w:bottom w:val="single" w:sz="4" w:space="0" w:color="BFBFBF"/>
              <w:right w:val="nil"/>
            </w:tcBorders>
            <w:shd w:val="clear" w:color="auto" w:fill="auto"/>
            <w:noWrap/>
            <w:vAlign w:val="bottom"/>
            <w:hideMark/>
          </w:tcPr>
          <w:p w14:paraId="2341BBAD"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8" w:type="pct"/>
            <w:tcBorders>
              <w:top w:val="nil"/>
              <w:left w:val="nil"/>
              <w:bottom w:val="single" w:sz="4" w:space="0" w:color="BFBFBF"/>
              <w:right w:val="nil"/>
            </w:tcBorders>
            <w:shd w:val="clear" w:color="auto" w:fill="auto"/>
            <w:noWrap/>
            <w:vAlign w:val="bottom"/>
            <w:hideMark/>
          </w:tcPr>
          <w:p w14:paraId="2341BBA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1.666</w:t>
            </w:r>
          </w:p>
        </w:tc>
        <w:tc>
          <w:tcPr>
            <w:tcW w:w="296" w:type="pct"/>
            <w:tcBorders>
              <w:top w:val="nil"/>
              <w:left w:val="nil"/>
              <w:bottom w:val="single" w:sz="4" w:space="0" w:color="BFBFBF"/>
              <w:right w:val="nil"/>
            </w:tcBorders>
            <w:shd w:val="clear" w:color="auto" w:fill="auto"/>
            <w:noWrap/>
            <w:vAlign w:val="bottom"/>
            <w:hideMark/>
          </w:tcPr>
          <w:p w14:paraId="2341BBAF"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3.331</w:t>
            </w:r>
          </w:p>
        </w:tc>
        <w:tc>
          <w:tcPr>
            <w:tcW w:w="296" w:type="pct"/>
            <w:tcBorders>
              <w:top w:val="nil"/>
              <w:left w:val="nil"/>
              <w:bottom w:val="single" w:sz="4" w:space="0" w:color="BFBFBF"/>
              <w:right w:val="nil"/>
            </w:tcBorders>
            <w:shd w:val="clear" w:color="auto" w:fill="auto"/>
            <w:noWrap/>
            <w:vAlign w:val="bottom"/>
            <w:hideMark/>
          </w:tcPr>
          <w:p w14:paraId="2341BBB0"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4.997</w:t>
            </w:r>
          </w:p>
        </w:tc>
        <w:tc>
          <w:tcPr>
            <w:tcW w:w="297" w:type="pct"/>
            <w:tcBorders>
              <w:top w:val="nil"/>
              <w:left w:val="nil"/>
              <w:bottom w:val="single" w:sz="4" w:space="0" w:color="BFBFBF"/>
              <w:right w:val="nil"/>
            </w:tcBorders>
            <w:shd w:val="clear" w:color="auto" w:fill="auto"/>
            <w:noWrap/>
            <w:vAlign w:val="bottom"/>
            <w:hideMark/>
          </w:tcPr>
          <w:p w14:paraId="2341BBB1"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97" w:type="pct"/>
            <w:tcBorders>
              <w:top w:val="nil"/>
              <w:left w:val="nil"/>
              <w:bottom w:val="single" w:sz="4" w:space="0" w:color="BFBFBF"/>
              <w:right w:val="nil"/>
            </w:tcBorders>
            <w:shd w:val="clear" w:color="auto" w:fill="auto"/>
            <w:noWrap/>
            <w:vAlign w:val="bottom"/>
            <w:hideMark/>
          </w:tcPr>
          <w:p w14:paraId="2341BBB2"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97" w:type="pct"/>
            <w:tcBorders>
              <w:top w:val="nil"/>
              <w:left w:val="nil"/>
              <w:bottom w:val="single" w:sz="4" w:space="0" w:color="BFBFBF"/>
              <w:right w:val="nil"/>
            </w:tcBorders>
            <w:shd w:val="clear" w:color="auto" w:fill="auto"/>
            <w:noWrap/>
            <w:vAlign w:val="bottom"/>
            <w:hideMark/>
          </w:tcPr>
          <w:p w14:paraId="2341BBB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97" w:type="pct"/>
            <w:tcBorders>
              <w:top w:val="nil"/>
              <w:left w:val="nil"/>
              <w:bottom w:val="single" w:sz="4" w:space="0" w:color="BFBFBF"/>
              <w:right w:val="nil"/>
            </w:tcBorders>
            <w:shd w:val="clear" w:color="auto" w:fill="auto"/>
            <w:noWrap/>
            <w:vAlign w:val="bottom"/>
            <w:hideMark/>
          </w:tcPr>
          <w:p w14:paraId="2341BBB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97" w:type="pct"/>
            <w:tcBorders>
              <w:top w:val="nil"/>
              <w:left w:val="nil"/>
              <w:bottom w:val="single" w:sz="4" w:space="0" w:color="BFBFBF"/>
              <w:right w:val="nil"/>
            </w:tcBorders>
            <w:shd w:val="clear" w:color="auto" w:fill="auto"/>
            <w:noWrap/>
            <w:vAlign w:val="bottom"/>
            <w:hideMark/>
          </w:tcPr>
          <w:p w14:paraId="2341BBB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97" w:type="pct"/>
            <w:tcBorders>
              <w:top w:val="nil"/>
              <w:left w:val="nil"/>
              <w:bottom w:val="single" w:sz="4" w:space="0" w:color="BFBFBF"/>
              <w:right w:val="nil"/>
            </w:tcBorders>
            <w:shd w:val="clear" w:color="auto" w:fill="auto"/>
            <w:noWrap/>
            <w:vAlign w:val="bottom"/>
            <w:hideMark/>
          </w:tcPr>
          <w:p w14:paraId="2341BBB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89" w:type="pct"/>
            <w:tcBorders>
              <w:top w:val="nil"/>
              <w:left w:val="nil"/>
              <w:bottom w:val="single" w:sz="4" w:space="0" w:color="BFBFBF"/>
              <w:right w:val="nil"/>
            </w:tcBorders>
            <w:shd w:val="clear" w:color="auto" w:fill="auto"/>
            <w:noWrap/>
            <w:vAlign w:val="bottom"/>
            <w:hideMark/>
          </w:tcPr>
          <w:p w14:paraId="2341BBB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6.663</w:t>
            </w:r>
          </w:p>
        </w:tc>
        <w:tc>
          <w:tcPr>
            <w:tcW w:w="287" w:type="pct"/>
            <w:tcBorders>
              <w:top w:val="nil"/>
              <w:left w:val="nil"/>
              <w:bottom w:val="single" w:sz="4" w:space="0" w:color="BFBFBF"/>
              <w:right w:val="nil"/>
            </w:tcBorders>
            <w:shd w:val="clear" w:color="auto" w:fill="auto"/>
            <w:noWrap/>
            <w:vAlign w:val="bottom"/>
            <w:hideMark/>
          </w:tcPr>
          <w:p w14:paraId="2341BBB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6.663</w:t>
            </w:r>
          </w:p>
        </w:tc>
      </w:tr>
      <w:tr w:rsidR="00CD529B" w:rsidRPr="00EE79BE" w14:paraId="2341BBC7" w14:textId="77777777" w:rsidTr="00564572">
        <w:trPr>
          <w:trHeight w:val="300"/>
        </w:trPr>
        <w:tc>
          <w:tcPr>
            <w:tcW w:w="1455" w:type="pct"/>
            <w:tcBorders>
              <w:top w:val="nil"/>
              <w:left w:val="nil"/>
              <w:bottom w:val="nil"/>
              <w:right w:val="nil"/>
            </w:tcBorders>
            <w:shd w:val="clear" w:color="auto" w:fill="auto"/>
            <w:noWrap/>
            <w:vAlign w:val="bottom"/>
            <w:hideMark/>
          </w:tcPr>
          <w:p w14:paraId="2341BBBA"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en Tarifa para industrial ($COP Millones)</w:t>
            </w:r>
          </w:p>
        </w:tc>
        <w:tc>
          <w:tcPr>
            <w:tcW w:w="308" w:type="pct"/>
            <w:tcBorders>
              <w:top w:val="nil"/>
              <w:left w:val="nil"/>
              <w:bottom w:val="nil"/>
              <w:right w:val="nil"/>
            </w:tcBorders>
            <w:shd w:val="clear" w:color="auto" w:fill="auto"/>
            <w:noWrap/>
            <w:vAlign w:val="bottom"/>
            <w:hideMark/>
          </w:tcPr>
          <w:p w14:paraId="2341BBBB"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8" w:type="pct"/>
            <w:tcBorders>
              <w:top w:val="nil"/>
              <w:left w:val="nil"/>
              <w:bottom w:val="nil"/>
              <w:right w:val="nil"/>
            </w:tcBorders>
            <w:shd w:val="clear" w:color="auto" w:fill="auto"/>
            <w:noWrap/>
            <w:vAlign w:val="bottom"/>
            <w:hideMark/>
          </w:tcPr>
          <w:p w14:paraId="2341BBB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3.175</w:t>
            </w:r>
          </w:p>
        </w:tc>
        <w:tc>
          <w:tcPr>
            <w:tcW w:w="296" w:type="pct"/>
            <w:tcBorders>
              <w:top w:val="nil"/>
              <w:left w:val="nil"/>
              <w:bottom w:val="nil"/>
              <w:right w:val="nil"/>
            </w:tcBorders>
            <w:shd w:val="clear" w:color="auto" w:fill="auto"/>
            <w:noWrap/>
            <w:vAlign w:val="bottom"/>
            <w:hideMark/>
          </w:tcPr>
          <w:p w14:paraId="2341BBB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6.350</w:t>
            </w:r>
          </w:p>
        </w:tc>
        <w:tc>
          <w:tcPr>
            <w:tcW w:w="296" w:type="pct"/>
            <w:tcBorders>
              <w:top w:val="nil"/>
              <w:left w:val="nil"/>
              <w:bottom w:val="nil"/>
              <w:right w:val="nil"/>
            </w:tcBorders>
            <w:shd w:val="clear" w:color="auto" w:fill="auto"/>
            <w:noWrap/>
            <w:vAlign w:val="bottom"/>
            <w:hideMark/>
          </w:tcPr>
          <w:p w14:paraId="2341BBB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9.525</w:t>
            </w:r>
          </w:p>
        </w:tc>
        <w:tc>
          <w:tcPr>
            <w:tcW w:w="297" w:type="pct"/>
            <w:tcBorders>
              <w:top w:val="nil"/>
              <w:left w:val="nil"/>
              <w:bottom w:val="nil"/>
              <w:right w:val="nil"/>
            </w:tcBorders>
            <w:shd w:val="clear" w:color="auto" w:fill="auto"/>
            <w:noWrap/>
            <w:vAlign w:val="bottom"/>
            <w:hideMark/>
          </w:tcPr>
          <w:p w14:paraId="2341BBBF"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97" w:type="pct"/>
            <w:tcBorders>
              <w:top w:val="nil"/>
              <w:left w:val="nil"/>
              <w:bottom w:val="nil"/>
              <w:right w:val="nil"/>
            </w:tcBorders>
            <w:shd w:val="clear" w:color="auto" w:fill="auto"/>
            <w:noWrap/>
            <w:vAlign w:val="bottom"/>
            <w:hideMark/>
          </w:tcPr>
          <w:p w14:paraId="2341BBC0"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97" w:type="pct"/>
            <w:tcBorders>
              <w:top w:val="nil"/>
              <w:left w:val="nil"/>
              <w:bottom w:val="nil"/>
              <w:right w:val="nil"/>
            </w:tcBorders>
            <w:shd w:val="clear" w:color="auto" w:fill="auto"/>
            <w:noWrap/>
            <w:vAlign w:val="bottom"/>
            <w:hideMark/>
          </w:tcPr>
          <w:p w14:paraId="2341BBC1"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97" w:type="pct"/>
            <w:tcBorders>
              <w:top w:val="nil"/>
              <w:left w:val="nil"/>
              <w:bottom w:val="nil"/>
              <w:right w:val="nil"/>
            </w:tcBorders>
            <w:shd w:val="clear" w:color="auto" w:fill="auto"/>
            <w:noWrap/>
            <w:vAlign w:val="bottom"/>
            <w:hideMark/>
          </w:tcPr>
          <w:p w14:paraId="2341BBC2"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97" w:type="pct"/>
            <w:tcBorders>
              <w:top w:val="nil"/>
              <w:left w:val="nil"/>
              <w:bottom w:val="nil"/>
              <w:right w:val="nil"/>
            </w:tcBorders>
            <w:shd w:val="clear" w:color="auto" w:fill="auto"/>
            <w:noWrap/>
            <w:vAlign w:val="bottom"/>
            <w:hideMark/>
          </w:tcPr>
          <w:p w14:paraId="2341BBC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97" w:type="pct"/>
            <w:tcBorders>
              <w:top w:val="nil"/>
              <w:left w:val="nil"/>
              <w:bottom w:val="nil"/>
              <w:right w:val="nil"/>
            </w:tcBorders>
            <w:shd w:val="clear" w:color="auto" w:fill="auto"/>
            <w:noWrap/>
            <w:vAlign w:val="bottom"/>
            <w:hideMark/>
          </w:tcPr>
          <w:p w14:paraId="2341BBC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89" w:type="pct"/>
            <w:tcBorders>
              <w:top w:val="nil"/>
              <w:left w:val="nil"/>
              <w:bottom w:val="nil"/>
              <w:right w:val="nil"/>
            </w:tcBorders>
            <w:shd w:val="clear" w:color="auto" w:fill="auto"/>
            <w:noWrap/>
            <w:vAlign w:val="bottom"/>
            <w:hideMark/>
          </w:tcPr>
          <w:p w14:paraId="2341BBC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12.701</w:t>
            </w:r>
          </w:p>
        </w:tc>
        <w:tc>
          <w:tcPr>
            <w:tcW w:w="287" w:type="pct"/>
            <w:tcBorders>
              <w:top w:val="nil"/>
              <w:left w:val="nil"/>
              <w:bottom w:val="nil"/>
              <w:right w:val="nil"/>
            </w:tcBorders>
            <w:shd w:val="clear" w:color="auto" w:fill="auto"/>
            <w:noWrap/>
            <w:vAlign w:val="bottom"/>
            <w:hideMark/>
          </w:tcPr>
          <w:p w14:paraId="2341BBC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12.701</w:t>
            </w:r>
          </w:p>
        </w:tc>
      </w:tr>
      <w:tr w:rsidR="00CD529B" w:rsidRPr="00EE79BE" w14:paraId="2341BBD5" w14:textId="77777777" w:rsidTr="00564572">
        <w:trPr>
          <w:trHeight w:val="300"/>
        </w:trPr>
        <w:tc>
          <w:tcPr>
            <w:tcW w:w="1455" w:type="pct"/>
            <w:tcBorders>
              <w:top w:val="nil"/>
              <w:left w:val="nil"/>
              <w:bottom w:val="nil"/>
              <w:right w:val="nil"/>
            </w:tcBorders>
            <w:shd w:val="clear" w:color="auto" w:fill="auto"/>
            <w:noWrap/>
            <w:vAlign w:val="bottom"/>
            <w:hideMark/>
          </w:tcPr>
          <w:p w14:paraId="2341BBC8"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($COP Millones)</w:t>
            </w:r>
          </w:p>
        </w:tc>
        <w:tc>
          <w:tcPr>
            <w:tcW w:w="308" w:type="pct"/>
            <w:tcBorders>
              <w:top w:val="nil"/>
              <w:left w:val="nil"/>
              <w:bottom w:val="nil"/>
              <w:right w:val="nil"/>
            </w:tcBorders>
            <w:shd w:val="clear" w:color="auto" w:fill="auto"/>
            <w:noWrap/>
            <w:vAlign w:val="bottom"/>
            <w:hideMark/>
          </w:tcPr>
          <w:p w14:paraId="2341BBC9"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8" w:type="pct"/>
            <w:tcBorders>
              <w:top w:val="nil"/>
              <w:left w:val="nil"/>
              <w:bottom w:val="nil"/>
              <w:right w:val="nil"/>
            </w:tcBorders>
            <w:shd w:val="clear" w:color="auto" w:fill="auto"/>
            <w:noWrap/>
            <w:vAlign w:val="bottom"/>
            <w:hideMark/>
          </w:tcPr>
          <w:p w14:paraId="2341BBC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30</w:t>
            </w:r>
          </w:p>
        </w:tc>
        <w:tc>
          <w:tcPr>
            <w:tcW w:w="296" w:type="pct"/>
            <w:tcBorders>
              <w:top w:val="nil"/>
              <w:left w:val="nil"/>
              <w:bottom w:val="nil"/>
              <w:right w:val="nil"/>
            </w:tcBorders>
            <w:shd w:val="clear" w:color="auto" w:fill="auto"/>
            <w:noWrap/>
            <w:vAlign w:val="bottom"/>
            <w:hideMark/>
          </w:tcPr>
          <w:p w14:paraId="2341BBC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60</w:t>
            </w:r>
          </w:p>
        </w:tc>
        <w:tc>
          <w:tcPr>
            <w:tcW w:w="296" w:type="pct"/>
            <w:tcBorders>
              <w:top w:val="nil"/>
              <w:left w:val="nil"/>
              <w:bottom w:val="nil"/>
              <w:right w:val="nil"/>
            </w:tcBorders>
            <w:shd w:val="clear" w:color="auto" w:fill="auto"/>
            <w:noWrap/>
            <w:vAlign w:val="bottom"/>
            <w:hideMark/>
          </w:tcPr>
          <w:p w14:paraId="2341BBC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90</w:t>
            </w:r>
          </w:p>
        </w:tc>
        <w:tc>
          <w:tcPr>
            <w:tcW w:w="297" w:type="pct"/>
            <w:tcBorders>
              <w:top w:val="nil"/>
              <w:left w:val="nil"/>
              <w:bottom w:val="nil"/>
              <w:right w:val="nil"/>
            </w:tcBorders>
            <w:shd w:val="clear" w:color="auto" w:fill="auto"/>
            <w:noWrap/>
            <w:vAlign w:val="bottom"/>
            <w:hideMark/>
          </w:tcPr>
          <w:p w14:paraId="2341BBC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97" w:type="pct"/>
            <w:tcBorders>
              <w:top w:val="nil"/>
              <w:left w:val="nil"/>
              <w:bottom w:val="nil"/>
              <w:right w:val="nil"/>
            </w:tcBorders>
            <w:shd w:val="clear" w:color="auto" w:fill="auto"/>
            <w:noWrap/>
            <w:vAlign w:val="bottom"/>
            <w:hideMark/>
          </w:tcPr>
          <w:p w14:paraId="2341BBC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97" w:type="pct"/>
            <w:tcBorders>
              <w:top w:val="nil"/>
              <w:left w:val="nil"/>
              <w:bottom w:val="nil"/>
              <w:right w:val="nil"/>
            </w:tcBorders>
            <w:shd w:val="clear" w:color="auto" w:fill="auto"/>
            <w:noWrap/>
            <w:vAlign w:val="bottom"/>
            <w:hideMark/>
          </w:tcPr>
          <w:p w14:paraId="2341BBCF"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97" w:type="pct"/>
            <w:tcBorders>
              <w:top w:val="nil"/>
              <w:left w:val="nil"/>
              <w:bottom w:val="nil"/>
              <w:right w:val="nil"/>
            </w:tcBorders>
            <w:shd w:val="clear" w:color="auto" w:fill="auto"/>
            <w:noWrap/>
            <w:vAlign w:val="bottom"/>
            <w:hideMark/>
          </w:tcPr>
          <w:p w14:paraId="2341BBD0"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97" w:type="pct"/>
            <w:tcBorders>
              <w:top w:val="nil"/>
              <w:left w:val="nil"/>
              <w:bottom w:val="nil"/>
              <w:right w:val="nil"/>
            </w:tcBorders>
            <w:shd w:val="clear" w:color="auto" w:fill="auto"/>
            <w:noWrap/>
            <w:vAlign w:val="bottom"/>
            <w:hideMark/>
          </w:tcPr>
          <w:p w14:paraId="2341BBD1"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97" w:type="pct"/>
            <w:tcBorders>
              <w:top w:val="nil"/>
              <w:left w:val="nil"/>
              <w:bottom w:val="nil"/>
              <w:right w:val="nil"/>
            </w:tcBorders>
            <w:shd w:val="clear" w:color="auto" w:fill="auto"/>
            <w:noWrap/>
            <w:vAlign w:val="bottom"/>
            <w:hideMark/>
          </w:tcPr>
          <w:p w14:paraId="2341BBD2"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89" w:type="pct"/>
            <w:tcBorders>
              <w:top w:val="nil"/>
              <w:left w:val="nil"/>
              <w:bottom w:val="nil"/>
              <w:right w:val="nil"/>
            </w:tcBorders>
            <w:shd w:val="clear" w:color="auto" w:fill="auto"/>
            <w:noWrap/>
            <w:vAlign w:val="bottom"/>
            <w:hideMark/>
          </w:tcPr>
          <w:p w14:paraId="2341BBD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120</w:t>
            </w:r>
          </w:p>
        </w:tc>
        <w:tc>
          <w:tcPr>
            <w:tcW w:w="287" w:type="pct"/>
            <w:tcBorders>
              <w:top w:val="nil"/>
              <w:left w:val="nil"/>
              <w:bottom w:val="nil"/>
              <w:right w:val="nil"/>
            </w:tcBorders>
            <w:shd w:val="clear" w:color="auto" w:fill="auto"/>
            <w:noWrap/>
            <w:vAlign w:val="bottom"/>
            <w:hideMark/>
          </w:tcPr>
          <w:p w14:paraId="2341BBD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120</w:t>
            </w:r>
          </w:p>
        </w:tc>
      </w:tr>
      <w:tr w:rsidR="00CD529B" w:rsidRPr="00EE79BE" w14:paraId="2341BBE3"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BD6"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planta de generación evitada ($COP Millones)</w:t>
            </w:r>
          </w:p>
        </w:tc>
        <w:tc>
          <w:tcPr>
            <w:tcW w:w="308" w:type="pct"/>
            <w:tcBorders>
              <w:top w:val="nil"/>
              <w:left w:val="nil"/>
              <w:bottom w:val="single" w:sz="4" w:space="0" w:color="auto"/>
              <w:right w:val="nil"/>
            </w:tcBorders>
            <w:shd w:val="clear" w:color="auto" w:fill="auto"/>
            <w:noWrap/>
            <w:vAlign w:val="bottom"/>
            <w:hideMark/>
          </w:tcPr>
          <w:p w14:paraId="2341BBD7"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8" w:type="pct"/>
            <w:tcBorders>
              <w:top w:val="nil"/>
              <w:left w:val="nil"/>
              <w:bottom w:val="single" w:sz="4" w:space="0" w:color="auto"/>
              <w:right w:val="nil"/>
            </w:tcBorders>
            <w:shd w:val="clear" w:color="auto" w:fill="auto"/>
            <w:noWrap/>
            <w:vAlign w:val="bottom"/>
            <w:hideMark/>
          </w:tcPr>
          <w:p w14:paraId="2341BBD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2341BBD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2341BBD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BD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62.003</w:t>
            </w:r>
          </w:p>
        </w:tc>
        <w:tc>
          <w:tcPr>
            <w:tcW w:w="297" w:type="pct"/>
            <w:tcBorders>
              <w:top w:val="nil"/>
              <w:left w:val="nil"/>
              <w:bottom w:val="single" w:sz="4" w:space="0" w:color="auto"/>
              <w:right w:val="nil"/>
            </w:tcBorders>
            <w:shd w:val="clear" w:color="auto" w:fill="auto"/>
            <w:noWrap/>
            <w:vAlign w:val="bottom"/>
            <w:hideMark/>
          </w:tcPr>
          <w:p w14:paraId="2341BBD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BD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BD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BDF"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BE0"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nil"/>
              <w:left w:val="nil"/>
              <w:bottom w:val="single" w:sz="4" w:space="0" w:color="auto"/>
              <w:right w:val="nil"/>
            </w:tcBorders>
            <w:shd w:val="clear" w:color="auto" w:fill="auto"/>
            <w:noWrap/>
            <w:vAlign w:val="bottom"/>
            <w:hideMark/>
          </w:tcPr>
          <w:p w14:paraId="2341BBE1"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BE2"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r>
      <w:tr w:rsidR="00CD529B" w:rsidRPr="00EE79BE" w14:paraId="2341BBF1"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BE4" w14:textId="77777777" w:rsidR="00CD529B" w:rsidRPr="00EE79BE" w:rsidRDefault="00CD529B" w:rsidP="00564572">
            <w:pPr>
              <w:ind w:firstLineChars="100" w:firstLine="150"/>
              <w:rPr>
                <w:rFonts w:ascii="Calibri" w:hAnsi="Calibri" w:cs="Calibri"/>
                <w:color w:val="000000"/>
                <w:sz w:val="15"/>
                <w:szCs w:val="15"/>
                <w:lang w:eastAsia="es-CO"/>
              </w:rPr>
            </w:pPr>
            <w:r w:rsidRPr="00EE79BE">
              <w:rPr>
                <w:rFonts w:ascii="Calibri" w:hAnsi="Calibri" w:cs="Calibri"/>
                <w:color w:val="000000"/>
                <w:sz w:val="15"/>
                <w:szCs w:val="15"/>
                <w:lang w:eastAsia="es-CO"/>
              </w:rPr>
              <w:t>Total Beneficios ($COP Millones)</w:t>
            </w:r>
          </w:p>
        </w:tc>
        <w:tc>
          <w:tcPr>
            <w:tcW w:w="308" w:type="pct"/>
            <w:tcBorders>
              <w:top w:val="nil"/>
              <w:left w:val="nil"/>
              <w:bottom w:val="single" w:sz="4" w:space="0" w:color="auto"/>
              <w:right w:val="nil"/>
            </w:tcBorders>
            <w:shd w:val="clear" w:color="auto" w:fill="auto"/>
            <w:noWrap/>
            <w:vAlign w:val="bottom"/>
            <w:hideMark/>
          </w:tcPr>
          <w:p w14:paraId="2341BBE5"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2341BBE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3.205</w:t>
            </w:r>
          </w:p>
        </w:tc>
        <w:tc>
          <w:tcPr>
            <w:tcW w:w="296" w:type="pct"/>
            <w:tcBorders>
              <w:top w:val="nil"/>
              <w:left w:val="nil"/>
              <w:bottom w:val="single" w:sz="4" w:space="0" w:color="auto"/>
              <w:right w:val="nil"/>
            </w:tcBorders>
            <w:shd w:val="clear" w:color="auto" w:fill="auto"/>
            <w:noWrap/>
            <w:vAlign w:val="bottom"/>
            <w:hideMark/>
          </w:tcPr>
          <w:p w14:paraId="2341BBE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6.410</w:t>
            </w:r>
          </w:p>
        </w:tc>
        <w:tc>
          <w:tcPr>
            <w:tcW w:w="296" w:type="pct"/>
            <w:tcBorders>
              <w:top w:val="nil"/>
              <w:left w:val="nil"/>
              <w:bottom w:val="single" w:sz="4" w:space="0" w:color="auto"/>
              <w:right w:val="nil"/>
            </w:tcBorders>
            <w:shd w:val="clear" w:color="auto" w:fill="auto"/>
            <w:noWrap/>
            <w:vAlign w:val="bottom"/>
            <w:hideMark/>
          </w:tcPr>
          <w:p w14:paraId="2341BBE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9.616</w:t>
            </w:r>
          </w:p>
        </w:tc>
        <w:tc>
          <w:tcPr>
            <w:tcW w:w="297" w:type="pct"/>
            <w:tcBorders>
              <w:top w:val="nil"/>
              <w:left w:val="nil"/>
              <w:bottom w:val="single" w:sz="4" w:space="0" w:color="auto"/>
              <w:right w:val="nil"/>
            </w:tcBorders>
            <w:shd w:val="clear" w:color="auto" w:fill="auto"/>
            <w:noWrap/>
            <w:vAlign w:val="bottom"/>
            <w:hideMark/>
          </w:tcPr>
          <w:p w14:paraId="2341BBE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74.823</w:t>
            </w:r>
          </w:p>
        </w:tc>
        <w:tc>
          <w:tcPr>
            <w:tcW w:w="297" w:type="pct"/>
            <w:tcBorders>
              <w:top w:val="nil"/>
              <w:left w:val="nil"/>
              <w:bottom w:val="single" w:sz="4" w:space="0" w:color="auto"/>
              <w:right w:val="nil"/>
            </w:tcBorders>
            <w:shd w:val="clear" w:color="auto" w:fill="auto"/>
            <w:noWrap/>
            <w:vAlign w:val="bottom"/>
            <w:hideMark/>
          </w:tcPr>
          <w:p w14:paraId="2341BBE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2341BBE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2341BBE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2341BBE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2341BBE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89" w:type="pct"/>
            <w:tcBorders>
              <w:top w:val="nil"/>
              <w:left w:val="nil"/>
              <w:bottom w:val="single" w:sz="4" w:space="0" w:color="auto"/>
              <w:right w:val="nil"/>
            </w:tcBorders>
            <w:shd w:val="clear" w:color="auto" w:fill="auto"/>
            <w:noWrap/>
            <w:vAlign w:val="bottom"/>
            <w:hideMark/>
          </w:tcPr>
          <w:p w14:paraId="2341BBEF"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87" w:type="pct"/>
            <w:tcBorders>
              <w:top w:val="nil"/>
              <w:left w:val="nil"/>
              <w:bottom w:val="single" w:sz="4" w:space="0" w:color="auto"/>
              <w:right w:val="nil"/>
            </w:tcBorders>
            <w:shd w:val="clear" w:color="auto" w:fill="auto"/>
            <w:noWrap/>
            <w:vAlign w:val="bottom"/>
            <w:hideMark/>
          </w:tcPr>
          <w:p w14:paraId="2341BBF0"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r>
      <w:tr w:rsidR="00CD529B" w:rsidRPr="00EE79BE" w14:paraId="2341BBFF" w14:textId="77777777" w:rsidTr="00564572">
        <w:trPr>
          <w:trHeight w:val="300"/>
        </w:trPr>
        <w:tc>
          <w:tcPr>
            <w:tcW w:w="1455" w:type="pct"/>
            <w:tcBorders>
              <w:top w:val="nil"/>
              <w:left w:val="nil"/>
              <w:bottom w:val="nil"/>
              <w:right w:val="nil"/>
            </w:tcBorders>
            <w:shd w:val="clear" w:color="auto" w:fill="auto"/>
            <w:noWrap/>
            <w:vAlign w:val="bottom"/>
            <w:hideMark/>
          </w:tcPr>
          <w:p w14:paraId="2341BBF2" w14:textId="77777777" w:rsidR="00CD529B" w:rsidRPr="00EE79BE" w:rsidRDefault="00CD529B" w:rsidP="00564572">
            <w:pPr>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Inversión y Costos</w:t>
            </w:r>
          </w:p>
        </w:tc>
        <w:tc>
          <w:tcPr>
            <w:tcW w:w="308" w:type="pct"/>
            <w:tcBorders>
              <w:top w:val="nil"/>
              <w:left w:val="nil"/>
              <w:bottom w:val="nil"/>
              <w:right w:val="nil"/>
            </w:tcBorders>
            <w:shd w:val="clear" w:color="auto" w:fill="auto"/>
            <w:noWrap/>
            <w:vAlign w:val="bottom"/>
            <w:hideMark/>
          </w:tcPr>
          <w:p w14:paraId="2341BBF3" w14:textId="77777777" w:rsidR="00CD529B" w:rsidRPr="00EE79BE" w:rsidRDefault="00CD529B" w:rsidP="00564572">
            <w:pPr>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BF4" w14:textId="77777777" w:rsidR="00CD529B" w:rsidRPr="003E19D8"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BF5" w14:textId="77777777" w:rsidR="00CD529B" w:rsidRPr="003E19D8"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BF6"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F7"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F8"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F9"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FA"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FB"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BFC" w14:textId="77777777" w:rsidR="00CD529B" w:rsidRPr="003E19D8"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BFD" w14:textId="77777777" w:rsidR="00CD529B" w:rsidRPr="003E19D8"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BFE" w14:textId="77777777" w:rsidR="00CD529B" w:rsidRPr="003E19D8" w:rsidRDefault="00CD529B" w:rsidP="00564572">
            <w:pPr>
              <w:rPr>
                <w:sz w:val="15"/>
                <w:szCs w:val="15"/>
                <w:lang w:eastAsia="es-CO"/>
              </w:rPr>
            </w:pPr>
          </w:p>
        </w:tc>
      </w:tr>
      <w:tr w:rsidR="00CD529B" w:rsidRPr="00EE79BE" w14:paraId="2341BC0D" w14:textId="77777777" w:rsidTr="00564572">
        <w:trPr>
          <w:trHeight w:val="300"/>
        </w:trPr>
        <w:tc>
          <w:tcPr>
            <w:tcW w:w="1455" w:type="pct"/>
            <w:tcBorders>
              <w:top w:val="nil"/>
              <w:left w:val="nil"/>
              <w:bottom w:val="nil"/>
              <w:right w:val="nil"/>
            </w:tcBorders>
            <w:shd w:val="clear" w:color="auto" w:fill="auto"/>
            <w:noWrap/>
            <w:vAlign w:val="bottom"/>
            <w:hideMark/>
          </w:tcPr>
          <w:p w14:paraId="2341BC00" w14:textId="77777777" w:rsidR="00CD529B" w:rsidRPr="00EE79BE" w:rsidRDefault="00CD529B" w:rsidP="00564572">
            <w:pPr>
              <w:ind w:firstLineChars="100" w:firstLine="150"/>
              <w:rPr>
                <w:rFonts w:ascii="Calibri" w:hAnsi="Calibri" w:cs="Calibri"/>
                <w:color w:val="000000"/>
                <w:sz w:val="15"/>
                <w:szCs w:val="15"/>
                <w:lang w:eastAsia="es-CO"/>
              </w:rPr>
            </w:pPr>
            <w:r w:rsidRPr="00EE79BE">
              <w:rPr>
                <w:rFonts w:ascii="Calibri" w:hAnsi="Calibri" w:cs="Calibri"/>
                <w:color w:val="000000"/>
                <w:sz w:val="15"/>
                <w:szCs w:val="15"/>
                <w:lang w:eastAsia="es-CO"/>
              </w:rPr>
              <w:t>Inversión en motores eficientes</w:t>
            </w:r>
          </w:p>
        </w:tc>
        <w:tc>
          <w:tcPr>
            <w:tcW w:w="308" w:type="pct"/>
            <w:tcBorders>
              <w:top w:val="nil"/>
              <w:left w:val="nil"/>
              <w:bottom w:val="nil"/>
              <w:right w:val="nil"/>
            </w:tcBorders>
            <w:shd w:val="clear" w:color="auto" w:fill="auto"/>
            <w:noWrap/>
            <w:vAlign w:val="bottom"/>
            <w:hideMark/>
          </w:tcPr>
          <w:p w14:paraId="2341BC01" w14:textId="77777777" w:rsidR="00CD529B" w:rsidRPr="00EE79BE" w:rsidRDefault="00CD529B" w:rsidP="00564572">
            <w:pPr>
              <w:ind w:firstLineChars="100" w:firstLine="150"/>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C02"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6" w:type="pct"/>
            <w:tcBorders>
              <w:top w:val="nil"/>
              <w:left w:val="nil"/>
              <w:bottom w:val="nil"/>
              <w:right w:val="nil"/>
            </w:tcBorders>
            <w:shd w:val="clear" w:color="auto" w:fill="auto"/>
            <w:noWrap/>
            <w:vAlign w:val="bottom"/>
            <w:hideMark/>
          </w:tcPr>
          <w:p w14:paraId="2341BC0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6" w:type="pct"/>
            <w:tcBorders>
              <w:top w:val="nil"/>
              <w:left w:val="nil"/>
              <w:bottom w:val="nil"/>
              <w:right w:val="nil"/>
            </w:tcBorders>
            <w:shd w:val="clear" w:color="auto" w:fill="auto"/>
            <w:noWrap/>
            <w:vAlign w:val="bottom"/>
            <w:hideMark/>
          </w:tcPr>
          <w:p w14:paraId="2341BC0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7" w:type="pct"/>
            <w:tcBorders>
              <w:top w:val="nil"/>
              <w:left w:val="nil"/>
              <w:bottom w:val="nil"/>
              <w:right w:val="nil"/>
            </w:tcBorders>
            <w:shd w:val="clear" w:color="auto" w:fill="auto"/>
            <w:noWrap/>
            <w:vAlign w:val="bottom"/>
            <w:hideMark/>
          </w:tcPr>
          <w:p w14:paraId="2341BC0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7" w:type="pct"/>
            <w:tcBorders>
              <w:top w:val="nil"/>
              <w:left w:val="nil"/>
              <w:bottom w:val="nil"/>
              <w:right w:val="nil"/>
            </w:tcBorders>
            <w:shd w:val="clear" w:color="auto" w:fill="auto"/>
            <w:noWrap/>
            <w:vAlign w:val="bottom"/>
            <w:hideMark/>
          </w:tcPr>
          <w:p w14:paraId="2341BC0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C0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C0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C0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C0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nil"/>
              <w:left w:val="nil"/>
              <w:bottom w:val="nil"/>
              <w:right w:val="nil"/>
            </w:tcBorders>
            <w:shd w:val="clear" w:color="auto" w:fill="auto"/>
            <w:noWrap/>
            <w:vAlign w:val="bottom"/>
            <w:hideMark/>
          </w:tcPr>
          <w:p w14:paraId="2341BC0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2341BC0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r>
      <w:tr w:rsidR="00CD529B" w:rsidRPr="00EE79BE" w14:paraId="2341BC1B" w14:textId="77777777" w:rsidTr="00564572">
        <w:trPr>
          <w:trHeight w:val="300"/>
        </w:trPr>
        <w:tc>
          <w:tcPr>
            <w:tcW w:w="1455" w:type="pct"/>
            <w:tcBorders>
              <w:top w:val="single" w:sz="4" w:space="0" w:color="auto"/>
              <w:left w:val="nil"/>
              <w:bottom w:val="single" w:sz="4" w:space="0" w:color="auto"/>
              <w:right w:val="nil"/>
            </w:tcBorders>
            <w:shd w:val="clear" w:color="auto" w:fill="auto"/>
            <w:noWrap/>
            <w:vAlign w:val="bottom"/>
            <w:hideMark/>
          </w:tcPr>
          <w:p w14:paraId="2341BC0E"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Total Inversión y Costos ($COP Millones)</w:t>
            </w:r>
          </w:p>
        </w:tc>
        <w:tc>
          <w:tcPr>
            <w:tcW w:w="308" w:type="pct"/>
            <w:tcBorders>
              <w:top w:val="single" w:sz="4" w:space="0" w:color="auto"/>
              <w:left w:val="nil"/>
              <w:bottom w:val="single" w:sz="4" w:space="0" w:color="auto"/>
              <w:right w:val="nil"/>
            </w:tcBorders>
            <w:shd w:val="clear" w:color="auto" w:fill="auto"/>
            <w:noWrap/>
            <w:vAlign w:val="bottom"/>
            <w:hideMark/>
          </w:tcPr>
          <w:p w14:paraId="2341BC0F"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8" w:type="pct"/>
            <w:tcBorders>
              <w:top w:val="single" w:sz="4" w:space="0" w:color="auto"/>
              <w:left w:val="nil"/>
              <w:bottom w:val="single" w:sz="4" w:space="0" w:color="auto"/>
              <w:right w:val="nil"/>
            </w:tcBorders>
            <w:shd w:val="clear" w:color="auto" w:fill="auto"/>
            <w:noWrap/>
            <w:vAlign w:val="bottom"/>
            <w:hideMark/>
          </w:tcPr>
          <w:p w14:paraId="2341BC10"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6" w:type="pct"/>
            <w:tcBorders>
              <w:top w:val="single" w:sz="4" w:space="0" w:color="auto"/>
              <w:left w:val="nil"/>
              <w:bottom w:val="single" w:sz="4" w:space="0" w:color="auto"/>
              <w:right w:val="nil"/>
            </w:tcBorders>
            <w:shd w:val="clear" w:color="auto" w:fill="auto"/>
            <w:noWrap/>
            <w:vAlign w:val="bottom"/>
            <w:hideMark/>
          </w:tcPr>
          <w:p w14:paraId="2341BC11"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6" w:type="pct"/>
            <w:tcBorders>
              <w:top w:val="single" w:sz="4" w:space="0" w:color="auto"/>
              <w:left w:val="nil"/>
              <w:bottom w:val="single" w:sz="4" w:space="0" w:color="auto"/>
              <w:right w:val="nil"/>
            </w:tcBorders>
            <w:shd w:val="clear" w:color="auto" w:fill="auto"/>
            <w:noWrap/>
            <w:vAlign w:val="bottom"/>
            <w:hideMark/>
          </w:tcPr>
          <w:p w14:paraId="2341BC12"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7" w:type="pct"/>
            <w:tcBorders>
              <w:top w:val="single" w:sz="4" w:space="0" w:color="auto"/>
              <w:left w:val="nil"/>
              <w:bottom w:val="single" w:sz="4" w:space="0" w:color="auto"/>
              <w:right w:val="nil"/>
            </w:tcBorders>
            <w:shd w:val="clear" w:color="auto" w:fill="auto"/>
            <w:noWrap/>
            <w:vAlign w:val="bottom"/>
            <w:hideMark/>
          </w:tcPr>
          <w:p w14:paraId="2341BC1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15.507</w:t>
            </w:r>
          </w:p>
        </w:tc>
        <w:tc>
          <w:tcPr>
            <w:tcW w:w="297" w:type="pct"/>
            <w:tcBorders>
              <w:top w:val="single" w:sz="4" w:space="0" w:color="auto"/>
              <w:left w:val="nil"/>
              <w:bottom w:val="single" w:sz="4" w:space="0" w:color="auto"/>
              <w:right w:val="nil"/>
            </w:tcBorders>
            <w:shd w:val="clear" w:color="auto" w:fill="auto"/>
            <w:noWrap/>
            <w:vAlign w:val="bottom"/>
            <w:hideMark/>
          </w:tcPr>
          <w:p w14:paraId="2341BC1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C1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C1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C1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C1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single" w:sz="4" w:space="0" w:color="auto"/>
              <w:left w:val="nil"/>
              <w:bottom w:val="single" w:sz="4" w:space="0" w:color="auto"/>
              <w:right w:val="nil"/>
            </w:tcBorders>
            <w:shd w:val="clear" w:color="auto" w:fill="auto"/>
            <w:noWrap/>
            <w:vAlign w:val="bottom"/>
            <w:hideMark/>
          </w:tcPr>
          <w:p w14:paraId="2341BC1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2341BC1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r>
      <w:tr w:rsidR="00CD529B" w:rsidRPr="00EE79BE" w14:paraId="2341BC29"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C1C" w14:textId="77777777" w:rsidR="00CD529B" w:rsidRPr="00EE79BE" w:rsidRDefault="00CD529B" w:rsidP="00564572">
            <w:pPr>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Flujo Neto</w:t>
            </w:r>
          </w:p>
        </w:tc>
        <w:tc>
          <w:tcPr>
            <w:tcW w:w="308" w:type="pct"/>
            <w:tcBorders>
              <w:top w:val="nil"/>
              <w:left w:val="nil"/>
              <w:bottom w:val="single" w:sz="4" w:space="0" w:color="auto"/>
              <w:right w:val="nil"/>
            </w:tcBorders>
            <w:shd w:val="clear" w:color="auto" w:fill="auto"/>
            <w:noWrap/>
            <w:vAlign w:val="bottom"/>
            <w:hideMark/>
          </w:tcPr>
          <w:p w14:paraId="2341BC1D"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2341BC1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-12.302</w:t>
            </w:r>
          </w:p>
        </w:tc>
        <w:tc>
          <w:tcPr>
            <w:tcW w:w="296" w:type="pct"/>
            <w:tcBorders>
              <w:top w:val="nil"/>
              <w:left w:val="nil"/>
              <w:bottom w:val="single" w:sz="4" w:space="0" w:color="auto"/>
              <w:right w:val="nil"/>
            </w:tcBorders>
            <w:shd w:val="clear" w:color="auto" w:fill="auto"/>
            <w:noWrap/>
            <w:vAlign w:val="bottom"/>
            <w:hideMark/>
          </w:tcPr>
          <w:p w14:paraId="2341BC1F"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-9.097</w:t>
            </w:r>
          </w:p>
        </w:tc>
        <w:tc>
          <w:tcPr>
            <w:tcW w:w="296" w:type="pct"/>
            <w:tcBorders>
              <w:top w:val="nil"/>
              <w:left w:val="nil"/>
              <w:bottom w:val="single" w:sz="4" w:space="0" w:color="auto"/>
              <w:right w:val="nil"/>
            </w:tcBorders>
            <w:shd w:val="clear" w:color="auto" w:fill="auto"/>
            <w:noWrap/>
            <w:vAlign w:val="bottom"/>
            <w:hideMark/>
          </w:tcPr>
          <w:p w14:paraId="2341BC20"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-5.891</w:t>
            </w:r>
          </w:p>
        </w:tc>
        <w:tc>
          <w:tcPr>
            <w:tcW w:w="297" w:type="pct"/>
            <w:tcBorders>
              <w:top w:val="nil"/>
              <w:left w:val="nil"/>
              <w:bottom w:val="single" w:sz="4" w:space="0" w:color="auto"/>
              <w:right w:val="nil"/>
            </w:tcBorders>
            <w:shd w:val="clear" w:color="auto" w:fill="auto"/>
            <w:noWrap/>
            <w:vAlign w:val="bottom"/>
            <w:hideMark/>
          </w:tcPr>
          <w:p w14:paraId="2341BC21"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59.316</w:t>
            </w:r>
          </w:p>
        </w:tc>
        <w:tc>
          <w:tcPr>
            <w:tcW w:w="297" w:type="pct"/>
            <w:tcBorders>
              <w:top w:val="nil"/>
              <w:left w:val="nil"/>
              <w:bottom w:val="single" w:sz="4" w:space="0" w:color="auto"/>
              <w:right w:val="nil"/>
            </w:tcBorders>
            <w:shd w:val="clear" w:color="auto" w:fill="auto"/>
            <w:noWrap/>
            <w:vAlign w:val="bottom"/>
            <w:hideMark/>
          </w:tcPr>
          <w:p w14:paraId="2341BC22"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2341BC2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2341BC2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2341BC2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97" w:type="pct"/>
            <w:tcBorders>
              <w:top w:val="nil"/>
              <w:left w:val="nil"/>
              <w:bottom w:val="single" w:sz="4" w:space="0" w:color="auto"/>
              <w:right w:val="nil"/>
            </w:tcBorders>
            <w:shd w:val="clear" w:color="auto" w:fill="auto"/>
            <w:noWrap/>
            <w:vAlign w:val="bottom"/>
            <w:hideMark/>
          </w:tcPr>
          <w:p w14:paraId="2341BC2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89" w:type="pct"/>
            <w:tcBorders>
              <w:top w:val="nil"/>
              <w:left w:val="nil"/>
              <w:bottom w:val="single" w:sz="4" w:space="0" w:color="auto"/>
              <w:right w:val="nil"/>
            </w:tcBorders>
            <w:shd w:val="clear" w:color="auto" w:fill="auto"/>
            <w:noWrap/>
            <w:vAlign w:val="bottom"/>
            <w:hideMark/>
          </w:tcPr>
          <w:p w14:paraId="2341BC2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c>
          <w:tcPr>
            <w:tcW w:w="287" w:type="pct"/>
            <w:tcBorders>
              <w:top w:val="nil"/>
              <w:left w:val="nil"/>
              <w:bottom w:val="single" w:sz="4" w:space="0" w:color="auto"/>
              <w:right w:val="nil"/>
            </w:tcBorders>
            <w:shd w:val="clear" w:color="auto" w:fill="auto"/>
            <w:noWrap/>
            <w:vAlign w:val="bottom"/>
            <w:hideMark/>
          </w:tcPr>
          <w:p w14:paraId="2341BC2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12.821</w:t>
            </w:r>
          </w:p>
        </w:tc>
      </w:tr>
      <w:tr w:rsidR="00CD529B" w:rsidRPr="00EE79BE" w14:paraId="2341BC37" w14:textId="77777777" w:rsidTr="00564572">
        <w:trPr>
          <w:trHeight w:val="300"/>
        </w:trPr>
        <w:tc>
          <w:tcPr>
            <w:tcW w:w="1455" w:type="pct"/>
            <w:tcBorders>
              <w:top w:val="nil"/>
              <w:left w:val="nil"/>
              <w:bottom w:val="nil"/>
              <w:right w:val="nil"/>
            </w:tcBorders>
            <w:shd w:val="clear" w:color="auto" w:fill="auto"/>
            <w:noWrap/>
            <w:vAlign w:val="bottom"/>
            <w:hideMark/>
          </w:tcPr>
          <w:p w14:paraId="2341BC2A" w14:textId="77777777" w:rsidR="00CD529B" w:rsidRPr="00EE79BE" w:rsidRDefault="00CD529B" w:rsidP="00564572">
            <w:pPr>
              <w:jc w:val="right"/>
              <w:rPr>
                <w:rFonts w:ascii="Calibri" w:hAnsi="Calibri" w:cs="Calibri"/>
                <w:color w:val="000000"/>
                <w:sz w:val="15"/>
                <w:szCs w:val="15"/>
                <w:lang w:eastAsia="es-CO"/>
              </w:rPr>
            </w:pPr>
          </w:p>
        </w:tc>
        <w:tc>
          <w:tcPr>
            <w:tcW w:w="308" w:type="pct"/>
            <w:tcBorders>
              <w:top w:val="nil"/>
              <w:left w:val="nil"/>
              <w:bottom w:val="nil"/>
              <w:right w:val="nil"/>
            </w:tcBorders>
            <w:shd w:val="clear" w:color="auto" w:fill="auto"/>
            <w:noWrap/>
            <w:vAlign w:val="bottom"/>
            <w:hideMark/>
          </w:tcPr>
          <w:p w14:paraId="2341BC2B" w14:textId="77777777" w:rsidR="00CD529B" w:rsidRPr="00EE79BE"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C2C"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C2D"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C2E"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2F"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30"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31"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32"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33"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34"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C35"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C36" w14:textId="77777777" w:rsidR="00CD529B" w:rsidRPr="00EE79BE" w:rsidRDefault="00CD529B" w:rsidP="00564572">
            <w:pPr>
              <w:rPr>
                <w:sz w:val="15"/>
                <w:szCs w:val="15"/>
                <w:lang w:eastAsia="es-CO"/>
              </w:rPr>
            </w:pPr>
          </w:p>
        </w:tc>
      </w:tr>
      <w:tr w:rsidR="00CD529B" w:rsidRPr="00EE79BE" w14:paraId="2341BC45" w14:textId="77777777" w:rsidTr="00564572">
        <w:trPr>
          <w:trHeight w:val="300"/>
        </w:trPr>
        <w:tc>
          <w:tcPr>
            <w:tcW w:w="1455" w:type="pct"/>
            <w:tcBorders>
              <w:top w:val="nil"/>
              <w:left w:val="nil"/>
              <w:bottom w:val="nil"/>
              <w:right w:val="nil"/>
            </w:tcBorders>
            <w:shd w:val="clear" w:color="auto" w:fill="auto"/>
            <w:noWrap/>
            <w:vAlign w:val="bottom"/>
            <w:hideMark/>
          </w:tcPr>
          <w:p w14:paraId="2341BC38" w14:textId="77777777" w:rsidR="00CD529B" w:rsidRPr="00EE79BE" w:rsidRDefault="00CD529B" w:rsidP="00564572">
            <w:pPr>
              <w:rPr>
                <w:sz w:val="15"/>
                <w:szCs w:val="15"/>
                <w:lang w:eastAsia="es-CO"/>
              </w:rPr>
            </w:pP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2341BC39"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Beneficios</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C3A"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Costos</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2341BC3B"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Neto</w:t>
            </w:r>
          </w:p>
        </w:tc>
        <w:tc>
          <w:tcPr>
            <w:tcW w:w="296" w:type="pct"/>
            <w:tcBorders>
              <w:top w:val="nil"/>
              <w:left w:val="nil"/>
              <w:bottom w:val="nil"/>
              <w:right w:val="nil"/>
            </w:tcBorders>
            <w:shd w:val="clear" w:color="auto" w:fill="auto"/>
            <w:noWrap/>
            <w:vAlign w:val="bottom"/>
            <w:hideMark/>
          </w:tcPr>
          <w:p w14:paraId="2341BC3C" w14:textId="77777777" w:rsidR="00CD529B" w:rsidRPr="00EE79BE" w:rsidRDefault="00CD529B" w:rsidP="00564572">
            <w:pPr>
              <w:jc w:val="center"/>
              <w:rPr>
                <w:rFonts w:ascii="Calibri" w:hAnsi="Calibri" w:cs="Calibri"/>
                <w:color w:val="FFFFFF"/>
                <w:sz w:val="15"/>
                <w:szCs w:val="15"/>
                <w:lang w:eastAsia="es-CO"/>
              </w:rPr>
            </w:pPr>
          </w:p>
        </w:tc>
        <w:tc>
          <w:tcPr>
            <w:tcW w:w="297" w:type="pct"/>
            <w:tcBorders>
              <w:top w:val="nil"/>
              <w:left w:val="nil"/>
              <w:bottom w:val="nil"/>
              <w:right w:val="nil"/>
            </w:tcBorders>
            <w:shd w:val="clear" w:color="auto" w:fill="auto"/>
            <w:noWrap/>
            <w:vAlign w:val="bottom"/>
            <w:hideMark/>
          </w:tcPr>
          <w:p w14:paraId="2341BC3D"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3E"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3F"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40"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41"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42"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C43"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C44" w14:textId="77777777" w:rsidR="00CD529B" w:rsidRPr="00EE79BE" w:rsidRDefault="00CD529B" w:rsidP="00564572">
            <w:pPr>
              <w:rPr>
                <w:sz w:val="15"/>
                <w:szCs w:val="15"/>
                <w:lang w:eastAsia="es-CO"/>
              </w:rPr>
            </w:pPr>
          </w:p>
        </w:tc>
      </w:tr>
      <w:tr w:rsidR="00CD529B" w:rsidRPr="00EE79BE" w14:paraId="2341BC53" w14:textId="77777777" w:rsidTr="00564572">
        <w:trPr>
          <w:trHeight w:val="300"/>
        </w:trPr>
        <w:tc>
          <w:tcPr>
            <w:tcW w:w="1455" w:type="pct"/>
            <w:tcBorders>
              <w:top w:val="single" w:sz="4" w:space="0" w:color="auto"/>
              <w:left w:val="single" w:sz="4" w:space="0" w:color="auto"/>
              <w:bottom w:val="single" w:sz="4" w:space="0" w:color="auto"/>
              <w:right w:val="nil"/>
            </w:tcBorders>
            <w:shd w:val="clear" w:color="000000" w:fill="E2EFDA"/>
            <w:noWrap/>
            <w:vAlign w:val="bottom"/>
            <w:hideMark/>
          </w:tcPr>
          <w:p w14:paraId="2341BC46"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VPN dic 2016 ($USD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2341BC4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$33</w:t>
            </w:r>
          </w:p>
        </w:tc>
        <w:tc>
          <w:tcPr>
            <w:tcW w:w="288" w:type="pct"/>
            <w:tcBorders>
              <w:top w:val="nil"/>
              <w:left w:val="nil"/>
              <w:bottom w:val="single" w:sz="4" w:space="0" w:color="auto"/>
              <w:right w:val="single" w:sz="4" w:space="0" w:color="auto"/>
            </w:tcBorders>
            <w:shd w:val="clear" w:color="000000" w:fill="E2EFDA"/>
            <w:noWrap/>
            <w:vAlign w:val="bottom"/>
            <w:hideMark/>
          </w:tcPr>
          <w:p w14:paraId="2341BC4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$16</w:t>
            </w:r>
          </w:p>
        </w:tc>
        <w:tc>
          <w:tcPr>
            <w:tcW w:w="296" w:type="pct"/>
            <w:tcBorders>
              <w:top w:val="nil"/>
              <w:left w:val="nil"/>
              <w:bottom w:val="single" w:sz="4" w:space="0" w:color="auto"/>
              <w:right w:val="single" w:sz="4" w:space="0" w:color="auto"/>
            </w:tcBorders>
            <w:shd w:val="clear" w:color="000000" w:fill="E2EFDA"/>
            <w:noWrap/>
            <w:vAlign w:val="bottom"/>
            <w:hideMark/>
          </w:tcPr>
          <w:p w14:paraId="2341BC4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$17</w:t>
            </w:r>
          </w:p>
        </w:tc>
        <w:tc>
          <w:tcPr>
            <w:tcW w:w="296" w:type="pct"/>
            <w:tcBorders>
              <w:top w:val="nil"/>
              <w:left w:val="nil"/>
              <w:bottom w:val="nil"/>
              <w:right w:val="nil"/>
            </w:tcBorders>
            <w:shd w:val="clear" w:color="auto" w:fill="auto"/>
            <w:noWrap/>
            <w:vAlign w:val="bottom"/>
            <w:hideMark/>
          </w:tcPr>
          <w:p w14:paraId="2341BC4A" w14:textId="77777777" w:rsidR="00CD529B" w:rsidRPr="00EE79BE" w:rsidRDefault="00CD529B" w:rsidP="00564572">
            <w:pPr>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2341BC4B"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4C"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4D"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4E"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4F"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50"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C51"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C52" w14:textId="77777777" w:rsidR="00CD529B" w:rsidRPr="00EE79BE" w:rsidRDefault="00CD529B" w:rsidP="00564572">
            <w:pPr>
              <w:rPr>
                <w:sz w:val="15"/>
                <w:szCs w:val="15"/>
                <w:lang w:eastAsia="es-CO"/>
              </w:rPr>
            </w:pPr>
          </w:p>
        </w:tc>
      </w:tr>
      <w:tr w:rsidR="00CD529B" w:rsidRPr="00EE79BE" w14:paraId="2341BC61" w14:textId="77777777" w:rsidTr="00564572">
        <w:trPr>
          <w:trHeight w:val="300"/>
        </w:trPr>
        <w:tc>
          <w:tcPr>
            <w:tcW w:w="1455" w:type="pct"/>
            <w:tcBorders>
              <w:top w:val="nil"/>
              <w:left w:val="single" w:sz="4" w:space="0" w:color="auto"/>
              <w:bottom w:val="single" w:sz="4" w:space="0" w:color="auto"/>
              <w:right w:val="nil"/>
            </w:tcBorders>
            <w:shd w:val="clear" w:color="000000" w:fill="E2EFDA"/>
            <w:noWrap/>
            <w:vAlign w:val="bottom"/>
            <w:hideMark/>
          </w:tcPr>
          <w:p w14:paraId="2341BC54"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VPN dic 2016 ($COP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2341BC5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$99.552</w:t>
            </w:r>
          </w:p>
        </w:tc>
        <w:tc>
          <w:tcPr>
            <w:tcW w:w="288" w:type="pct"/>
            <w:tcBorders>
              <w:top w:val="nil"/>
              <w:left w:val="nil"/>
              <w:bottom w:val="single" w:sz="4" w:space="0" w:color="auto"/>
              <w:right w:val="single" w:sz="4" w:space="0" w:color="auto"/>
            </w:tcBorders>
            <w:shd w:val="clear" w:color="000000" w:fill="E2EFDA"/>
            <w:noWrap/>
            <w:vAlign w:val="bottom"/>
            <w:hideMark/>
          </w:tcPr>
          <w:p w14:paraId="2341BC5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$47.100</w:t>
            </w:r>
          </w:p>
        </w:tc>
        <w:tc>
          <w:tcPr>
            <w:tcW w:w="296" w:type="pct"/>
            <w:tcBorders>
              <w:top w:val="nil"/>
              <w:left w:val="nil"/>
              <w:bottom w:val="single" w:sz="4" w:space="0" w:color="auto"/>
              <w:right w:val="single" w:sz="4" w:space="0" w:color="auto"/>
            </w:tcBorders>
            <w:shd w:val="clear" w:color="000000" w:fill="E2EFDA"/>
            <w:noWrap/>
            <w:vAlign w:val="bottom"/>
            <w:hideMark/>
          </w:tcPr>
          <w:p w14:paraId="2341BC5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$52.452</w:t>
            </w:r>
          </w:p>
        </w:tc>
        <w:tc>
          <w:tcPr>
            <w:tcW w:w="296" w:type="pct"/>
            <w:tcBorders>
              <w:top w:val="nil"/>
              <w:left w:val="nil"/>
              <w:bottom w:val="nil"/>
              <w:right w:val="nil"/>
            </w:tcBorders>
            <w:shd w:val="clear" w:color="auto" w:fill="auto"/>
            <w:noWrap/>
            <w:vAlign w:val="bottom"/>
            <w:hideMark/>
          </w:tcPr>
          <w:p w14:paraId="2341BC58" w14:textId="77777777" w:rsidR="00CD529B" w:rsidRPr="00EE79BE" w:rsidRDefault="00CD529B" w:rsidP="00564572">
            <w:pPr>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2341BC59"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5A"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5B"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5C"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5D"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5E"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C5F"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C60" w14:textId="77777777" w:rsidR="00CD529B" w:rsidRPr="00EE79BE" w:rsidRDefault="00CD529B" w:rsidP="00564572">
            <w:pPr>
              <w:rPr>
                <w:sz w:val="15"/>
                <w:szCs w:val="15"/>
                <w:lang w:eastAsia="es-CO"/>
              </w:rPr>
            </w:pPr>
          </w:p>
        </w:tc>
      </w:tr>
    </w:tbl>
    <w:p w14:paraId="2341BC62" w14:textId="77777777" w:rsidR="00CD529B" w:rsidRDefault="00CD529B" w:rsidP="00564572"/>
    <w:p w14:paraId="2341BC63" w14:textId="77777777" w:rsidR="00CD529B" w:rsidRDefault="00CD529B" w:rsidP="00564572">
      <w:pPr>
        <w:spacing w:after="160" w:line="259" w:lineRule="auto"/>
      </w:pPr>
      <w:r>
        <w:br w:type="page"/>
      </w:r>
    </w:p>
    <w:p w14:paraId="2341BC64" w14:textId="77777777" w:rsidR="00CD529B" w:rsidRPr="00CD529B" w:rsidRDefault="00CD529B" w:rsidP="00564572">
      <w:pPr>
        <w:ind w:left="720"/>
        <w:jc w:val="center"/>
        <w:rPr>
          <w:b/>
          <w:lang w:val="es-ES_tradnl"/>
        </w:rPr>
      </w:pPr>
      <w:bookmarkStart w:id="137" w:name="_Toc473268573"/>
      <w:bookmarkStart w:id="138" w:name="_Toc474797079"/>
      <w:r w:rsidRPr="00CD529B">
        <w:rPr>
          <w:b/>
          <w:lang w:val="es-ES_tradnl"/>
        </w:rPr>
        <w:lastRenderedPageBreak/>
        <w:t xml:space="preserve">Tabla </w:t>
      </w:r>
      <w:r w:rsidRPr="008C12BC">
        <w:rPr>
          <w:b/>
        </w:rPr>
        <w:fldChar w:fldCharType="begin"/>
      </w:r>
      <w:r w:rsidRPr="00CD529B">
        <w:rPr>
          <w:b/>
          <w:lang w:val="es-ES_tradnl"/>
        </w:rPr>
        <w:instrText xml:space="preserve"> SEQ Tabla \* ARABIC </w:instrText>
      </w:r>
      <w:r w:rsidRPr="008C12BC">
        <w:rPr>
          <w:b/>
        </w:rPr>
        <w:fldChar w:fldCharType="separate"/>
      </w:r>
      <w:r w:rsidRPr="00CD529B">
        <w:rPr>
          <w:b/>
          <w:noProof/>
          <w:lang w:val="es-ES_tradnl"/>
        </w:rPr>
        <w:t>25</w:t>
      </w:r>
      <w:r w:rsidRPr="008C12BC">
        <w:rPr>
          <w:b/>
        </w:rPr>
        <w:fldChar w:fldCharType="end"/>
      </w:r>
      <w:r w:rsidRPr="00CD529B">
        <w:rPr>
          <w:b/>
          <w:lang w:val="es-ES_tradnl"/>
        </w:rPr>
        <w:t xml:space="preserve"> – Proyección de beneficios y costos para la medida de mantenimiento y optimización de la operación de los aires acondicionados (Sector Industrial)</w:t>
      </w:r>
      <w:bookmarkEnd w:id="137"/>
      <w:bookmarkEnd w:id="138"/>
    </w:p>
    <w:tbl>
      <w:tblPr>
        <w:tblW w:w="5000" w:type="pct"/>
        <w:tblCellMar>
          <w:left w:w="70" w:type="dxa"/>
          <w:right w:w="70" w:type="dxa"/>
        </w:tblCellMar>
        <w:tblLook w:val="04A0" w:firstRow="1" w:lastRow="0" w:firstColumn="1" w:lastColumn="0" w:noHBand="0" w:noVBand="1"/>
      </w:tblPr>
      <w:tblGrid>
        <w:gridCol w:w="3125"/>
        <w:gridCol w:w="653"/>
        <w:gridCol w:w="473"/>
        <w:gridCol w:w="546"/>
        <w:gridCol w:w="420"/>
        <w:gridCol w:w="483"/>
        <w:gridCol w:w="420"/>
        <w:gridCol w:w="420"/>
        <w:gridCol w:w="420"/>
        <w:gridCol w:w="420"/>
        <w:gridCol w:w="420"/>
        <w:gridCol w:w="420"/>
        <w:gridCol w:w="420"/>
      </w:tblGrid>
      <w:tr w:rsidR="00CD529B" w:rsidRPr="00EE79BE" w14:paraId="2341BC72" w14:textId="77777777" w:rsidTr="00564572">
        <w:trPr>
          <w:trHeight w:val="300"/>
        </w:trPr>
        <w:tc>
          <w:tcPr>
            <w:tcW w:w="1455" w:type="pct"/>
            <w:tcBorders>
              <w:top w:val="single" w:sz="4" w:space="0" w:color="000000"/>
              <w:left w:val="nil"/>
              <w:bottom w:val="nil"/>
              <w:right w:val="nil"/>
            </w:tcBorders>
            <w:shd w:val="clear" w:color="auto" w:fill="auto"/>
            <w:noWrap/>
            <w:vAlign w:val="bottom"/>
            <w:hideMark/>
          </w:tcPr>
          <w:p w14:paraId="2341BC65"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Potencia motor ineficiente</w:t>
            </w:r>
          </w:p>
        </w:tc>
        <w:tc>
          <w:tcPr>
            <w:tcW w:w="308" w:type="pct"/>
            <w:tcBorders>
              <w:top w:val="single" w:sz="4" w:space="0" w:color="000000"/>
              <w:left w:val="nil"/>
              <w:bottom w:val="nil"/>
              <w:right w:val="nil"/>
            </w:tcBorders>
            <w:shd w:val="clear" w:color="auto" w:fill="auto"/>
            <w:noWrap/>
            <w:vAlign w:val="bottom"/>
            <w:hideMark/>
          </w:tcPr>
          <w:p w14:paraId="2341BC66" w14:textId="77777777" w:rsidR="00CD529B" w:rsidRPr="00EE79BE" w:rsidRDefault="00CD529B" w:rsidP="00564572">
            <w:pPr>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16.773</w:t>
            </w:r>
          </w:p>
        </w:tc>
        <w:tc>
          <w:tcPr>
            <w:tcW w:w="288" w:type="pct"/>
            <w:tcBorders>
              <w:top w:val="nil"/>
              <w:left w:val="nil"/>
              <w:bottom w:val="nil"/>
              <w:right w:val="nil"/>
            </w:tcBorders>
            <w:shd w:val="clear" w:color="auto" w:fill="auto"/>
            <w:noWrap/>
            <w:vAlign w:val="bottom"/>
            <w:hideMark/>
          </w:tcPr>
          <w:p w14:paraId="2341BC67" w14:textId="77777777" w:rsidR="00CD529B" w:rsidRPr="00EE79BE"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C68"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C69"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6A"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6B"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6C"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6D"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6E"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6F"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C70"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C71" w14:textId="77777777" w:rsidR="00CD529B" w:rsidRPr="00EE79BE" w:rsidRDefault="00CD529B" w:rsidP="00564572">
            <w:pPr>
              <w:rPr>
                <w:sz w:val="15"/>
                <w:szCs w:val="15"/>
                <w:lang w:eastAsia="es-CO"/>
              </w:rPr>
            </w:pPr>
          </w:p>
        </w:tc>
      </w:tr>
      <w:tr w:rsidR="00CD529B" w:rsidRPr="00EE79BE" w14:paraId="2341BC80" w14:textId="77777777" w:rsidTr="00564572">
        <w:trPr>
          <w:trHeight w:val="300"/>
        </w:trPr>
        <w:tc>
          <w:tcPr>
            <w:tcW w:w="1455" w:type="pct"/>
            <w:tcBorders>
              <w:top w:val="nil"/>
              <w:left w:val="nil"/>
              <w:bottom w:val="nil"/>
              <w:right w:val="nil"/>
            </w:tcBorders>
            <w:shd w:val="clear" w:color="auto" w:fill="auto"/>
            <w:noWrap/>
            <w:vAlign w:val="bottom"/>
            <w:hideMark/>
          </w:tcPr>
          <w:p w14:paraId="2341BC73"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Potencia motor eficiente</w:t>
            </w:r>
          </w:p>
        </w:tc>
        <w:tc>
          <w:tcPr>
            <w:tcW w:w="308" w:type="pct"/>
            <w:tcBorders>
              <w:top w:val="nil"/>
              <w:left w:val="nil"/>
              <w:bottom w:val="nil"/>
              <w:right w:val="nil"/>
            </w:tcBorders>
            <w:shd w:val="clear" w:color="auto" w:fill="auto"/>
            <w:noWrap/>
            <w:vAlign w:val="bottom"/>
            <w:hideMark/>
          </w:tcPr>
          <w:p w14:paraId="2341BC74" w14:textId="77777777" w:rsidR="00CD529B" w:rsidRPr="00EE79BE" w:rsidRDefault="00CD529B" w:rsidP="00564572">
            <w:pPr>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15.096</w:t>
            </w:r>
          </w:p>
        </w:tc>
        <w:tc>
          <w:tcPr>
            <w:tcW w:w="288" w:type="pct"/>
            <w:tcBorders>
              <w:top w:val="nil"/>
              <w:left w:val="nil"/>
              <w:bottom w:val="nil"/>
              <w:right w:val="nil"/>
            </w:tcBorders>
            <w:shd w:val="clear" w:color="auto" w:fill="auto"/>
            <w:noWrap/>
            <w:vAlign w:val="bottom"/>
            <w:hideMark/>
          </w:tcPr>
          <w:p w14:paraId="2341BC75" w14:textId="77777777" w:rsidR="00CD529B" w:rsidRPr="00EE79BE"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C76"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C77"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78"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79"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7A"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7B"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7C"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7D"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C7E"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C7F" w14:textId="77777777" w:rsidR="00CD529B" w:rsidRPr="00EE79BE" w:rsidRDefault="00CD529B" w:rsidP="00564572">
            <w:pPr>
              <w:rPr>
                <w:sz w:val="15"/>
                <w:szCs w:val="15"/>
                <w:lang w:eastAsia="es-CO"/>
              </w:rPr>
            </w:pPr>
          </w:p>
        </w:tc>
      </w:tr>
      <w:tr w:rsidR="00CD529B" w:rsidRPr="00EE79BE" w14:paraId="2341BC8E" w14:textId="77777777" w:rsidTr="00564572">
        <w:trPr>
          <w:trHeight w:val="300"/>
        </w:trPr>
        <w:tc>
          <w:tcPr>
            <w:tcW w:w="1455" w:type="pct"/>
            <w:tcBorders>
              <w:top w:val="nil"/>
              <w:left w:val="nil"/>
              <w:bottom w:val="single" w:sz="4" w:space="0" w:color="000000"/>
              <w:right w:val="nil"/>
            </w:tcBorders>
            <w:shd w:val="clear" w:color="auto" w:fill="auto"/>
            <w:noWrap/>
            <w:vAlign w:val="bottom"/>
            <w:hideMark/>
          </w:tcPr>
          <w:p w14:paraId="2341BC81"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Horas de uso promedio año</w:t>
            </w:r>
          </w:p>
        </w:tc>
        <w:tc>
          <w:tcPr>
            <w:tcW w:w="308" w:type="pct"/>
            <w:tcBorders>
              <w:top w:val="nil"/>
              <w:left w:val="nil"/>
              <w:bottom w:val="single" w:sz="4" w:space="0" w:color="000000"/>
              <w:right w:val="nil"/>
            </w:tcBorders>
            <w:shd w:val="clear" w:color="auto" w:fill="auto"/>
            <w:noWrap/>
            <w:vAlign w:val="bottom"/>
            <w:hideMark/>
          </w:tcPr>
          <w:p w14:paraId="2341BC82" w14:textId="77777777" w:rsidR="00CD529B" w:rsidRPr="00EE79BE" w:rsidRDefault="00CD529B" w:rsidP="00564572">
            <w:pPr>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4.380</w:t>
            </w:r>
          </w:p>
        </w:tc>
        <w:tc>
          <w:tcPr>
            <w:tcW w:w="288" w:type="pct"/>
            <w:tcBorders>
              <w:top w:val="nil"/>
              <w:left w:val="nil"/>
              <w:bottom w:val="nil"/>
              <w:right w:val="nil"/>
            </w:tcBorders>
            <w:shd w:val="clear" w:color="auto" w:fill="auto"/>
            <w:noWrap/>
            <w:vAlign w:val="bottom"/>
            <w:hideMark/>
          </w:tcPr>
          <w:p w14:paraId="2341BC83" w14:textId="77777777" w:rsidR="00CD529B" w:rsidRPr="00EE79BE"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C84"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C85"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86"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87"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88"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89"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8A"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8B"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C8C"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C8D" w14:textId="77777777" w:rsidR="00CD529B" w:rsidRPr="00EE79BE" w:rsidRDefault="00CD529B" w:rsidP="00564572">
            <w:pPr>
              <w:rPr>
                <w:sz w:val="15"/>
                <w:szCs w:val="15"/>
                <w:lang w:eastAsia="es-CO"/>
              </w:rPr>
            </w:pPr>
          </w:p>
        </w:tc>
      </w:tr>
      <w:tr w:rsidR="00CD529B" w:rsidRPr="00EE79BE" w14:paraId="2341BC9C"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C8F"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Costo promedio de un equipo eficiente ($COP) (2015)</w:t>
            </w:r>
          </w:p>
        </w:tc>
        <w:tc>
          <w:tcPr>
            <w:tcW w:w="308" w:type="pct"/>
            <w:tcBorders>
              <w:top w:val="nil"/>
              <w:left w:val="nil"/>
              <w:bottom w:val="single" w:sz="4" w:space="0" w:color="auto"/>
              <w:right w:val="nil"/>
            </w:tcBorders>
            <w:shd w:val="clear" w:color="auto" w:fill="auto"/>
            <w:noWrap/>
            <w:vAlign w:val="bottom"/>
            <w:hideMark/>
          </w:tcPr>
          <w:p w14:paraId="2341BC90" w14:textId="77777777" w:rsidR="00CD529B" w:rsidRPr="00EE79BE" w:rsidRDefault="00CD529B" w:rsidP="00564572">
            <w:pPr>
              <w:jc w:val="right"/>
              <w:rPr>
                <w:rFonts w:ascii="Calibri" w:hAnsi="Calibri" w:cs="Calibri"/>
                <w:color w:val="0000FF"/>
                <w:sz w:val="15"/>
                <w:szCs w:val="15"/>
                <w:lang w:eastAsia="es-CO"/>
              </w:rPr>
            </w:pPr>
            <w:r w:rsidRPr="00EE79BE">
              <w:rPr>
                <w:rFonts w:ascii="Calibri" w:hAnsi="Calibri" w:cs="Calibri"/>
                <w:color w:val="0000FF"/>
                <w:sz w:val="15"/>
                <w:szCs w:val="15"/>
                <w:lang w:eastAsia="es-CO"/>
              </w:rPr>
              <w:t>151.068</w:t>
            </w:r>
          </w:p>
        </w:tc>
        <w:tc>
          <w:tcPr>
            <w:tcW w:w="288" w:type="pct"/>
            <w:tcBorders>
              <w:top w:val="nil"/>
              <w:left w:val="nil"/>
              <w:bottom w:val="nil"/>
              <w:right w:val="nil"/>
            </w:tcBorders>
            <w:shd w:val="clear" w:color="auto" w:fill="auto"/>
            <w:noWrap/>
            <w:vAlign w:val="bottom"/>
            <w:hideMark/>
          </w:tcPr>
          <w:p w14:paraId="2341BC91" w14:textId="77777777" w:rsidR="00CD529B" w:rsidRPr="00EE79BE" w:rsidRDefault="00CD529B" w:rsidP="00564572">
            <w:pPr>
              <w:jc w:val="right"/>
              <w:rPr>
                <w:rFonts w:ascii="Calibri" w:hAnsi="Calibri" w:cs="Calibri"/>
                <w:color w:val="0000FF"/>
                <w:sz w:val="15"/>
                <w:szCs w:val="15"/>
                <w:lang w:eastAsia="es-CO"/>
              </w:rPr>
            </w:pPr>
          </w:p>
        </w:tc>
        <w:tc>
          <w:tcPr>
            <w:tcW w:w="296" w:type="pct"/>
            <w:tcBorders>
              <w:top w:val="nil"/>
              <w:left w:val="nil"/>
              <w:bottom w:val="nil"/>
              <w:right w:val="nil"/>
            </w:tcBorders>
            <w:shd w:val="clear" w:color="auto" w:fill="auto"/>
            <w:noWrap/>
            <w:vAlign w:val="bottom"/>
            <w:hideMark/>
          </w:tcPr>
          <w:p w14:paraId="2341BC92"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C93"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94"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95"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96"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97"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98"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99"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C9A"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C9B" w14:textId="77777777" w:rsidR="00CD529B" w:rsidRPr="00EE79BE" w:rsidRDefault="00CD529B" w:rsidP="00564572">
            <w:pPr>
              <w:rPr>
                <w:sz w:val="15"/>
                <w:szCs w:val="15"/>
                <w:lang w:eastAsia="es-CO"/>
              </w:rPr>
            </w:pPr>
          </w:p>
        </w:tc>
      </w:tr>
      <w:tr w:rsidR="00CD529B" w:rsidRPr="00EE79BE" w14:paraId="2341BCAA" w14:textId="77777777" w:rsidTr="00564572">
        <w:trPr>
          <w:trHeight w:val="300"/>
        </w:trPr>
        <w:tc>
          <w:tcPr>
            <w:tcW w:w="1455" w:type="pct"/>
            <w:tcBorders>
              <w:top w:val="nil"/>
              <w:left w:val="nil"/>
              <w:bottom w:val="nil"/>
              <w:right w:val="nil"/>
            </w:tcBorders>
            <w:shd w:val="clear" w:color="auto" w:fill="auto"/>
            <w:noWrap/>
            <w:vAlign w:val="bottom"/>
            <w:hideMark/>
          </w:tcPr>
          <w:p w14:paraId="2341BC9D" w14:textId="77777777" w:rsidR="00CD529B" w:rsidRPr="00EE79BE" w:rsidRDefault="00CD529B" w:rsidP="00564572">
            <w:pPr>
              <w:rPr>
                <w:sz w:val="15"/>
                <w:szCs w:val="15"/>
                <w:lang w:eastAsia="es-CO"/>
              </w:rPr>
            </w:pPr>
          </w:p>
        </w:tc>
        <w:tc>
          <w:tcPr>
            <w:tcW w:w="308" w:type="pct"/>
            <w:tcBorders>
              <w:top w:val="nil"/>
              <w:left w:val="nil"/>
              <w:bottom w:val="nil"/>
              <w:right w:val="nil"/>
            </w:tcBorders>
            <w:shd w:val="clear" w:color="auto" w:fill="auto"/>
            <w:noWrap/>
            <w:vAlign w:val="bottom"/>
            <w:hideMark/>
          </w:tcPr>
          <w:p w14:paraId="2341BC9E" w14:textId="77777777" w:rsidR="00CD529B" w:rsidRPr="00EE79BE"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C9F"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CA0"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CA1"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A2"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A3"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A4"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A5"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A6"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A7"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CA8"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CA9" w14:textId="77777777" w:rsidR="00CD529B" w:rsidRPr="00EE79BE" w:rsidRDefault="00CD529B" w:rsidP="00564572">
            <w:pPr>
              <w:rPr>
                <w:sz w:val="15"/>
                <w:szCs w:val="15"/>
                <w:lang w:eastAsia="es-CO"/>
              </w:rPr>
            </w:pPr>
          </w:p>
        </w:tc>
      </w:tr>
      <w:tr w:rsidR="00CD529B" w:rsidRPr="00EE79BE" w14:paraId="2341BCB8" w14:textId="77777777" w:rsidTr="00564572">
        <w:trPr>
          <w:trHeight w:val="300"/>
        </w:trPr>
        <w:tc>
          <w:tcPr>
            <w:tcW w:w="1455" w:type="pct"/>
            <w:tcBorders>
              <w:top w:val="nil"/>
              <w:left w:val="nil"/>
              <w:bottom w:val="nil"/>
              <w:right w:val="nil"/>
            </w:tcBorders>
            <w:shd w:val="clear" w:color="auto" w:fill="auto"/>
            <w:noWrap/>
            <w:vAlign w:val="bottom"/>
            <w:hideMark/>
          </w:tcPr>
          <w:p w14:paraId="2341BCAB" w14:textId="77777777" w:rsidR="00CD529B" w:rsidRPr="00EE79BE" w:rsidRDefault="00CD529B" w:rsidP="00564572">
            <w:pPr>
              <w:rPr>
                <w:sz w:val="15"/>
                <w:szCs w:val="15"/>
                <w:lang w:eastAsia="es-CO"/>
              </w:rPr>
            </w:pPr>
          </w:p>
        </w:tc>
        <w:tc>
          <w:tcPr>
            <w:tcW w:w="308" w:type="pct"/>
            <w:tcBorders>
              <w:top w:val="nil"/>
              <w:left w:val="nil"/>
              <w:bottom w:val="nil"/>
              <w:right w:val="nil"/>
            </w:tcBorders>
            <w:shd w:val="clear" w:color="auto" w:fill="auto"/>
            <w:noWrap/>
            <w:vAlign w:val="bottom"/>
            <w:hideMark/>
          </w:tcPr>
          <w:p w14:paraId="2341BCAC" w14:textId="77777777" w:rsidR="00CD529B" w:rsidRPr="00EE79BE"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CAD"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CAE"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CAF"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B0"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B1"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B2"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B3"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B4"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B5"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CB6"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CB7" w14:textId="77777777" w:rsidR="00CD529B" w:rsidRPr="00EE79BE" w:rsidRDefault="00CD529B" w:rsidP="00564572">
            <w:pPr>
              <w:rPr>
                <w:sz w:val="15"/>
                <w:szCs w:val="15"/>
                <w:lang w:eastAsia="es-CO"/>
              </w:rPr>
            </w:pPr>
          </w:p>
        </w:tc>
      </w:tr>
      <w:tr w:rsidR="00CD529B" w:rsidRPr="00EE79BE" w14:paraId="2341BCC6"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CB9" w14:textId="77777777" w:rsidR="00CD529B" w:rsidRPr="00EE79BE" w:rsidRDefault="00CD529B" w:rsidP="00564572">
            <w:pPr>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$COP (2016)</w:t>
            </w: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2341BCBA"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2016</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CBB"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2017</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2341BCBC"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2018</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2341BCBD"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2019</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CBE"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2020</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CBF"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2021</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CC0"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2022</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CC1"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2023</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CC2"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2024</w:t>
            </w:r>
          </w:p>
        </w:tc>
        <w:tc>
          <w:tcPr>
            <w:tcW w:w="297" w:type="pct"/>
            <w:tcBorders>
              <w:top w:val="single" w:sz="4" w:space="0" w:color="FFFFFF"/>
              <w:left w:val="nil"/>
              <w:bottom w:val="single" w:sz="4" w:space="0" w:color="auto"/>
              <w:right w:val="single" w:sz="4" w:space="0" w:color="FFFFFF"/>
            </w:tcBorders>
            <w:shd w:val="clear" w:color="000000" w:fill="203764"/>
            <w:noWrap/>
            <w:vAlign w:val="bottom"/>
            <w:hideMark/>
          </w:tcPr>
          <w:p w14:paraId="2341BCC3"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2025</w:t>
            </w:r>
          </w:p>
        </w:tc>
        <w:tc>
          <w:tcPr>
            <w:tcW w:w="289" w:type="pct"/>
            <w:tcBorders>
              <w:top w:val="single" w:sz="4" w:space="0" w:color="FFFFFF"/>
              <w:left w:val="nil"/>
              <w:bottom w:val="single" w:sz="4" w:space="0" w:color="auto"/>
              <w:right w:val="single" w:sz="4" w:space="0" w:color="FFFFFF"/>
            </w:tcBorders>
            <w:shd w:val="clear" w:color="000000" w:fill="203764"/>
            <w:noWrap/>
            <w:vAlign w:val="bottom"/>
            <w:hideMark/>
          </w:tcPr>
          <w:p w14:paraId="2341BCC4"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2026</w:t>
            </w:r>
          </w:p>
        </w:tc>
        <w:tc>
          <w:tcPr>
            <w:tcW w:w="287" w:type="pct"/>
            <w:tcBorders>
              <w:top w:val="single" w:sz="4" w:space="0" w:color="FFFFFF"/>
              <w:left w:val="nil"/>
              <w:bottom w:val="single" w:sz="4" w:space="0" w:color="auto"/>
              <w:right w:val="single" w:sz="4" w:space="0" w:color="FFFFFF"/>
            </w:tcBorders>
            <w:shd w:val="clear" w:color="000000" w:fill="203764"/>
            <w:noWrap/>
            <w:vAlign w:val="bottom"/>
            <w:hideMark/>
          </w:tcPr>
          <w:p w14:paraId="2341BCC5"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2027</w:t>
            </w:r>
          </w:p>
        </w:tc>
      </w:tr>
      <w:tr w:rsidR="00CD529B" w:rsidRPr="00EE79BE" w14:paraId="2341BCD4" w14:textId="77777777" w:rsidTr="00564572">
        <w:trPr>
          <w:trHeight w:val="300"/>
        </w:trPr>
        <w:tc>
          <w:tcPr>
            <w:tcW w:w="1455" w:type="pct"/>
            <w:tcBorders>
              <w:top w:val="nil"/>
              <w:left w:val="nil"/>
              <w:bottom w:val="single" w:sz="4" w:space="0" w:color="000000"/>
              <w:right w:val="nil"/>
            </w:tcBorders>
            <w:shd w:val="clear" w:color="auto" w:fill="auto"/>
            <w:noWrap/>
            <w:vAlign w:val="bottom"/>
            <w:hideMark/>
          </w:tcPr>
          <w:p w14:paraId="2341BCC7"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Aires acondicionados  a corregir</w:t>
            </w:r>
          </w:p>
        </w:tc>
        <w:tc>
          <w:tcPr>
            <w:tcW w:w="308" w:type="pct"/>
            <w:tcBorders>
              <w:top w:val="nil"/>
              <w:left w:val="nil"/>
              <w:bottom w:val="single" w:sz="4" w:space="0" w:color="000000"/>
              <w:right w:val="nil"/>
            </w:tcBorders>
            <w:shd w:val="clear" w:color="auto" w:fill="auto"/>
            <w:noWrap/>
            <w:vAlign w:val="bottom"/>
            <w:hideMark/>
          </w:tcPr>
          <w:p w14:paraId="2341BCC8"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000000"/>
              <w:right w:val="nil"/>
            </w:tcBorders>
            <w:shd w:val="clear" w:color="auto" w:fill="auto"/>
            <w:noWrap/>
            <w:vAlign w:val="bottom"/>
            <w:hideMark/>
          </w:tcPr>
          <w:p w14:paraId="2341BCC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1.309</w:t>
            </w:r>
          </w:p>
        </w:tc>
        <w:tc>
          <w:tcPr>
            <w:tcW w:w="296" w:type="pct"/>
            <w:tcBorders>
              <w:top w:val="nil"/>
              <w:left w:val="nil"/>
              <w:bottom w:val="single" w:sz="4" w:space="0" w:color="000000"/>
              <w:right w:val="nil"/>
            </w:tcBorders>
            <w:shd w:val="clear" w:color="auto" w:fill="auto"/>
            <w:noWrap/>
            <w:vAlign w:val="bottom"/>
            <w:hideMark/>
          </w:tcPr>
          <w:p w14:paraId="2341BCC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single" w:sz="4" w:space="0" w:color="000000"/>
              <w:right w:val="nil"/>
            </w:tcBorders>
            <w:shd w:val="clear" w:color="auto" w:fill="auto"/>
            <w:noWrap/>
            <w:vAlign w:val="bottom"/>
            <w:hideMark/>
          </w:tcPr>
          <w:p w14:paraId="2341BCC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CC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CC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CC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CCF"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CD0"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000000"/>
              <w:right w:val="nil"/>
            </w:tcBorders>
            <w:shd w:val="clear" w:color="auto" w:fill="auto"/>
            <w:noWrap/>
            <w:vAlign w:val="bottom"/>
            <w:hideMark/>
          </w:tcPr>
          <w:p w14:paraId="2341BCD1"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nil"/>
              <w:left w:val="nil"/>
              <w:bottom w:val="single" w:sz="4" w:space="0" w:color="000000"/>
              <w:right w:val="nil"/>
            </w:tcBorders>
            <w:shd w:val="clear" w:color="auto" w:fill="auto"/>
            <w:noWrap/>
            <w:vAlign w:val="bottom"/>
            <w:hideMark/>
          </w:tcPr>
          <w:p w14:paraId="2341BCD2"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nil"/>
              <w:left w:val="nil"/>
              <w:bottom w:val="single" w:sz="4" w:space="0" w:color="000000"/>
              <w:right w:val="nil"/>
            </w:tcBorders>
            <w:shd w:val="clear" w:color="auto" w:fill="auto"/>
            <w:noWrap/>
            <w:vAlign w:val="bottom"/>
            <w:hideMark/>
          </w:tcPr>
          <w:p w14:paraId="2341BCD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r>
      <w:tr w:rsidR="00CD529B" w:rsidRPr="00EE79BE" w14:paraId="2341BCE2" w14:textId="77777777" w:rsidTr="00564572">
        <w:trPr>
          <w:trHeight w:val="300"/>
        </w:trPr>
        <w:tc>
          <w:tcPr>
            <w:tcW w:w="1455" w:type="pct"/>
            <w:tcBorders>
              <w:top w:val="nil"/>
              <w:left w:val="nil"/>
              <w:bottom w:val="nil"/>
              <w:right w:val="nil"/>
            </w:tcBorders>
            <w:shd w:val="clear" w:color="auto" w:fill="auto"/>
            <w:noWrap/>
            <w:vAlign w:val="bottom"/>
            <w:hideMark/>
          </w:tcPr>
          <w:p w14:paraId="2341BCD5" w14:textId="77777777" w:rsidR="00CD529B" w:rsidRPr="00EE79BE" w:rsidRDefault="00CD529B" w:rsidP="00564572">
            <w:pPr>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Beneficios</w:t>
            </w:r>
          </w:p>
        </w:tc>
        <w:tc>
          <w:tcPr>
            <w:tcW w:w="308" w:type="pct"/>
            <w:tcBorders>
              <w:top w:val="nil"/>
              <w:left w:val="nil"/>
              <w:bottom w:val="nil"/>
              <w:right w:val="nil"/>
            </w:tcBorders>
            <w:shd w:val="clear" w:color="auto" w:fill="auto"/>
            <w:noWrap/>
            <w:vAlign w:val="bottom"/>
            <w:hideMark/>
          </w:tcPr>
          <w:p w14:paraId="2341BCD6" w14:textId="77777777" w:rsidR="00CD529B" w:rsidRPr="00EE79BE" w:rsidRDefault="00CD529B" w:rsidP="00564572">
            <w:pPr>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CD7" w14:textId="77777777" w:rsidR="00CD529B" w:rsidRPr="003E19D8"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CD8" w14:textId="77777777" w:rsidR="00CD529B" w:rsidRPr="003E19D8"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CD9"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DA"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DB"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DC"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DD"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DE"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CDF" w14:textId="77777777" w:rsidR="00CD529B" w:rsidRPr="003E19D8"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CE0" w14:textId="77777777" w:rsidR="00CD529B" w:rsidRPr="003E19D8"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CE1" w14:textId="77777777" w:rsidR="00CD529B" w:rsidRPr="003E19D8" w:rsidRDefault="00CD529B" w:rsidP="00564572">
            <w:pPr>
              <w:rPr>
                <w:sz w:val="15"/>
                <w:szCs w:val="15"/>
                <w:lang w:eastAsia="es-CO"/>
              </w:rPr>
            </w:pPr>
          </w:p>
        </w:tc>
      </w:tr>
      <w:tr w:rsidR="00CD529B" w:rsidRPr="00EE79BE" w14:paraId="2341BCF0" w14:textId="77777777" w:rsidTr="00564572">
        <w:trPr>
          <w:trHeight w:val="300"/>
        </w:trPr>
        <w:tc>
          <w:tcPr>
            <w:tcW w:w="1455" w:type="pct"/>
            <w:tcBorders>
              <w:top w:val="nil"/>
              <w:left w:val="nil"/>
              <w:bottom w:val="nil"/>
              <w:right w:val="nil"/>
            </w:tcBorders>
            <w:shd w:val="clear" w:color="auto" w:fill="auto"/>
            <w:noWrap/>
            <w:vAlign w:val="bottom"/>
            <w:hideMark/>
          </w:tcPr>
          <w:p w14:paraId="2341BCE3" w14:textId="77777777" w:rsidR="00CD529B" w:rsidRPr="00EE79BE" w:rsidRDefault="00CD529B" w:rsidP="00564572">
            <w:pPr>
              <w:ind w:firstLineChars="100" w:firstLine="150"/>
              <w:rPr>
                <w:rFonts w:ascii="Calibri" w:hAnsi="Calibri" w:cs="Calibri"/>
                <w:color w:val="000000"/>
                <w:sz w:val="15"/>
                <w:szCs w:val="15"/>
                <w:lang w:eastAsia="es-CO"/>
              </w:rPr>
            </w:pPr>
            <w:r w:rsidRPr="00EE79BE">
              <w:rPr>
                <w:rFonts w:ascii="Calibri" w:hAnsi="Calibri" w:cs="Calibri"/>
                <w:color w:val="000000"/>
                <w:sz w:val="15"/>
                <w:szCs w:val="15"/>
                <w:lang w:eastAsia="es-CO"/>
              </w:rPr>
              <w:t>Ahorro GWh/año</w:t>
            </w:r>
          </w:p>
        </w:tc>
        <w:tc>
          <w:tcPr>
            <w:tcW w:w="308" w:type="pct"/>
            <w:tcBorders>
              <w:top w:val="nil"/>
              <w:left w:val="nil"/>
              <w:bottom w:val="nil"/>
              <w:right w:val="nil"/>
            </w:tcBorders>
            <w:shd w:val="clear" w:color="auto" w:fill="auto"/>
            <w:noWrap/>
            <w:vAlign w:val="bottom"/>
            <w:hideMark/>
          </w:tcPr>
          <w:p w14:paraId="2341BCE4" w14:textId="77777777" w:rsidR="00CD529B" w:rsidRPr="00EE79BE" w:rsidRDefault="00CD529B" w:rsidP="00564572">
            <w:pPr>
              <w:ind w:firstLineChars="100" w:firstLine="150"/>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CE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6" w:type="pct"/>
            <w:tcBorders>
              <w:top w:val="nil"/>
              <w:left w:val="nil"/>
              <w:bottom w:val="nil"/>
              <w:right w:val="nil"/>
            </w:tcBorders>
            <w:shd w:val="clear" w:color="auto" w:fill="auto"/>
            <w:noWrap/>
            <w:vAlign w:val="bottom"/>
            <w:hideMark/>
          </w:tcPr>
          <w:p w14:paraId="2341BCE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6" w:type="pct"/>
            <w:tcBorders>
              <w:top w:val="nil"/>
              <w:left w:val="nil"/>
              <w:bottom w:val="nil"/>
              <w:right w:val="nil"/>
            </w:tcBorders>
            <w:shd w:val="clear" w:color="auto" w:fill="auto"/>
            <w:noWrap/>
            <w:vAlign w:val="bottom"/>
            <w:hideMark/>
          </w:tcPr>
          <w:p w14:paraId="2341BCE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7" w:type="pct"/>
            <w:tcBorders>
              <w:top w:val="nil"/>
              <w:left w:val="nil"/>
              <w:bottom w:val="nil"/>
              <w:right w:val="nil"/>
            </w:tcBorders>
            <w:shd w:val="clear" w:color="auto" w:fill="auto"/>
            <w:noWrap/>
            <w:vAlign w:val="bottom"/>
            <w:hideMark/>
          </w:tcPr>
          <w:p w14:paraId="2341BCE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7" w:type="pct"/>
            <w:tcBorders>
              <w:top w:val="nil"/>
              <w:left w:val="nil"/>
              <w:bottom w:val="nil"/>
              <w:right w:val="nil"/>
            </w:tcBorders>
            <w:shd w:val="clear" w:color="auto" w:fill="auto"/>
            <w:noWrap/>
            <w:vAlign w:val="bottom"/>
            <w:hideMark/>
          </w:tcPr>
          <w:p w14:paraId="2341BCE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7" w:type="pct"/>
            <w:tcBorders>
              <w:top w:val="nil"/>
              <w:left w:val="nil"/>
              <w:bottom w:val="nil"/>
              <w:right w:val="nil"/>
            </w:tcBorders>
            <w:shd w:val="clear" w:color="auto" w:fill="auto"/>
            <w:noWrap/>
            <w:vAlign w:val="bottom"/>
            <w:hideMark/>
          </w:tcPr>
          <w:p w14:paraId="2341BCE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7" w:type="pct"/>
            <w:tcBorders>
              <w:top w:val="nil"/>
              <w:left w:val="nil"/>
              <w:bottom w:val="nil"/>
              <w:right w:val="nil"/>
            </w:tcBorders>
            <w:shd w:val="clear" w:color="auto" w:fill="auto"/>
            <w:noWrap/>
            <w:vAlign w:val="bottom"/>
            <w:hideMark/>
          </w:tcPr>
          <w:p w14:paraId="2341BCE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7" w:type="pct"/>
            <w:tcBorders>
              <w:top w:val="nil"/>
              <w:left w:val="nil"/>
              <w:bottom w:val="nil"/>
              <w:right w:val="nil"/>
            </w:tcBorders>
            <w:shd w:val="clear" w:color="auto" w:fill="auto"/>
            <w:noWrap/>
            <w:vAlign w:val="bottom"/>
            <w:hideMark/>
          </w:tcPr>
          <w:p w14:paraId="2341BCE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97" w:type="pct"/>
            <w:tcBorders>
              <w:top w:val="nil"/>
              <w:left w:val="nil"/>
              <w:bottom w:val="nil"/>
              <w:right w:val="nil"/>
            </w:tcBorders>
            <w:shd w:val="clear" w:color="auto" w:fill="auto"/>
            <w:noWrap/>
            <w:vAlign w:val="bottom"/>
            <w:hideMark/>
          </w:tcPr>
          <w:p w14:paraId="2341BCE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89" w:type="pct"/>
            <w:tcBorders>
              <w:top w:val="nil"/>
              <w:left w:val="nil"/>
              <w:bottom w:val="nil"/>
              <w:right w:val="nil"/>
            </w:tcBorders>
            <w:shd w:val="clear" w:color="auto" w:fill="auto"/>
            <w:noWrap/>
            <w:vAlign w:val="bottom"/>
            <w:hideMark/>
          </w:tcPr>
          <w:p w14:paraId="2341BCE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10</w:t>
            </w:r>
          </w:p>
        </w:tc>
        <w:tc>
          <w:tcPr>
            <w:tcW w:w="287" w:type="pct"/>
            <w:tcBorders>
              <w:top w:val="nil"/>
              <w:left w:val="nil"/>
              <w:bottom w:val="nil"/>
              <w:right w:val="nil"/>
            </w:tcBorders>
            <w:shd w:val="clear" w:color="auto" w:fill="auto"/>
            <w:noWrap/>
            <w:vAlign w:val="bottom"/>
            <w:hideMark/>
          </w:tcPr>
          <w:p w14:paraId="2341BCEF"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10</w:t>
            </w:r>
          </w:p>
        </w:tc>
      </w:tr>
      <w:tr w:rsidR="00CD529B" w:rsidRPr="00EE79BE" w14:paraId="2341BCFE" w14:textId="77777777" w:rsidTr="00564572">
        <w:trPr>
          <w:trHeight w:val="300"/>
        </w:trPr>
        <w:tc>
          <w:tcPr>
            <w:tcW w:w="1455" w:type="pct"/>
            <w:tcBorders>
              <w:top w:val="nil"/>
              <w:left w:val="nil"/>
              <w:bottom w:val="single" w:sz="4" w:space="0" w:color="BFBFBF"/>
              <w:right w:val="nil"/>
            </w:tcBorders>
            <w:shd w:val="clear" w:color="auto" w:fill="auto"/>
            <w:noWrap/>
            <w:vAlign w:val="bottom"/>
            <w:hideMark/>
          </w:tcPr>
          <w:p w14:paraId="2341BCF1"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Emisiones de 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 xml:space="preserve"> evitadas (TonCO</w:t>
            </w:r>
            <w:r w:rsidRPr="00CD529B">
              <w:rPr>
                <w:rFonts w:ascii="Calibri" w:hAnsi="Calibri" w:cs="Calibri"/>
                <w:color w:val="000000"/>
                <w:sz w:val="15"/>
                <w:szCs w:val="15"/>
                <w:vertAlign w:val="subscript"/>
                <w:lang w:val="es-ES_tradnl" w:eastAsia="es-CO"/>
              </w:rPr>
              <w:t>2</w:t>
            </w:r>
            <w:r w:rsidRPr="00CD529B">
              <w:rPr>
                <w:rFonts w:ascii="Calibri" w:hAnsi="Calibri" w:cs="Calibri"/>
                <w:color w:val="000000"/>
                <w:sz w:val="15"/>
                <w:szCs w:val="15"/>
                <w:lang w:val="es-ES_tradnl" w:eastAsia="es-CO"/>
              </w:rPr>
              <w:t>)</w:t>
            </w:r>
          </w:p>
        </w:tc>
        <w:tc>
          <w:tcPr>
            <w:tcW w:w="308" w:type="pct"/>
            <w:tcBorders>
              <w:top w:val="nil"/>
              <w:left w:val="nil"/>
              <w:bottom w:val="single" w:sz="4" w:space="0" w:color="BFBFBF"/>
              <w:right w:val="nil"/>
            </w:tcBorders>
            <w:shd w:val="clear" w:color="auto" w:fill="auto"/>
            <w:noWrap/>
            <w:vAlign w:val="bottom"/>
            <w:hideMark/>
          </w:tcPr>
          <w:p w14:paraId="2341BCF2"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8" w:type="pct"/>
            <w:tcBorders>
              <w:top w:val="nil"/>
              <w:left w:val="nil"/>
              <w:bottom w:val="single" w:sz="4" w:space="0" w:color="BFBFBF"/>
              <w:right w:val="nil"/>
            </w:tcBorders>
            <w:shd w:val="clear" w:color="auto" w:fill="auto"/>
            <w:noWrap/>
            <w:vAlign w:val="bottom"/>
            <w:hideMark/>
          </w:tcPr>
          <w:p w14:paraId="2341BCF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6" w:type="pct"/>
            <w:tcBorders>
              <w:top w:val="nil"/>
              <w:left w:val="nil"/>
              <w:bottom w:val="single" w:sz="4" w:space="0" w:color="BFBFBF"/>
              <w:right w:val="nil"/>
            </w:tcBorders>
            <w:shd w:val="clear" w:color="auto" w:fill="auto"/>
            <w:noWrap/>
            <w:vAlign w:val="bottom"/>
            <w:hideMark/>
          </w:tcPr>
          <w:p w14:paraId="2341BCF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6" w:type="pct"/>
            <w:tcBorders>
              <w:top w:val="nil"/>
              <w:left w:val="nil"/>
              <w:bottom w:val="single" w:sz="4" w:space="0" w:color="BFBFBF"/>
              <w:right w:val="nil"/>
            </w:tcBorders>
            <w:shd w:val="clear" w:color="auto" w:fill="auto"/>
            <w:noWrap/>
            <w:vAlign w:val="bottom"/>
            <w:hideMark/>
          </w:tcPr>
          <w:p w14:paraId="2341BCF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7" w:type="pct"/>
            <w:tcBorders>
              <w:top w:val="nil"/>
              <w:left w:val="nil"/>
              <w:bottom w:val="single" w:sz="4" w:space="0" w:color="BFBFBF"/>
              <w:right w:val="nil"/>
            </w:tcBorders>
            <w:shd w:val="clear" w:color="auto" w:fill="auto"/>
            <w:noWrap/>
            <w:vAlign w:val="bottom"/>
            <w:hideMark/>
          </w:tcPr>
          <w:p w14:paraId="2341BCF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7" w:type="pct"/>
            <w:tcBorders>
              <w:top w:val="nil"/>
              <w:left w:val="nil"/>
              <w:bottom w:val="single" w:sz="4" w:space="0" w:color="BFBFBF"/>
              <w:right w:val="nil"/>
            </w:tcBorders>
            <w:shd w:val="clear" w:color="auto" w:fill="auto"/>
            <w:noWrap/>
            <w:vAlign w:val="bottom"/>
            <w:hideMark/>
          </w:tcPr>
          <w:p w14:paraId="2341BCF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7" w:type="pct"/>
            <w:tcBorders>
              <w:top w:val="nil"/>
              <w:left w:val="nil"/>
              <w:bottom w:val="single" w:sz="4" w:space="0" w:color="BFBFBF"/>
              <w:right w:val="nil"/>
            </w:tcBorders>
            <w:shd w:val="clear" w:color="auto" w:fill="auto"/>
            <w:noWrap/>
            <w:vAlign w:val="bottom"/>
            <w:hideMark/>
          </w:tcPr>
          <w:p w14:paraId="2341BCF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7" w:type="pct"/>
            <w:tcBorders>
              <w:top w:val="nil"/>
              <w:left w:val="nil"/>
              <w:bottom w:val="single" w:sz="4" w:space="0" w:color="BFBFBF"/>
              <w:right w:val="nil"/>
            </w:tcBorders>
            <w:shd w:val="clear" w:color="auto" w:fill="auto"/>
            <w:noWrap/>
            <w:vAlign w:val="bottom"/>
            <w:hideMark/>
          </w:tcPr>
          <w:p w14:paraId="2341BCF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7" w:type="pct"/>
            <w:tcBorders>
              <w:top w:val="nil"/>
              <w:left w:val="nil"/>
              <w:bottom w:val="single" w:sz="4" w:space="0" w:color="BFBFBF"/>
              <w:right w:val="nil"/>
            </w:tcBorders>
            <w:shd w:val="clear" w:color="auto" w:fill="auto"/>
            <w:noWrap/>
            <w:vAlign w:val="bottom"/>
            <w:hideMark/>
          </w:tcPr>
          <w:p w14:paraId="2341BCF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97" w:type="pct"/>
            <w:tcBorders>
              <w:top w:val="nil"/>
              <w:left w:val="nil"/>
              <w:bottom w:val="single" w:sz="4" w:space="0" w:color="BFBFBF"/>
              <w:right w:val="nil"/>
            </w:tcBorders>
            <w:shd w:val="clear" w:color="auto" w:fill="auto"/>
            <w:noWrap/>
            <w:vAlign w:val="bottom"/>
            <w:hideMark/>
          </w:tcPr>
          <w:p w14:paraId="2341BCF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89" w:type="pct"/>
            <w:tcBorders>
              <w:top w:val="nil"/>
              <w:left w:val="nil"/>
              <w:bottom w:val="single" w:sz="4" w:space="0" w:color="BFBFBF"/>
              <w:right w:val="nil"/>
            </w:tcBorders>
            <w:shd w:val="clear" w:color="auto" w:fill="auto"/>
            <w:noWrap/>
            <w:vAlign w:val="bottom"/>
            <w:hideMark/>
          </w:tcPr>
          <w:p w14:paraId="2341BCF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1.349</w:t>
            </w:r>
          </w:p>
        </w:tc>
        <w:tc>
          <w:tcPr>
            <w:tcW w:w="287" w:type="pct"/>
            <w:tcBorders>
              <w:top w:val="nil"/>
              <w:left w:val="nil"/>
              <w:bottom w:val="single" w:sz="4" w:space="0" w:color="BFBFBF"/>
              <w:right w:val="nil"/>
            </w:tcBorders>
            <w:shd w:val="clear" w:color="auto" w:fill="auto"/>
            <w:noWrap/>
            <w:vAlign w:val="bottom"/>
            <w:hideMark/>
          </w:tcPr>
          <w:p w14:paraId="2341BCF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1.349</w:t>
            </w:r>
          </w:p>
        </w:tc>
      </w:tr>
      <w:tr w:rsidR="00CD529B" w:rsidRPr="00EE79BE" w14:paraId="2341BD0C" w14:textId="77777777" w:rsidTr="00564572">
        <w:trPr>
          <w:trHeight w:val="300"/>
        </w:trPr>
        <w:tc>
          <w:tcPr>
            <w:tcW w:w="1455" w:type="pct"/>
            <w:tcBorders>
              <w:top w:val="nil"/>
              <w:left w:val="nil"/>
              <w:bottom w:val="nil"/>
              <w:right w:val="nil"/>
            </w:tcBorders>
            <w:shd w:val="clear" w:color="auto" w:fill="auto"/>
            <w:noWrap/>
            <w:vAlign w:val="bottom"/>
            <w:hideMark/>
          </w:tcPr>
          <w:p w14:paraId="2341BCFF"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en Tarifa para industrial ($COP Millones)</w:t>
            </w:r>
          </w:p>
        </w:tc>
        <w:tc>
          <w:tcPr>
            <w:tcW w:w="308" w:type="pct"/>
            <w:tcBorders>
              <w:top w:val="nil"/>
              <w:left w:val="nil"/>
              <w:bottom w:val="nil"/>
              <w:right w:val="nil"/>
            </w:tcBorders>
            <w:shd w:val="clear" w:color="auto" w:fill="auto"/>
            <w:noWrap/>
            <w:vAlign w:val="bottom"/>
            <w:hideMark/>
          </w:tcPr>
          <w:p w14:paraId="2341BD00"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8" w:type="pct"/>
            <w:tcBorders>
              <w:top w:val="nil"/>
              <w:left w:val="nil"/>
              <w:bottom w:val="nil"/>
              <w:right w:val="nil"/>
            </w:tcBorders>
            <w:shd w:val="clear" w:color="auto" w:fill="auto"/>
            <w:noWrap/>
            <w:vAlign w:val="bottom"/>
            <w:hideMark/>
          </w:tcPr>
          <w:p w14:paraId="2341BD01"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6" w:type="pct"/>
            <w:tcBorders>
              <w:top w:val="nil"/>
              <w:left w:val="nil"/>
              <w:bottom w:val="nil"/>
              <w:right w:val="nil"/>
            </w:tcBorders>
            <w:shd w:val="clear" w:color="auto" w:fill="auto"/>
            <w:noWrap/>
            <w:vAlign w:val="bottom"/>
            <w:hideMark/>
          </w:tcPr>
          <w:p w14:paraId="2341BD02"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6" w:type="pct"/>
            <w:tcBorders>
              <w:top w:val="nil"/>
              <w:left w:val="nil"/>
              <w:bottom w:val="nil"/>
              <w:right w:val="nil"/>
            </w:tcBorders>
            <w:shd w:val="clear" w:color="auto" w:fill="auto"/>
            <w:noWrap/>
            <w:vAlign w:val="bottom"/>
            <w:hideMark/>
          </w:tcPr>
          <w:p w14:paraId="2341BD0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7" w:type="pct"/>
            <w:tcBorders>
              <w:top w:val="nil"/>
              <w:left w:val="nil"/>
              <w:bottom w:val="nil"/>
              <w:right w:val="nil"/>
            </w:tcBorders>
            <w:shd w:val="clear" w:color="auto" w:fill="auto"/>
            <w:noWrap/>
            <w:vAlign w:val="bottom"/>
            <w:hideMark/>
          </w:tcPr>
          <w:p w14:paraId="2341BD0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7" w:type="pct"/>
            <w:tcBorders>
              <w:top w:val="nil"/>
              <w:left w:val="nil"/>
              <w:bottom w:val="nil"/>
              <w:right w:val="nil"/>
            </w:tcBorders>
            <w:shd w:val="clear" w:color="auto" w:fill="auto"/>
            <w:noWrap/>
            <w:vAlign w:val="bottom"/>
            <w:hideMark/>
          </w:tcPr>
          <w:p w14:paraId="2341BD0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7" w:type="pct"/>
            <w:tcBorders>
              <w:top w:val="nil"/>
              <w:left w:val="nil"/>
              <w:bottom w:val="nil"/>
              <w:right w:val="nil"/>
            </w:tcBorders>
            <w:shd w:val="clear" w:color="auto" w:fill="auto"/>
            <w:noWrap/>
            <w:vAlign w:val="bottom"/>
            <w:hideMark/>
          </w:tcPr>
          <w:p w14:paraId="2341BD0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7" w:type="pct"/>
            <w:tcBorders>
              <w:top w:val="nil"/>
              <w:left w:val="nil"/>
              <w:bottom w:val="nil"/>
              <w:right w:val="nil"/>
            </w:tcBorders>
            <w:shd w:val="clear" w:color="auto" w:fill="auto"/>
            <w:noWrap/>
            <w:vAlign w:val="bottom"/>
            <w:hideMark/>
          </w:tcPr>
          <w:p w14:paraId="2341BD0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7" w:type="pct"/>
            <w:tcBorders>
              <w:top w:val="nil"/>
              <w:left w:val="nil"/>
              <w:bottom w:val="nil"/>
              <w:right w:val="nil"/>
            </w:tcBorders>
            <w:shd w:val="clear" w:color="auto" w:fill="auto"/>
            <w:noWrap/>
            <w:vAlign w:val="bottom"/>
            <w:hideMark/>
          </w:tcPr>
          <w:p w14:paraId="2341BD0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97" w:type="pct"/>
            <w:tcBorders>
              <w:top w:val="nil"/>
              <w:left w:val="nil"/>
              <w:bottom w:val="nil"/>
              <w:right w:val="nil"/>
            </w:tcBorders>
            <w:shd w:val="clear" w:color="auto" w:fill="auto"/>
            <w:noWrap/>
            <w:vAlign w:val="bottom"/>
            <w:hideMark/>
          </w:tcPr>
          <w:p w14:paraId="2341BD0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89" w:type="pct"/>
            <w:tcBorders>
              <w:top w:val="nil"/>
              <w:left w:val="nil"/>
              <w:bottom w:val="nil"/>
              <w:right w:val="nil"/>
            </w:tcBorders>
            <w:shd w:val="clear" w:color="auto" w:fill="auto"/>
            <w:noWrap/>
            <w:vAlign w:val="bottom"/>
            <w:hideMark/>
          </w:tcPr>
          <w:p w14:paraId="2341BD0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2.572</w:t>
            </w:r>
          </w:p>
        </w:tc>
        <w:tc>
          <w:tcPr>
            <w:tcW w:w="287" w:type="pct"/>
            <w:tcBorders>
              <w:top w:val="nil"/>
              <w:left w:val="nil"/>
              <w:bottom w:val="nil"/>
              <w:right w:val="nil"/>
            </w:tcBorders>
            <w:shd w:val="clear" w:color="auto" w:fill="auto"/>
            <w:noWrap/>
            <w:vAlign w:val="bottom"/>
            <w:hideMark/>
          </w:tcPr>
          <w:p w14:paraId="2341BD0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2.572</w:t>
            </w:r>
          </w:p>
        </w:tc>
      </w:tr>
      <w:tr w:rsidR="00CD529B" w:rsidRPr="00EE79BE" w14:paraId="2341BD1A" w14:textId="77777777" w:rsidTr="00564572">
        <w:trPr>
          <w:trHeight w:val="300"/>
        </w:trPr>
        <w:tc>
          <w:tcPr>
            <w:tcW w:w="1455" w:type="pct"/>
            <w:tcBorders>
              <w:top w:val="nil"/>
              <w:left w:val="nil"/>
              <w:bottom w:val="nil"/>
              <w:right w:val="nil"/>
            </w:tcBorders>
            <w:shd w:val="clear" w:color="auto" w:fill="auto"/>
            <w:noWrap/>
            <w:vAlign w:val="bottom"/>
            <w:hideMark/>
          </w:tcPr>
          <w:p w14:paraId="2341BD0D"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menores emisiones de CO</w:t>
            </w:r>
            <w:r w:rsidRPr="00CD529B">
              <w:rPr>
                <w:rFonts w:ascii="Calibri" w:hAnsi="Calibri" w:cs="Calibri"/>
                <w:color w:val="000000"/>
                <w:sz w:val="15"/>
                <w:szCs w:val="15"/>
                <w:vertAlign w:val="subscript"/>
                <w:lang w:val="es-ES_tradnl" w:eastAsia="es-CO"/>
              </w:rPr>
              <w:t xml:space="preserve">2 </w:t>
            </w:r>
            <w:r w:rsidRPr="00CD529B">
              <w:rPr>
                <w:rFonts w:ascii="Calibri" w:hAnsi="Calibri" w:cs="Calibri"/>
                <w:color w:val="000000"/>
                <w:sz w:val="15"/>
                <w:szCs w:val="15"/>
                <w:lang w:val="es-ES_tradnl" w:eastAsia="es-CO"/>
              </w:rPr>
              <w:t>($COP Millones)</w:t>
            </w:r>
          </w:p>
        </w:tc>
        <w:tc>
          <w:tcPr>
            <w:tcW w:w="308" w:type="pct"/>
            <w:tcBorders>
              <w:top w:val="nil"/>
              <w:left w:val="nil"/>
              <w:bottom w:val="nil"/>
              <w:right w:val="nil"/>
            </w:tcBorders>
            <w:shd w:val="clear" w:color="auto" w:fill="auto"/>
            <w:noWrap/>
            <w:vAlign w:val="bottom"/>
            <w:hideMark/>
          </w:tcPr>
          <w:p w14:paraId="2341BD0E" w14:textId="77777777" w:rsidR="00CD529B" w:rsidRPr="00CD529B" w:rsidRDefault="00CD529B" w:rsidP="00564572">
            <w:pPr>
              <w:ind w:firstLineChars="100" w:firstLine="150"/>
              <w:rPr>
                <w:rFonts w:ascii="Calibri" w:hAnsi="Calibri" w:cs="Calibri"/>
                <w:color w:val="000000"/>
                <w:sz w:val="15"/>
                <w:szCs w:val="15"/>
                <w:lang w:val="es-ES_tradnl" w:eastAsia="es-CO"/>
              </w:rPr>
            </w:pPr>
          </w:p>
        </w:tc>
        <w:tc>
          <w:tcPr>
            <w:tcW w:w="288" w:type="pct"/>
            <w:tcBorders>
              <w:top w:val="nil"/>
              <w:left w:val="nil"/>
              <w:bottom w:val="nil"/>
              <w:right w:val="nil"/>
            </w:tcBorders>
            <w:shd w:val="clear" w:color="auto" w:fill="auto"/>
            <w:noWrap/>
            <w:vAlign w:val="bottom"/>
            <w:hideMark/>
          </w:tcPr>
          <w:p w14:paraId="2341BD0F"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6" w:type="pct"/>
            <w:tcBorders>
              <w:top w:val="nil"/>
              <w:left w:val="nil"/>
              <w:bottom w:val="nil"/>
              <w:right w:val="nil"/>
            </w:tcBorders>
            <w:shd w:val="clear" w:color="auto" w:fill="auto"/>
            <w:noWrap/>
            <w:vAlign w:val="bottom"/>
            <w:hideMark/>
          </w:tcPr>
          <w:p w14:paraId="2341BD10"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6" w:type="pct"/>
            <w:tcBorders>
              <w:top w:val="nil"/>
              <w:left w:val="nil"/>
              <w:bottom w:val="nil"/>
              <w:right w:val="nil"/>
            </w:tcBorders>
            <w:shd w:val="clear" w:color="auto" w:fill="auto"/>
            <w:noWrap/>
            <w:vAlign w:val="bottom"/>
            <w:hideMark/>
          </w:tcPr>
          <w:p w14:paraId="2341BD11"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7" w:type="pct"/>
            <w:tcBorders>
              <w:top w:val="nil"/>
              <w:left w:val="nil"/>
              <w:bottom w:val="nil"/>
              <w:right w:val="nil"/>
            </w:tcBorders>
            <w:shd w:val="clear" w:color="auto" w:fill="auto"/>
            <w:noWrap/>
            <w:vAlign w:val="bottom"/>
            <w:hideMark/>
          </w:tcPr>
          <w:p w14:paraId="2341BD12"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7" w:type="pct"/>
            <w:tcBorders>
              <w:top w:val="nil"/>
              <w:left w:val="nil"/>
              <w:bottom w:val="nil"/>
              <w:right w:val="nil"/>
            </w:tcBorders>
            <w:shd w:val="clear" w:color="auto" w:fill="auto"/>
            <w:noWrap/>
            <w:vAlign w:val="bottom"/>
            <w:hideMark/>
          </w:tcPr>
          <w:p w14:paraId="2341BD1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7" w:type="pct"/>
            <w:tcBorders>
              <w:top w:val="nil"/>
              <w:left w:val="nil"/>
              <w:bottom w:val="nil"/>
              <w:right w:val="nil"/>
            </w:tcBorders>
            <w:shd w:val="clear" w:color="auto" w:fill="auto"/>
            <w:noWrap/>
            <w:vAlign w:val="bottom"/>
            <w:hideMark/>
          </w:tcPr>
          <w:p w14:paraId="2341BD1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7" w:type="pct"/>
            <w:tcBorders>
              <w:top w:val="nil"/>
              <w:left w:val="nil"/>
              <w:bottom w:val="nil"/>
              <w:right w:val="nil"/>
            </w:tcBorders>
            <w:shd w:val="clear" w:color="auto" w:fill="auto"/>
            <w:noWrap/>
            <w:vAlign w:val="bottom"/>
            <w:hideMark/>
          </w:tcPr>
          <w:p w14:paraId="2341BD1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7" w:type="pct"/>
            <w:tcBorders>
              <w:top w:val="nil"/>
              <w:left w:val="nil"/>
              <w:bottom w:val="nil"/>
              <w:right w:val="nil"/>
            </w:tcBorders>
            <w:shd w:val="clear" w:color="auto" w:fill="auto"/>
            <w:noWrap/>
            <w:vAlign w:val="bottom"/>
            <w:hideMark/>
          </w:tcPr>
          <w:p w14:paraId="2341BD1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97" w:type="pct"/>
            <w:tcBorders>
              <w:top w:val="nil"/>
              <w:left w:val="nil"/>
              <w:bottom w:val="nil"/>
              <w:right w:val="nil"/>
            </w:tcBorders>
            <w:shd w:val="clear" w:color="auto" w:fill="auto"/>
            <w:noWrap/>
            <w:vAlign w:val="bottom"/>
            <w:hideMark/>
          </w:tcPr>
          <w:p w14:paraId="2341BD1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89" w:type="pct"/>
            <w:tcBorders>
              <w:top w:val="nil"/>
              <w:left w:val="nil"/>
              <w:bottom w:val="nil"/>
              <w:right w:val="nil"/>
            </w:tcBorders>
            <w:shd w:val="clear" w:color="auto" w:fill="auto"/>
            <w:noWrap/>
            <w:vAlign w:val="bottom"/>
            <w:hideMark/>
          </w:tcPr>
          <w:p w14:paraId="2341BD1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24</w:t>
            </w:r>
          </w:p>
        </w:tc>
        <w:tc>
          <w:tcPr>
            <w:tcW w:w="287" w:type="pct"/>
            <w:tcBorders>
              <w:top w:val="nil"/>
              <w:left w:val="nil"/>
              <w:bottom w:val="nil"/>
              <w:right w:val="nil"/>
            </w:tcBorders>
            <w:shd w:val="clear" w:color="auto" w:fill="auto"/>
            <w:noWrap/>
            <w:vAlign w:val="bottom"/>
            <w:hideMark/>
          </w:tcPr>
          <w:p w14:paraId="2341BD1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24</w:t>
            </w:r>
          </w:p>
        </w:tc>
      </w:tr>
      <w:tr w:rsidR="00CD529B" w:rsidRPr="00EE79BE" w14:paraId="2341BD28"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D1B"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Ahorro por planta de generación evitada ($COP Millones)</w:t>
            </w:r>
          </w:p>
        </w:tc>
        <w:tc>
          <w:tcPr>
            <w:tcW w:w="308" w:type="pct"/>
            <w:tcBorders>
              <w:top w:val="nil"/>
              <w:left w:val="nil"/>
              <w:bottom w:val="single" w:sz="4" w:space="0" w:color="auto"/>
              <w:right w:val="nil"/>
            </w:tcBorders>
            <w:shd w:val="clear" w:color="auto" w:fill="auto"/>
            <w:noWrap/>
            <w:vAlign w:val="bottom"/>
            <w:hideMark/>
          </w:tcPr>
          <w:p w14:paraId="2341BD1C"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8" w:type="pct"/>
            <w:tcBorders>
              <w:top w:val="nil"/>
              <w:left w:val="nil"/>
              <w:bottom w:val="single" w:sz="4" w:space="0" w:color="auto"/>
              <w:right w:val="nil"/>
            </w:tcBorders>
            <w:shd w:val="clear" w:color="auto" w:fill="auto"/>
            <w:noWrap/>
            <w:vAlign w:val="bottom"/>
            <w:hideMark/>
          </w:tcPr>
          <w:p w14:paraId="2341BD1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2341BD1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single" w:sz="4" w:space="0" w:color="auto"/>
              <w:right w:val="nil"/>
            </w:tcBorders>
            <w:shd w:val="clear" w:color="auto" w:fill="auto"/>
            <w:noWrap/>
            <w:vAlign w:val="bottom"/>
            <w:hideMark/>
          </w:tcPr>
          <w:p w14:paraId="2341BD1F"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D20"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12.554</w:t>
            </w:r>
          </w:p>
        </w:tc>
        <w:tc>
          <w:tcPr>
            <w:tcW w:w="297" w:type="pct"/>
            <w:tcBorders>
              <w:top w:val="nil"/>
              <w:left w:val="nil"/>
              <w:bottom w:val="single" w:sz="4" w:space="0" w:color="auto"/>
              <w:right w:val="nil"/>
            </w:tcBorders>
            <w:shd w:val="clear" w:color="auto" w:fill="auto"/>
            <w:noWrap/>
            <w:vAlign w:val="bottom"/>
            <w:hideMark/>
          </w:tcPr>
          <w:p w14:paraId="2341BD21"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D22"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D2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D2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single" w:sz="4" w:space="0" w:color="auto"/>
              <w:right w:val="nil"/>
            </w:tcBorders>
            <w:shd w:val="clear" w:color="auto" w:fill="auto"/>
            <w:noWrap/>
            <w:vAlign w:val="bottom"/>
            <w:hideMark/>
          </w:tcPr>
          <w:p w14:paraId="2341BD2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nil"/>
              <w:left w:val="nil"/>
              <w:bottom w:val="single" w:sz="4" w:space="0" w:color="auto"/>
              <w:right w:val="nil"/>
            </w:tcBorders>
            <w:shd w:val="clear" w:color="auto" w:fill="auto"/>
            <w:noWrap/>
            <w:vAlign w:val="bottom"/>
            <w:hideMark/>
          </w:tcPr>
          <w:p w14:paraId="2341BD2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nil"/>
              <w:left w:val="nil"/>
              <w:bottom w:val="single" w:sz="4" w:space="0" w:color="auto"/>
              <w:right w:val="nil"/>
            </w:tcBorders>
            <w:shd w:val="clear" w:color="auto" w:fill="auto"/>
            <w:noWrap/>
            <w:vAlign w:val="bottom"/>
            <w:hideMark/>
          </w:tcPr>
          <w:p w14:paraId="2341BD2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r>
      <w:tr w:rsidR="00CD529B" w:rsidRPr="00EE79BE" w14:paraId="2341BD36"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D29" w14:textId="77777777" w:rsidR="00CD529B" w:rsidRPr="00EE79BE" w:rsidRDefault="00CD529B" w:rsidP="00564572">
            <w:pPr>
              <w:ind w:firstLineChars="100" w:firstLine="150"/>
              <w:rPr>
                <w:rFonts w:ascii="Calibri" w:hAnsi="Calibri" w:cs="Calibri"/>
                <w:color w:val="000000"/>
                <w:sz w:val="15"/>
                <w:szCs w:val="15"/>
                <w:lang w:eastAsia="es-CO"/>
              </w:rPr>
            </w:pPr>
            <w:r w:rsidRPr="00EE79BE">
              <w:rPr>
                <w:rFonts w:ascii="Calibri" w:hAnsi="Calibri" w:cs="Calibri"/>
                <w:color w:val="000000"/>
                <w:sz w:val="15"/>
                <w:szCs w:val="15"/>
                <w:lang w:eastAsia="es-CO"/>
              </w:rPr>
              <w:t>Total Beneficios ($COP Millones)</w:t>
            </w:r>
          </w:p>
        </w:tc>
        <w:tc>
          <w:tcPr>
            <w:tcW w:w="308" w:type="pct"/>
            <w:tcBorders>
              <w:top w:val="nil"/>
              <w:left w:val="nil"/>
              <w:bottom w:val="single" w:sz="4" w:space="0" w:color="auto"/>
              <w:right w:val="nil"/>
            </w:tcBorders>
            <w:shd w:val="clear" w:color="auto" w:fill="auto"/>
            <w:noWrap/>
            <w:vAlign w:val="bottom"/>
            <w:hideMark/>
          </w:tcPr>
          <w:p w14:paraId="2341BD2A"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2341BD2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6" w:type="pct"/>
            <w:tcBorders>
              <w:top w:val="nil"/>
              <w:left w:val="nil"/>
              <w:bottom w:val="single" w:sz="4" w:space="0" w:color="auto"/>
              <w:right w:val="nil"/>
            </w:tcBorders>
            <w:shd w:val="clear" w:color="auto" w:fill="auto"/>
            <w:noWrap/>
            <w:vAlign w:val="bottom"/>
            <w:hideMark/>
          </w:tcPr>
          <w:p w14:paraId="2341BD2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6" w:type="pct"/>
            <w:tcBorders>
              <w:top w:val="nil"/>
              <w:left w:val="nil"/>
              <w:bottom w:val="single" w:sz="4" w:space="0" w:color="auto"/>
              <w:right w:val="nil"/>
            </w:tcBorders>
            <w:shd w:val="clear" w:color="auto" w:fill="auto"/>
            <w:noWrap/>
            <w:vAlign w:val="bottom"/>
            <w:hideMark/>
          </w:tcPr>
          <w:p w14:paraId="2341BD2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2341BD2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15.150</w:t>
            </w:r>
          </w:p>
        </w:tc>
        <w:tc>
          <w:tcPr>
            <w:tcW w:w="297" w:type="pct"/>
            <w:tcBorders>
              <w:top w:val="nil"/>
              <w:left w:val="nil"/>
              <w:bottom w:val="single" w:sz="4" w:space="0" w:color="auto"/>
              <w:right w:val="nil"/>
            </w:tcBorders>
            <w:shd w:val="clear" w:color="auto" w:fill="auto"/>
            <w:noWrap/>
            <w:vAlign w:val="bottom"/>
            <w:hideMark/>
          </w:tcPr>
          <w:p w14:paraId="2341BD2F"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2341BD30"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2341BD31"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2341BD32"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2341BD3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89" w:type="pct"/>
            <w:tcBorders>
              <w:top w:val="nil"/>
              <w:left w:val="nil"/>
              <w:bottom w:val="single" w:sz="4" w:space="0" w:color="auto"/>
              <w:right w:val="nil"/>
            </w:tcBorders>
            <w:shd w:val="clear" w:color="auto" w:fill="auto"/>
            <w:noWrap/>
            <w:vAlign w:val="bottom"/>
            <w:hideMark/>
          </w:tcPr>
          <w:p w14:paraId="2341BD3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87" w:type="pct"/>
            <w:tcBorders>
              <w:top w:val="nil"/>
              <w:left w:val="nil"/>
              <w:bottom w:val="single" w:sz="4" w:space="0" w:color="auto"/>
              <w:right w:val="nil"/>
            </w:tcBorders>
            <w:shd w:val="clear" w:color="auto" w:fill="auto"/>
            <w:noWrap/>
            <w:vAlign w:val="bottom"/>
            <w:hideMark/>
          </w:tcPr>
          <w:p w14:paraId="2341BD3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r>
      <w:tr w:rsidR="00CD529B" w:rsidRPr="00EE79BE" w14:paraId="2341BD44" w14:textId="77777777" w:rsidTr="00564572">
        <w:trPr>
          <w:trHeight w:val="300"/>
        </w:trPr>
        <w:tc>
          <w:tcPr>
            <w:tcW w:w="1455" w:type="pct"/>
            <w:tcBorders>
              <w:top w:val="nil"/>
              <w:left w:val="nil"/>
              <w:bottom w:val="nil"/>
              <w:right w:val="nil"/>
            </w:tcBorders>
            <w:shd w:val="clear" w:color="auto" w:fill="auto"/>
            <w:noWrap/>
            <w:vAlign w:val="bottom"/>
            <w:hideMark/>
          </w:tcPr>
          <w:p w14:paraId="2341BD37" w14:textId="77777777" w:rsidR="00CD529B" w:rsidRPr="00EE79BE" w:rsidRDefault="00CD529B" w:rsidP="00564572">
            <w:pPr>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Inversión y Costos</w:t>
            </w:r>
          </w:p>
        </w:tc>
        <w:tc>
          <w:tcPr>
            <w:tcW w:w="308" w:type="pct"/>
            <w:tcBorders>
              <w:top w:val="nil"/>
              <w:left w:val="nil"/>
              <w:bottom w:val="nil"/>
              <w:right w:val="nil"/>
            </w:tcBorders>
            <w:shd w:val="clear" w:color="auto" w:fill="auto"/>
            <w:noWrap/>
            <w:vAlign w:val="bottom"/>
            <w:hideMark/>
          </w:tcPr>
          <w:p w14:paraId="2341BD38" w14:textId="77777777" w:rsidR="00CD529B" w:rsidRPr="00EE79BE" w:rsidRDefault="00CD529B" w:rsidP="00564572">
            <w:pPr>
              <w:rPr>
                <w:rFonts w:ascii="Calibri" w:hAnsi="Calibri" w:cs="Calibri"/>
                <w:b/>
                <w:bCs/>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D39" w14:textId="77777777" w:rsidR="00CD529B" w:rsidRPr="003E19D8"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D3A" w14:textId="77777777" w:rsidR="00CD529B" w:rsidRPr="003E19D8"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D3B"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3C"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3D"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3E"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3F"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40" w14:textId="77777777" w:rsidR="00CD529B" w:rsidRPr="003E19D8"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41" w14:textId="77777777" w:rsidR="00CD529B" w:rsidRPr="003E19D8"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D42" w14:textId="77777777" w:rsidR="00CD529B" w:rsidRPr="003E19D8"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D43" w14:textId="77777777" w:rsidR="00CD529B" w:rsidRPr="003E19D8" w:rsidRDefault="00CD529B" w:rsidP="00564572">
            <w:pPr>
              <w:rPr>
                <w:sz w:val="15"/>
                <w:szCs w:val="15"/>
                <w:lang w:eastAsia="es-CO"/>
              </w:rPr>
            </w:pPr>
          </w:p>
        </w:tc>
      </w:tr>
      <w:tr w:rsidR="00CD529B" w:rsidRPr="00EE79BE" w14:paraId="2341BD52" w14:textId="77777777" w:rsidTr="00564572">
        <w:trPr>
          <w:trHeight w:val="300"/>
        </w:trPr>
        <w:tc>
          <w:tcPr>
            <w:tcW w:w="1455" w:type="pct"/>
            <w:tcBorders>
              <w:top w:val="nil"/>
              <w:left w:val="nil"/>
              <w:bottom w:val="nil"/>
              <w:right w:val="nil"/>
            </w:tcBorders>
            <w:shd w:val="clear" w:color="auto" w:fill="auto"/>
            <w:noWrap/>
            <w:vAlign w:val="bottom"/>
            <w:hideMark/>
          </w:tcPr>
          <w:p w14:paraId="2341BD45" w14:textId="77777777" w:rsidR="00CD529B" w:rsidRPr="00EE79BE" w:rsidRDefault="00CD529B" w:rsidP="00564572">
            <w:pPr>
              <w:ind w:firstLineChars="100" w:firstLine="150"/>
              <w:rPr>
                <w:rFonts w:ascii="Calibri" w:hAnsi="Calibri" w:cs="Calibri"/>
                <w:color w:val="000000"/>
                <w:sz w:val="15"/>
                <w:szCs w:val="15"/>
                <w:lang w:eastAsia="es-CO"/>
              </w:rPr>
            </w:pPr>
            <w:r w:rsidRPr="00EE79BE">
              <w:rPr>
                <w:rFonts w:ascii="Calibri" w:hAnsi="Calibri" w:cs="Calibri"/>
                <w:color w:val="000000"/>
                <w:sz w:val="15"/>
                <w:szCs w:val="15"/>
                <w:lang w:eastAsia="es-CO"/>
              </w:rPr>
              <w:t>Inversión en motores eficientes</w:t>
            </w:r>
          </w:p>
        </w:tc>
        <w:tc>
          <w:tcPr>
            <w:tcW w:w="308" w:type="pct"/>
            <w:tcBorders>
              <w:top w:val="nil"/>
              <w:left w:val="nil"/>
              <w:bottom w:val="nil"/>
              <w:right w:val="nil"/>
            </w:tcBorders>
            <w:shd w:val="clear" w:color="auto" w:fill="auto"/>
            <w:noWrap/>
            <w:vAlign w:val="bottom"/>
            <w:hideMark/>
          </w:tcPr>
          <w:p w14:paraId="2341BD46" w14:textId="77777777" w:rsidR="00CD529B" w:rsidRPr="00EE79BE" w:rsidRDefault="00CD529B" w:rsidP="00564572">
            <w:pPr>
              <w:ind w:firstLineChars="100" w:firstLine="150"/>
              <w:rPr>
                <w:rFonts w:ascii="Calibri" w:hAnsi="Calibri" w:cs="Calibri"/>
                <w:color w:val="000000"/>
                <w:sz w:val="15"/>
                <w:szCs w:val="15"/>
                <w:lang w:eastAsia="es-CO"/>
              </w:rPr>
            </w:pPr>
          </w:p>
        </w:tc>
        <w:tc>
          <w:tcPr>
            <w:tcW w:w="288" w:type="pct"/>
            <w:tcBorders>
              <w:top w:val="nil"/>
              <w:left w:val="nil"/>
              <w:bottom w:val="nil"/>
              <w:right w:val="nil"/>
            </w:tcBorders>
            <w:shd w:val="clear" w:color="auto" w:fill="auto"/>
            <w:noWrap/>
            <w:vAlign w:val="bottom"/>
            <w:hideMark/>
          </w:tcPr>
          <w:p w14:paraId="2341BD4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209</w:t>
            </w:r>
          </w:p>
        </w:tc>
        <w:tc>
          <w:tcPr>
            <w:tcW w:w="296" w:type="pct"/>
            <w:tcBorders>
              <w:top w:val="nil"/>
              <w:left w:val="nil"/>
              <w:bottom w:val="nil"/>
              <w:right w:val="nil"/>
            </w:tcBorders>
            <w:shd w:val="clear" w:color="auto" w:fill="auto"/>
            <w:noWrap/>
            <w:vAlign w:val="bottom"/>
            <w:hideMark/>
          </w:tcPr>
          <w:p w14:paraId="2341BD4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nil"/>
              <w:right w:val="nil"/>
            </w:tcBorders>
            <w:shd w:val="clear" w:color="auto" w:fill="auto"/>
            <w:noWrap/>
            <w:vAlign w:val="bottom"/>
            <w:hideMark/>
          </w:tcPr>
          <w:p w14:paraId="2341BD4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D4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D4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D4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D4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D4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nil"/>
              <w:left w:val="nil"/>
              <w:bottom w:val="nil"/>
              <w:right w:val="nil"/>
            </w:tcBorders>
            <w:shd w:val="clear" w:color="auto" w:fill="auto"/>
            <w:noWrap/>
            <w:vAlign w:val="bottom"/>
            <w:hideMark/>
          </w:tcPr>
          <w:p w14:paraId="2341BD4F"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nil"/>
              <w:left w:val="nil"/>
              <w:bottom w:val="nil"/>
              <w:right w:val="nil"/>
            </w:tcBorders>
            <w:shd w:val="clear" w:color="auto" w:fill="auto"/>
            <w:noWrap/>
            <w:vAlign w:val="bottom"/>
            <w:hideMark/>
          </w:tcPr>
          <w:p w14:paraId="2341BD50"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nil"/>
              <w:left w:val="nil"/>
              <w:bottom w:val="nil"/>
              <w:right w:val="nil"/>
            </w:tcBorders>
            <w:shd w:val="clear" w:color="auto" w:fill="auto"/>
            <w:noWrap/>
            <w:vAlign w:val="bottom"/>
            <w:hideMark/>
          </w:tcPr>
          <w:p w14:paraId="2341BD51"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r>
      <w:tr w:rsidR="00CD529B" w:rsidRPr="00EE79BE" w14:paraId="2341BD60" w14:textId="77777777" w:rsidTr="00564572">
        <w:trPr>
          <w:trHeight w:val="300"/>
        </w:trPr>
        <w:tc>
          <w:tcPr>
            <w:tcW w:w="1455" w:type="pct"/>
            <w:tcBorders>
              <w:top w:val="single" w:sz="4" w:space="0" w:color="auto"/>
              <w:left w:val="nil"/>
              <w:bottom w:val="single" w:sz="4" w:space="0" w:color="auto"/>
              <w:right w:val="nil"/>
            </w:tcBorders>
            <w:shd w:val="clear" w:color="auto" w:fill="auto"/>
            <w:noWrap/>
            <w:vAlign w:val="bottom"/>
            <w:hideMark/>
          </w:tcPr>
          <w:p w14:paraId="2341BD53" w14:textId="77777777" w:rsidR="00CD529B" w:rsidRPr="00CD529B" w:rsidRDefault="00CD529B" w:rsidP="00564572">
            <w:pPr>
              <w:ind w:firstLineChars="100" w:firstLine="150"/>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Total Inversión y Costos ($COP Millones)</w:t>
            </w:r>
          </w:p>
        </w:tc>
        <w:tc>
          <w:tcPr>
            <w:tcW w:w="308" w:type="pct"/>
            <w:tcBorders>
              <w:top w:val="single" w:sz="4" w:space="0" w:color="auto"/>
              <w:left w:val="nil"/>
              <w:bottom w:val="single" w:sz="4" w:space="0" w:color="auto"/>
              <w:right w:val="nil"/>
            </w:tcBorders>
            <w:shd w:val="clear" w:color="auto" w:fill="auto"/>
            <w:noWrap/>
            <w:vAlign w:val="bottom"/>
            <w:hideMark/>
          </w:tcPr>
          <w:p w14:paraId="2341BD54" w14:textId="77777777" w:rsidR="00CD529B" w:rsidRPr="00CD529B" w:rsidRDefault="00CD529B" w:rsidP="00564572">
            <w:pPr>
              <w:rPr>
                <w:rFonts w:ascii="Calibri" w:hAnsi="Calibri" w:cs="Calibri"/>
                <w:color w:val="000000"/>
                <w:sz w:val="15"/>
                <w:szCs w:val="15"/>
                <w:lang w:val="es-ES_tradnl" w:eastAsia="es-CO"/>
              </w:rPr>
            </w:pPr>
            <w:r w:rsidRPr="00CD529B">
              <w:rPr>
                <w:rFonts w:ascii="Calibri" w:hAnsi="Calibri" w:cs="Calibri"/>
                <w:color w:val="000000"/>
                <w:sz w:val="15"/>
                <w:szCs w:val="15"/>
                <w:lang w:val="es-ES_tradnl" w:eastAsia="es-CO"/>
              </w:rPr>
              <w:t> </w:t>
            </w:r>
          </w:p>
        </w:tc>
        <w:tc>
          <w:tcPr>
            <w:tcW w:w="288" w:type="pct"/>
            <w:tcBorders>
              <w:top w:val="single" w:sz="4" w:space="0" w:color="auto"/>
              <w:left w:val="nil"/>
              <w:bottom w:val="single" w:sz="4" w:space="0" w:color="auto"/>
              <w:right w:val="nil"/>
            </w:tcBorders>
            <w:shd w:val="clear" w:color="auto" w:fill="auto"/>
            <w:noWrap/>
            <w:vAlign w:val="bottom"/>
            <w:hideMark/>
          </w:tcPr>
          <w:p w14:paraId="2341BD5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209</w:t>
            </w:r>
          </w:p>
        </w:tc>
        <w:tc>
          <w:tcPr>
            <w:tcW w:w="296" w:type="pct"/>
            <w:tcBorders>
              <w:top w:val="single" w:sz="4" w:space="0" w:color="auto"/>
              <w:left w:val="nil"/>
              <w:bottom w:val="single" w:sz="4" w:space="0" w:color="auto"/>
              <w:right w:val="nil"/>
            </w:tcBorders>
            <w:shd w:val="clear" w:color="auto" w:fill="auto"/>
            <w:noWrap/>
            <w:vAlign w:val="bottom"/>
            <w:hideMark/>
          </w:tcPr>
          <w:p w14:paraId="2341BD5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single" w:sz="4" w:space="0" w:color="auto"/>
              <w:left w:val="nil"/>
              <w:bottom w:val="single" w:sz="4" w:space="0" w:color="auto"/>
              <w:right w:val="nil"/>
            </w:tcBorders>
            <w:shd w:val="clear" w:color="auto" w:fill="auto"/>
            <w:noWrap/>
            <w:vAlign w:val="bottom"/>
            <w:hideMark/>
          </w:tcPr>
          <w:p w14:paraId="2341BD5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D5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D5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D5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D5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D5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7" w:type="pct"/>
            <w:tcBorders>
              <w:top w:val="single" w:sz="4" w:space="0" w:color="auto"/>
              <w:left w:val="nil"/>
              <w:bottom w:val="single" w:sz="4" w:space="0" w:color="auto"/>
              <w:right w:val="nil"/>
            </w:tcBorders>
            <w:shd w:val="clear" w:color="auto" w:fill="auto"/>
            <w:noWrap/>
            <w:vAlign w:val="bottom"/>
            <w:hideMark/>
          </w:tcPr>
          <w:p w14:paraId="2341BD5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9" w:type="pct"/>
            <w:tcBorders>
              <w:top w:val="single" w:sz="4" w:space="0" w:color="auto"/>
              <w:left w:val="nil"/>
              <w:bottom w:val="single" w:sz="4" w:space="0" w:color="auto"/>
              <w:right w:val="nil"/>
            </w:tcBorders>
            <w:shd w:val="clear" w:color="auto" w:fill="auto"/>
            <w:noWrap/>
            <w:vAlign w:val="bottom"/>
            <w:hideMark/>
          </w:tcPr>
          <w:p w14:paraId="2341BD5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87" w:type="pct"/>
            <w:tcBorders>
              <w:top w:val="single" w:sz="4" w:space="0" w:color="auto"/>
              <w:left w:val="nil"/>
              <w:bottom w:val="single" w:sz="4" w:space="0" w:color="auto"/>
              <w:right w:val="nil"/>
            </w:tcBorders>
            <w:shd w:val="clear" w:color="auto" w:fill="auto"/>
            <w:noWrap/>
            <w:vAlign w:val="bottom"/>
            <w:hideMark/>
          </w:tcPr>
          <w:p w14:paraId="2341BD5F"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r>
      <w:tr w:rsidR="00CD529B" w:rsidRPr="00EE79BE" w14:paraId="2341BD6E" w14:textId="77777777" w:rsidTr="00564572">
        <w:trPr>
          <w:trHeight w:val="300"/>
        </w:trPr>
        <w:tc>
          <w:tcPr>
            <w:tcW w:w="1455" w:type="pct"/>
            <w:tcBorders>
              <w:top w:val="nil"/>
              <w:left w:val="nil"/>
              <w:bottom w:val="single" w:sz="4" w:space="0" w:color="auto"/>
              <w:right w:val="nil"/>
            </w:tcBorders>
            <w:shd w:val="clear" w:color="auto" w:fill="auto"/>
            <w:noWrap/>
            <w:vAlign w:val="bottom"/>
            <w:hideMark/>
          </w:tcPr>
          <w:p w14:paraId="2341BD61" w14:textId="77777777" w:rsidR="00CD529B" w:rsidRPr="00EE79BE" w:rsidRDefault="00CD529B" w:rsidP="00564572">
            <w:pPr>
              <w:rPr>
                <w:rFonts w:ascii="Calibri" w:hAnsi="Calibri" w:cs="Calibri"/>
                <w:b/>
                <w:bCs/>
                <w:color w:val="000000"/>
                <w:sz w:val="15"/>
                <w:szCs w:val="15"/>
                <w:lang w:eastAsia="es-CO"/>
              </w:rPr>
            </w:pPr>
            <w:r w:rsidRPr="00EE79BE">
              <w:rPr>
                <w:rFonts w:ascii="Calibri" w:hAnsi="Calibri" w:cs="Calibri"/>
                <w:b/>
                <w:bCs/>
                <w:color w:val="000000"/>
                <w:sz w:val="15"/>
                <w:szCs w:val="15"/>
                <w:lang w:eastAsia="es-CO"/>
              </w:rPr>
              <w:t>Flujo Neto</w:t>
            </w:r>
          </w:p>
        </w:tc>
        <w:tc>
          <w:tcPr>
            <w:tcW w:w="308" w:type="pct"/>
            <w:tcBorders>
              <w:top w:val="nil"/>
              <w:left w:val="nil"/>
              <w:bottom w:val="single" w:sz="4" w:space="0" w:color="auto"/>
              <w:right w:val="nil"/>
            </w:tcBorders>
            <w:shd w:val="clear" w:color="auto" w:fill="auto"/>
            <w:noWrap/>
            <w:vAlign w:val="bottom"/>
            <w:hideMark/>
          </w:tcPr>
          <w:p w14:paraId="2341BD62"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 </w:t>
            </w:r>
          </w:p>
        </w:tc>
        <w:tc>
          <w:tcPr>
            <w:tcW w:w="288" w:type="pct"/>
            <w:tcBorders>
              <w:top w:val="nil"/>
              <w:left w:val="nil"/>
              <w:bottom w:val="single" w:sz="4" w:space="0" w:color="auto"/>
              <w:right w:val="nil"/>
            </w:tcBorders>
            <w:shd w:val="clear" w:color="auto" w:fill="auto"/>
            <w:noWrap/>
            <w:vAlign w:val="bottom"/>
            <w:hideMark/>
          </w:tcPr>
          <w:p w14:paraId="2341BD63"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2.387</w:t>
            </w:r>
          </w:p>
        </w:tc>
        <w:tc>
          <w:tcPr>
            <w:tcW w:w="296" w:type="pct"/>
            <w:tcBorders>
              <w:top w:val="nil"/>
              <w:left w:val="nil"/>
              <w:bottom w:val="single" w:sz="4" w:space="0" w:color="auto"/>
              <w:right w:val="nil"/>
            </w:tcBorders>
            <w:shd w:val="clear" w:color="auto" w:fill="auto"/>
            <w:noWrap/>
            <w:vAlign w:val="bottom"/>
            <w:hideMark/>
          </w:tcPr>
          <w:p w14:paraId="2341BD64"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6" w:type="pct"/>
            <w:tcBorders>
              <w:top w:val="nil"/>
              <w:left w:val="nil"/>
              <w:bottom w:val="single" w:sz="4" w:space="0" w:color="auto"/>
              <w:right w:val="nil"/>
            </w:tcBorders>
            <w:shd w:val="clear" w:color="auto" w:fill="auto"/>
            <w:noWrap/>
            <w:vAlign w:val="bottom"/>
            <w:hideMark/>
          </w:tcPr>
          <w:p w14:paraId="2341BD65"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2341BD66"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15.150</w:t>
            </w:r>
          </w:p>
        </w:tc>
        <w:tc>
          <w:tcPr>
            <w:tcW w:w="297" w:type="pct"/>
            <w:tcBorders>
              <w:top w:val="nil"/>
              <w:left w:val="nil"/>
              <w:bottom w:val="single" w:sz="4" w:space="0" w:color="auto"/>
              <w:right w:val="nil"/>
            </w:tcBorders>
            <w:shd w:val="clear" w:color="auto" w:fill="auto"/>
            <w:noWrap/>
            <w:vAlign w:val="bottom"/>
            <w:hideMark/>
          </w:tcPr>
          <w:p w14:paraId="2341BD67"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2341BD68"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2341BD69"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2341BD6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97" w:type="pct"/>
            <w:tcBorders>
              <w:top w:val="nil"/>
              <w:left w:val="nil"/>
              <w:bottom w:val="single" w:sz="4" w:space="0" w:color="auto"/>
              <w:right w:val="nil"/>
            </w:tcBorders>
            <w:shd w:val="clear" w:color="auto" w:fill="auto"/>
            <w:noWrap/>
            <w:vAlign w:val="bottom"/>
            <w:hideMark/>
          </w:tcPr>
          <w:p w14:paraId="2341BD6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89" w:type="pct"/>
            <w:tcBorders>
              <w:top w:val="nil"/>
              <w:left w:val="nil"/>
              <w:bottom w:val="single" w:sz="4" w:space="0" w:color="auto"/>
              <w:right w:val="nil"/>
            </w:tcBorders>
            <w:shd w:val="clear" w:color="auto" w:fill="auto"/>
            <w:noWrap/>
            <w:vAlign w:val="bottom"/>
            <w:hideMark/>
          </w:tcPr>
          <w:p w14:paraId="2341BD6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c>
          <w:tcPr>
            <w:tcW w:w="287" w:type="pct"/>
            <w:tcBorders>
              <w:top w:val="nil"/>
              <w:left w:val="nil"/>
              <w:bottom w:val="single" w:sz="4" w:space="0" w:color="auto"/>
              <w:right w:val="nil"/>
            </w:tcBorders>
            <w:shd w:val="clear" w:color="auto" w:fill="auto"/>
            <w:noWrap/>
            <w:vAlign w:val="bottom"/>
            <w:hideMark/>
          </w:tcPr>
          <w:p w14:paraId="2341BD6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2.596</w:t>
            </w:r>
          </w:p>
        </w:tc>
      </w:tr>
      <w:tr w:rsidR="00CD529B" w:rsidRPr="00EE79BE" w14:paraId="2341BD7C" w14:textId="77777777" w:rsidTr="00564572">
        <w:trPr>
          <w:trHeight w:val="300"/>
        </w:trPr>
        <w:tc>
          <w:tcPr>
            <w:tcW w:w="1455" w:type="pct"/>
            <w:tcBorders>
              <w:top w:val="nil"/>
              <w:left w:val="nil"/>
              <w:bottom w:val="nil"/>
              <w:right w:val="nil"/>
            </w:tcBorders>
            <w:shd w:val="clear" w:color="auto" w:fill="auto"/>
            <w:noWrap/>
            <w:vAlign w:val="bottom"/>
            <w:hideMark/>
          </w:tcPr>
          <w:p w14:paraId="2341BD6F" w14:textId="77777777" w:rsidR="00CD529B" w:rsidRPr="00EE79BE" w:rsidRDefault="00CD529B" w:rsidP="00564572">
            <w:pPr>
              <w:jc w:val="right"/>
              <w:rPr>
                <w:rFonts w:ascii="Calibri" w:hAnsi="Calibri" w:cs="Calibri"/>
                <w:color w:val="000000"/>
                <w:sz w:val="15"/>
                <w:szCs w:val="15"/>
                <w:lang w:eastAsia="es-CO"/>
              </w:rPr>
            </w:pPr>
          </w:p>
        </w:tc>
        <w:tc>
          <w:tcPr>
            <w:tcW w:w="308" w:type="pct"/>
            <w:tcBorders>
              <w:top w:val="nil"/>
              <w:left w:val="nil"/>
              <w:bottom w:val="nil"/>
              <w:right w:val="nil"/>
            </w:tcBorders>
            <w:shd w:val="clear" w:color="auto" w:fill="auto"/>
            <w:noWrap/>
            <w:vAlign w:val="bottom"/>
            <w:hideMark/>
          </w:tcPr>
          <w:p w14:paraId="2341BD70" w14:textId="77777777" w:rsidR="00CD529B" w:rsidRPr="00EE79BE" w:rsidRDefault="00CD529B" w:rsidP="00564572">
            <w:pPr>
              <w:rPr>
                <w:sz w:val="15"/>
                <w:szCs w:val="15"/>
                <w:lang w:eastAsia="es-CO"/>
              </w:rPr>
            </w:pPr>
          </w:p>
        </w:tc>
        <w:tc>
          <w:tcPr>
            <w:tcW w:w="288" w:type="pct"/>
            <w:tcBorders>
              <w:top w:val="nil"/>
              <w:left w:val="nil"/>
              <w:bottom w:val="nil"/>
              <w:right w:val="nil"/>
            </w:tcBorders>
            <w:shd w:val="clear" w:color="auto" w:fill="auto"/>
            <w:noWrap/>
            <w:vAlign w:val="bottom"/>
            <w:hideMark/>
          </w:tcPr>
          <w:p w14:paraId="2341BD71"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D72" w14:textId="77777777" w:rsidR="00CD529B" w:rsidRPr="00EE79BE" w:rsidRDefault="00CD529B" w:rsidP="00564572">
            <w:pPr>
              <w:rPr>
                <w:sz w:val="15"/>
                <w:szCs w:val="15"/>
                <w:lang w:eastAsia="es-CO"/>
              </w:rPr>
            </w:pPr>
          </w:p>
        </w:tc>
        <w:tc>
          <w:tcPr>
            <w:tcW w:w="296" w:type="pct"/>
            <w:tcBorders>
              <w:top w:val="nil"/>
              <w:left w:val="nil"/>
              <w:bottom w:val="nil"/>
              <w:right w:val="nil"/>
            </w:tcBorders>
            <w:shd w:val="clear" w:color="auto" w:fill="auto"/>
            <w:noWrap/>
            <w:vAlign w:val="bottom"/>
            <w:hideMark/>
          </w:tcPr>
          <w:p w14:paraId="2341BD73"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74"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75"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76"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77"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78"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79"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D7A"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D7B" w14:textId="77777777" w:rsidR="00CD529B" w:rsidRPr="00EE79BE" w:rsidRDefault="00CD529B" w:rsidP="00564572">
            <w:pPr>
              <w:rPr>
                <w:sz w:val="15"/>
                <w:szCs w:val="15"/>
                <w:lang w:eastAsia="es-CO"/>
              </w:rPr>
            </w:pPr>
          </w:p>
        </w:tc>
      </w:tr>
      <w:tr w:rsidR="00CD529B" w:rsidRPr="00EE79BE" w14:paraId="2341BD8A" w14:textId="77777777" w:rsidTr="00564572">
        <w:trPr>
          <w:trHeight w:val="300"/>
        </w:trPr>
        <w:tc>
          <w:tcPr>
            <w:tcW w:w="1455" w:type="pct"/>
            <w:tcBorders>
              <w:top w:val="nil"/>
              <w:left w:val="nil"/>
              <w:bottom w:val="nil"/>
              <w:right w:val="nil"/>
            </w:tcBorders>
            <w:shd w:val="clear" w:color="auto" w:fill="auto"/>
            <w:noWrap/>
            <w:vAlign w:val="bottom"/>
            <w:hideMark/>
          </w:tcPr>
          <w:p w14:paraId="2341BD7D" w14:textId="77777777" w:rsidR="00CD529B" w:rsidRPr="00EE79BE" w:rsidRDefault="00CD529B" w:rsidP="00564572">
            <w:pPr>
              <w:rPr>
                <w:sz w:val="15"/>
                <w:szCs w:val="15"/>
                <w:lang w:eastAsia="es-CO"/>
              </w:rPr>
            </w:pPr>
          </w:p>
        </w:tc>
        <w:tc>
          <w:tcPr>
            <w:tcW w:w="308" w:type="pct"/>
            <w:tcBorders>
              <w:top w:val="single" w:sz="4" w:space="0" w:color="FFFFFF"/>
              <w:left w:val="nil"/>
              <w:bottom w:val="single" w:sz="4" w:space="0" w:color="auto"/>
              <w:right w:val="single" w:sz="4" w:space="0" w:color="FFFFFF"/>
            </w:tcBorders>
            <w:shd w:val="clear" w:color="000000" w:fill="203764"/>
            <w:noWrap/>
            <w:vAlign w:val="bottom"/>
            <w:hideMark/>
          </w:tcPr>
          <w:p w14:paraId="2341BD7E"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Beneficios</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2341BD7F"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Costos</w:t>
            </w:r>
          </w:p>
        </w:tc>
        <w:tc>
          <w:tcPr>
            <w:tcW w:w="296" w:type="pct"/>
            <w:tcBorders>
              <w:top w:val="single" w:sz="4" w:space="0" w:color="FFFFFF"/>
              <w:left w:val="nil"/>
              <w:bottom w:val="single" w:sz="4" w:space="0" w:color="auto"/>
              <w:right w:val="single" w:sz="4" w:space="0" w:color="FFFFFF"/>
            </w:tcBorders>
            <w:shd w:val="clear" w:color="000000" w:fill="203764"/>
            <w:noWrap/>
            <w:vAlign w:val="bottom"/>
            <w:hideMark/>
          </w:tcPr>
          <w:p w14:paraId="2341BD80" w14:textId="77777777" w:rsidR="00CD529B" w:rsidRPr="00EE79BE" w:rsidRDefault="00CD529B" w:rsidP="00564572">
            <w:pPr>
              <w:jc w:val="center"/>
              <w:rPr>
                <w:rFonts w:ascii="Calibri" w:hAnsi="Calibri" w:cs="Calibri"/>
                <w:color w:val="FFFFFF"/>
                <w:sz w:val="15"/>
                <w:szCs w:val="15"/>
                <w:lang w:eastAsia="es-CO"/>
              </w:rPr>
            </w:pPr>
            <w:r w:rsidRPr="00EE79BE">
              <w:rPr>
                <w:rFonts w:ascii="Calibri" w:hAnsi="Calibri" w:cs="Calibri"/>
                <w:color w:val="FFFFFF"/>
                <w:sz w:val="15"/>
                <w:szCs w:val="15"/>
                <w:lang w:eastAsia="es-CO"/>
              </w:rPr>
              <w:t>Neto</w:t>
            </w:r>
          </w:p>
        </w:tc>
        <w:tc>
          <w:tcPr>
            <w:tcW w:w="296" w:type="pct"/>
            <w:tcBorders>
              <w:top w:val="nil"/>
              <w:left w:val="nil"/>
              <w:bottom w:val="nil"/>
              <w:right w:val="nil"/>
            </w:tcBorders>
            <w:shd w:val="clear" w:color="auto" w:fill="auto"/>
            <w:noWrap/>
            <w:vAlign w:val="bottom"/>
            <w:hideMark/>
          </w:tcPr>
          <w:p w14:paraId="2341BD81" w14:textId="77777777" w:rsidR="00CD529B" w:rsidRPr="00EE79BE" w:rsidRDefault="00CD529B" w:rsidP="00564572">
            <w:pPr>
              <w:jc w:val="center"/>
              <w:rPr>
                <w:rFonts w:ascii="Calibri" w:hAnsi="Calibri" w:cs="Calibri"/>
                <w:color w:val="FFFFFF"/>
                <w:sz w:val="15"/>
                <w:szCs w:val="15"/>
                <w:lang w:eastAsia="es-CO"/>
              </w:rPr>
            </w:pPr>
          </w:p>
        </w:tc>
        <w:tc>
          <w:tcPr>
            <w:tcW w:w="297" w:type="pct"/>
            <w:tcBorders>
              <w:top w:val="nil"/>
              <w:left w:val="nil"/>
              <w:bottom w:val="nil"/>
              <w:right w:val="nil"/>
            </w:tcBorders>
            <w:shd w:val="clear" w:color="auto" w:fill="auto"/>
            <w:noWrap/>
            <w:vAlign w:val="bottom"/>
            <w:hideMark/>
          </w:tcPr>
          <w:p w14:paraId="2341BD82"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83"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84"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85"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86"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87"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D88"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D89" w14:textId="77777777" w:rsidR="00CD529B" w:rsidRPr="00EE79BE" w:rsidRDefault="00CD529B" w:rsidP="00564572">
            <w:pPr>
              <w:rPr>
                <w:sz w:val="15"/>
                <w:szCs w:val="15"/>
                <w:lang w:eastAsia="es-CO"/>
              </w:rPr>
            </w:pPr>
          </w:p>
        </w:tc>
      </w:tr>
      <w:tr w:rsidR="00CD529B" w:rsidRPr="00EE79BE" w14:paraId="2341BD98" w14:textId="77777777" w:rsidTr="00564572">
        <w:trPr>
          <w:trHeight w:val="300"/>
        </w:trPr>
        <w:tc>
          <w:tcPr>
            <w:tcW w:w="1455" w:type="pct"/>
            <w:tcBorders>
              <w:top w:val="single" w:sz="4" w:space="0" w:color="auto"/>
              <w:left w:val="single" w:sz="4" w:space="0" w:color="auto"/>
              <w:bottom w:val="single" w:sz="4" w:space="0" w:color="auto"/>
              <w:right w:val="nil"/>
            </w:tcBorders>
            <w:shd w:val="clear" w:color="000000" w:fill="E2EFDA"/>
            <w:noWrap/>
            <w:vAlign w:val="bottom"/>
            <w:hideMark/>
          </w:tcPr>
          <w:p w14:paraId="2341BD8B"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VPN dic 2016 ($USD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2341BD8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$8</w:t>
            </w:r>
          </w:p>
        </w:tc>
        <w:tc>
          <w:tcPr>
            <w:tcW w:w="288" w:type="pct"/>
            <w:tcBorders>
              <w:top w:val="nil"/>
              <w:left w:val="nil"/>
              <w:bottom w:val="single" w:sz="4" w:space="0" w:color="auto"/>
              <w:right w:val="single" w:sz="4" w:space="0" w:color="auto"/>
            </w:tcBorders>
            <w:shd w:val="clear" w:color="000000" w:fill="E2EFDA"/>
            <w:noWrap/>
            <w:vAlign w:val="bottom"/>
            <w:hideMark/>
          </w:tcPr>
          <w:p w14:paraId="2341BD8D"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$0</w:t>
            </w:r>
          </w:p>
        </w:tc>
        <w:tc>
          <w:tcPr>
            <w:tcW w:w="296" w:type="pct"/>
            <w:tcBorders>
              <w:top w:val="nil"/>
              <w:left w:val="nil"/>
              <w:bottom w:val="single" w:sz="4" w:space="0" w:color="auto"/>
              <w:right w:val="single" w:sz="4" w:space="0" w:color="auto"/>
            </w:tcBorders>
            <w:shd w:val="clear" w:color="000000" w:fill="E2EFDA"/>
            <w:noWrap/>
            <w:vAlign w:val="bottom"/>
            <w:hideMark/>
          </w:tcPr>
          <w:p w14:paraId="2341BD8E"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$8</w:t>
            </w:r>
          </w:p>
        </w:tc>
        <w:tc>
          <w:tcPr>
            <w:tcW w:w="296" w:type="pct"/>
            <w:tcBorders>
              <w:top w:val="nil"/>
              <w:left w:val="nil"/>
              <w:bottom w:val="nil"/>
              <w:right w:val="nil"/>
            </w:tcBorders>
            <w:shd w:val="clear" w:color="auto" w:fill="auto"/>
            <w:noWrap/>
            <w:vAlign w:val="bottom"/>
            <w:hideMark/>
          </w:tcPr>
          <w:p w14:paraId="2341BD8F" w14:textId="77777777" w:rsidR="00CD529B" w:rsidRPr="00EE79BE" w:rsidRDefault="00CD529B" w:rsidP="00564572">
            <w:pPr>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2341BD90"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91"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92"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93"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94"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95"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D96"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D97" w14:textId="77777777" w:rsidR="00CD529B" w:rsidRPr="00EE79BE" w:rsidRDefault="00CD529B" w:rsidP="00564572">
            <w:pPr>
              <w:rPr>
                <w:sz w:val="15"/>
                <w:szCs w:val="15"/>
                <w:lang w:eastAsia="es-CO"/>
              </w:rPr>
            </w:pPr>
          </w:p>
        </w:tc>
      </w:tr>
      <w:tr w:rsidR="00CD529B" w:rsidRPr="00EE79BE" w14:paraId="2341BDA6" w14:textId="77777777" w:rsidTr="00564572">
        <w:trPr>
          <w:trHeight w:val="300"/>
        </w:trPr>
        <w:tc>
          <w:tcPr>
            <w:tcW w:w="1455" w:type="pct"/>
            <w:tcBorders>
              <w:top w:val="nil"/>
              <w:left w:val="single" w:sz="4" w:space="0" w:color="auto"/>
              <w:bottom w:val="single" w:sz="4" w:space="0" w:color="auto"/>
              <w:right w:val="nil"/>
            </w:tcBorders>
            <w:shd w:val="clear" w:color="000000" w:fill="E2EFDA"/>
            <w:noWrap/>
            <w:vAlign w:val="bottom"/>
            <w:hideMark/>
          </w:tcPr>
          <w:p w14:paraId="2341BD99" w14:textId="77777777" w:rsidR="00CD529B" w:rsidRPr="00EE79BE" w:rsidRDefault="00CD529B" w:rsidP="00564572">
            <w:pPr>
              <w:rPr>
                <w:rFonts w:ascii="Calibri" w:hAnsi="Calibri" w:cs="Calibri"/>
                <w:color w:val="000000"/>
                <w:sz w:val="15"/>
                <w:szCs w:val="15"/>
                <w:lang w:eastAsia="es-CO"/>
              </w:rPr>
            </w:pPr>
            <w:r w:rsidRPr="00EE79BE">
              <w:rPr>
                <w:rFonts w:ascii="Calibri" w:hAnsi="Calibri" w:cs="Calibri"/>
                <w:color w:val="000000"/>
                <w:sz w:val="15"/>
                <w:szCs w:val="15"/>
                <w:lang w:eastAsia="es-CO"/>
              </w:rPr>
              <w:t>VPN dic 2016 ($COP Millones)</w:t>
            </w:r>
          </w:p>
        </w:tc>
        <w:tc>
          <w:tcPr>
            <w:tcW w:w="308" w:type="pct"/>
            <w:tcBorders>
              <w:top w:val="nil"/>
              <w:left w:val="nil"/>
              <w:bottom w:val="single" w:sz="4" w:space="0" w:color="auto"/>
              <w:right w:val="single" w:sz="4" w:space="0" w:color="auto"/>
            </w:tcBorders>
            <w:shd w:val="clear" w:color="000000" w:fill="E2EFDA"/>
            <w:noWrap/>
            <w:vAlign w:val="bottom"/>
            <w:hideMark/>
          </w:tcPr>
          <w:p w14:paraId="2341BD9A"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$23.392</w:t>
            </w:r>
          </w:p>
        </w:tc>
        <w:tc>
          <w:tcPr>
            <w:tcW w:w="288" w:type="pct"/>
            <w:tcBorders>
              <w:top w:val="nil"/>
              <w:left w:val="nil"/>
              <w:bottom w:val="single" w:sz="4" w:space="0" w:color="auto"/>
              <w:right w:val="single" w:sz="4" w:space="0" w:color="auto"/>
            </w:tcBorders>
            <w:shd w:val="clear" w:color="000000" w:fill="E2EFDA"/>
            <w:noWrap/>
            <w:vAlign w:val="bottom"/>
            <w:hideMark/>
          </w:tcPr>
          <w:p w14:paraId="2341BD9B"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$187</w:t>
            </w:r>
          </w:p>
        </w:tc>
        <w:tc>
          <w:tcPr>
            <w:tcW w:w="296" w:type="pct"/>
            <w:tcBorders>
              <w:top w:val="nil"/>
              <w:left w:val="nil"/>
              <w:bottom w:val="single" w:sz="4" w:space="0" w:color="auto"/>
              <w:right w:val="single" w:sz="4" w:space="0" w:color="auto"/>
            </w:tcBorders>
            <w:shd w:val="clear" w:color="000000" w:fill="E2EFDA"/>
            <w:noWrap/>
            <w:vAlign w:val="bottom"/>
            <w:hideMark/>
          </w:tcPr>
          <w:p w14:paraId="2341BD9C" w14:textId="77777777" w:rsidR="00CD529B" w:rsidRPr="003E19D8" w:rsidRDefault="00CD529B" w:rsidP="00564572">
            <w:pPr>
              <w:jc w:val="right"/>
              <w:rPr>
                <w:rFonts w:ascii="Calibri" w:hAnsi="Calibri" w:cs="Calibri"/>
                <w:color w:val="000000"/>
                <w:sz w:val="15"/>
                <w:szCs w:val="15"/>
                <w:lang w:eastAsia="es-CO"/>
              </w:rPr>
            </w:pPr>
            <w:r w:rsidRPr="003E19D8">
              <w:rPr>
                <w:rFonts w:ascii="Calibri" w:hAnsi="Calibri"/>
                <w:color w:val="000000"/>
                <w:sz w:val="15"/>
                <w:szCs w:val="15"/>
              </w:rPr>
              <w:t>$23.205</w:t>
            </w:r>
          </w:p>
        </w:tc>
        <w:tc>
          <w:tcPr>
            <w:tcW w:w="296" w:type="pct"/>
            <w:tcBorders>
              <w:top w:val="nil"/>
              <w:left w:val="nil"/>
              <w:bottom w:val="nil"/>
              <w:right w:val="nil"/>
            </w:tcBorders>
            <w:shd w:val="clear" w:color="auto" w:fill="auto"/>
            <w:noWrap/>
            <w:vAlign w:val="bottom"/>
            <w:hideMark/>
          </w:tcPr>
          <w:p w14:paraId="2341BD9D" w14:textId="77777777" w:rsidR="00CD529B" w:rsidRPr="00EE79BE" w:rsidRDefault="00CD529B" w:rsidP="00564572">
            <w:pPr>
              <w:jc w:val="right"/>
              <w:rPr>
                <w:rFonts w:ascii="Calibri" w:hAnsi="Calibri" w:cs="Calibri"/>
                <w:color w:val="000000"/>
                <w:sz w:val="15"/>
                <w:szCs w:val="15"/>
                <w:lang w:eastAsia="es-CO"/>
              </w:rPr>
            </w:pPr>
          </w:p>
        </w:tc>
        <w:tc>
          <w:tcPr>
            <w:tcW w:w="297" w:type="pct"/>
            <w:tcBorders>
              <w:top w:val="nil"/>
              <w:left w:val="nil"/>
              <w:bottom w:val="nil"/>
              <w:right w:val="nil"/>
            </w:tcBorders>
            <w:shd w:val="clear" w:color="auto" w:fill="auto"/>
            <w:noWrap/>
            <w:vAlign w:val="bottom"/>
            <w:hideMark/>
          </w:tcPr>
          <w:p w14:paraId="2341BD9E"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9F"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A0"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A1"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A2" w14:textId="77777777" w:rsidR="00CD529B" w:rsidRPr="00EE79BE" w:rsidRDefault="00CD529B" w:rsidP="00564572">
            <w:pPr>
              <w:rPr>
                <w:sz w:val="15"/>
                <w:szCs w:val="15"/>
                <w:lang w:eastAsia="es-CO"/>
              </w:rPr>
            </w:pPr>
          </w:p>
        </w:tc>
        <w:tc>
          <w:tcPr>
            <w:tcW w:w="297" w:type="pct"/>
            <w:tcBorders>
              <w:top w:val="nil"/>
              <w:left w:val="nil"/>
              <w:bottom w:val="nil"/>
              <w:right w:val="nil"/>
            </w:tcBorders>
            <w:shd w:val="clear" w:color="auto" w:fill="auto"/>
            <w:noWrap/>
            <w:vAlign w:val="bottom"/>
            <w:hideMark/>
          </w:tcPr>
          <w:p w14:paraId="2341BDA3" w14:textId="77777777" w:rsidR="00CD529B" w:rsidRPr="00EE79BE" w:rsidRDefault="00CD529B" w:rsidP="00564572">
            <w:pPr>
              <w:rPr>
                <w:sz w:val="15"/>
                <w:szCs w:val="15"/>
                <w:lang w:eastAsia="es-CO"/>
              </w:rPr>
            </w:pPr>
          </w:p>
        </w:tc>
        <w:tc>
          <w:tcPr>
            <w:tcW w:w="289" w:type="pct"/>
            <w:tcBorders>
              <w:top w:val="nil"/>
              <w:left w:val="nil"/>
              <w:bottom w:val="nil"/>
              <w:right w:val="nil"/>
            </w:tcBorders>
            <w:shd w:val="clear" w:color="auto" w:fill="auto"/>
            <w:noWrap/>
            <w:vAlign w:val="bottom"/>
            <w:hideMark/>
          </w:tcPr>
          <w:p w14:paraId="2341BDA4" w14:textId="77777777" w:rsidR="00CD529B" w:rsidRPr="00EE79BE" w:rsidRDefault="00CD529B" w:rsidP="00564572">
            <w:pPr>
              <w:rPr>
                <w:sz w:val="15"/>
                <w:szCs w:val="15"/>
                <w:lang w:eastAsia="es-CO"/>
              </w:rPr>
            </w:pPr>
          </w:p>
        </w:tc>
        <w:tc>
          <w:tcPr>
            <w:tcW w:w="287" w:type="pct"/>
            <w:tcBorders>
              <w:top w:val="nil"/>
              <w:left w:val="nil"/>
              <w:bottom w:val="nil"/>
              <w:right w:val="nil"/>
            </w:tcBorders>
            <w:shd w:val="clear" w:color="auto" w:fill="auto"/>
            <w:noWrap/>
            <w:vAlign w:val="bottom"/>
            <w:hideMark/>
          </w:tcPr>
          <w:p w14:paraId="2341BDA5" w14:textId="77777777" w:rsidR="00CD529B" w:rsidRPr="00EE79BE" w:rsidRDefault="00CD529B" w:rsidP="00564572">
            <w:pPr>
              <w:rPr>
                <w:sz w:val="15"/>
                <w:szCs w:val="15"/>
                <w:lang w:eastAsia="es-CO"/>
              </w:rPr>
            </w:pPr>
          </w:p>
        </w:tc>
      </w:tr>
    </w:tbl>
    <w:p w14:paraId="2341BDA7" w14:textId="77777777" w:rsidR="00CD529B" w:rsidRDefault="00CD529B" w:rsidP="00564572"/>
    <w:p w14:paraId="2341BDA8" w14:textId="77777777" w:rsidR="00CD529B" w:rsidRDefault="00CD529B" w:rsidP="00564572"/>
    <w:p w14:paraId="2341BDA9" w14:textId="77777777" w:rsidR="00CD529B" w:rsidRPr="00CD529B" w:rsidRDefault="00CD529B" w:rsidP="00CD529B">
      <w:pPr>
        <w:rPr>
          <w:lang w:val="es-ES_tradnl"/>
        </w:rPr>
      </w:pPr>
    </w:p>
    <w:sectPr w:rsidR="00CD529B" w:rsidRPr="00CD529B" w:rsidSect="00AC5DD0">
      <w:footerReference w:type="default" r:id="rId56"/>
      <w:pgSz w:w="12240" w:h="15840"/>
      <w:pgMar w:top="1440" w:right="1800" w:bottom="907"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1BDCA" w14:textId="77777777" w:rsidR="0006493E" w:rsidRDefault="0006493E" w:rsidP="00ED751C">
      <w:r>
        <w:separator/>
      </w:r>
    </w:p>
  </w:endnote>
  <w:endnote w:type="continuationSeparator" w:id="0">
    <w:p w14:paraId="2341BDCB" w14:textId="77777777" w:rsidR="0006493E" w:rsidRDefault="0006493E" w:rsidP="00ED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1BDD2" w14:textId="77777777" w:rsidR="00390762" w:rsidRDefault="00390762">
    <w:pPr>
      <w:pStyle w:val="Footer"/>
      <w:framePr w:wrap="around" w:vAnchor="text" w:hAnchor="margin" w:xAlign="right" w:y="1"/>
      <w:rPr>
        <w:rStyle w:val="PageNumber"/>
      </w:rPr>
    </w:pPr>
  </w:p>
  <w:p w14:paraId="2341BDD3" w14:textId="77777777" w:rsidR="00390762" w:rsidRDefault="003907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1BDDE" w14:textId="77777777" w:rsidR="00390762" w:rsidRDefault="00390762">
    <w:pPr>
      <w:pStyle w:val="Footer"/>
      <w:rPr>
        <w:sz w:val="16"/>
      </w:rPr>
    </w:pPr>
  </w:p>
  <w:p w14:paraId="2341BDDF" w14:textId="616542F6" w:rsidR="00390762" w:rsidRDefault="00390762">
    <w:pPr>
      <w:pStyle w:val="Footer"/>
    </w:pPr>
    <w:r>
      <w:rPr>
        <w:sz w:val="16"/>
      </w:rPr>
      <w:fldChar w:fldCharType="begin"/>
    </w:r>
    <w:r>
      <w:rPr>
        <w:sz w:val="16"/>
      </w:rPr>
      <w:instrText xml:space="preserve"> REF Book15 </w:instrText>
    </w:r>
    <w:r>
      <w:rPr>
        <w:sz w:val="16"/>
      </w:rPr>
      <w:fldChar w:fldCharType="separate"/>
    </w:r>
    <w:r>
      <w:rPr>
        <w:sz w:val="16"/>
      </w:rPr>
      <w:t>(PROJNUM)</w:t>
    </w:r>
    <w:r>
      <w:rPr>
        <w:sz w:val="16"/>
      </w:rPr>
      <w:fldChar w:fldCharType="end"/>
    </w:r>
    <w:r>
      <w:rPr>
        <w:caps/>
        <w:sz w:val="16"/>
      </w:rPr>
      <w:fldChar w:fldCharType="begin"/>
    </w:r>
    <w:r>
      <w:rPr>
        <w:caps/>
        <w:sz w:val="16"/>
      </w:rPr>
      <w:instrText xml:space="preserve"> MACROBUTTON AllCaps \RESUMEN EJECUTIVO </w:instrText>
    </w:r>
    <w:r>
      <w:rPr>
        <w:caps/>
        <w:sz w:val="16"/>
      </w:rPr>
      <w:fldChar w:fldCharType="end"/>
    </w:r>
    <w:r>
      <w:rPr>
        <w:sz w:val="16"/>
      </w:rPr>
      <w:tab/>
    </w:r>
    <w:r>
      <w:rPr>
        <w:sz w:val="16"/>
      </w:rPr>
      <w:tab/>
    </w:r>
    <w:r>
      <w:rPr>
        <w:sz w:val="16"/>
        <w:lang w:val="es-ES"/>
      </w:rPr>
      <w:t>Versión al</w:t>
    </w:r>
    <w:r>
      <w:rPr>
        <w:sz w:val="16"/>
      </w:rPr>
      <w:t xml:space="preserve">: </w:t>
    </w:r>
    <w:fldSimple w:instr=" SAVEDATE  \* MERGEFORMAT ">
      <w:r w:rsidR="004932D7" w:rsidRPr="004932D7">
        <w:rPr>
          <w:noProof/>
          <w:sz w:val="16"/>
        </w:rPr>
        <w:t>21/06/2017 14:01:00</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3184135"/>
      <w:docPartObj>
        <w:docPartGallery w:val="Page Numbers (Bottom of Page)"/>
        <w:docPartUnique/>
      </w:docPartObj>
    </w:sdtPr>
    <w:sdtEndPr>
      <w:rPr>
        <w:noProof/>
      </w:rPr>
    </w:sdtEndPr>
    <w:sdtContent>
      <w:p w14:paraId="2341BDE0" w14:textId="295C3C0E" w:rsidR="00390762" w:rsidRDefault="00390762">
        <w:pPr>
          <w:pStyle w:val="Footer"/>
          <w:jc w:val="center"/>
        </w:pPr>
        <w:r>
          <w:fldChar w:fldCharType="begin"/>
        </w:r>
        <w:r>
          <w:instrText xml:space="preserve"> PAGE   \* MERGEFORMAT </w:instrText>
        </w:r>
        <w:r>
          <w:fldChar w:fldCharType="separate"/>
        </w:r>
        <w:r w:rsidR="004932D7">
          <w:rPr>
            <w:noProof/>
          </w:rPr>
          <w:t>13</w:t>
        </w:r>
        <w:r>
          <w:rPr>
            <w:noProof/>
          </w:rPr>
          <w:fldChar w:fldCharType="end"/>
        </w:r>
      </w:p>
    </w:sdtContent>
  </w:sdt>
  <w:p w14:paraId="2341BDE1" w14:textId="77777777" w:rsidR="00390762" w:rsidRDefault="003907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5788063"/>
      <w:docPartObj>
        <w:docPartGallery w:val="Page Numbers (Bottom of Page)"/>
        <w:docPartUnique/>
      </w:docPartObj>
    </w:sdtPr>
    <w:sdtEndPr/>
    <w:sdtContent>
      <w:p w14:paraId="2341BDE6" w14:textId="0A04C861" w:rsidR="00390762" w:rsidRDefault="00390762">
        <w:pPr>
          <w:pStyle w:val="Footer"/>
          <w:jc w:val="center"/>
        </w:pPr>
        <w:r>
          <w:fldChar w:fldCharType="begin"/>
        </w:r>
        <w:r>
          <w:instrText>PAGE   \* MERGEFORMAT</w:instrText>
        </w:r>
        <w:r>
          <w:fldChar w:fldCharType="separate"/>
        </w:r>
        <w:r w:rsidR="004932D7" w:rsidRPr="004932D7">
          <w:rPr>
            <w:noProof/>
            <w:lang w:val="es-ES"/>
          </w:rPr>
          <w:t>48</w:t>
        </w:r>
        <w:r>
          <w:fldChar w:fldCharType="end"/>
        </w:r>
      </w:p>
    </w:sdtContent>
  </w:sdt>
  <w:p w14:paraId="2341BDE7" w14:textId="77777777" w:rsidR="00390762" w:rsidRDefault="0039076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2625278"/>
      <w:docPartObj>
        <w:docPartGallery w:val="Page Numbers (Bottom of Page)"/>
        <w:docPartUnique/>
      </w:docPartObj>
    </w:sdtPr>
    <w:sdtEndPr>
      <w:rPr>
        <w:noProof/>
      </w:rPr>
    </w:sdtEndPr>
    <w:sdtContent>
      <w:p w14:paraId="2341BDE8" w14:textId="38B3A373" w:rsidR="00390762" w:rsidRDefault="00390762">
        <w:pPr>
          <w:pStyle w:val="Footer"/>
          <w:jc w:val="center"/>
        </w:pPr>
        <w:r>
          <w:fldChar w:fldCharType="begin"/>
        </w:r>
        <w:r>
          <w:instrText xml:space="preserve"> PAGE   \* MERGEFORMAT </w:instrText>
        </w:r>
        <w:r>
          <w:fldChar w:fldCharType="separate"/>
        </w:r>
        <w:r w:rsidR="004932D7">
          <w:rPr>
            <w:noProof/>
          </w:rPr>
          <w:t>77</w:t>
        </w:r>
        <w:r>
          <w:rPr>
            <w:noProof/>
          </w:rPr>
          <w:fldChar w:fldCharType="end"/>
        </w:r>
      </w:p>
    </w:sdtContent>
  </w:sdt>
  <w:p w14:paraId="2341BDE9" w14:textId="77777777" w:rsidR="00390762" w:rsidRDefault="003907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1BDC8" w14:textId="77777777" w:rsidR="0006493E" w:rsidRDefault="0006493E" w:rsidP="00ED751C">
      <w:r>
        <w:separator/>
      </w:r>
    </w:p>
  </w:footnote>
  <w:footnote w:type="continuationSeparator" w:id="0">
    <w:p w14:paraId="2341BDC9" w14:textId="77777777" w:rsidR="0006493E" w:rsidRDefault="0006493E" w:rsidP="00ED751C">
      <w:r>
        <w:continuationSeparator/>
      </w:r>
    </w:p>
  </w:footnote>
  <w:footnote w:id="1">
    <w:p w14:paraId="2341BDEA" w14:textId="77777777" w:rsidR="00390762" w:rsidRPr="00564572" w:rsidRDefault="00390762" w:rsidP="00564572">
      <w:pPr>
        <w:pStyle w:val="FootnoteText"/>
        <w:rPr>
          <w:lang w:val="es-ES_tradnl"/>
        </w:rPr>
      </w:pPr>
      <w:r>
        <w:rPr>
          <w:rStyle w:val="FootnoteReference"/>
        </w:rPr>
        <w:footnoteRef/>
      </w:r>
      <w:r w:rsidRPr="00564572">
        <w:rPr>
          <w:lang w:val="es-ES_tradnl"/>
        </w:rPr>
        <w:t xml:space="preserve"> </w:t>
      </w:r>
      <w:r w:rsidRPr="00564572">
        <w:rPr>
          <w:rFonts w:ascii="Arial" w:hAnsi="Arial" w:cs="Arial"/>
          <w:lang w:val="es-ES_tradnl"/>
        </w:rPr>
        <w:t>Firmado y publicado</w:t>
      </w:r>
    </w:p>
  </w:footnote>
  <w:footnote w:id="2">
    <w:p w14:paraId="2341BDEB" w14:textId="77777777" w:rsidR="00390762" w:rsidRPr="00A430BF" w:rsidRDefault="00390762" w:rsidP="00131FFA">
      <w:pPr>
        <w:pStyle w:val="FootnoteText"/>
        <w:ind w:left="180" w:hanging="180"/>
        <w:rPr>
          <w:rFonts w:ascii="Arial" w:hAnsi="Arial" w:cs="Arial"/>
          <w:sz w:val="18"/>
          <w:szCs w:val="18"/>
          <w:lang w:val="es-ES_tradnl"/>
        </w:rPr>
      </w:pPr>
      <w:r w:rsidRPr="00A430BF">
        <w:rPr>
          <w:rStyle w:val="FootnoteReference"/>
          <w:rFonts w:ascii="Arial" w:hAnsi="Arial" w:cs="Arial"/>
          <w:sz w:val="18"/>
          <w:szCs w:val="18"/>
        </w:rPr>
        <w:footnoteRef/>
      </w:r>
      <w:r w:rsidRPr="00A430BF">
        <w:rPr>
          <w:rFonts w:ascii="Arial" w:hAnsi="Arial" w:cs="Arial"/>
          <w:sz w:val="18"/>
          <w:szCs w:val="18"/>
          <w:lang w:val="es-ES_tradnl"/>
        </w:rPr>
        <w:t xml:space="preserve"> </w:t>
      </w:r>
      <w:r>
        <w:rPr>
          <w:rFonts w:ascii="Arial" w:hAnsi="Arial" w:cs="Arial"/>
          <w:sz w:val="18"/>
          <w:szCs w:val="18"/>
          <w:lang w:val="es-ES_tradnl"/>
        </w:rPr>
        <w:tab/>
      </w:r>
      <w:r w:rsidRPr="00A430BF">
        <w:rPr>
          <w:rFonts w:ascii="Arial" w:hAnsi="Arial" w:cs="Arial"/>
          <w:sz w:val="18"/>
          <w:szCs w:val="18"/>
          <w:lang w:val="es-CO"/>
        </w:rPr>
        <w:t>Emisiones de GEI calculadas en emisiones de CO</w:t>
      </w:r>
      <w:r w:rsidRPr="00A430BF">
        <w:rPr>
          <w:rFonts w:ascii="Arial" w:hAnsi="Arial" w:cs="Arial"/>
          <w:sz w:val="18"/>
          <w:szCs w:val="18"/>
          <w:vertAlign w:val="subscript"/>
          <w:lang w:val="es-CO"/>
        </w:rPr>
        <w:t>2</w:t>
      </w:r>
      <w:r w:rsidRPr="00A430BF">
        <w:rPr>
          <w:rFonts w:ascii="Arial" w:hAnsi="Arial" w:cs="Arial"/>
          <w:sz w:val="18"/>
          <w:szCs w:val="18"/>
          <w:lang w:val="es-CO"/>
        </w:rPr>
        <w:t xml:space="preserve"> equivalentes.</w:t>
      </w:r>
    </w:p>
  </w:footnote>
  <w:footnote w:id="3">
    <w:p w14:paraId="2341BDEC" w14:textId="77777777" w:rsidR="00390762" w:rsidRPr="00FF447B" w:rsidRDefault="00390762">
      <w:pPr>
        <w:pStyle w:val="FootnoteText"/>
        <w:rPr>
          <w:rFonts w:ascii="Arial" w:hAnsi="Arial" w:cs="Arial"/>
          <w:sz w:val="18"/>
          <w:szCs w:val="18"/>
          <w:lang w:val="es-ES_tradnl"/>
        </w:rPr>
      </w:pPr>
      <w:r w:rsidRPr="00FF447B">
        <w:rPr>
          <w:rStyle w:val="FootnoteReference"/>
          <w:rFonts w:ascii="Arial" w:hAnsi="Arial" w:cs="Arial"/>
          <w:sz w:val="18"/>
          <w:szCs w:val="18"/>
        </w:rPr>
        <w:footnoteRef/>
      </w:r>
      <w:r w:rsidRPr="00FF447B">
        <w:rPr>
          <w:rFonts w:ascii="Arial" w:hAnsi="Arial" w:cs="Arial"/>
          <w:sz w:val="18"/>
          <w:szCs w:val="18"/>
          <w:lang w:val="es-ES_tradnl"/>
        </w:rPr>
        <w:t xml:space="preserve"> </w:t>
      </w:r>
      <w:r w:rsidRPr="00FF447B">
        <w:rPr>
          <w:rFonts w:ascii="Arial" w:hAnsi="Arial" w:cs="Arial"/>
          <w:sz w:val="18"/>
          <w:szCs w:val="18"/>
          <w:lang w:val="es-ES_tradnl"/>
        </w:rPr>
        <w:tab/>
        <w:t>Con base en la amplia experiencia del Banco en programas de esta naturaleza</w:t>
      </w:r>
      <w:r>
        <w:rPr>
          <w:rFonts w:ascii="Arial" w:hAnsi="Arial" w:cs="Arial"/>
          <w:sz w:val="18"/>
          <w:szCs w:val="18"/>
          <w:lang w:val="es-ES_tradnl"/>
        </w:rPr>
        <w:t xml:space="preserve"> en el sector</w:t>
      </w:r>
      <w:r w:rsidRPr="00FF447B">
        <w:rPr>
          <w:rFonts w:ascii="Arial" w:hAnsi="Arial" w:cs="Arial"/>
          <w:sz w:val="18"/>
          <w:szCs w:val="18"/>
          <w:lang w:val="es-ES_tradnl"/>
        </w:rPr>
        <w:t xml:space="preserve"> y en los resultados de implementación de programas similares en el mundo, el costo de una evaluación de impacto no se considera plenamente justificable</w:t>
      </w:r>
      <w:r>
        <w:rPr>
          <w:rFonts w:ascii="Arial" w:hAnsi="Arial" w:cs="Arial"/>
          <w:sz w:val="18"/>
          <w:szCs w:val="18"/>
          <w:lang w:val="es-ES_tradnl"/>
        </w:rPr>
        <w:t>, en relación con nueva información que podría extraerse de esa evaluación</w:t>
      </w:r>
      <w:r w:rsidRPr="00FF447B">
        <w:rPr>
          <w:rFonts w:ascii="Arial" w:hAnsi="Arial" w:cs="Arial"/>
          <w:sz w:val="18"/>
          <w:szCs w:val="18"/>
          <w:lang w:val="es-ES_tradnl"/>
        </w:rPr>
        <w:t>.</w:t>
      </w:r>
    </w:p>
  </w:footnote>
  <w:footnote w:id="4">
    <w:p w14:paraId="2341BDED" w14:textId="77777777" w:rsidR="00390762" w:rsidRPr="00A90C45" w:rsidRDefault="00390762" w:rsidP="00A90C45">
      <w:pPr>
        <w:pStyle w:val="FootnoteText"/>
        <w:rPr>
          <w:rFonts w:ascii="Arial" w:hAnsi="Arial" w:cs="Arial"/>
          <w:sz w:val="18"/>
          <w:szCs w:val="18"/>
          <w:lang w:val="es-BO"/>
        </w:rPr>
      </w:pPr>
      <w:r w:rsidRPr="00A90C45">
        <w:rPr>
          <w:rStyle w:val="FootnoteReference"/>
          <w:rFonts w:ascii="Arial" w:hAnsi="Arial" w:cs="Arial"/>
          <w:sz w:val="18"/>
          <w:szCs w:val="18"/>
        </w:rPr>
        <w:footnoteRef/>
      </w:r>
      <w:r w:rsidRPr="00A90C45">
        <w:rPr>
          <w:rFonts w:ascii="Arial" w:hAnsi="Arial" w:cs="Arial"/>
          <w:sz w:val="18"/>
          <w:szCs w:val="18"/>
          <w:lang w:val="es-BO"/>
        </w:rPr>
        <w:t xml:space="preserve"> </w:t>
      </w:r>
      <w:r w:rsidRPr="00A90C45">
        <w:rPr>
          <w:rFonts w:ascii="Arial" w:hAnsi="Arial" w:cs="Arial"/>
          <w:sz w:val="18"/>
          <w:szCs w:val="18"/>
          <w:lang w:val="es-ES_tradnl" w:eastAsia="es-ES"/>
        </w:rPr>
        <w:t>En este caso, el criterio de eficiencia se evalúa pero no se califica al ser un programático</w:t>
      </w:r>
    </w:p>
  </w:footnote>
  <w:footnote w:id="5">
    <w:p w14:paraId="2341BDEE" w14:textId="77777777" w:rsidR="00390762" w:rsidRPr="00B946FC" w:rsidRDefault="00390762" w:rsidP="0011752D">
      <w:pPr>
        <w:pStyle w:val="FootnoteText"/>
        <w:rPr>
          <w:rFonts w:ascii="Arial" w:hAnsi="Arial" w:cs="Arial"/>
        </w:rPr>
      </w:pPr>
      <w:r w:rsidRPr="00F361EB">
        <w:rPr>
          <w:rStyle w:val="FootnoteReference"/>
          <w:rFonts w:ascii="Arial" w:hAnsi="Arial" w:cs="Arial"/>
        </w:rPr>
        <w:footnoteRef/>
      </w:r>
      <w:r w:rsidRPr="00B946FC">
        <w:rPr>
          <w:rFonts w:ascii="Arial" w:hAnsi="Arial" w:cs="Arial"/>
        </w:rPr>
        <w:t xml:space="preserve"> Perfil de Proyecto</w:t>
      </w:r>
    </w:p>
  </w:footnote>
  <w:footnote w:id="6">
    <w:p w14:paraId="2341BDEF" w14:textId="77777777" w:rsidR="00390762" w:rsidRPr="00AD3EA0" w:rsidRDefault="00390762" w:rsidP="0011752D">
      <w:pPr>
        <w:pStyle w:val="FootnoteText"/>
        <w:rPr>
          <w:rFonts w:ascii="Arial" w:hAnsi="Arial" w:cs="Arial"/>
        </w:rPr>
      </w:pPr>
      <w:r w:rsidRPr="00AD3EA0">
        <w:rPr>
          <w:rStyle w:val="FootnoteReference"/>
          <w:rFonts w:ascii="Arial" w:hAnsi="Arial" w:cs="Arial"/>
        </w:rPr>
        <w:footnoteRef/>
      </w:r>
      <w:r w:rsidRPr="00AD3EA0">
        <w:rPr>
          <w:rFonts w:ascii="Arial" w:hAnsi="Arial" w:cs="Arial"/>
        </w:rPr>
        <w:t xml:space="preserve"> Guidelines for the Economic Analysis of IDB-funded Projects, June 2012.</w:t>
      </w:r>
      <w:r>
        <w:rPr>
          <w:rFonts w:ascii="Arial" w:hAnsi="Arial" w:cs="Arial"/>
        </w:rPr>
        <w:t xml:space="preserve"> “</w:t>
      </w:r>
      <w:r w:rsidRPr="005F1B95">
        <w:rPr>
          <w:rFonts w:ascii="Arial" w:hAnsi="Arial" w:cs="Arial"/>
          <w:i/>
        </w:rPr>
        <w:t>The primary objective of conducting an economic analysis is to help design projects that will be effective in promoting development in a country. The usefulness of this exercise is greatest when it is done early in the project cycle and contributes to the decisions about whether and how to proceed with a project. While the outcome of an economic analysis—net present value or economic rate of return for CBA and cost per unit effect for CEA—are important, it is the process of conducting the analysis and the insights that it provides that are most likely to be useful in designing a better project. The value of the Economic Analysis Annex is not just in the details of how the summary measures are calculated, but in the lessons learned in making these calculations.</w:t>
      </w:r>
      <w:r>
        <w:rPr>
          <w:rFonts w:ascii="Arial" w:hAnsi="Arial" w:cs="Arial"/>
        </w:rPr>
        <w:t>”</w:t>
      </w:r>
    </w:p>
  </w:footnote>
  <w:footnote w:id="7">
    <w:p w14:paraId="2341BDF0" w14:textId="77777777" w:rsidR="00390762" w:rsidRPr="0011752D" w:rsidRDefault="00390762" w:rsidP="0011752D">
      <w:pPr>
        <w:pStyle w:val="FootnoteText"/>
        <w:rPr>
          <w:lang w:val="es-ES_tradnl"/>
        </w:rPr>
      </w:pPr>
      <w:r w:rsidRPr="00AD3EA0">
        <w:rPr>
          <w:rStyle w:val="FootnoteReference"/>
          <w:rFonts w:ascii="Arial" w:hAnsi="Arial" w:cs="Arial"/>
        </w:rPr>
        <w:footnoteRef/>
      </w:r>
      <w:r w:rsidRPr="0011752D">
        <w:rPr>
          <w:rFonts w:ascii="Arial" w:hAnsi="Arial" w:cs="Arial"/>
          <w:lang w:val="es-ES_tradnl"/>
        </w:rPr>
        <w:t xml:space="preserve"> El Componente I Estabilidad Macroeconómica no hace parte del alcance del presente estudio</w:t>
      </w:r>
    </w:p>
  </w:footnote>
  <w:footnote w:id="8">
    <w:p w14:paraId="2341BDF1" w14:textId="77777777" w:rsidR="00390762" w:rsidRPr="0011752D" w:rsidRDefault="00390762" w:rsidP="0011752D">
      <w:pPr>
        <w:pStyle w:val="FootnoteText"/>
        <w:rPr>
          <w:rFonts w:ascii="Arial" w:hAnsi="Arial" w:cs="Arial"/>
          <w:lang w:val="es-ES_tradnl"/>
        </w:rPr>
      </w:pPr>
      <w:r w:rsidRPr="00573B16">
        <w:rPr>
          <w:rStyle w:val="FootnoteReference"/>
          <w:rFonts w:ascii="Arial" w:hAnsi="Arial" w:cs="Arial"/>
        </w:rPr>
        <w:footnoteRef/>
      </w:r>
      <w:r w:rsidRPr="0011752D">
        <w:rPr>
          <w:rFonts w:ascii="Arial" w:hAnsi="Arial" w:cs="Arial"/>
          <w:lang w:val="es-ES_tradnl"/>
        </w:rPr>
        <w:t xml:space="preserve"> Esta condición se describe en Bergman &amp; Hanley – “The costs and benefits of renewable energy in Scotland” (2012), en donde se considera que los precios de mercado son una buena aproximación para la estimación de los beneficios y costos marginales. Ver sección del citado documento “2.3.2 Market prices versus shadow prices”.</w:t>
      </w:r>
    </w:p>
  </w:footnote>
  <w:footnote w:id="9">
    <w:p w14:paraId="2341BDF2" w14:textId="77777777" w:rsidR="00390762" w:rsidRPr="0011752D" w:rsidRDefault="00390762" w:rsidP="0011752D">
      <w:pPr>
        <w:pStyle w:val="FootnoteText"/>
        <w:rPr>
          <w:rFonts w:ascii="Arial" w:hAnsi="Arial" w:cs="Arial"/>
          <w:lang w:val="es-ES_tradnl"/>
        </w:rPr>
      </w:pPr>
      <w:r w:rsidRPr="00ED49A2">
        <w:rPr>
          <w:rStyle w:val="FootnoteReference"/>
          <w:rFonts w:ascii="Arial" w:hAnsi="Arial" w:cs="Arial"/>
        </w:rPr>
        <w:footnoteRef/>
      </w:r>
      <w:r w:rsidRPr="0011752D">
        <w:rPr>
          <w:rFonts w:ascii="Arial" w:hAnsi="Arial" w:cs="Arial"/>
          <w:lang w:val="es-ES_tradnl"/>
        </w:rPr>
        <w:t xml:space="preserve"> En Colombia los “contratos de largo plazo” no son del tipo PPA, generalmente son a uno, dos y tres años.</w:t>
      </w:r>
    </w:p>
  </w:footnote>
  <w:footnote w:id="10">
    <w:p w14:paraId="2341BDF3" w14:textId="77777777" w:rsidR="00390762" w:rsidRPr="0011752D" w:rsidRDefault="00390762" w:rsidP="0011752D">
      <w:pPr>
        <w:pStyle w:val="FootnoteText"/>
        <w:rPr>
          <w:rFonts w:ascii="Arial" w:hAnsi="Arial" w:cs="Arial"/>
          <w:lang w:val="es-ES_tradnl"/>
        </w:rPr>
      </w:pPr>
      <w:r w:rsidRPr="00B52DA3">
        <w:rPr>
          <w:rStyle w:val="FootnoteReference"/>
          <w:rFonts w:ascii="Arial" w:hAnsi="Arial" w:cs="Arial"/>
        </w:rPr>
        <w:footnoteRef/>
      </w:r>
      <w:r w:rsidRPr="0011752D">
        <w:rPr>
          <w:rFonts w:ascii="Arial" w:hAnsi="Arial" w:cs="Arial"/>
          <w:lang w:val="es-ES_tradnl"/>
        </w:rPr>
        <w:t xml:space="preserve"> La CREG definió en la Resolución 071 de 2006 “Condiciones Críticas” como la “situación que presenta el mercado mayorista de energía cuando el precio de bolsa es mayor al Precio de Escasez.”</w:t>
      </w:r>
    </w:p>
  </w:footnote>
  <w:footnote w:id="11">
    <w:p w14:paraId="2341BDF4" w14:textId="77777777" w:rsidR="00390762" w:rsidRPr="0011752D" w:rsidRDefault="00390762" w:rsidP="0011752D">
      <w:pPr>
        <w:pStyle w:val="FootnoteText"/>
        <w:rPr>
          <w:rFonts w:ascii="Arial" w:hAnsi="Arial" w:cs="Arial"/>
          <w:lang w:val="es-ES_tradnl"/>
        </w:rPr>
      </w:pPr>
      <w:r w:rsidRPr="00B52DA3">
        <w:rPr>
          <w:rStyle w:val="FootnoteReference"/>
          <w:rFonts w:ascii="Arial" w:hAnsi="Arial" w:cs="Arial"/>
        </w:rPr>
        <w:footnoteRef/>
      </w:r>
      <w:r w:rsidRPr="0011752D">
        <w:rPr>
          <w:rFonts w:ascii="Arial" w:hAnsi="Arial" w:cs="Arial"/>
          <w:lang w:val="es-ES_tradnl"/>
        </w:rPr>
        <w:t xml:space="preserve"> El Precio de Escasez (PE) es establecido por la CREG y actualizado mensualmente con base en la variación de un índice de precios de combustibles y cumple dos funciones: (1) indica a partir de qué momento las OEF son exigibles, y (2), constituye el precio al que será remunerada la energía firme vendida en bolsa cuando las OEF sean ejercidas. El PE corresponde a la oferta en Bolsa de una planta térmica ineficiente (del orden de 12 MBTU/MWh) que consume Fuel Oil. Antes de la baja de los precios del petróleo este precio estuvo alrededor de 240 US$/MWh.</w:t>
      </w:r>
    </w:p>
  </w:footnote>
  <w:footnote w:id="12">
    <w:p w14:paraId="2341BDF5" w14:textId="77777777" w:rsidR="00390762" w:rsidRPr="0011752D" w:rsidRDefault="00390762" w:rsidP="0011752D">
      <w:pPr>
        <w:pStyle w:val="FootnoteText"/>
        <w:rPr>
          <w:rFonts w:ascii="Arial" w:hAnsi="Arial" w:cs="Arial"/>
          <w:lang w:val="es-ES_tradnl"/>
        </w:rPr>
      </w:pPr>
      <w:r w:rsidRPr="00A55EA9">
        <w:rPr>
          <w:rStyle w:val="FootnoteReference"/>
          <w:rFonts w:ascii="Arial" w:hAnsi="Arial" w:cs="Arial"/>
        </w:rPr>
        <w:footnoteRef/>
      </w:r>
      <w:r w:rsidRPr="0011752D">
        <w:rPr>
          <w:rFonts w:ascii="Arial" w:hAnsi="Arial" w:cs="Arial"/>
          <w:lang w:val="es-ES_tradnl"/>
        </w:rPr>
        <w:t xml:space="preserve"> Se utiliza el modelo SDDP Programación Dinámica Dual y Estocástica.</w:t>
      </w:r>
    </w:p>
  </w:footnote>
  <w:footnote w:id="13">
    <w:p w14:paraId="2341BDF6" w14:textId="77777777" w:rsidR="00390762" w:rsidRPr="0011752D" w:rsidRDefault="00390762" w:rsidP="0011752D">
      <w:pPr>
        <w:pStyle w:val="FootnoteText"/>
        <w:rPr>
          <w:rFonts w:ascii="Arial" w:hAnsi="Arial" w:cs="Arial"/>
          <w:lang w:val="es-ES_tradnl"/>
        </w:rPr>
      </w:pPr>
      <w:r w:rsidRPr="00E52550">
        <w:rPr>
          <w:rStyle w:val="FootnoteReference"/>
          <w:rFonts w:ascii="Arial" w:hAnsi="Arial" w:cs="Arial"/>
        </w:rPr>
        <w:footnoteRef/>
      </w:r>
      <w:r w:rsidRPr="0011752D">
        <w:rPr>
          <w:rFonts w:ascii="Arial" w:hAnsi="Arial" w:cs="Arial"/>
          <w:lang w:val="es-ES_tradnl"/>
        </w:rPr>
        <w:t xml:space="preserve"> Las proyecciones de demanda de energía eléctrica son construidas por la UPME de acuerdo con una metodología que toma en cuenta diferentes variables (como crecimiento del PIB y población).</w:t>
      </w:r>
    </w:p>
  </w:footnote>
  <w:footnote w:id="14">
    <w:p w14:paraId="2341BDF7" w14:textId="77777777" w:rsidR="00390762" w:rsidRPr="0011752D" w:rsidRDefault="00390762" w:rsidP="0011752D">
      <w:pPr>
        <w:pStyle w:val="FootnoteText"/>
        <w:rPr>
          <w:lang w:val="es-ES_tradnl"/>
        </w:rPr>
      </w:pPr>
      <w:r w:rsidRPr="0067468F">
        <w:rPr>
          <w:rStyle w:val="FootnoteReference"/>
          <w:rFonts w:ascii="Arial" w:hAnsi="Arial" w:cs="Arial"/>
        </w:rPr>
        <w:footnoteRef/>
      </w:r>
      <w:r w:rsidRPr="0011752D">
        <w:rPr>
          <w:rFonts w:ascii="Arial" w:hAnsi="Arial" w:cs="Arial"/>
          <w:lang w:val="es-ES_tradnl"/>
        </w:rPr>
        <w:t xml:space="preserve"> Por ejemplo, ver numeral 4.3 Proyección de precios del Plan de Expansión 2015 – 2029, para combustibles utilizados en generación. </w:t>
      </w:r>
    </w:p>
  </w:footnote>
  <w:footnote w:id="15">
    <w:p w14:paraId="2341BDF8" w14:textId="77777777" w:rsidR="00390762" w:rsidRPr="0011752D" w:rsidRDefault="00390762" w:rsidP="0011752D">
      <w:pPr>
        <w:pStyle w:val="FootnoteText"/>
        <w:rPr>
          <w:rFonts w:ascii="Arial" w:hAnsi="Arial" w:cs="Arial"/>
          <w:lang w:val="es-ES_tradnl"/>
        </w:rPr>
      </w:pPr>
      <w:r w:rsidRPr="00A55EA9">
        <w:rPr>
          <w:rStyle w:val="FootnoteReference"/>
          <w:rFonts w:ascii="Arial" w:hAnsi="Arial" w:cs="Arial"/>
        </w:rPr>
        <w:footnoteRef/>
      </w:r>
      <w:r w:rsidRPr="0011752D">
        <w:rPr>
          <w:rFonts w:ascii="Arial" w:hAnsi="Arial" w:cs="Arial"/>
          <w:lang w:val="es-ES_tradnl"/>
        </w:rPr>
        <w:t xml:space="preserve"> Para un mayor detalle se puede consultar el numeral 5.2.2. Metodología de modelación de las fuentes intermitentes no convencionales en el SDDP del Plan de Expansión 2015 – 2029.</w:t>
      </w:r>
    </w:p>
  </w:footnote>
  <w:footnote w:id="16">
    <w:p w14:paraId="2341BDF9" w14:textId="77777777" w:rsidR="00390762" w:rsidRPr="0011752D" w:rsidRDefault="00390762" w:rsidP="0011752D">
      <w:pPr>
        <w:pStyle w:val="FootnoteText"/>
        <w:rPr>
          <w:rFonts w:ascii="Arial" w:hAnsi="Arial" w:cs="Arial"/>
          <w:lang w:val="es-ES_tradnl"/>
        </w:rPr>
      </w:pPr>
      <w:r w:rsidRPr="00A810A6">
        <w:rPr>
          <w:rStyle w:val="FootnoteReference"/>
          <w:rFonts w:ascii="Arial" w:hAnsi="Arial" w:cs="Arial"/>
        </w:rPr>
        <w:footnoteRef/>
      </w:r>
      <w:r w:rsidRPr="0011752D">
        <w:rPr>
          <w:rFonts w:ascii="Arial" w:hAnsi="Arial" w:cs="Arial"/>
          <w:lang w:val="es-ES_tradnl"/>
        </w:rPr>
        <w:t xml:space="preserve"> Para inversión ver numeral 5.5.3,1.11 Costo nivelado de generación para los escenarios del Plan de Expansión.</w:t>
      </w:r>
    </w:p>
  </w:footnote>
  <w:footnote w:id="17">
    <w:p w14:paraId="2341BDFA" w14:textId="77777777" w:rsidR="00390762" w:rsidRPr="0011752D" w:rsidRDefault="00390762" w:rsidP="0011752D">
      <w:pPr>
        <w:pStyle w:val="FootnoteText"/>
        <w:rPr>
          <w:rFonts w:ascii="Arial" w:hAnsi="Arial" w:cs="Arial"/>
          <w:lang w:val="es-ES_tradnl"/>
        </w:rPr>
      </w:pPr>
      <w:r w:rsidRPr="00EF2885">
        <w:rPr>
          <w:rStyle w:val="FootnoteReference"/>
          <w:rFonts w:ascii="Arial" w:hAnsi="Arial" w:cs="Arial"/>
        </w:rPr>
        <w:footnoteRef/>
      </w:r>
      <w:r w:rsidRPr="0011752D">
        <w:rPr>
          <w:rFonts w:ascii="Arial" w:hAnsi="Arial" w:cs="Arial"/>
          <w:lang w:val="es-ES_tradnl"/>
        </w:rPr>
        <w:t xml:space="preserve"> Aunque existe un Plan de Expansión de Referencia más reciente, se ha decidió tomar en cuenta el de 2015 debido a que este incluye un escenario sin FNCER en la expansión, lo cual facilita la comparación con el escenario 12 y que para ese año apenas se encontraba en desarrollo la regulación de la Ley 1715 de 2014.</w:t>
      </w:r>
    </w:p>
  </w:footnote>
  <w:footnote w:id="18">
    <w:p w14:paraId="2341BDFB" w14:textId="77777777" w:rsidR="00390762" w:rsidRPr="0011752D" w:rsidRDefault="00390762" w:rsidP="0011752D">
      <w:pPr>
        <w:pStyle w:val="FootnoteText"/>
        <w:rPr>
          <w:rFonts w:ascii="Arial" w:hAnsi="Arial" w:cs="Arial"/>
          <w:lang w:val="es-ES_tradnl"/>
        </w:rPr>
      </w:pPr>
      <w:r w:rsidRPr="00BA50F1">
        <w:rPr>
          <w:rStyle w:val="FootnoteReference"/>
          <w:rFonts w:ascii="Arial" w:hAnsi="Arial" w:cs="Arial"/>
        </w:rPr>
        <w:footnoteRef/>
      </w:r>
      <w:r w:rsidRPr="0011752D">
        <w:rPr>
          <w:rFonts w:ascii="Arial" w:hAnsi="Arial" w:cs="Arial"/>
          <w:lang w:val="es-ES_tradnl"/>
        </w:rPr>
        <w:t xml:space="preserve"> La complementariedad que existe entre la generación eólica y solar, y la hidroeléctrica de algunas regiones, permite obtener una energía firme adicional que actualmente no es valorada por la regulación y que, en principio, contribuye a una mayor confiabilidad. La evaluación económica de este beneficio supone correr modelos de simulación complejos para observar la energía firme marginal, su impacto en los índices de confiabilidad del SIN (valores esperados de racionamiento de energía y potencia) y la valoración de los mismos.</w:t>
      </w:r>
    </w:p>
  </w:footnote>
  <w:footnote w:id="19">
    <w:p w14:paraId="2341BDFC" w14:textId="77777777" w:rsidR="00390762" w:rsidRPr="0011752D" w:rsidRDefault="00390762" w:rsidP="0011752D">
      <w:pPr>
        <w:pStyle w:val="FootnoteText"/>
        <w:rPr>
          <w:lang w:val="es-ES_tradnl"/>
        </w:rPr>
      </w:pPr>
      <w:r>
        <w:rPr>
          <w:rStyle w:val="FootnoteReference"/>
        </w:rPr>
        <w:footnoteRef/>
      </w:r>
      <w:r w:rsidRPr="0011752D">
        <w:rPr>
          <w:lang w:val="es-ES_tradnl"/>
        </w:rPr>
        <w:t xml:space="preserve"> </w:t>
      </w:r>
      <w:r w:rsidRPr="0011752D">
        <w:rPr>
          <w:rFonts w:ascii="Arial" w:hAnsi="Arial" w:cs="Arial"/>
          <w:lang w:val="es-ES_tradnl"/>
        </w:rPr>
        <w:t>1815 MW térmicos, de los cuales 1700 MW son a base de carbón y 115 MW están asociados a un proyecto que utiliza Gas Natural como combustible principal.</w:t>
      </w:r>
    </w:p>
  </w:footnote>
  <w:footnote w:id="20">
    <w:p w14:paraId="2341BDFD" w14:textId="77777777" w:rsidR="00390762" w:rsidRPr="0011752D" w:rsidRDefault="00390762" w:rsidP="0011752D">
      <w:pPr>
        <w:pStyle w:val="FootnoteText"/>
        <w:rPr>
          <w:lang w:val="es-ES_tradnl"/>
        </w:rPr>
      </w:pPr>
      <w:r>
        <w:rPr>
          <w:rStyle w:val="FootnoteReference"/>
        </w:rPr>
        <w:footnoteRef/>
      </w:r>
      <w:r w:rsidRPr="0011752D">
        <w:rPr>
          <w:lang w:val="es-ES_tradnl"/>
        </w:rPr>
        <w:t xml:space="preserve"> </w:t>
      </w:r>
      <w:r w:rsidRPr="0011752D">
        <w:rPr>
          <w:rFonts w:ascii="Arial" w:hAnsi="Arial" w:cs="Arial"/>
          <w:lang w:val="es-ES_tradnl"/>
        </w:rPr>
        <w:t>Escenario con mezcla óptima entre diferentes fuentes de generación. Considera 1.174 MW de generación eólica, 239 MW de generación solar, 50 MW geotérmicos, 285 MW adicionales de cogeneración y 1.020 MW adicionales de generación a carbón.</w:t>
      </w:r>
    </w:p>
  </w:footnote>
  <w:footnote w:id="21">
    <w:p w14:paraId="2341BDFE" w14:textId="77777777" w:rsidR="00390762" w:rsidRPr="0011752D" w:rsidRDefault="00390762" w:rsidP="0011752D">
      <w:pPr>
        <w:pStyle w:val="FootnoteText"/>
        <w:rPr>
          <w:lang w:val="es-ES_tradnl"/>
        </w:rPr>
      </w:pPr>
      <w:r>
        <w:rPr>
          <w:rStyle w:val="FootnoteReference"/>
        </w:rPr>
        <w:footnoteRef/>
      </w:r>
      <w:r w:rsidRPr="0011752D">
        <w:rPr>
          <w:lang w:val="es-ES_tradnl"/>
        </w:rPr>
        <w:t xml:space="preserve"> </w:t>
      </w:r>
      <w:r w:rsidRPr="0011752D">
        <w:rPr>
          <w:rFonts w:ascii="Arial" w:hAnsi="Arial" w:cs="Arial"/>
          <w:lang w:val="es-ES_tradnl"/>
        </w:rPr>
        <w:t>Para efecto de las proyecciones no se considera la segunda fase de Hidroituango.</w:t>
      </w:r>
    </w:p>
  </w:footnote>
  <w:footnote w:id="22">
    <w:p w14:paraId="2341BDFF" w14:textId="77777777" w:rsidR="00390762" w:rsidRPr="0011752D" w:rsidRDefault="00390762" w:rsidP="0011752D">
      <w:pPr>
        <w:pStyle w:val="FootnoteText"/>
        <w:rPr>
          <w:rFonts w:ascii="Arial" w:hAnsi="Arial" w:cs="Arial"/>
          <w:lang w:val="es-ES_tradnl"/>
        </w:rPr>
      </w:pPr>
      <w:r w:rsidRPr="00EF2885">
        <w:rPr>
          <w:rStyle w:val="FootnoteReference"/>
          <w:rFonts w:ascii="Arial" w:hAnsi="Arial" w:cs="Arial"/>
        </w:rPr>
        <w:footnoteRef/>
      </w:r>
      <w:r w:rsidRPr="0011752D">
        <w:rPr>
          <w:rFonts w:ascii="Arial" w:hAnsi="Arial" w:cs="Arial"/>
          <w:lang w:val="es-ES_tradnl"/>
        </w:rPr>
        <w:t xml:space="preserve"> Existe un ligero diferencial de beneficios incluso desde el 2017 por cuanto las proyecciones utilizadas corresponden a las realizadas por la UPME en el 2015 en su PERGT 2015 – 2019. Dichas proyecciones consideraban la instalación de hasta 14 MW de generación solar entre 2015 y 2016, y de 60 MW de cogeneración en el mismo periodo a raíz de la aprobación de la Ley 1715 de energías renovables en 2014. </w:t>
      </w:r>
    </w:p>
  </w:footnote>
  <w:footnote w:id="23">
    <w:p w14:paraId="2341BE00" w14:textId="77777777" w:rsidR="00390762" w:rsidRPr="0011752D" w:rsidRDefault="00390762" w:rsidP="0011752D">
      <w:pPr>
        <w:pStyle w:val="FootnoteText"/>
        <w:rPr>
          <w:rFonts w:ascii="Arial" w:hAnsi="Arial" w:cs="Arial"/>
          <w:lang w:val="es-ES_tradnl"/>
        </w:rPr>
      </w:pPr>
      <w:r w:rsidRPr="00EF2885">
        <w:rPr>
          <w:rStyle w:val="FootnoteReference"/>
          <w:rFonts w:ascii="Arial" w:hAnsi="Arial" w:cs="Arial"/>
        </w:rPr>
        <w:footnoteRef/>
      </w:r>
      <w:r w:rsidRPr="0011752D">
        <w:rPr>
          <w:rFonts w:ascii="Arial" w:hAnsi="Arial" w:cs="Arial"/>
          <w:lang w:val="es-ES_tradnl"/>
        </w:rPr>
        <w:t xml:space="preserve"> Tampoco los Planes de Referencia de la UPME presentan este indicador (TIR).</w:t>
      </w:r>
    </w:p>
  </w:footnote>
  <w:footnote w:id="24">
    <w:p w14:paraId="2341BE01" w14:textId="77777777" w:rsidR="00390762" w:rsidRPr="0011752D" w:rsidRDefault="00390762" w:rsidP="0011752D">
      <w:pPr>
        <w:pStyle w:val="FootnoteText"/>
        <w:rPr>
          <w:rFonts w:ascii="Arial" w:hAnsi="Arial" w:cs="Arial"/>
          <w:lang w:val="es-ES_tradnl"/>
        </w:rPr>
      </w:pPr>
      <w:r w:rsidRPr="00EF2885">
        <w:rPr>
          <w:rStyle w:val="FootnoteReference"/>
          <w:rFonts w:ascii="Arial" w:hAnsi="Arial" w:cs="Arial"/>
        </w:rPr>
        <w:footnoteRef/>
      </w:r>
      <w:r w:rsidRPr="0011752D">
        <w:rPr>
          <w:rFonts w:ascii="Arial" w:hAnsi="Arial" w:cs="Arial"/>
          <w:lang w:val="es-ES_tradnl"/>
        </w:rPr>
        <w:t xml:space="preserve"> Información de CRE según </w:t>
      </w:r>
      <w:hyperlink r:id="rId1" w:history="1">
        <w:r w:rsidRPr="0011752D">
          <w:rPr>
            <w:rStyle w:val="Hyperlink"/>
            <w:rFonts w:ascii="Arial" w:hAnsi="Arial" w:cs="Arial"/>
            <w:lang w:val="es-ES_tradnl"/>
          </w:rPr>
          <w:t>https://www.investing.com/commodities/carbon-emissions-historical-data</w:t>
        </w:r>
      </w:hyperlink>
      <w:r w:rsidRPr="0011752D">
        <w:rPr>
          <w:rFonts w:ascii="Arial" w:hAnsi="Arial" w:cs="Arial"/>
          <w:lang w:val="es-ES_tradnl"/>
        </w:rPr>
        <w:t xml:space="preserve"> y </w:t>
      </w:r>
    </w:p>
    <w:p w14:paraId="2341BE02" w14:textId="77777777" w:rsidR="00390762" w:rsidRPr="0011752D" w:rsidRDefault="004932D7" w:rsidP="0011752D">
      <w:pPr>
        <w:pStyle w:val="FootnoteText"/>
        <w:rPr>
          <w:rFonts w:ascii="Arial" w:hAnsi="Arial" w:cs="Arial"/>
          <w:lang w:val="es-ES_tradnl"/>
        </w:rPr>
      </w:pPr>
      <w:hyperlink r:id="rId2" w:history="1">
        <w:r w:rsidR="00390762" w:rsidRPr="0011752D">
          <w:rPr>
            <w:rStyle w:val="Hyperlink"/>
            <w:rFonts w:ascii="Arial" w:hAnsi="Arial" w:cs="Arial"/>
            <w:lang w:val="es-ES_tradnl"/>
          </w:rPr>
          <w:t>https://www.theice.com/products/197/EUA-Futures/data</w:t>
        </w:r>
      </w:hyperlink>
      <w:r w:rsidR="00390762" w:rsidRPr="0011752D">
        <w:rPr>
          <w:rFonts w:ascii="Arial" w:hAnsi="Arial" w:cs="Arial"/>
          <w:lang w:val="es-ES_tradnl"/>
        </w:rPr>
        <w:t>. Tasa de cambio según el Banco Central Europeo.</w:t>
      </w:r>
    </w:p>
  </w:footnote>
  <w:footnote w:id="25">
    <w:p w14:paraId="2341BE03" w14:textId="77777777" w:rsidR="00390762" w:rsidRPr="0011752D" w:rsidRDefault="00390762" w:rsidP="0011752D">
      <w:pPr>
        <w:pStyle w:val="FootnoteText"/>
        <w:rPr>
          <w:rFonts w:ascii="Arial" w:hAnsi="Arial" w:cs="Arial"/>
          <w:lang w:val="es-ES_tradnl"/>
        </w:rPr>
      </w:pPr>
      <w:r w:rsidRPr="00EF2885">
        <w:rPr>
          <w:rStyle w:val="FootnoteReference"/>
          <w:rFonts w:ascii="Arial" w:hAnsi="Arial" w:cs="Arial"/>
        </w:rPr>
        <w:footnoteRef/>
      </w:r>
      <w:r w:rsidRPr="0011752D">
        <w:rPr>
          <w:rFonts w:ascii="Arial" w:hAnsi="Arial" w:cs="Arial"/>
          <w:lang w:val="es-ES_tradnl"/>
        </w:rPr>
        <w:t xml:space="preserve"> Proyecciones realizadas en el último trimestre de 2016 según Reuters. Proyecciones disponibles solo para 2017 y 2018. Se utiliza el valor proyectado a 2018 cómo valor constante de referencia en el horizonte de proyección.</w:t>
      </w:r>
    </w:p>
  </w:footnote>
  <w:footnote w:id="26">
    <w:p w14:paraId="2341BE04" w14:textId="77777777" w:rsidR="00390762" w:rsidRPr="0011752D" w:rsidRDefault="00390762" w:rsidP="0011752D">
      <w:pPr>
        <w:pStyle w:val="FootnoteText"/>
        <w:rPr>
          <w:lang w:val="es-ES_tradnl"/>
        </w:rPr>
      </w:pPr>
      <w:r>
        <w:rPr>
          <w:rStyle w:val="FootnoteReference"/>
        </w:rPr>
        <w:footnoteRef/>
      </w:r>
      <w:r w:rsidRPr="0011752D">
        <w:rPr>
          <w:lang w:val="es-ES_tradnl"/>
        </w:rPr>
        <w:t xml:space="preserve"> Datos del mercado de carbono en California según http://calcarbondash.org/</w:t>
      </w:r>
    </w:p>
  </w:footnote>
  <w:footnote w:id="27">
    <w:p w14:paraId="2341BE05" w14:textId="77777777" w:rsidR="00390762" w:rsidRPr="0011752D" w:rsidRDefault="00390762" w:rsidP="0011752D">
      <w:pPr>
        <w:pStyle w:val="FootnoteText"/>
        <w:rPr>
          <w:rFonts w:ascii="Arial" w:hAnsi="Arial" w:cs="Arial"/>
          <w:lang w:val="es-ES_tradnl"/>
        </w:rPr>
      </w:pPr>
      <w:r w:rsidRPr="00C04385">
        <w:rPr>
          <w:rStyle w:val="FootnoteReference"/>
          <w:rFonts w:ascii="Arial" w:hAnsi="Arial" w:cs="Arial"/>
        </w:rPr>
        <w:footnoteRef/>
      </w:r>
      <w:r w:rsidRPr="0011752D">
        <w:rPr>
          <w:rFonts w:ascii="Arial" w:hAnsi="Arial" w:cs="Arial"/>
          <w:lang w:val="es-ES_tradnl"/>
        </w:rPr>
        <w:t xml:space="preserve"> Resolución CREG 094 de 2016.</w:t>
      </w:r>
    </w:p>
  </w:footnote>
  <w:footnote w:id="28">
    <w:p w14:paraId="2341BE06" w14:textId="77777777" w:rsidR="00390762" w:rsidRPr="0011752D" w:rsidRDefault="00390762" w:rsidP="0011752D">
      <w:pPr>
        <w:pStyle w:val="FootnoteText"/>
        <w:rPr>
          <w:rFonts w:ascii="Arial" w:hAnsi="Arial" w:cs="Arial"/>
          <w:lang w:val="es-ES_tradnl"/>
        </w:rPr>
      </w:pPr>
      <w:r w:rsidRPr="002374C8">
        <w:rPr>
          <w:rStyle w:val="FootnoteReference"/>
          <w:rFonts w:ascii="Arial" w:hAnsi="Arial" w:cs="Arial"/>
        </w:rPr>
        <w:footnoteRef/>
      </w:r>
      <w:r w:rsidRPr="0011752D">
        <w:rPr>
          <w:rFonts w:ascii="Arial" w:hAnsi="Arial" w:cs="Arial"/>
          <w:lang w:val="es-ES_tradnl"/>
        </w:rPr>
        <w:t xml:space="preserve"> Se refiere a las reglas de la Resolución CREG 089 de 2013 las cuales busca ajustar la propuesta contenida en la Resolución CREG 094 de 2016</w:t>
      </w:r>
    </w:p>
  </w:footnote>
  <w:footnote w:id="29">
    <w:p w14:paraId="2341BE07" w14:textId="77777777" w:rsidR="00390762" w:rsidRPr="0011752D" w:rsidRDefault="00390762" w:rsidP="0011752D">
      <w:pPr>
        <w:pStyle w:val="FootnoteText"/>
        <w:rPr>
          <w:rFonts w:ascii="Arial" w:hAnsi="Arial" w:cs="Arial"/>
          <w:lang w:val="es-ES_tradnl"/>
        </w:rPr>
      </w:pPr>
      <w:r w:rsidRPr="00D4321F">
        <w:rPr>
          <w:rStyle w:val="FootnoteReference"/>
          <w:rFonts w:ascii="Arial" w:hAnsi="Arial" w:cs="Arial"/>
        </w:rPr>
        <w:footnoteRef/>
      </w:r>
      <w:r w:rsidRPr="0011752D">
        <w:rPr>
          <w:rFonts w:ascii="Arial" w:hAnsi="Arial" w:cs="Arial"/>
          <w:lang w:val="es-ES_tradnl"/>
        </w:rPr>
        <w:t xml:space="preserve"> La confiabilidad está definida como la continuidad en el suministro. Alguna infraestructura puede cumplir con ambas funciones, la de confiabilidad y seguridad del abastecimiento.</w:t>
      </w:r>
    </w:p>
  </w:footnote>
  <w:footnote w:id="30">
    <w:p w14:paraId="2341BE08" w14:textId="77777777" w:rsidR="00390762" w:rsidRPr="0011752D" w:rsidRDefault="00390762" w:rsidP="0011752D">
      <w:pPr>
        <w:pStyle w:val="FootnoteText"/>
        <w:rPr>
          <w:rFonts w:ascii="Arial" w:hAnsi="Arial" w:cs="Arial"/>
          <w:lang w:val="es-ES_tradnl"/>
        </w:rPr>
      </w:pPr>
      <w:r w:rsidRPr="0057439C">
        <w:rPr>
          <w:rStyle w:val="FootnoteReference"/>
          <w:rFonts w:ascii="Arial" w:hAnsi="Arial" w:cs="Arial"/>
        </w:rPr>
        <w:footnoteRef/>
      </w:r>
      <w:r w:rsidRPr="0011752D">
        <w:rPr>
          <w:rFonts w:ascii="Arial" w:hAnsi="Arial" w:cs="Arial"/>
          <w:lang w:val="es-ES_tradnl"/>
        </w:rPr>
        <w:t xml:space="preserve"> En el Plan Transitorio se incluyen los proyectos que están diferenciados en “obras por abastecimiento” que se refieren a solo abastecimiento de la demanda y que deben ser desarrolladas por los transportadores de la infraestructura intervenida, y en “obras por abastecimiento y confiabilidad”, que se considera benefician al sistema de gas natural en conjunto por cuanto mitigan interrupciones de corto plazo que se puedan presentar y que por lo tanto deben ser remuneradas por toda la demanda de gas. </w:t>
      </w:r>
    </w:p>
  </w:footnote>
  <w:footnote w:id="31">
    <w:p w14:paraId="2341BE09" w14:textId="77777777" w:rsidR="00390762" w:rsidRPr="0011752D" w:rsidRDefault="00390762" w:rsidP="0011752D">
      <w:pPr>
        <w:pStyle w:val="FootnoteText"/>
        <w:rPr>
          <w:rFonts w:ascii="Arial" w:hAnsi="Arial" w:cs="Arial"/>
          <w:lang w:val="es-ES_tradnl"/>
        </w:rPr>
      </w:pPr>
      <w:r w:rsidRPr="002C0B75">
        <w:rPr>
          <w:rStyle w:val="FootnoteReference"/>
          <w:rFonts w:ascii="Arial" w:hAnsi="Arial" w:cs="Arial"/>
        </w:rPr>
        <w:footnoteRef/>
      </w:r>
      <w:r w:rsidRPr="0011752D">
        <w:rPr>
          <w:rFonts w:ascii="Arial" w:hAnsi="Arial" w:cs="Arial"/>
          <w:lang w:val="es-ES_tradnl"/>
        </w:rPr>
        <w:t xml:space="preserve"> Millones de pies cúbicos día.</w:t>
      </w:r>
    </w:p>
  </w:footnote>
  <w:footnote w:id="32">
    <w:p w14:paraId="2341BE0A" w14:textId="77777777" w:rsidR="00390762" w:rsidRPr="0011752D" w:rsidRDefault="00390762" w:rsidP="0011752D">
      <w:pPr>
        <w:pStyle w:val="FootnoteText"/>
        <w:rPr>
          <w:rFonts w:ascii="Arial" w:hAnsi="Arial" w:cs="Arial"/>
          <w:lang w:val="es-ES_tradnl"/>
        </w:rPr>
      </w:pPr>
      <w:r w:rsidRPr="00B3166F">
        <w:rPr>
          <w:rStyle w:val="FootnoteReference"/>
          <w:rFonts w:ascii="Arial" w:hAnsi="Arial" w:cs="Arial"/>
        </w:rPr>
        <w:footnoteRef/>
      </w:r>
      <w:r w:rsidRPr="0011752D">
        <w:rPr>
          <w:rFonts w:ascii="Arial" w:hAnsi="Arial" w:cs="Arial"/>
          <w:lang w:val="es-ES_tradnl"/>
        </w:rPr>
        <w:t xml:space="preserve"> La Resolución CREG 038 de 2016 publicó para discusión las reglas de remuneración y asignación del pago entre consumidores, así como el procedimiento y criterios de selección de inversionistas, de proyectos del Plan de Abastecimiento relacionados con el transporte de gas natural (entre estos proyectos no se considera plantas de regasificación de gas natural licuado importado).</w:t>
      </w:r>
    </w:p>
  </w:footnote>
  <w:footnote w:id="33">
    <w:p w14:paraId="2341BE0B" w14:textId="77777777" w:rsidR="00390762" w:rsidRPr="0011752D" w:rsidRDefault="00390762" w:rsidP="0011752D">
      <w:pPr>
        <w:pStyle w:val="FootnoteText"/>
        <w:rPr>
          <w:rFonts w:ascii="Arial" w:hAnsi="Arial" w:cs="Arial"/>
          <w:lang w:val="es-ES_tradnl"/>
        </w:rPr>
      </w:pPr>
      <w:r w:rsidRPr="00EE6CBF">
        <w:rPr>
          <w:rStyle w:val="FootnoteReference"/>
          <w:rFonts w:ascii="Arial" w:hAnsi="Arial" w:cs="Arial"/>
        </w:rPr>
        <w:footnoteRef/>
      </w:r>
      <w:r w:rsidRPr="0011752D">
        <w:rPr>
          <w:rFonts w:ascii="Arial" w:hAnsi="Arial" w:cs="Arial"/>
          <w:lang w:val="es-ES_tradnl"/>
        </w:rPr>
        <w:t xml:space="preserve"> Al respecto de lo aquí señalado, es conveniente anotar que en el documento de soporte del Plan Transitorio de Abastecimiento de Gas Natural de la UPME no se elabora sobre los beneficios de la planta de regasificación para los consumidores de energía eléctrica.</w:t>
      </w:r>
    </w:p>
  </w:footnote>
  <w:footnote w:id="34">
    <w:p w14:paraId="2341BE0C" w14:textId="77777777" w:rsidR="00390762" w:rsidRPr="0011752D" w:rsidRDefault="00390762" w:rsidP="0011752D">
      <w:pPr>
        <w:pStyle w:val="FootnoteText"/>
        <w:rPr>
          <w:rFonts w:ascii="Arial" w:hAnsi="Arial" w:cs="Arial"/>
          <w:lang w:val="es-ES_tradnl"/>
        </w:rPr>
      </w:pPr>
      <w:r w:rsidRPr="0047730B">
        <w:rPr>
          <w:rStyle w:val="FootnoteReference"/>
          <w:rFonts w:ascii="Arial" w:hAnsi="Arial" w:cs="Arial"/>
        </w:rPr>
        <w:footnoteRef/>
      </w:r>
      <w:r w:rsidRPr="0011752D">
        <w:rPr>
          <w:rFonts w:ascii="Arial" w:hAnsi="Arial" w:cs="Arial"/>
          <w:lang w:val="es-ES_tradnl"/>
        </w:rPr>
        <w:t xml:space="preserve"> Se debe precisar que las medidas de eficiencia energética en el sector transporte pueden generar un aumento en la demanda eléctrica del SIN por cuanto una de las acciones en dicho sector corresponde al “Uso de electricidad en las categorías: Flota sector oficial, taxis en las principales ciudades del país, motos y automóviles y transporte público de pasajeros de las principales ciudades del país”.</w:t>
      </w:r>
    </w:p>
  </w:footnote>
  <w:footnote w:id="35">
    <w:p w14:paraId="2341BE0D" w14:textId="77777777" w:rsidR="00390762" w:rsidRPr="0011752D" w:rsidRDefault="00390762" w:rsidP="0011752D">
      <w:pPr>
        <w:pStyle w:val="FootnoteText"/>
        <w:rPr>
          <w:lang w:val="es-ES_tradnl"/>
        </w:rPr>
      </w:pPr>
      <w:r>
        <w:rPr>
          <w:rStyle w:val="FootnoteReference"/>
        </w:rPr>
        <w:footnoteRef/>
      </w:r>
      <w:r w:rsidRPr="0011752D">
        <w:rPr>
          <w:lang w:val="es-ES_tradnl"/>
        </w:rPr>
        <w:t xml:space="preserve"> Business Process Operation.</w:t>
      </w:r>
    </w:p>
  </w:footnote>
  <w:footnote w:id="36">
    <w:p w14:paraId="2341BE0E" w14:textId="77777777" w:rsidR="00390762" w:rsidRPr="0011752D" w:rsidRDefault="00390762" w:rsidP="0011752D">
      <w:pPr>
        <w:pStyle w:val="FootnoteText"/>
        <w:rPr>
          <w:rFonts w:asciiTheme="minorHAnsi" w:hAnsiTheme="minorHAnsi" w:cstheme="minorHAnsi"/>
          <w:lang w:val="es-ES_tradnl"/>
        </w:rPr>
      </w:pPr>
      <w:r w:rsidRPr="00A51FB2">
        <w:rPr>
          <w:rStyle w:val="FootnoteReference"/>
          <w:rFonts w:asciiTheme="minorHAnsi" w:hAnsiTheme="minorHAnsi" w:cstheme="minorHAnsi"/>
        </w:rPr>
        <w:footnoteRef/>
      </w:r>
      <w:r w:rsidRPr="0011752D">
        <w:rPr>
          <w:rFonts w:asciiTheme="minorHAnsi" w:hAnsiTheme="minorHAnsi" w:cstheme="minorHAnsi"/>
          <w:lang w:val="es-ES_tradnl"/>
        </w:rPr>
        <w:t xml:space="preserve"> Si bien se reconoce que medidas como el mejoramiento en la adecuación arquitectónica de edificaciones pueden tener un impacto de eficiencia energética en el consumo eléctrico del SIN (por cuenta de una disminución en los requerimientos de aire acondicionado e iluminación en las edificaciones), los beneficios derivados de esta medida no son cuantificados ya que no se dispone de información suficiente.</w:t>
      </w:r>
    </w:p>
  </w:footnote>
  <w:footnote w:id="37">
    <w:p w14:paraId="2341BE0F" w14:textId="77777777" w:rsidR="00390762" w:rsidRPr="0011752D" w:rsidRDefault="00390762" w:rsidP="0011752D">
      <w:pPr>
        <w:pStyle w:val="FootnoteText"/>
        <w:rPr>
          <w:rFonts w:ascii="Arial" w:hAnsi="Arial" w:cs="Arial"/>
          <w:lang w:val="es-ES_tradnl"/>
        </w:rPr>
      </w:pPr>
      <w:r w:rsidRPr="00262EB3">
        <w:rPr>
          <w:rStyle w:val="FootnoteReference"/>
          <w:rFonts w:ascii="Arial" w:hAnsi="Arial" w:cs="Arial"/>
        </w:rPr>
        <w:footnoteRef/>
      </w:r>
      <w:r w:rsidRPr="0011752D">
        <w:rPr>
          <w:rFonts w:ascii="Arial" w:hAnsi="Arial" w:cs="Arial"/>
          <w:lang w:val="es-ES_tradnl"/>
        </w:rPr>
        <w:t xml:space="preserve"> Las medidas particulares y su cuantificación son basadas en los parámetros del estudio “Política de Eficiencia Energética para Colombia” realizado por E&amp;Y para el Ministerio de Minas y Energía en 2015. Existen otras medidas de eficiencia energética cuantificadas en dicho estudio, sin embargo, para efectos del presente análisis, solo se han seleccionado las que tienen alguna relación con las medidas descritas en el PROURE y con un aporte relevante a la disminución del consumo eléctrico en Sistema Interconectado Nacional.</w:t>
      </w:r>
    </w:p>
  </w:footnote>
  <w:footnote w:id="38">
    <w:p w14:paraId="2341BE10" w14:textId="77777777" w:rsidR="00390762" w:rsidRPr="0011752D" w:rsidRDefault="00390762" w:rsidP="0011752D">
      <w:pPr>
        <w:pStyle w:val="FootnoteText"/>
        <w:rPr>
          <w:lang w:val="es-ES_tradnl"/>
        </w:rPr>
      </w:pPr>
      <w:r>
        <w:rPr>
          <w:rStyle w:val="FootnoteReference"/>
        </w:rPr>
        <w:footnoteRef/>
      </w:r>
      <w:r w:rsidRPr="0011752D">
        <w:rPr>
          <w:lang w:val="es-ES_tradnl"/>
        </w:rPr>
        <w:t xml:space="preserve"> Las tarifas de los consumos de los estratos 1, 2 y 3 tienen subsidio, ayuda económica que se otorga para pagar la tarifa del servicio, calculada como % del CU así:  estrato 1: 50%;  estrato 2: 40%; estrato 3: 15%.  Las tarifas de los consumos de los estratos 5 y 6 cubren el CU más un aporte del 20% del CU para subsidiar los consumos de personas de menores ingresos. Las tarifas del estrato 4 son equivalentes al CU.</w:t>
      </w:r>
    </w:p>
  </w:footnote>
  <w:footnote w:id="39">
    <w:p w14:paraId="2341BE11" w14:textId="77777777" w:rsidR="00390762" w:rsidRPr="0011752D" w:rsidRDefault="00390762" w:rsidP="0011752D">
      <w:pPr>
        <w:pStyle w:val="FootnoteText"/>
        <w:rPr>
          <w:rFonts w:ascii="Arial" w:hAnsi="Arial" w:cs="Arial"/>
          <w:lang w:val="es-ES_tradnl"/>
        </w:rPr>
      </w:pPr>
      <w:r w:rsidRPr="00FF3E8E">
        <w:rPr>
          <w:rStyle w:val="FootnoteReference"/>
          <w:rFonts w:ascii="Arial" w:hAnsi="Arial" w:cs="Arial"/>
        </w:rPr>
        <w:footnoteRef/>
      </w:r>
      <w:r w:rsidRPr="0011752D">
        <w:rPr>
          <w:rFonts w:ascii="Arial" w:hAnsi="Arial" w:cs="Arial"/>
          <w:lang w:val="es-ES_tradnl"/>
        </w:rPr>
        <w:t xml:space="preserve"> PIEC 2016 – 2020: “La Ley 855 de 2003 define por ZNI los municipios, corregimientos, localidades y caseríos no conectados al SIN por lo que las áreas geográficas en las que vaya resultando viable y sostenible realizar una interconexión, se irán excluyendo de la categoría de ZNI. El Decreto 1073 de 2015 “Decreto Único Reglamentario del Sector de Minas y Energía”, en su artículo 2.2.3.1.2 diferencia las ZNI en Zonas que son económicamente eficientes conectar al SIN (Zonas Interconectables) y Zonas que no son económicamente eficiente conectar al SIN (Zonas Aisladas).”</w:t>
      </w:r>
    </w:p>
  </w:footnote>
  <w:footnote w:id="40">
    <w:p w14:paraId="2341BE12" w14:textId="77777777" w:rsidR="00390762" w:rsidRPr="0011752D" w:rsidRDefault="00390762" w:rsidP="0011752D">
      <w:pPr>
        <w:suppressAutoHyphens/>
        <w:rPr>
          <w:rFonts w:cs="Arial"/>
          <w:spacing w:val="-3"/>
          <w:sz w:val="20"/>
          <w:lang w:val="es-ES_tradnl"/>
        </w:rPr>
      </w:pPr>
      <w:r w:rsidRPr="00406EED">
        <w:rPr>
          <w:rStyle w:val="FootnoteReference"/>
          <w:rFonts w:cs="Arial"/>
          <w:sz w:val="20"/>
        </w:rPr>
        <w:footnoteRef/>
      </w:r>
      <w:r w:rsidRPr="0011752D">
        <w:rPr>
          <w:rFonts w:cs="Arial"/>
          <w:sz w:val="20"/>
          <w:lang w:val="es-ES_tradnl"/>
        </w:rPr>
        <w:t xml:space="preserve"> </w:t>
      </w:r>
      <w:r w:rsidRPr="0011752D">
        <w:rPr>
          <w:rFonts w:cs="Arial"/>
          <w:b/>
          <w:sz w:val="20"/>
          <w:lang w:val="es-ES_tradnl"/>
        </w:rPr>
        <w:t xml:space="preserve">Ley 143 de 1994, </w:t>
      </w:r>
      <w:r w:rsidRPr="0011752D">
        <w:rPr>
          <w:rFonts w:cs="Arial"/>
          <w:b/>
          <w:i/>
          <w:spacing w:val="-3"/>
          <w:sz w:val="20"/>
          <w:lang w:val="es-ES_tradnl"/>
        </w:rPr>
        <w:t>Artículo 48.-</w:t>
      </w:r>
      <w:r w:rsidRPr="0011752D">
        <w:rPr>
          <w:rFonts w:cs="Arial"/>
          <w:i/>
          <w:spacing w:val="-3"/>
          <w:sz w:val="20"/>
          <w:lang w:val="es-ES_tradnl"/>
        </w:rPr>
        <w:t xml:space="preserve"> El Gobierno Nacional asignará y apro</w:t>
      </w:r>
      <w:r w:rsidRPr="0011752D">
        <w:rPr>
          <w:rFonts w:cs="Arial"/>
          <w:i/>
          <w:spacing w:val="-3"/>
          <w:sz w:val="20"/>
          <w:lang w:val="es-ES_tradnl"/>
        </w:rPr>
        <w:softHyphen/>
        <w:t>piará los recursos suficientes en el Plan Nacional de Desarrollo, en el Plan Nacional de Inversiones Públicas y en las leyes anuales del presupuesto de rentas y ley de apropiaciones, para adelantar progra</w:t>
      </w:r>
      <w:r w:rsidRPr="0011752D">
        <w:rPr>
          <w:rFonts w:cs="Arial"/>
          <w:i/>
          <w:spacing w:val="-3"/>
          <w:sz w:val="20"/>
          <w:lang w:val="es-ES_tradnl"/>
        </w:rPr>
        <w:softHyphen/>
        <w:t>mas de energización calificados como prioritarios, tanto en las zonas interconectadas como en zonas no interconectadas con el objeto de que en un período no mayor de veinte (20) años se alcancen niveles iguali</w:t>
      </w:r>
      <w:r w:rsidRPr="0011752D">
        <w:rPr>
          <w:rFonts w:cs="Arial"/>
          <w:i/>
          <w:spacing w:val="-3"/>
          <w:sz w:val="20"/>
          <w:lang w:val="es-ES_tradnl"/>
        </w:rPr>
        <w:softHyphen/>
        <w:t>tarios de cobertura en todo el país, en concordancia con el Principio de Equidad de que trata el artículo 6o. de la presente ley</w:t>
      </w:r>
      <w:r w:rsidRPr="0011752D">
        <w:rPr>
          <w:rFonts w:cs="Arial"/>
          <w:spacing w:val="-3"/>
          <w:sz w:val="20"/>
          <w:lang w:val="es-ES_tradnl"/>
        </w:rPr>
        <w:t>.</w:t>
      </w:r>
    </w:p>
  </w:footnote>
  <w:footnote w:id="41">
    <w:p w14:paraId="2341BE13" w14:textId="77777777" w:rsidR="00390762" w:rsidRPr="0011752D" w:rsidRDefault="00390762" w:rsidP="0011752D">
      <w:pPr>
        <w:pStyle w:val="FootnoteText"/>
        <w:rPr>
          <w:rFonts w:ascii="Arial" w:hAnsi="Arial" w:cs="Arial"/>
          <w:lang w:val="es-ES_tradnl"/>
        </w:rPr>
      </w:pPr>
      <w:r w:rsidRPr="006A0C8D">
        <w:rPr>
          <w:rStyle w:val="FootnoteReference"/>
          <w:rFonts w:ascii="Arial" w:hAnsi="Arial" w:cs="Arial"/>
        </w:rPr>
        <w:footnoteRef/>
      </w:r>
      <w:r w:rsidRPr="0011752D">
        <w:rPr>
          <w:rFonts w:ascii="Arial" w:hAnsi="Arial" w:cs="Arial"/>
          <w:lang w:val="es-ES_tradnl"/>
        </w:rPr>
        <w:t xml:space="preserve"> Se señala en el Plan Indicativo de Expansión de Cobertura de Energía Eléctrica PIEC 2016-2020 que este toman en cuenta los lineamientos de la Asamblea General de las Naciones Unidas que declaró la década del 2014-2024, como la década de energía sostenible para todos y la creación del programa SE4ALL Sustainable Energy for All), orientado a expandir el servicio de manera sostenible con energías renovables y EE disminuyendo las emisiones de CO</w:t>
      </w:r>
      <w:r w:rsidRPr="0011752D">
        <w:rPr>
          <w:rFonts w:ascii="Arial" w:hAnsi="Arial" w:cs="Arial"/>
          <w:vertAlign w:val="subscript"/>
          <w:lang w:val="es-ES_tradnl"/>
        </w:rPr>
        <w:t>2</w:t>
      </w:r>
      <w:r w:rsidRPr="0011752D">
        <w:rPr>
          <w:rFonts w:ascii="Arial" w:hAnsi="Arial" w:cs="Arial"/>
          <w:lang w:val="es-ES_tradnl"/>
        </w:rPr>
        <w:t>, considerando no solo los bajos precios actuales de estas, sino con el fin de mejorar el nivel de vida de la población.</w:t>
      </w:r>
    </w:p>
  </w:footnote>
  <w:footnote w:id="42">
    <w:p w14:paraId="2341BE14" w14:textId="77777777" w:rsidR="00390762" w:rsidRPr="0011752D" w:rsidRDefault="00390762" w:rsidP="0011752D">
      <w:pPr>
        <w:pStyle w:val="FootnoteText"/>
        <w:rPr>
          <w:rFonts w:ascii="Arial" w:hAnsi="Arial" w:cs="Arial"/>
          <w:lang w:val="es-ES_tradnl"/>
        </w:rPr>
      </w:pPr>
      <w:r w:rsidRPr="00372EA9">
        <w:rPr>
          <w:rStyle w:val="FootnoteReference"/>
          <w:rFonts w:ascii="Arial" w:hAnsi="Arial" w:cs="Arial"/>
        </w:rPr>
        <w:footnoteRef/>
      </w:r>
      <w:r w:rsidRPr="0011752D">
        <w:rPr>
          <w:rFonts w:ascii="Arial" w:hAnsi="Arial" w:cs="Arial"/>
          <w:lang w:val="es-ES_tradnl"/>
        </w:rPr>
        <w:t xml:space="preserve"> El Plan Nacional de Desarrollo (PND) ha propuesto cubrir 173.000 nuevas viviendas para el resto de este periodo.</w:t>
      </w:r>
    </w:p>
  </w:footnote>
  <w:footnote w:id="43">
    <w:p w14:paraId="2341BE15" w14:textId="77777777" w:rsidR="00390762" w:rsidRPr="0011752D" w:rsidRDefault="00390762" w:rsidP="0011752D">
      <w:pPr>
        <w:pStyle w:val="FootnoteText"/>
        <w:rPr>
          <w:rFonts w:ascii="Arial" w:hAnsi="Arial" w:cs="Arial"/>
          <w:lang w:val="es-ES_tradnl"/>
        </w:rPr>
      </w:pPr>
      <w:r w:rsidRPr="00756D93">
        <w:rPr>
          <w:rStyle w:val="FootnoteReference"/>
          <w:rFonts w:ascii="Arial" w:hAnsi="Arial" w:cs="Arial"/>
        </w:rPr>
        <w:footnoteRef/>
      </w:r>
      <w:r w:rsidRPr="0011752D">
        <w:rPr>
          <w:rFonts w:ascii="Arial" w:hAnsi="Arial" w:cs="Arial"/>
          <w:lang w:val="es-ES_tradnl"/>
        </w:rPr>
        <w:t xml:space="preserve"> El Decreto 1623 de 2015 define los lineamientos de política para la universalización del servicio de energía eléctrica en el país, tanto en el SIN como en la ZNI y la utilización de los fondos de financiación del sector FAER y FAZNI, el cual fue modificado por el Decreto 1513 de septiembre de 2016. El Decreto centra la política de expansión del servicio a través de los Operadores de Red del SIN, con la obligación de presentar el plan de expansión de cobertura de energía eléctrica. Se establece que la expansión de la cobertura en el SIN se financiará principalmente a través de la metodología tarifaria de los cargos de distribución. Para las soluciones aisladas en ZNI el Decreto establece que se debe dar prioridad a las FNCER o GLP.</w:t>
      </w:r>
    </w:p>
  </w:footnote>
  <w:footnote w:id="44">
    <w:p w14:paraId="2341BE16" w14:textId="77777777" w:rsidR="00390762" w:rsidRPr="0011752D" w:rsidRDefault="00390762" w:rsidP="0011752D">
      <w:pPr>
        <w:pStyle w:val="FootnoteText"/>
        <w:rPr>
          <w:lang w:val="es-ES_tradnl"/>
        </w:rPr>
      </w:pPr>
      <w:r>
        <w:rPr>
          <w:rStyle w:val="FootnoteReference"/>
        </w:rPr>
        <w:footnoteRef/>
      </w:r>
      <w:r w:rsidRPr="0011752D">
        <w:rPr>
          <w:lang w:val="es-ES_tradnl"/>
        </w:rPr>
        <w:t xml:space="preserve"> Plan Indicativo de Expansión de Cobertura de Energía Eléctrica PIEC 2016-2020</w:t>
      </w:r>
    </w:p>
  </w:footnote>
  <w:footnote w:id="45">
    <w:p w14:paraId="2341BE17" w14:textId="77777777" w:rsidR="00390762" w:rsidRPr="0011752D" w:rsidRDefault="00390762" w:rsidP="0011752D">
      <w:pPr>
        <w:pStyle w:val="FootnoteText"/>
        <w:rPr>
          <w:rFonts w:ascii="Arial" w:hAnsi="Arial" w:cs="Arial"/>
          <w:lang w:val="es-ES_tradnl"/>
        </w:rPr>
      </w:pPr>
      <w:r w:rsidRPr="00754AC8">
        <w:rPr>
          <w:rStyle w:val="FootnoteReference"/>
          <w:rFonts w:ascii="Arial" w:hAnsi="Arial" w:cs="Arial"/>
        </w:rPr>
        <w:footnoteRef/>
      </w:r>
      <w:r w:rsidRPr="0011752D">
        <w:rPr>
          <w:rFonts w:ascii="Arial" w:hAnsi="Arial" w:cs="Arial"/>
          <w:lang w:val="es-ES_tradnl"/>
        </w:rPr>
        <w:t xml:space="preserve"> La metodología de remuneración de la distribución del SIN en consulta considera un plan quinquenal del Operador de Red con inversiones en expansión de cobertura que no excedan un incremento tarifario establecido por la CREG.</w:t>
      </w:r>
    </w:p>
  </w:footnote>
  <w:footnote w:id="46">
    <w:p w14:paraId="2341BE18" w14:textId="77777777" w:rsidR="00390762" w:rsidRPr="0011752D" w:rsidRDefault="00390762" w:rsidP="0011752D">
      <w:pPr>
        <w:pStyle w:val="FootnoteText"/>
        <w:rPr>
          <w:rFonts w:ascii="Arial" w:hAnsi="Arial" w:cs="Arial"/>
          <w:lang w:val="es-ES_tradnl"/>
        </w:rPr>
      </w:pPr>
      <w:r w:rsidRPr="00520209">
        <w:rPr>
          <w:rStyle w:val="FootnoteReference"/>
          <w:rFonts w:ascii="Arial" w:hAnsi="Arial" w:cs="Arial"/>
        </w:rPr>
        <w:footnoteRef/>
      </w:r>
      <w:r w:rsidRPr="0011752D">
        <w:rPr>
          <w:rFonts w:ascii="Arial" w:hAnsi="Arial" w:cs="Arial"/>
          <w:lang w:val="es-ES_tradnl"/>
        </w:rPr>
        <w:t xml:space="preserve"> El número de viviendas sin servicio (VSS) en el país lo calcula UPME siguiendo la metodología descrita en el documento PIEC.</w:t>
      </w:r>
    </w:p>
  </w:footnote>
  <w:footnote w:id="47">
    <w:p w14:paraId="2341BE19" w14:textId="77777777" w:rsidR="00390762" w:rsidRPr="0011752D" w:rsidRDefault="00390762" w:rsidP="0011752D">
      <w:pPr>
        <w:pStyle w:val="FootnoteText"/>
        <w:rPr>
          <w:rFonts w:ascii="Arial" w:hAnsi="Arial" w:cs="Arial"/>
          <w:lang w:val="es-ES_tradnl"/>
        </w:rPr>
      </w:pPr>
      <w:r w:rsidRPr="000045E6">
        <w:rPr>
          <w:rStyle w:val="FootnoteReference"/>
          <w:rFonts w:ascii="Arial" w:hAnsi="Arial" w:cs="Arial"/>
        </w:rPr>
        <w:footnoteRef/>
      </w:r>
      <w:r w:rsidRPr="0011752D">
        <w:rPr>
          <w:rFonts w:ascii="Arial" w:hAnsi="Arial" w:cs="Arial"/>
          <w:lang w:val="es-ES_tradnl"/>
        </w:rPr>
        <w:t xml:space="preserve"> UPME, Términos de Referencia - Asesoría para la estructuración de esquemas empresariales para ampliar la cobertura de energía eléctrica en zonas no interconectadas y selección de inversionista correspondiente, noviembre de 2015. Las zonas específicas se referían a la Península de la Guajira, región del Norte del Chocó, el Urabá antioqueño y Tierralta Córdoba.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1BDCC" w14:textId="77777777" w:rsidR="00390762" w:rsidRDefault="00390762">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2341BDCD" w14:textId="77777777" w:rsidR="00390762" w:rsidRDefault="00390762">
    <w:pPr>
      <w:pStyle w:val="Header"/>
      <w:ind w:right="360"/>
      <w:jc w:val="both"/>
      <w:rPr>
        <w:rStyle w:val="PageNumber"/>
        <w:snapToGrid w:val="0"/>
      </w:rPr>
    </w:pPr>
    <w:r>
      <w:rPr>
        <w:rStyle w:val="PageNumber"/>
        <w:snapToGrid w:val="0"/>
      </w:rPr>
      <w:tab/>
    </w:r>
  </w:p>
  <w:p w14:paraId="2341BDCE" w14:textId="77777777" w:rsidR="00390762" w:rsidRDefault="00390762">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1BDCF" w14:textId="77777777" w:rsidR="00390762" w:rsidRDefault="00390762">
    <w:pPr>
      <w:pStyle w:val="Header"/>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Pr>
        <w:noProof/>
        <w:snapToGrid w:val="0"/>
      </w:rPr>
      <w:t>ii</w:t>
    </w:r>
    <w:r>
      <w:rPr>
        <w:snapToGrid w:val="0"/>
      </w:rPr>
      <w:fldChar w:fldCharType="end"/>
    </w:r>
    <w:r>
      <w:rPr>
        <w:snapToGrid w:val="0"/>
      </w:rPr>
      <w:t xml:space="preserve"> - </w:t>
    </w:r>
  </w:p>
  <w:p w14:paraId="2341BDD0" w14:textId="77777777" w:rsidR="00390762" w:rsidRDefault="00390762">
    <w:pPr>
      <w:pStyle w:val="Header"/>
      <w:jc w:val="center"/>
    </w:pPr>
  </w:p>
  <w:p w14:paraId="2341BDD1" w14:textId="77777777" w:rsidR="00390762" w:rsidRDefault="00390762">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1BDD4" w14:textId="77777777" w:rsidR="00390762" w:rsidRDefault="00390762">
    <w:pPr>
      <w:pStyle w:val="Header"/>
      <w:rPr>
        <w:snapToGrid w:val="0"/>
      </w:rPr>
    </w:pPr>
  </w:p>
  <w:p w14:paraId="2341BDD5" w14:textId="77777777" w:rsidR="00390762" w:rsidRDefault="00390762">
    <w:pPr>
      <w:pStyle w:val="Header"/>
      <w:jc w:val="center"/>
      <w:rPr>
        <w:snapToGrid w:val="0"/>
      </w:rPr>
    </w:pPr>
  </w:p>
  <w:p w14:paraId="2341BDD6" w14:textId="77777777" w:rsidR="00390762" w:rsidRDefault="00390762">
    <w:pPr>
      <w:pStyle w:val="Header"/>
      <w:jc w:val="center"/>
      <w:rPr>
        <w:snapToGrid w:val="0"/>
      </w:rPr>
    </w:pPr>
  </w:p>
  <w:p w14:paraId="2341BDD7" w14:textId="77777777" w:rsidR="00390762" w:rsidRDefault="00390762">
    <w:pPr>
      <w:pStyle w:val="Header"/>
      <w:jc w:val="center"/>
      <w:rPr>
        <w:snapToGrid w:val="0"/>
      </w:rPr>
    </w:pPr>
  </w:p>
  <w:p w14:paraId="2341BDD8" w14:textId="77777777" w:rsidR="00390762" w:rsidRDefault="00390762">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1BDD9" w14:textId="77777777" w:rsidR="00390762" w:rsidRDefault="00390762">
    <w:pPr>
      <w:pStyle w:val="Header"/>
      <w:framePr w:wrap="around" w:vAnchor="text" w:hAnchor="margin" w:xAlign="center" w:y="1"/>
      <w:rPr>
        <w:rStyle w:val="PageNumber"/>
      </w:rPr>
    </w:pPr>
  </w:p>
  <w:p w14:paraId="2341BDDA" w14:textId="77777777" w:rsidR="00390762" w:rsidRDefault="00390762">
    <w:pPr>
      <w:pStyle w:val="Header"/>
      <w:ind w:right="360"/>
      <w:jc w:val="both"/>
      <w:rPr>
        <w:rStyle w:val="PageNumber"/>
        <w:snapToGrid w:val="0"/>
      </w:rPr>
    </w:pPr>
    <w:r>
      <w:rPr>
        <w:rStyle w:val="PageNumber"/>
        <w:snapToGrid w:val="0"/>
        <w:sz w:val="20"/>
        <w:lang w:val="es-ES"/>
      </w:rPr>
      <w:t xml:space="preserve">Página </w:t>
    </w:r>
    <w:r>
      <w:rPr>
        <w:rStyle w:val="PageNumber"/>
        <w:snapToGrid w:val="0"/>
        <w:sz w:val="20"/>
        <w:lang w:val="es-ES"/>
      </w:rPr>
      <w:fldChar w:fldCharType="begin"/>
    </w:r>
    <w:r>
      <w:rPr>
        <w:rStyle w:val="PageNumber"/>
        <w:snapToGrid w:val="0"/>
        <w:sz w:val="20"/>
        <w:lang w:val="es-ES"/>
      </w:rPr>
      <w:instrText xml:space="preserve"> PAGE </w:instrText>
    </w:r>
    <w:r>
      <w:rPr>
        <w:rStyle w:val="PageNumber"/>
        <w:snapToGrid w:val="0"/>
        <w:sz w:val="20"/>
        <w:lang w:val="es-ES"/>
      </w:rPr>
      <w:fldChar w:fldCharType="separate"/>
    </w:r>
    <w:r>
      <w:rPr>
        <w:rStyle w:val="PageNumber"/>
        <w:noProof/>
        <w:snapToGrid w:val="0"/>
        <w:sz w:val="20"/>
        <w:lang w:val="es-ES"/>
      </w:rPr>
      <w:t>2</w:t>
    </w:r>
    <w:r>
      <w:rPr>
        <w:rStyle w:val="PageNumber"/>
        <w:snapToGrid w:val="0"/>
        <w:sz w:val="20"/>
        <w:lang w:val="es-ES"/>
      </w:rPr>
      <w:fldChar w:fldCharType="end"/>
    </w:r>
    <w:r>
      <w:rPr>
        <w:rStyle w:val="PageNumber"/>
        <w:snapToGrid w:val="0"/>
        <w:sz w:val="20"/>
        <w:lang w:val="es-ES"/>
      </w:rPr>
      <w:t xml:space="preserve"> de </w:t>
    </w:r>
    <w:fldSimple w:instr=" PAGEREF ESSectionPages  \* MERGEFORMAT ">
      <w:r w:rsidRPr="00B54624">
        <w:rPr>
          <w:rStyle w:val="PageNumber"/>
          <w:noProof/>
          <w:snapToGrid w:val="0"/>
          <w:sz w:val="20"/>
        </w:rPr>
        <w:t>2</w:t>
      </w:r>
    </w:fldSimple>
  </w:p>
  <w:p w14:paraId="2341BDDB" w14:textId="77777777" w:rsidR="00390762" w:rsidRDefault="00390762">
    <w:pPr>
      <w:pStyle w:val="Header"/>
      <w:pBdr>
        <w:top w:val="single" w:sz="4" w:space="1" w:color="auto"/>
      </w:pBdr>
      <w:tabs>
        <w:tab w:val="clear" w:pos="8640"/>
        <w:tab w:val="right" w:pos="8730"/>
      </w:tabs>
      <w:ind w:right="25"/>
      <w:jc w:val="both"/>
      <w:rPr>
        <w:rStyle w:val="PageNumber"/>
        <w:snapToGrid w:val="0"/>
      </w:rPr>
    </w:pPr>
  </w:p>
  <w:p w14:paraId="2341BDDC" w14:textId="77777777" w:rsidR="00390762" w:rsidRDefault="00390762">
    <w:pPr>
      <w:pStyle w:val="Header"/>
      <w:ind w:right="360"/>
      <w:jc w:val="both"/>
      <w:rPr>
        <w:rStyle w:val="PageNumber"/>
        <w:snapToGrid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1BDDD" w14:textId="77777777" w:rsidR="00390762" w:rsidRDefault="00390762">
    <w:pPr>
      <w:pStyle w:val="Header"/>
      <w:ind w:right="360"/>
      <w:jc w:val="right"/>
      <w:rPr>
        <w:snapToGrid w:val="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1BDE2" w14:textId="77777777" w:rsidR="00390762" w:rsidRDefault="00390762">
    <w:pPr>
      <w:pStyle w:val="Header"/>
    </w:pPr>
    <w:r>
      <w:rPr>
        <w:rStyle w:val="PageNumber"/>
        <w:snapToGrid w:val="0"/>
      </w:rPr>
      <w:tab/>
    </w:r>
    <w:r>
      <w:rPr>
        <w:rStyle w:val="PageNumber"/>
        <w:snapToGrid w:val="0"/>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1BDE3" w14:textId="77777777" w:rsidR="00390762" w:rsidRDefault="00390762">
    <w:pPr>
      <w:pStyle w:val="Header"/>
      <w:ind w:right="360"/>
      <w:rPr>
        <w:snapToGrid w:val="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930402"/>
      <w:docPartObj>
        <w:docPartGallery w:val="Page Numbers (Top of Page)"/>
        <w:docPartUnique/>
      </w:docPartObj>
    </w:sdtPr>
    <w:sdtEndPr>
      <w:rPr>
        <w:rFonts w:ascii="Arial" w:hAnsi="Arial" w:cs="Arial"/>
        <w:noProof/>
        <w:sz w:val="22"/>
        <w:szCs w:val="22"/>
      </w:rPr>
    </w:sdtEndPr>
    <w:sdtContent>
      <w:p w14:paraId="2341BDE4" w14:textId="6E5DA8B5" w:rsidR="00390762" w:rsidRPr="00F4654E" w:rsidRDefault="00390762" w:rsidP="008A1005">
        <w:pPr>
          <w:pStyle w:val="Header"/>
          <w:jc w:val="center"/>
          <w:rPr>
            <w:rFonts w:ascii="Arial" w:hAnsi="Arial" w:cs="Arial"/>
            <w:sz w:val="22"/>
            <w:szCs w:val="22"/>
          </w:rPr>
        </w:pPr>
        <w:r w:rsidRPr="00F4654E">
          <w:rPr>
            <w:rFonts w:ascii="Arial" w:hAnsi="Arial" w:cs="Arial"/>
            <w:sz w:val="22"/>
            <w:szCs w:val="22"/>
          </w:rPr>
          <w:fldChar w:fldCharType="begin"/>
        </w:r>
        <w:r w:rsidRPr="00F4654E">
          <w:rPr>
            <w:rFonts w:ascii="Arial" w:hAnsi="Arial" w:cs="Arial"/>
            <w:sz w:val="22"/>
            <w:szCs w:val="22"/>
          </w:rPr>
          <w:instrText xml:space="preserve"> PAGE   \* MERGEFORMAT </w:instrText>
        </w:r>
        <w:r w:rsidRPr="00F4654E">
          <w:rPr>
            <w:rFonts w:ascii="Arial" w:hAnsi="Arial" w:cs="Arial"/>
            <w:sz w:val="22"/>
            <w:szCs w:val="22"/>
          </w:rPr>
          <w:fldChar w:fldCharType="separate"/>
        </w:r>
        <w:r w:rsidR="004932D7">
          <w:rPr>
            <w:rFonts w:ascii="Arial" w:hAnsi="Arial" w:cs="Arial"/>
            <w:noProof/>
            <w:sz w:val="22"/>
            <w:szCs w:val="22"/>
          </w:rPr>
          <w:t>9</w:t>
        </w:r>
        <w:r w:rsidRPr="00F4654E">
          <w:rPr>
            <w:rFonts w:ascii="Arial" w:hAnsi="Arial" w:cs="Arial"/>
            <w:noProof/>
            <w:sz w:val="22"/>
            <w:szCs w:val="22"/>
          </w:rPr>
          <w:fldChar w:fldCharType="end"/>
        </w:r>
      </w:p>
    </w:sdtContent>
  </w:sdt>
  <w:p w14:paraId="2341BDE5" w14:textId="77777777" w:rsidR="00390762" w:rsidRDefault="003907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83D8661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296"/>
        </w:tabs>
        <w:ind w:left="1296"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0FFB4F31"/>
    <w:multiLevelType w:val="hybridMultilevel"/>
    <w:tmpl w:val="B93A8110"/>
    <w:lvl w:ilvl="0" w:tplc="EA1AA0D0">
      <w:start w:val="1"/>
      <w:numFmt w:val="lowerRoman"/>
      <w:lvlText w:val="%1)"/>
      <w:lvlJc w:val="left"/>
      <w:pPr>
        <w:ind w:left="720" w:hanging="72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12626E51"/>
    <w:multiLevelType w:val="hybridMultilevel"/>
    <w:tmpl w:val="ADD42C48"/>
    <w:lvl w:ilvl="0" w:tplc="240A0001">
      <w:start w:val="1"/>
      <w:numFmt w:val="bullet"/>
      <w:lvlText w:val=""/>
      <w:lvlJc w:val="left"/>
      <w:pPr>
        <w:ind w:left="540" w:hanging="360"/>
      </w:pPr>
      <w:rPr>
        <w:rFonts w:ascii="Symbol" w:hAnsi="Symbol" w:hint="default"/>
      </w:rPr>
    </w:lvl>
    <w:lvl w:ilvl="1" w:tplc="240A0003" w:tentative="1">
      <w:start w:val="1"/>
      <w:numFmt w:val="bullet"/>
      <w:lvlText w:val="o"/>
      <w:lvlJc w:val="left"/>
      <w:pPr>
        <w:ind w:left="1260" w:hanging="360"/>
      </w:pPr>
      <w:rPr>
        <w:rFonts w:ascii="Courier New" w:hAnsi="Courier New" w:cs="Courier New" w:hint="default"/>
      </w:rPr>
    </w:lvl>
    <w:lvl w:ilvl="2" w:tplc="240A0005" w:tentative="1">
      <w:start w:val="1"/>
      <w:numFmt w:val="bullet"/>
      <w:lvlText w:val=""/>
      <w:lvlJc w:val="left"/>
      <w:pPr>
        <w:ind w:left="1980" w:hanging="360"/>
      </w:pPr>
      <w:rPr>
        <w:rFonts w:ascii="Wingdings" w:hAnsi="Wingdings" w:hint="default"/>
      </w:rPr>
    </w:lvl>
    <w:lvl w:ilvl="3" w:tplc="240A0001" w:tentative="1">
      <w:start w:val="1"/>
      <w:numFmt w:val="bullet"/>
      <w:lvlText w:val=""/>
      <w:lvlJc w:val="left"/>
      <w:pPr>
        <w:ind w:left="2700" w:hanging="360"/>
      </w:pPr>
      <w:rPr>
        <w:rFonts w:ascii="Symbol" w:hAnsi="Symbol" w:hint="default"/>
      </w:rPr>
    </w:lvl>
    <w:lvl w:ilvl="4" w:tplc="240A0003" w:tentative="1">
      <w:start w:val="1"/>
      <w:numFmt w:val="bullet"/>
      <w:lvlText w:val="o"/>
      <w:lvlJc w:val="left"/>
      <w:pPr>
        <w:ind w:left="3420" w:hanging="360"/>
      </w:pPr>
      <w:rPr>
        <w:rFonts w:ascii="Courier New" w:hAnsi="Courier New" w:cs="Courier New" w:hint="default"/>
      </w:rPr>
    </w:lvl>
    <w:lvl w:ilvl="5" w:tplc="240A0005" w:tentative="1">
      <w:start w:val="1"/>
      <w:numFmt w:val="bullet"/>
      <w:lvlText w:val=""/>
      <w:lvlJc w:val="left"/>
      <w:pPr>
        <w:ind w:left="4140" w:hanging="360"/>
      </w:pPr>
      <w:rPr>
        <w:rFonts w:ascii="Wingdings" w:hAnsi="Wingdings" w:hint="default"/>
      </w:rPr>
    </w:lvl>
    <w:lvl w:ilvl="6" w:tplc="240A0001" w:tentative="1">
      <w:start w:val="1"/>
      <w:numFmt w:val="bullet"/>
      <w:lvlText w:val=""/>
      <w:lvlJc w:val="left"/>
      <w:pPr>
        <w:ind w:left="4860" w:hanging="360"/>
      </w:pPr>
      <w:rPr>
        <w:rFonts w:ascii="Symbol" w:hAnsi="Symbol" w:hint="default"/>
      </w:rPr>
    </w:lvl>
    <w:lvl w:ilvl="7" w:tplc="240A0003" w:tentative="1">
      <w:start w:val="1"/>
      <w:numFmt w:val="bullet"/>
      <w:lvlText w:val="o"/>
      <w:lvlJc w:val="left"/>
      <w:pPr>
        <w:ind w:left="5580" w:hanging="360"/>
      </w:pPr>
      <w:rPr>
        <w:rFonts w:ascii="Courier New" w:hAnsi="Courier New" w:cs="Courier New" w:hint="default"/>
      </w:rPr>
    </w:lvl>
    <w:lvl w:ilvl="8" w:tplc="240A0005" w:tentative="1">
      <w:start w:val="1"/>
      <w:numFmt w:val="bullet"/>
      <w:lvlText w:val=""/>
      <w:lvlJc w:val="left"/>
      <w:pPr>
        <w:ind w:left="6300" w:hanging="360"/>
      </w:pPr>
      <w:rPr>
        <w:rFonts w:ascii="Wingdings" w:hAnsi="Wingdings" w:hint="default"/>
      </w:rPr>
    </w:lvl>
  </w:abstractNum>
  <w:abstractNum w:abstractNumId="3" w15:restartNumberingAfterBreak="0">
    <w:nsid w:val="1D6E2BB1"/>
    <w:multiLevelType w:val="hybridMultilevel"/>
    <w:tmpl w:val="E42CE7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D79533A"/>
    <w:multiLevelType w:val="multilevel"/>
    <w:tmpl w:val="4F5E510A"/>
    <w:lvl w:ilvl="0">
      <w:start w:val="1"/>
      <w:numFmt w:val="none"/>
      <w:lvlRestart w:val="0"/>
      <w:pStyle w:val="FirstHeading"/>
      <w:suff w:val="nothing"/>
      <w:lvlText w:val=""/>
      <w:lvlJc w:val="left"/>
      <w:pPr>
        <w:ind w:left="1008" w:hanging="720"/>
      </w:pPr>
    </w:lvl>
    <w:lvl w:ilvl="1">
      <w:start w:val="1"/>
      <w:numFmt w:val="decimal"/>
      <w:pStyle w:val="SecHeading"/>
      <w:lvlText w:val="%2."/>
      <w:lvlJc w:val="left"/>
      <w:pPr>
        <w:tabs>
          <w:tab w:val="num" w:pos="1584"/>
        </w:tabs>
        <w:ind w:left="1584" w:hanging="576"/>
      </w:pPr>
      <w:rPr>
        <w:b/>
      </w:rPr>
    </w:lvl>
    <w:lvl w:ilvl="2">
      <w:start w:val="1"/>
      <w:numFmt w:val="lowerLetter"/>
      <w:pStyle w:val="SubHeading1"/>
      <w:lvlText w:val="%3)"/>
      <w:lvlJc w:val="left"/>
      <w:pPr>
        <w:tabs>
          <w:tab w:val="num" w:pos="2160"/>
        </w:tabs>
        <w:ind w:left="2160" w:hanging="576"/>
      </w:pPr>
      <w:rPr>
        <w:b/>
      </w:rPr>
    </w:lvl>
    <w:lvl w:ilvl="3">
      <w:start w:val="1"/>
      <w:numFmt w:val="lowerRoman"/>
      <w:pStyle w:val="Subheading2"/>
      <w:lvlText w:val="(%4)"/>
      <w:lvlJc w:val="right"/>
      <w:pPr>
        <w:tabs>
          <w:tab w:val="num" w:pos="2664"/>
        </w:tabs>
        <w:ind w:left="2664" w:hanging="288"/>
      </w:pPr>
      <w:rPr>
        <w:b/>
      </w:rPr>
    </w:lvl>
    <w:lvl w:ilvl="4">
      <w:start w:val="1"/>
      <w:numFmt w:val="decimal"/>
      <w:pStyle w:val="Heading5"/>
      <w:lvlText w:val="%5)"/>
      <w:lvlJc w:val="left"/>
      <w:pPr>
        <w:ind w:left="1296" w:hanging="432"/>
      </w:pPr>
    </w:lvl>
    <w:lvl w:ilvl="5">
      <w:start w:val="1"/>
      <w:numFmt w:val="lowerLetter"/>
      <w:pStyle w:val="Heading6"/>
      <w:lvlText w:val="%6)"/>
      <w:lvlJc w:val="left"/>
      <w:pPr>
        <w:ind w:left="1440" w:hanging="432"/>
      </w:pPr>
    </w:lvl>
    <w:lvl w:ilvl="6">
      <w:start w:val="1"/>
      <w:numFmt w:val="lowerRoman"/>
      <w:pStyle w:val="Heading7"/>
      <w:lvlText w:val="%7)"/>
      <w:lvlJc w:val="right"/>
      <w:pPr>
        <w:ind w:left="1584" w:hanging="288"/>
      </w:pPr>
    </w:lvl>
    <w:lvl w:ilvl="7">
      <w:start w:val="1"/>
      <w:numFmt w:val="lowerLetter"/>
      <w:pStyle w:val="Heading8"/>
      <w:lvlText w:val="%8."/>
      <w:lvlJc w:val="left"/>
      <w:pPr>
        <w:ind w:left="1728" w:hanging="432"/>
      </w:pPr>
    </w:lvl>
    <w:lvl w:ilvl="8">
      <w:start w:val="1"/>
      <w:numFmt w:val="lowerRoman"/>
      <w:pStyle w:val="Heading9"/>
      <w:lvlText w:val="%9."/>
      <w:lvlJc w:val="right"/>
      <w:pPr>
        <w:ind w:left="1872" w:hanging="144"/>
      </w:pPr>
    </w:lvl>
  </w:abstractNum>
  <w:abstractNum w:abstractNumId="5" w15:restartNumberingAfterBreak="0">
    <w:nsid w:val="207D23B7"/>
    <w:multiLevelType w:val="hybridMultilevel"/>
    <w:tmpl w:val="AC002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61711D"/>
    <w:multiLevelType w:val="hybridMultilevel"/>
    <w:tmpl w:val="AFC483F4"/>
    <w:lvl w:ilvl="0" w:tplc="A0EC231C">
      <w:start w:val="1"/>
      <w:numFmt w:val="decimal"/>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A31FDF"/>
    <w:multiLevelType w:val="hybridMultilevel"/>
    <w:tmpl w:val="E7868FB8"/>
    <w:lvl w:ilvl="0" w:tplc="0409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9" w15:restartNumberingAfterBreak="0">
    <w:nsid w:val="2DE72B8D"/>
    <w:multiLevelType w:val="multilevel"/>
    <w:tmpl w:val="00A6402E"/>
    <w:lvl w:ilvl="0">
      <w:start w:val="1"/>
      <w:numFmt w:val="upperRoman"/>
      <w:lvlText w:val="%1."/>
      <w:lvlJc w:val="left"/>
      <w:pPr>
        <w:ind w:left="3150" w:hanging="720"/>
      </w:pPr>
      <w:rPr>
        <w:rFonts w:hint="default"/>
        <w:b/>
      </w:rPr>
    </w:lvl>
    <w:lvl w:ilvl="1">
      <w:start w:val="1"/>
      <w:numFmt w:val="decimal"/>
      <w:isLgl/>
      <w:lvlText w:val="%1.%2"/>
      <w:lvlJc w:val="left"/>
      <w:pPr>
        <w:ind w:left="1110" w:hanging="40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0" w15:restartNumberingAfterBreak="0">
    <w:nsid w:val="344B6CA8"/>
    <w:multiLevelType w:val="hybridMultilevel"/>
    <w:tmpl w:val="9FC60D52"/>
    <w:lvl w:ilvl="0" w:tplc="EB76BBAE">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359B4991"/>
    <w:multiLevelType w:val="multilevel"/>
    <w:tmpl w:val="472A741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746"/>
        </w:tabs>
        <w:ind w:left="1746" w:hanging="1296"/>
      </w:pPr>
      <w:rPr>
        <w:rFonts w:ascii="Arial" w:hAnsi="Arial" w:cs="Arial"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39257BA7"/>
    <w:multiLevelType w:val="multilevel"/>
    <w:tmpl w:val="E5629406"/>
    <w:lvl w:ilvl="0">
      <w:start w:val="1"/>
      <w:numFmt w:val="decimal"/>
      <w:lvlText w:val="%1."/>
      <w:lvlJc w:val="left"/>
      <w:pPr>
        <w:ind w:left="720" w:hanging="360"/>
      </w:pPr>
      <w:rPr>
        <w:rFonts w:hint="default"/>
        <w:b/>
        <w:u w:val="none"/>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D7E5383"/>
    <w:multiLevelType w:val="hybridMultilevel"/>
    <w:tmpl w:val="44D0361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42306CB4"/>
    <w:multiLevelType w:val="multilevel"/>
    <w:tmpl w:val="9878DFA6"/>
    <w:lvl w:ilvl="0">
      <w:start w:val="1"/>
      <w:numFmt w:val="decimal"/>
      <w:pStyle w:val="Ttulo11"/>
      <w:lvlText w:val="%1"/>
      <w:lvlJc w:val="left"/>
      <w:pPr>
        <w:ind w:left="432" w:hanging="432"/>
      </w:pPr>
    </w:lvl>
    <w:lvl w:ilvl="1">
      <w:start w:val="1"/>
      <w:numFmt w:val="decimal"/>
      <w:pStyle w:val="Ttulo31"/>
      <w:lvlText w:val="%1.%2"/>
      <w:lvlJc w:val="left"/>
      <w:pPr>
        <w:ind w:left="576" w:hanging="576"/>
      </w:pPr>
    </w:lvl>
    <w:lvl w:ilvl="2">
      <w:start w:val="1"/>
      <w:numFmt w:val="decimal"/>
      <w:pStyle w:val="Nivel3"/>
      <w:lvlText w:val="%1.%2.%3"/>
      <w:lvlJc w:val="left"/>
      <w:pPr>
        <w:ind w:left="720" w:hanging="720"/>
      </w:pPr>
      <w:rPr>
        <w:rFonts w:ascii="Times New Roman" w:hAnsi="Times New Roman" w:cs="Times New Roman" w:hint="default"/>
      </w:rPr>
    </w:lvl>
    <w:lvl w:ilvl="3">
      <w:start w:val="1"/>
      <w:numFmt w:val="decimal"/>
      <w:pStyle w:val="Ttulo41"/>
      <w:lvlText w:val="%1.%2.%3.%4"/>
      <w:lvlJc w:val="left"/>
      <w:pPr>
        <w:ind w:left="864" w:hanging="864"/>
      </w:pPr>
      <w:rPr>
        <w:rFonts w:ascii="Times New Roman" w:hAnsi="Times New Roman" w:cs="Times New Roman" w:hint="default"/>
      </w:r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15" w15:restartNumberingAfterBreak="0">
    <w:nsid w:val="42F60DCF"/>
    <w:multiLevelType w:val="hybridMultilevel"/>
    <w:tmpl w:val="F78C42AE"/>
    <w:lvl w:ilvl="0" w:tplc="240A000F">
      <w:start w:val="1"/>
      <w:numFmt w:val="decimal"/>
      <w:lvlText w:val="%1."/>
      <w:lvlJc w:val="left"/>
      <w:pPr>
        <w:ind w:left="783" w:hanging="360"/>
      </w:pPr>
      <w:rPr>
        <w:rFonts w:hint="default"/>
      </w:rPr>
    </w:lvl>
    <w:lvl w:ilvl="1" w:tplc="240A0003" w:tentative="1">
      <w:start w:val="1"/>
      <w:numFmt w:val="bullet"/>
      <w:lvlText w:val="o"/>
      <w:lvlJc w:val="left"/>
      <w:pPr>
        <w:ind w:left="1503" w:hanging="360"/>
      </w:pPr>
      <w:rPr>
        <w:rFonts w:ascii="Courier New" w:hAnsi="Courier New" w:cs="Courier New" w:hint="default"/>
      </w:rPr>
    </w:lvl>
    <w:lvl w:ilvl="2" w:tplc="240A0005" w:tentative="1">
      <w:start w:val="1"/>
      <w:numFmt w:val="bullet"/>
      <w:lvlText w:val=""/>
      <w:lvlJc w:val="left"/>
      <w:pPr>
        <w:ind w:left="2223" w:hanging="360"/>
      </w:pPr>
      <w:rPr>
        <w:rFonts w:ascii="Wingdings" w:hAnsi="Wingdings" w:hint="default"/>
      </w:rPr>
    </w:lvl>
    <w:lvl w:ilvl="3" w:tplc="240A0001" w:tentative="1">
      <w:start w:val="1"/>
      <w:numFmt w:val="bullet"/>
      <w:lvlText w:val=""/>
      <w:lvlJc w:val="left"/>
      <w:pPr>
        <w:ind w:left="2943" w:hanging="360"/>
      </w:pPr>
      <w:rPr>
        <w:rFonts w:ascii="Symbol" w:hAnsi="Symbol" w:hint="default"/>
      </w:rPr>
    </w:lvl>
    <w:lvl w:ilvl="4" w:tplc="240A0003" w:tentative="1">
      <w:start w:val="1"/>
      <w:numFmt w:val="bullet"/>
      <w:lvlText w:val="o"/>
      <w:lvlJc w:val="left"/>
      <w:pPr>
        <w:ind w:left="3663" w:hanging="360"/>
      </w:pPr>
      <w:rPr>
        <w:rFonts w:ascii="Courier New" w:hAnsi="Courier New" w:cs="Courier New" w:hint="default"/>
      </w:rPr>
    </w:lvl>
    <w:lvl w:ilvl="5" w:tplc="240A0005" w:tentative="1">
      <w:start w:val="1"/>
      <w:numFmt w:val="bullet"/>
      <w:lvlText w:val=""/>
      <w:lvlJc w:val="left"/>
      <w:pPr>
        <w:ind w:left="4383" w:hanging="360"/>
      </w:pPr>
      <w:rPr>
        <w:rFonts w:ascii="Wingdings" w:hAnsi="Wingdings" w:hint="default"/>
      </w:rPr>
    </w:lvl>
    <w:lvl w:ilvl="6" w:tplc="240A0001" w:tentative="1">
      <w:start w:val="1"/>
      <w:numFmt w:val="bullet"/>
      <w:lvlText w:val=""/>
      <w:lvlJc w:val="left"/>
      <w:pPr>
        <w:ind w:left="5103" w:hanging="360"/>
      </w:pPr>
      <w:rPr>
        <w:rFonts w:ascii="Symbol" w:hAnsi="Symbol" w:hint="default"/>
      </w:rPr>
    </w:lvl>
    <w:lvl w:ilvl="7" w:tplc="240A0003" w:tentative="1">
      <w:start w:val="1"/>
      <w:numFmt w:val="bullet"/>
      <w:lvlText w:val="o"/>
      <w:lvlJc w:val="left"/>
      <w:pPr>
        <w:ind w:left="5823" w:hanging="360"/>
      </w:pPr>
      <w:rPr>
        <w:rFonts w:ascii="Courier New" w:hAnsi="Courier New" w:cs="Courier New" w:hint="default"/>
      </w:rPr>
    </w:lvl>
    <w:lvl w:ilvl="8" w:tplc="240A0005" w:tentative="1">
      <w:start w:val="1"/>
      <w:numFmt w:val="bullet"/>
      <w:lvlText w:val=""/>
      <w:lvlJc w:val="left"/>
      <w:pPr>
        <w:ind w:left="6543" w:hanging="360"/>
      </w:pPr>
      <w:rPr>
        <w:rFonts w:ascii="Wingdings" w:hAnsi="Wingdings" w:hint="default"/>
      </w:rPr>
    </w:lvl>
  </w:abstractNum>
  <w:abstractNum w:abstractNumId="16" w15:restartNumberingAfterBreak="0">
    <w:nsid w:val="432B0FC9"/>
    <w:multiLevelType w:val="multilevel"/>
    <w:tmpl w:val="F3CC6BF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rPr>
        <w:b/>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7" w15:restartNumberingAfterBreak="0">
    <w:nsid w:val="49D816FB"/>
    <w:multiLevelType w:val="multilevel"/>
    <w:tmpl w:val="052A793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rPr>
    </w:lvl>
    <w:lvl w:ilvl="2">
      <w:start w:val="1"/>
      <w:numFmt w:val="bullet"/>
      <w:lvlText w:val=""/>
      <w:lvlJc w:val="left"/>
      <w:pPr>
        <w:ind w:left="1080" w:hanging="720"/>
      </w:pPr>
      <w:rPr>
        <w:rFonts w:ascii="Symbol" w:hAnsi="Symbol"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0F20E71"/>
    <w:multiLevelType w:val="hybridMultilevel"/>
    <w:tmpl w:val="62E45B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69905A8"/>
    <w:multiLevelType w:val="multilevel"/>
    <w:tmpl w:val="DFA8D0F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rPr>
        <w:b w:val="0"/>
        <w:i w:val="0"/>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0" w15:restartNumberingAfterBreak="0">
    <w:nsid w:val="60793E35"/>
    <w:multiLevelType w:val="hybridMultilevel"/>
    <w:tmpl w:val="A14A1B64"/>
    <w:lvl w:ilvl="0" w:tplc="EF2ACD7C">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650A7A19"/>
    <w:multiLevelType w:val="hybridMultilevel"/>
    <w:tmpl w:val="9C865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840055"/>
    <w:multiLevelType w:val="hybridMultilevel"/>
    <w:tmpl w:val="A56CA848"/>
    <w:lvl w:ilvl="0" w:tplc="B3B0E2E0">
      <w:start w:val="1"/>
      <w:numFmt w:val="decimal"/>
      <w:lvlText w:val="%1."/>
      <w:lvlJc w:val="left"/>
      <w:pPr>
        <w:ind w:left="490" w:hanging="360"/>
      </w:pPr>
      <w:rPr>
        <w:rFonts w:hint="default"/>
      </w:rPr>
    </w:lvl>
    <w:lvl w:ilvl="1" w:tplc="04090019">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23" w15:restartNumberingAfterBreak="0">
    <w:nsid w:val="687B750C"/>
    <w:multiLevelType w:val="hybridMultilevel"/>
    <w:tmpl w:val="2106312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6FCB7EBB"/>
    <w:multiLevelType w:val="hybridMultilevel"/>
    <w:tmpl w:val="10DC462C"/>
    <w:lvl w:ilvl="0" w:tplc="41AE40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47E57EA"/>
    <w:multiLevelType w:val="multilevel"/>
    <w:tmpl w:val="2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7C5D5BF7"/>
    <w:multiLevelType w:val="hybridMultilevel"/>
    <w:tmpl w:val="BCF4928A"/>
    <w:lvl w:ilvl="0" w:tplc="55FADE32">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 w:numId="2">
    <w:abstractNumId w:val="4"/>
  </w:num>
  <w:num w:numId="3">
    <w:abstractNumId w:val="17"/>
  </w:num>
  <w:num w:numId="4">
    <w:abstractNumId w:val="21"/>
  </w:num>
  <w:num w:numId="5">
    <w:abstractNumId w:val="24"/>
  </w:num>
  <w:num w:numId="6">
    <w:abstractNumId w:val="6"/>
  </w:num>
  <w:num w:numId="7">
    <w:abstractNumId w:val="12"/>
  </w:num>
  <w:num w:numId="8">
    <w:abstractNumId w:val="11"/>
  </w:num>
  <w:num w:numId="9">
    <w:abstractNumId w:val="4"/>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num>
  <w:num w:numId="16">
    <w:abstractNumId w:val="0"/>
  </w:num>
  <w:num w:numId="17">
    <w:abstractNumId w:val="0"/>
  </w:num>
  <w:num w:numId="18">
    <w:abstractNumId w:val="0"/>
  </w:num>
  <w:num w:numId="19">
    <w:abstractNumId w:val="4"/>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9"/>
  </w:num>
  <w:num w:numId="23">
    <w:abstractNumId w:val="0"/>
  </w:num>
  <w:num w:numId="24">
    <w:abstractNumId w:val="0"/>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5"/>
  </w:num>
  <w:num w:numId="28">
    <w:abstractNumId w:val="19"/>
  </w:num>
  <w:num w:numId="29">
    <w:abstractNumId w:val="2"/>
  </w:num>
  <w:num w:numId="30">
    <w:abstractNumId w:val="15"/>
  </w:num>
  <w:num w:numId="31">
    <w:abstractNumId w:val="20"/>
  </w:num>
  <w:num w:numId="32">
    <w:abstractNumId w:val="23"/>
  </w:num>
  <w:num w:numId="33">
    <w:abstractNumId w:val="18"/>
  </w:num>
  <w:num w:numId="34">
    <w:abstractNumId w:val="22"/>
  </w:num>
  <w:num w:numId="35">
    <w:abstractNumId w:val="0"/>
  </w:num>
  <w:num w:numId="36">
    <w:abstractNumId w:val="16"/>
  </w:num>
  <w:num w:numId="37">
    <w:abstractNumId w:val="3"/>
  </w:num>
  <w:num w:numId="38">
    <w:abstractNumId w:val="5"/>
  </w:num>
  <w:num w:numId="39">
    <w:abstractNumId w:val="8"/>
  </w:num>
  <w:num w:numId="40">
    <w:abstractNumId w:val="14"/>
  </w:num>
  <w:num w:numId="41">
    <w:abstractNumId w:val="7"/>
  </w:num>
  <w:num w:numId="42">
    <w:abstractNumId w:val="13"/>
  </w:num>
  <w:num w:numId="43">
    <w:abstractNumId w:val="10"/>
  </w:num>
  <w:num w:numId="44">
    <w:abstractNumId w:val="26"/>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51C"/>
    <w:rsid w:val="00002E20"/>
    <w:rsid w:val="00003613"/>
    <w:rsid w:val="00003B36"/>
    <w:rsid w:val="00025F9F"/>
    <w:rsid w:val="00031679"/>
    <w:rsid w:val="00034A37"/>
    <w:rsid w:val="00034B0A"/>
    <w:rsid w:val="00036128"/>
    <w:rsid w:val="00036843"/>
    <w:rsid w:val="00040043"/>
    <w:rsid w:val="000415F0"/>
    <w:rsid w:val="00041B48"/>
    <w:rsid w:val="000420CC"/>
    <w:rsid w:val="00055E21"/>
    <w:rsid w:val="00057C11"/>
    <w:rsid w:val="00060BE1"/>
    <w:rsid w:val="0006493E"/>
    <w:rsid w:val="00065094"/>
    <w:rsid w:val="00067023"/>
    <w:rsid w:val="000705F5"/>
    <w:rsid w:val="00070B8F"/>
    <w:rsid w:val="00075EE2"/>
    <w:rsid w:val="000765F1"/>
    <w:rsid w:val="000839F7"/>
    <w:rsid w:val="00084081"/>
    <w:rsid w:val="00084EC7"/>
    <w:rsid w:val="000860D0"/>
    <w:rsid w:val="00086B78"/>
    <w:rsid w:val="00090951"/>
    <w:rsid w:val="0009312F"/>
    <w:rsid w:val="000936C2"/>
    <w:rsid w:val="000A3685"/>
    <w:rsid w:val="000A57EB"/>
    <w:rsid w:val="000B4434"/>
    <w:rsid w:val="000B7AF4"/>
    <w:rsid w:val="000C337F"/>
    <w:rsid w:val="000C42F4"/>
    <w:rsid w:val="000C58FD"/>
    <w:rsid w:val="000C6FE1"/>
    <w:rsid w:val="000D0C96"/>
    <w:rsid w:val="000D2C1F"/>
    <w:rsid w:val="000D4844"/>
    <w:rsid w:val="000E05AC"/>
    <w:rsid w:val="000E193B"/>
    <w:rsid w:val="000E26B6"/>
    <w:rsid w:val="000E578D"/>
    <w:rsid w:val="000F1C95"/>
    <w:rsid w:val="000F3059"/>
    <w:rsid w:val="000F40E7"/>
    <w:rsid w:val="000F6493"/>
    <w:rsid w:val="000F699A"/>
    <w:rsid w:val="001033AB"/>
    <w:rsid w:val="001138F5"/>
    <w:rsid w:val="00114BEC"/>
    <w:rsid w:val="001162B9"/>
    <w:rsid w:val="0011752D"/>
    <w:rsid w:val="00120A7E"/>
    <w:rsid w:val="001237DA"/>
    <w:rsid w:val="00131FFA"/>
    <w:rsid w:val="001358B5"/>
    <w:rsid w:val="00142949"/>
    <w:rsid w:val="001469BA"/>
    <w:rsid w:val="001524D6"/>
    <w:rsid w:val="00153752"/>
    <w:rsid w:val="00177ABA"/>
    <w:rsid w:val="00182D05"/>
    <w:rsid w:val="001870DE"/>
    <w:rsid w:val="00187543"/>
    <w:rsid w:val="001A46A4"/>
    <w:rsid w:val="001A4D8E"/>
    <w:rsid w:val="001B33A0"/>
    <w:rsid w:val="001B6CB4"/>
    <w:rsid w:val="001C3038"/>
    <w:rsid w:val="001D3475"/>
    <w:rsid w:val="001E024E"/>
    <w:rsid w:val="001E3D18"/>
    <w:rsid w:val="001F3D46"/>
    <w:rsid w:val="00201038"/>
    <w:rsid w:val="00202FD9"/>
    <w:rsid w:val="002053DC"/>
    <w:rsid w:val="00207AEA"/>
    <w:rsid w:val="00214F10"/>
    <w:rsid w:val="0022458D"/>
    <w:rsid w:val="00230A54"/>
    <w:rsid w:val="00231A1F"/>
    <w:rsid w:val="002346DA"/>
    <w:rsid w:val="00240095"/>
    <w:rsid w:val="00246B1F"/>
    <w:rsid w:val="00247C06"/>
    <w:rsid w:val="00262B5D"/>
    <w:rsid w:val="00270ABF"/>
    <w:rsid w:val="00274067"/>
    <w:rsid w:val="002753C5"/>
    <w:rsid w:val="00277AC8"/>
    <w:rsid w:val="00277C59"/>
    <w:rsid w:val="00285E70"/>
    <w:rsid w:val="00287710"/>
    <w:rsid w:val="00290D32"/>
    <w:rsid w:val="002916B4"/>
    <w:rsid w:val="00296191"/>
    <w:rsid w:val="002A6F44"/>
    <w:rsid w:val="002B4CF0"/>
    <w:rsid w:val="002B4D63"/>
    <w:rsid w:val="002B50F6"/>
    <w:rsid w:val="002C01D2"/>
    <w:rsid w:val="002C1810"/>
    <w:rsid w:val="002C498F"/>
    <w:rsid w:val="002D1B2E"/>
    <w:rsid w:val="002D5CB6"/>
    <w:rsid w:val="002E234F"/>
    <w:rsid w:val="002E3603"/>
    <w:rsid w:val="002E66B7"/>
    <w:rsid w:val="002E6FDE"/>
    <w:rsid w:val="002F03E5"/>
    <w:rsid w:val="002F28DD"/>
    <w:rsid w:val="002F2E55"/>
    <w:rsid w:val="002F5B3C"/>
    <w:rsid w:val="002F677E"/>
    <w:rsid w:val="00310DA7"/>
    <w:rsid w:val="00311735"/>
    <w:rsid w:val="003146AC"/>
    <w:rsid w:val="003168D8"/>
    <w:rsid w:val="00316DB4"/>
    <w:rsid w:val="00321456"/>
    <w:rsid w:val="003224B7"/>
    <w:rsid w:val="00334467"/>
    <w:rsid w:val="00334B91"/>
    <w:rsid w:val="003352B2"/>
    <w:rsid w:val="00342094"/>
    <w:rsid w:val="0034312B"/>
    <w:rsid w:val="00344301"/>
    <w:rsid w:val="00344457"/>
    <w:rsid w:val="00352369"/>
    <w:rsid w:val="00356743"/>
    <w:rsid w:val="00362220"/>
    <w:rsid w:val="00363C51"/>
    <w:rsid w:val="00365D27"/>
    <w:rsid w:val="0037226C"/>
    <w:rsid w:val="003749D5"/>
    <w:rsid w:val="003761F7"/>
    <w:rsid w:val="00377ECF"/>
    <w:rsid w:val="00381B93"/>
    <w:rsid w:val="00385807"/>
    <w:rsid w:val="00390762"/>
    <w:rsid w:val="00391302"/>
    <w:rsid w:val="003A2FA5"/>
    <w:rsid w:val="003B0022"/>
    <w:rsid w:val="003B1B94"/>
    <w:rsid w:val="003B20EA"/>
    <w:rsid w:val="003B2507"/>
    <w:rsid w:val="003B46AC"/>
    <w:rsid w:val="003B7CEE"/>
    <w:rsid w:val="003D5631"/>
    <w:rsid w:val="003D66FF"/>
    <w:rsid w:val="003E5C50"/>
    <w:rsid w:val="00403FF0"/>
    <w:rsid w:val="00404425"/>
    <w:rsid w:val="004045EC"/>
    <w:rsid w:val="00404E56"/>
    <w:rsid w:val="00407024"/>
    <w:rsid w:val="00411AFB"/>
    <w:rsid w:val="00417A06"/>
    <w:rsid w:val="0042087E"/>
    <w:rsid w:val="00424ED7"/>
    <w:rsid w:val="00425ED8"/>
    <w:rsid w:val="004264C7"/>
    <w:rsid w:val="00427B5E"/>
    <w:rsid w:val="0043233A"/>
    <w:rsid w:val="00432826"/>
    <w:rsid w:val="00433D1E"/>
    <w:rsid w:val="00434AB4"/>
    <w:rsid w:val="00435742"/>
    <w:rsid w:val="0043593B"/>
    <w:rsid w:val="00442AEE"/>
    <w:rsid w:val="00447AEA"/>
    <w:rsid w:val="0045438B"/>
    <w:rsid w:val="0046144F"/>
    <w:rsid w:val="004676E9"/>
    <w:rsid w:val="00472276"/>
    <w:rsid w:val="00472C9E"/>
    <w:rsid w:val="00472E37"/>
    <w:rsid w:val="00473621"/>
    <w:rsid w:val="004756C5"/>
    <w:rsid w:val="004800F2"/>
    <w:rsid w:val="00482825"/>
    <w:rsid w:val="00482D05"/>
    <w:rsid w:val="00483AC5"/>
    <w:rsid w:val="00484CDB"/>
    <w:rsid w:val="00490524"/>
    <w:rsid w:val="004932D7"/>
    <w:rsid w:val="004974CE"/>
    <w:rsid w:val="004A0D49"/>
    <w:rsid w:val="004A5AAD"/>
    <w:rsid w:val="004B4E44"/>
    <w:rsid w:val="004B6177"/>
    <w:rsid w:val="004B710A"/>
    <w:rsid w:val="004D3933"/>
    <w:rsid w:val="004E11FF"/>
    <w:rsid w:val="004E2681"/>
    <w:rsid w:val="004E36E4"/>
    <w:rsid w:val="004E59E1"/>
    <w:rsid w:val="004E7CB5"/>
    <w:rsid w:val="004F5661"/>
    <w:rsid w:val="0050663F"/>
    <w:rsid w:val="0050795C"/>
    <w:rsid w:val="0052133D"/>
    <w:rsid w:val="00524DCC"/>
    <w:rsid w:val="00525921"/>
    <w:rsid w:val="005324A3"/>
    <w:rsid w:val="0053486C"/>
    <w:rsid w:val="00535970"/>
    <w:rsid w:val="00540432"/>
    <w:rsid w:val="00540ED9"/>
    <w:rsid w:val="00544C7D"/>
    <w:rsid w:val="00544D03"/>
    <w:rsid w:val="00545A16"/>
    <w:rsid w:val="00545CAA"/>
    <w:rsid w:val="00547157"/>
    <w:rsid w:val="00551224"/>
    <w:rsid w:val="005525E9"/>
    <w:rsid w:val="005635F5"/>
    <w:rsid w:val="00564572"/>
    <w:rsid w:val="00572496"/>
    <w:rsid w:val="0057314E"/>
    <w:rsid w:val="005738B4"/>
    <w:rsid w:val="005741C4"/>
    <w:rsid w:val="00576079"/>
    <w:rsid w:val="005771F5"/>
    <w:rsid w:val="00577709"/>
    <w:rsid w:val="00580A29"/>
    <w:rsid w:val="00582F49"/>
    <w:rsid w:val="00592A81"/>
    <w:rsid w:val="005A40C1"/>
    <w:rsid w:val="005A449B"/>
    <w:rsid w:val="005A4682"/>
    <w:rsid w:val="005A799F"/>
    <w:rsid w:val="005B0265"/>
    <w:rsid w:val="005B669F"/>
    <w:rsid w:val="005B71AC"/>
    <w:rsid w:val="005C2D07"/>
    <w:rsid w:val="005C46BA"/>
    <w:rsid w:val="005C763C"/>
    <w:rsid w:val="005C7725"/>
    <w:rsid w:val="005D0FC3"/>
    <w:rsid w:val="005D6E69"/>
    <w:rsid w:val="005E03D2"/>
    <w:rsid w:val="005E5E9E"/>
    <w:rsid w:val="005E6E5F"/>
    <w:rsid w:val="005F3F4C"/>
    <w:rsid w:val="005F4814"/>
    <w:rsid w:val="005F71FD"/>
    <w:rsid w:val="0060383A"/>
    <w:rsid w:val="006059BF"/>
    <w:rsid w:val="00623467"/>
    <w:rsid w:val="0062667F"/>
    <w:rsid w:val="00633379"/>
    <w:rsid w:val="00640108"/>
    <w:rsid w:val="0064158B"/>
    <w:rsid w:val="00644EBD"/>
    <w:rsid w:val="006551DF"/>
    <w:rsid w:val="006629E2"/>
    <w:rsid w:val="00664BF9"/>
    <w:rsid w:val="00665A66"/>
    <w:rsid w:val="00670017"/>
    <w:rsid w:val="00671F1C"/>
    <w:rsid w:val="00693484"/>
    <w:rsid w:val="00695498"/>
    <w:rsid w:val="00695E68"/>
    <w:rsid w:val="00696EBF"/>
    <w:rsid w:val="00697222"/>
    <w:rsid w:val="006A0530"/>
    <w:rsid w:val="006B2979"/>
    <w:rsid w:val="006B5733"/>
    <w:rsid w:val="006C2A1D"/>
    <w:rsid w:val="006C7B06"/>
    <w:rsid w:val="006D038F"/>
    <w:rsid w:val="006D168A"/>
    <w:rsid w:val="006D3CE5"/>
    <w:rsid w:val="006D4260"/>
    <w:rsid w:val="006E0ADC"/>
    <w:rsid w:val="006E1CDD"/>
    <w:rsid w:val="006E7410"/>
    <w:rsid w:val="006F03A5"/>
    <w:rsid w:val="006F1E0E"/>
    <w:rsid w:val="006F48E2"/>
    <w:rsid w:val="006F51F8"/>
    <w:rsid w:val="007004F6"/>
    <w:rsid w:val="00701E88"/>
    <w:rsid w:val="00706C47"/>
    <w:rsid w:val="0070777A"/>
    <w:rsid w:val="00711E37"/>
    <w:rsid w:val="00711E53"/>
    <w:rsid w:val="0071296D"/>
    <w:rsid w:val="00713A5F"/>
    <w:rsid w:val="00716A0D"/>
    <w:rsid w:val="0072090B"/>
    <w:rsid w:val="0074591E"/>
    <w:rsid w:val="0074600C"/>
    <w:rsid w:val="00750971"/>
    <w:rsid w:val="00751F81"/>
    <w:rsid w:val="00753F8B"/>
    <w:rsid w:val="007561DB"/>
    <w:rsid w:val="007638CA"/>
    <w:rsid w:val="00765EC7"/>
    <w:rsid w:val="00770056"/>
    <w:rsid w:val="00770D36"/>
    <w:rsid w:val="00771190"/>
    <w:rsid w:val="00777DDD"/>
    <w:rsid w:val="0078396F"/>
    <w:rsid w:val="007860C4"/>
    <w:rsid w:val="00790C2E"/>
    <w:rsid w:val="00790CF0"/>
    <w:rsid w:val="007A00EA"/>
    <w:rsid w:val="007A5473"/>
    <w:rsid w:val="007A7B27"/>
    <w:rsid w:val="007B09A2"/>
    <w:rsid w:val="007B740F"/>
    <w:rsid w:val="007D319E"/>
    <w:rsid w:val="007E0E3B"/>
    <w:rsid w:val="007E1706"/>
    <w:rsid w:val="007E1E09"/>
    <w:rsid w:val="007E3C7D"/>
    <w:rsid w:val="007F016F"/>
    <w:rsid w:val="007F149F"/>
    <w:rsid w:val="007F44C2"/>
    <w:rsid w:val="007F577F"/>
    <w:rsid w:val="00801982"/>
    <w:rsid w:val="00803850"/>
    <w:rsid w:val="00805842"/>
    <w:rsid w:val="008058B3"/>
    <w:rsid w:val="00814BC8"/>
    <w:rsid w:val="00817B08"/>
    <w:rsid w:val="00820047"/>
    <w:rsid w:val="00825262"/>
    <w:rsid w:val="00832240"/>
    <w:rsid w:val="00834772"/>
    <w:rsid w:val="008409F2"/>
    <w:rsid w:val="008447DF"/>
    <w:rsid w:val="00846B1F"/>
    <w:rsid w:val="0084734A"/>
    <w:rsid w:val="008558B8"/>
    <w:rsid w:val="0086051E"/>
    <w:rsid w:val="00866CC6"/>
    <w:rsid w:val="008674B9"/>
    <w:rsid w:val="00873C2E"/>
    <w:rsid w:val="00873F19"/>
    <w:rsid w:val="0087680D"/>
    <w:rsid w:val="008846A7"/>
    <w:rsid w:val="00884953"/>
    <w:rsid w:val="0088560A"/>
    <w:rsid w:val="008864E7"/>
    <w:rsid w:val="00894D6D"/>
    <w:rsid w:val="00895008"/>
    <w:rsid w:val="008A0059"/>
    <w:rsid w:val="008A1005"/>
    <w:rsid w:val="008A231A"/>
    <w:rsid w:val="008A5AFA"/>
    <w:rsid w:val="008B20FD"/>
    <w:rsid w:val="008C7CDE"/>
    <w:rsid w:val="008D3DE5"/>
    <w:rsid w:val="008D70BE"/>
    <w:rsid w:val="008E022F"/>
    <w:rsid w:val="008E2D06"/>
    <w:rsid w:val="008F4672"/>
    <w:rsid w:val="008F6DB8"/>
    <w:rsid w:val="009013CA"/>
    <w:rsid w:val="00912449"/>
    <w:rsid w:val="009128D2"/>
    <w:rsid w:val="009214F1"/>
    <w:rsid w:val="00922AAE"/>
    <w:rsid w:val="00932237"/>
    <w:rsid w:val="00932893"/>
    <w:rsid w:val="00932AE4"/>
    <w:rsid w:val="009357C3"/>
    <w:rsid w:val="00936A77"/>
    <w:rsid w:val="0094556D"/>
    <w:rsid w:val="0095322F"/>
    <w:rsid w:val="00961808"/>
    <w:rsid w:val="00961822"/>
    <w:rsid w:val="0096297A"/>
    <w:rsid w:val="00971B64"/>
    <w:rsid w:val="00972402"/>
    <w:rsid w:val="00972CEF"/>
    <w:rsid w:val="009745CB"/>
    <w:rsid w:val="00975FDA"/>
    <w:rsid w:val="00990037"/>
    <w:rsid w:val="009959A9"/>
    <w:rsid w:val="00997BAD"/>
    <w:rsid w:val="009A1212"/>
    <w:rsid w:val="009A7236"/>
    <w:rsid w:val="009B5D6F"/>
    <w:rsid w:val="009C063B"/>
    <w:rsid w:val="009C2D84"/>
    <w:rsid w:val="009D543F"/>
    <w:rsid w:val="009D578D"/>
    <w:rsid w:val="009D7280"/>
    <w:rsid w:val="009E34EC"/>
    <w:rsid w:val="009E3F81"/>
    <w:rsid w:val="009E5EE7"/>
    <w:rsid w:val="009F527C"/>
    <w:rsid w:val="009F52DA"/>
    <w:rsid w:val="009F5F60"/>
    <w:rsid w:val="00A00BF7"/>
    <w:rsid w:val="00A03A9E"/>
    <w:rsid w:val="00A069E9"/>
    <w:rsid w:val="00A12228"/>
    <w:rsid w:val="00A1704E"/>
    <w:rsid w:val="00A201C3"/>
    <w:rsid w:val="00A204A9"/>
    <w:rsid w:val="00A267B8"/>
    <w:rsid w:val="00A31FBE"/>
    <w:rsid w:val="00A34044"/>
    <w:rsid w:val="00A3688E"/>
    <w:rsid w:val="00A402B4"/>
    <w:rsid w:val="00A40A0B"/>
    <w:rsid w:val="00A42943"/>
    <w:rsid w:val="00A441BE"/>
    <w:rsid w:val="00A445B0"/>
    <w:rsid w:val="00A44C44"/>
    <w:rsid w:val="00A57109"/>
    <w:rsid w:val="00A7454D"/>
    <w:rsid w:val="00A84531"/>
    <w:rsid w:val="00A8696F"/>
    <w:rsid w:val="00A90C45"/>
    <w:rsid w:val="00A94E59"/>
    <w:rsid w:val="00AA1A82"/>
    <w:rsid w:val="00AA2F64"/>
    <w:rsid w:val="00AA3440"/>
    <w:rsid w:val="00AA5E38"/>
    <w:rsid w:val="00AB1836"/>
    <w:rsid w:val="00AB1C99"/>
    <w:rsid w:val="00AB714F"/>
    <w:rsid w:val="00AC4D46"/>
    <w:rsid w:val="00AC5DD0"/>
    <w:rsid w:val="00AC69D9"/>
    <w:rsid w:val="00AC6F57"/>
    <w:rsid w:val="00AD4B72"/>
    <w:rsid w:val="00AD6A96"/>
    <w:rsid w:val="00AE27CD"/>
    <w:rsid w:val="00AE3AA3"/>
    <w:rsid w:val="00AE3CCF"/>
    <w:rsid w:val="00AE780E"/>
    <w:rsid w:val="00AF166F"/>
    <w:rsid w:val="00AF24CD"/>
    <w:rsid w:val="00AF28B5"/>
    <w:rsid w:val="00B034D6"/>
    <w:rsid w:val="00B05228"/>
    <w:rsid w:val="00B12AE4"/>
    <w:rsid w:val="00B211A0"/>
    <w:rsid w:val="00B27267"/>
    <w:rsid w:val="00B276ED"/>
    <w:rsid w:val="00B376CB"/>
    <w:rsid w:val="00B406C2"/>
    <w:rsid w:val="00B463F7"/>
    <w:rsid w:val="00B51622"/>
    <w:rsid w:val="00B55A40"/>
    <w:rsid w:val="00B57C67"/>
    <w:rsid w:val="00B63471"/>
    <w:rsid w:val="00B6386D"/>
    <w:rsid w:val="00B646D5"/>
    <w:rsid w:val="00B6512D"/>
    <w:rsid w:val="00B6767C"/>
    <w:rsid w:val="00B83868"/>
    <w:rsid w:val="00B8752F"/>
    <w:rsid w:val="00B922D9"/>
    <w:rsid w:val="00B94705"/>
    <w:rsid w:val="00BB3799"/>
    <w:rsid w:val="00BC301F"/>
    <w:rsid w:val="00BC48B1"/>
    <w:rsid w:val="00BC4EA7"/>
    <w:rsid w:val="00BC6088"/>
    <w:rsid w:val="00BD289E"/>
    <w:rsid w:val="00BD50FD"/>
    <w:rsid w:val="00BE1CFB"/>
    <w:rsid w:val="00BE3AE8"/>
    <w:rsid w:val="00BE5F07"/>
    <w:rsid w:val="00BF1275"/>
    <w:rsid w:val="00BF54DC"/>
    <w:rsid w:val="00BF5ED8"/>
    <w:rsid w:val="00C016AC"/>
    <w:rsid w:val="00C02A0F"/>
    <w:rsid w:val="00C0447D"/>
    <w:rsid w:val="00C04ACF"/>
    <w:rsid w:val="00C04C66"/>
    <w:rsid w:val="00C17309"/>
    <w:rsid w:val="00C31189"/>
    <w:rsid w:val="00C32FAA"/>
    <w:rsid w:val="00C511A1"/>
    <w:rsid w:val="00C521EE"/>
    <w:rsid w:val="00C605C6"/>
    <w:rsid w:val="00C618F6"/>
    <w:rsid w:val="00C65E0B"/>
    <w:rsid w:val="00C71559"/>
    <w:rsid w:val="00C71FD6"/>
    <w:rsid w:val="00C824A4"/>
    <w:rsid w:val="00C86E76"/>
    <w:rsid w:val="00C871D0"/>
    <w:rsid w:val="00C9183E"/>
    <w:rsid w:val="00C9258C"/>
    <w:rsid w:val="00C94EA0"/>
    <w:rsid w:val="00C9553E"/>
    <w:rsid w:val="00C97B5F"/>
    <w:rsid w:val="00CA1893"/>
    <w:rsid w:val="00CA2E68"/>
    <w:rsid w:val="00CA42F9"/>
    <w:rsid w:val="00CA6D7B"/>
    <w:rsid w:val="00CB00F0"/>
    <w:rsid w:val="00CB1C6F"/>
    <w:rsid w:val="00CB6210"/>
    <w:rsid w:val="00CB7C70"/>
    <w:rsid w:val="00CC5D1D"/>
    <w:rsid w:val="00CD529B"/>
    <w:rsid w:val="00CD74C2"/>
    <w:rsid w:val="00CE233B"/>
    <w:rsid w:val="00CE3992"/>
    <w:rsid w:val="00CE63C1"/>
    <w:rsid w:val="00CF11CE"/>
    <w:rsid w:val="00CF2045"/>
    <w:rsid w:val="00CF3A7C"/>
    <w:rsid w:val="00CF4448"/>
    <w:rsid w:val="00CF6854"/>
    <w:rsid w:val="00D06B78"/>
    <w:rsid w:val="00D14DE6"/>
    <w:rsid w:val="00D24C3E"/>
    <w:rsid w:val="00D35D87"/>
    <w:rsid w:val="00D36B56"/>
    <w:rsid w:val="00D3710A"/>
    <w:rsid w:val="00D37A40"/>
    <w:rsid w:val="00D43F4B"/>
    <w:rsid w:val="00D44BC6"/>
    <w:rsid w:val="00D45D8B"/>
    <w:rsid w:val="00D50161"/>
    <w:rsid w:val="00D50942"/>
    <w:rsid w:val="00D50DC1"/>
    <w:rsid w:val="00D51DB2"/>
    <w:rsid w:val="00D528FD"/>
    <w:rsid w:val="00D61C06"/>
    <w:rsid w:val="00D62362"/>
    <w:rsid w:val="00D632E0"/>
    <w:rsid w:val="00D710B8"/>
    <w:rsid w:val="00D71342"/>
    <w:rsid w:val="00D71CF1"/>
    <w:rsid w:val="00D73283"/>
    <w:rsid w:val="00D76020"/>
    <w:rsid w:val="00D866B9"/>
    <w:rsid w:val="00D867BC"/>
    <w:rsid w:val="00D918DC"/>
    <w:rsid w:val="00D93913"/>
    <w:rsid w:val="00D968D6"/>
    <w:rsid w:val="00D97376"/>
    <w:rsid w:val="00DB52EF"/>
    <w:rsid w:val="00DB67E3"/>
    <w:rsid w:val="00DC1DDD"/>
    <w:rsid w:val="00DD17C3"/>
    <w:rsid w:val="00DD4701"/>
    <w:rsid w:val="00DD52E3"/>
    <w:rsid w:val="00DE1B12"/>
    <w:rsid w:val="00DE4DD3"/>
    <w:rsid w:val="00DF0439"/>
    <w:rsid w:val="00DF102F"/>
    <w:rsid w:val="00DF3E94"/>
    <w:rsid w:val="00DF4091"/>
    <w:rsid w:val="00DF64B2"/>
    <w:rsid w:val="00DF66CC"/>
    <w:rsid w:val="00E0464E"/>
    <w:rsid w:val="00E04D9C"/>
    <w:rsid w:val="00E140BD"/>
    <w:rsid w:val="00E14BC3"/>
    <w:rsid w:val="00E23C36"/>
    <w:rsid w:val="00E32639"/>
    <w:rsid w:val="00E328B3"/>
    <w:rsid w:val="00E32FB1"/>
    <w:rsid w:val="00E3347F"/>
    <w:rsid w:val="00E403F9"/>
    <w:rsid w:val="00E41145"/>
    <w:rsid w:val="00E4478E"/>
    <w:rsid w:val="00E45BDA"/>
    <w:rsid w:val="00E50057"/>
    <w:rsid w:val="00E5148B"/>
    <w:rsid w:val="00E63203"/>
    <w:rsid w:val="00E665B8"/>
    <w:rsid w:val="00E705EE"/>
    <w:rsid w:val="00E710BA"/>
    <w:rsid w:val="00E7734D"/>
    <w:rsid w:val="00E90E4C"/>
    <w:rsid w:val="00E90F09"/>
    <w:rsid w:val="00E94EA2"/>
    <w:rsid w:val="00E96162"/>
    <w:rsid w:val="00EA0BC9"/>
    <w:rsid w:val="00EA3AFE"/>
    <w:rsid w:val="00EA570C"/>
    <w:rsid w:val="00EA5A3A"/>
    <w:rsid w:val="00EB4543"/>
    <w:rsid w:val="00EC32AA"/>
    <w:rsid w:val="00EC4CA9"/>
    <w:rsid w:val="00ED3BB9"/>
    <w:rsid w:val="00ED46CD"/>
    <w:rsid w:val="00ED6BF8"/>
    <w:rsid w:val="00ED751C"/>
    <w:rsid w:val="00EE3314"/>
    <w:rsid w:val="00EE66F0"/>
    <w:rsid w:val="00EE7012"/>
    <w:rsid w:val="00EE7908"/>
    <w:rsid w:val="00EF479A"/>
    <w:rsid w:val="00EF67CA"/>
    <w:rsid w:val="00F04740"/>
    <w:rsid w:val="00F16FFC"/>
    <w:rsid w:val="00F30CF3"/>
    <w:rsid w:val="00F30D0E"/>
    <w:rsid w:val="00F3108E"/>
    <w:rsid w:val="00F34562"/>
    <w:rsid w:val="00F35850"/>
    <w:rsid w:val="00F364F4"/>
    <w:rsid w:val="00F423EA"/>
    <w:rsid w:val="00F4654E"/>
    <w:rsid w:val="00F470FB"/>
    <w:rsid w:val="00F539CF"/>
    <w:rsid w:val="00F54182"/>
    <w:rsid w:val="00F54D12"/>
    <w:rsid w:val="00F55B4A"/>
    <w:rsid w:val="00F55EFF"/>
    <w:rsid w:val="00F63D31"/>
    <w:rsid w:val="00F66EF3"/>
    <w:rsid w:val="00F70781"/>
    <w:rsid w:val="00F70B7C"/>
    <w:rsid w:val="00F7171D"/>
    <w:rsid w:val="00F777ED"/>
    <w:rsid w:val="00F90272"/>
    <w:rsid w:val="00F95245"/>
    <w:rsid w:val="00F95F96"/>
    <w:rsid w:val="00F96132"/>
    <w:rsid w:val="00F977DE"/>
    <w:rsid w:val="00FA1E45"/>
    <w:rsid w:val="00FA2F58"/>
    <w:rsid w:val="00FA4B07"/>
    <w:rsid w:val="00FB20E5"/>
    <w:rsid w:val="00FB2A6F"/>
    <w:rsid w:val="00FB77B1"/>
    <w:rsid w:val="00FC0DF7"/>
    <w:rsid w:val="00FC1A3E"/>
    <w:rsid w:val="00FC4E2F"/>
    <w:rsid w:val="00FD27E3"/>
    <w:rsid w:val="00FD2B0C"/>
    <w:rsid w:val="00FD4096"/>
    <w:rsid w:val="00FD6D3D"/>
    <w:rsid w:val="00FD71F5"/>
    <w:rsid w:val="00FF12B9"/>
    <w:rsid w:val="00FF447B"/>
    <w:rsid w:val="00FF57CA"/>
    <w:rsid w:val="00FF6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1A442"/>
  <w15:docId w15:val="{78FAE3B1-4522-48BB-851A-EC7FC8C22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751C"/>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D17C3"/>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uiPriority w:val="9"/>
    <w:qFormat/>
    <w:rsid w:val="00DD17C3"/>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uiPriority w:val="9"/>
    <w:qFormat/>
    <w:rsid w:val="00DD17C3"/>
    <w:pPr>
      <w:keepNext/>
      <w:tabs>
        <w:tab w:val="num" w:pos="1800"/>
      </w:tabs>
      <w:spacing w:before="240" w:after="60"/>
      <w:ind w:left="1440"/>
      <w:outlineLvl w:val="2"/>
    </w:pPr>
    <w:rPr>
      <w:rFonts w:ascii="Arial" w:hAnsi="Arial"/>
    </w:rPr>
  </w:style>
  <w:style w:type="paragraph" w:styleId="Heading4">
    <w:name w:val="heading 4"/>
    <w:basedOn w:val="Normal"/>
    <w:next w:val="Normal"/>
    <w:link w:val="Heading4Char"/>
    <w:uiPriority w:val="9"/>
    <w:qFormat/>
    <w:rsid w:val="00DD17C3"/>
    <w:pPr>
      <w:keepNext/>
      <w:tabs>
        <w:tab w:val="num" w:pos="2520"/>
      </w:tabs>
      <w:spacing w:before="240" w:after="60"/>
      <w:ind w:left="2160"/>
      <w:outlineLvl w:val="3"/>
    </w:pPr>
    <w:rPr>
      <w:rFonts w:ascii="Arial" w:hAnsi="Arial"/>
      <w:b/>
    </w:rPr>
  </w:style>
  <w:style w:type="paragraph" w:styleId="Heading5">
    <w:name w:val="heading 5"/>
    <w:basedOn w:val="Normal"/>
    <w:next w:val="Normal"/>
    <w:link w:val="Heading5Char"/>
    <w:uiPriority w:val="9"/>
    <w:unhideWhenUsed/>
    <w:qFormat/>
    <w:rsid w:val="00ED751C"/>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ED751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ED751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D751C"/>
    <w:pPr>
      <w:keepNext/>
      <w:keepLines/>
      <w:numPr>
        <w:ilvl w:val="7"/>
        <w:numId w:val="2"/>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ED751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D751C"/>
    <w:rPr>
      <w:caps/>
      <w:lang w:val="es-ES_tradnl"/>
    </w:rPr>
  </w:style>
  <w:style w:type="paragraph" w:customStyle="1" w:styleId="ABBR">
    <w:name w:val="ABBR"/>
    <w:basedOn w:val="Annex"/>
    <w:rsid w:val="00ED751C"/>
  </w:style>
  <w:style w:type="paragraph" w:customStyle="1" w:styleId="AbbrDesc">
    <w:name w:val="AbbrDesc"/>
    <w:basedOn w:val="Normal"/>
    <w:rsid w:val="00ED751C"/>
    <w:pPr>
      <w:tabs>
        <w:tab w:val="left" w:pos="3060"/>
      </w:tabs>
      <w:jc w:val="both"/>
    </w:pPr>
    <w:rPr>
      <w:lang w:val="es-ES_tradnl"/>
    </w:rPr>
  </w:style>
  <w:style w:type="paragraph" w:styleId="BodyText">
    <w:name w:val="Body Text"/>
    <w:basedOn w:val="Normal"/>
    <w:link w:val="BodyTextChar"/>
    <w:rsid w:val="00ED751C"/>
    <w:pPr>
      <w:tabs>
        <w:tab w:val="left" w:pos="3060"/>
      </w:tabs>
      <w:jc w:val="center"/>
    </w:pPr>
  </w:style>
  <w:style w:type="character" w:customStyle="1" w:styleId="BodyTextChar">
    <w:name w:val="Body Text Char"/>
    <w:basedOn w:val="DefaultParagraphFont"/>
    <w:link w:val="BodyText"/>
    <w:rsid w:val="00ED751C"/>
    <w:rPr>
      <w:rFonts w:ascii="Times New Roman" w:eastAsia="Times New Roman" w:hAnsi="Times New Roman" w:cs="Times New Roman"/>
      <w:sz w:val="24"/>
      <w:szCs w:val="20"/>
    </w:rPr>
  </w:style>
  <w:style w:type="paragraph" w:customStyle="1" w:styleId="Chapter">
    <w:name w:val="Chapter"/>
    <w:basedOn w:val="Normal"/>
    <w:next w:val="Normal"/>
    <w:rsid w:val="00ED751C"/>
    <w:pPr>
      <w:keepNext/>
      <w:numPr>
        <w:numId w:val="1"/>
      </w:numPr>
      <w:tabs>
        <w:tab w:val="left" w:pos="1440"/>
      </w:tabs>
      <w:spacing w:before="240" w:after="240"/>
      <w:jc w:val="center"/>
    </w:pPr>
    <w:rPr>
      <w:b/>
      <w:smallCaps/>
      <w:lang w:val="es-ES"/>
    </w:rPr>
  </w:style>
  <w:style w:type="paragraph" w:customStyle="1" w:styleId="FirstHeading">
    <w:name w:val="FirstHeading"/>
    <w:basedOn w:val="Normal"/>
    <w:next w:val="Normal"/>
    <w:rsid w:val="00ED751C"/>
    <w:pPr>
      <w:keepNext/>
      <w:numPr>
        <w:numId w:val="2"/>
      </w:numPr>
      <w:tabs>
        <w:tab w:val="left" w:pos="0"/>
        <w:tab w:val="left" w:pos="86"/>
      </w:tabs>
      <w:spacing w:before="120" w:after="120"/>
    </w:pPr>
    <w:rPr>
      <w:b/>
      <w:lang w:val="es-ES"/>
    </w:rPr>
  </w:style>
  <w:style w:type="paragraph" w:styleId="Footer">
    <w:name w:val="footer"/>
    <w:basedOn w:val="Normal"/>
    <w:link w:val="FooterChar"/>
    <w:uiPriority w:val="99"/>
    <w:rsid w:val="00ED751C"/>
    <w:pPr>
      <w:tabs>
        <w:tab w:val="center" w:pos="4320"/>
        <w:tab w:val="right" w:pos="8640"/>
      </w:tabs>
    </w:pPr>
  </w:style>
  <w:style w:type="character" w:customStyle="1" w:styleId="FooterChar">
    <w:name w:val="Footer Char"/>
    <w:basedOn w:val="DefaultParagraphFont"/>
    <w:link w:val="Footer"/>
    <w:uiPriority w:val="99"/>
    <w:rsid w:val="00ED751C"/>
    <w:rPr>
      <w:rFonts w:ascii="Times New Roman" w:eastAsia="Times New Roman" w:hAnsi="Times New Roman" w:cs="Times New Roman"/>
      <w:sz w:val="24"/>
      <w:szCs w:val="20"/>
    </w:rPr>
  </w:style>
  <w:style w:type="paragraph" w:styleId="FootnoteText">
    <w:name w:val="footnote text"/>
    <w:aliases w:val="fn,single space,footnote text,foottextfra,footnote,F,Texto nota pie Car Car,texto de nota al pie,Nota a pie/Bibliog,Texto nota pie Car Car Car Car Car Car Car Car,Texto nota pie Car Car Car,f,FOOTNOTES,Footnote Text Char Char,ALTS FOOTNOTE"/>
    <w:basedOn w:val="Normal"/>
    <w:link w:val="FootnoteTextChar"/>
    <w:uiPriority w:val="99"/>
    <w:qFormat/>
    <w:rsid w:val="00ED751C"/>
    <w:pPr>
      <w:keepNext/>
      <w:keepLines/>
      <w:spacing w:after="120"/>
      <w:ind w:left="288" w:hanging="288"/>
      <w:jc w:val="both"/>
    </w:pPr>
    <w:rPr>
      <w:spacing w:val="-3"/>
      <w:sz w:val="20"/>
    </w:rPr>
  </w:style>
  <w:style w:type="character" w:customStyle="1" w:styleId="FootnoteTextChar">
    <w:name w:val="Footnote Text Char"/>
    <w:aliases w:val="fn Char,single space Char,footnote text Char,foottextfra Char,footnote Char,F Char,Texto nota pie Car Car Char,texto de nota al pie Char,Nota a pie/Bibliog Char,Texto nota pie Car Car Car Car Car Car Car Car Char,f Char,FOOTNOTES Char"/>
    <w:basedOn w:val="DefaultParagraphFont"/>
    <w:link w:val="FootnoteText"/>
    <w:uiPriority w:val="99"/>
    <w:rsid w:val="00ED751C"/>
    <w:rPr>
      <w:rFonts w:ascii="Times New Roman" w:eastAsia="Times New Roman" w:hAnsi="Times New Roman" w:cs="Times New Roman"/>
      <w:spacing w:val="-3"/>
      <w:sz w:val="20"/>
      <w:szCs w:val="20"/>
    </w:rPr>
  </w:style>
  <w:style w:type="paragraph" w:styleId="Header">
    <w:name w:val="header"/>
    <w:basedOn w:val="Normal"/>
    <w:link w:val="HeaderChar"/>
    <w:uiPriority w:val="99"/>
    <w:rsid w:val="00ED751C"/>
    <w:pPr>
      <w:tabs>
        <w:tab w:val="center" w:pos="4320"/>
        <w:tab w:val="right" w:pos="8640"/>
      </w:tabs>
    </w:pPr>
  </w:style>
  <w:style w:type="character" w:customStyle="1" w:styleId="HeaderChar">
    <w:name w:val="Header Char"/>
    <w:basedOn w:val="DefaultParagraphFont"/>
    <w:link w:val="Header"/>
    <w:uiPriority w:val="99"/>
    <w:rsid w:val="00ED751C"/>
    <w:rPr>
      <w:rFonts w:ascii="Times New Roman" w:eastAsia="Times New Roman" w:hAnsi="Times New Roman" w:cs="Times New Roman"/>
      <w:sz w:val="24"/>
      <w:szCs w:val="20"/>
    </w:rPr>
  </w:style>
  <w:style w:type="paragraph" w:customStyle="1" w:styleId="Newpage">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customStyle="1" w:styleId="Paragraph">
    <w:name w:val="Paragraph"/>
    <w:aliases w:val="paragraph,p,PARAGRAPH,PG,pa,at"/>
    <w:basedOn w:val="BodyTextIndent"/>
    <w:link w:val="ParagraphChar"/>
    <w:qFormat/>
    <w:rsid w:val="00ED751C"/>
    <w:pPr>
      <w:numPr>
        <w:ilvl w:val="1"/>
        <w:numId w:val="1"/>
      </w:numPr>
      <w:spacing w:before="120"/>
      <w:jc w:val="both"/>
      <w:outlineLvl w:val="1"/>
    </w:pPr>
    <w:rPr>
      <w:lang w:val="es-ES"/>
    </w:rPr>
  </w:style>
  <w:style w:type="paragraph" w:customStyle="1" w:styleId="RegheadTab">
    <w:name w:val="RegheadTab"/>
    <w:basedOn w:val="FirstHeading"/>
    <w:rsid w:val="00ED751C"/>
    <w:pPr>
      <w:numPr>
        <w:numId w:val="0"/>
      </w:numPr>
      <w:tabs>
        <w:tab w:val="num" w:pos="504"/>
      </w:tabs>
      <w:spacing w:after="0"/>
      <w:ind w:left="504" w:hanging="504"/>
      <w:jc w:val="center"/>
    </w:pPr>
  </w:style>
  <w:style w:type="paragraph" w:customStyle="1" w:styleId="SecHeading">
    <w:name w:val="SecHeading"/>
    <w:basedOn w:val="Normal"/>
    <w:next w:val="Paragraph"/>
    <w:rsid w:val="00ED751C"/>
    <w:pPr>
      <w:keepNext/>
      <w:numPr>
        <w:ilvl w:val="1"/>
        <w:numId w:val="2"/>
      </w:numPr>
      <w:tabs>
        <w:tab w:val="num" w:pos="1296"/>
      </w:tabs>
      <w:spacing w:before="120" w:after="120"/>
      <w:ind w:left="1296"/>
    </w:pPr>
    <w:rPr>
      <w:b/>
      <w:lang w:val="es-ES_tradnl"/>
    </w:rPr>
  </w:style>
  <w:style w:type="paragraph" w:customStyle="1" w:styleId="SubHeading1">
    <w:name w:val="SubHeading1"/>
    <w:basedOn w:val="SecHeading"/>
    <w:rsid w:val="00ED751C"/>
    <w:pPr>
      <w:numPr>
        <w:ilvl w:val="2"/>
      </w:numPr>
      <w:tabs>
        <w:tab w:val="num" w:pos="1584"/>
        <w:tab w:val="num" w:pos="1872"/>
      </w:tabs>
      <w:ind w:left="1872"/>
    </w:pPr>
  </w:style>
  <w:style w:type="paragraph" w:customStyle="1" w:styleId="Subheading2">
    <w:name w:val="Subheading2"/>
    <w:basedOn w:val="SecHeading"/>
    <w:rsid w:val="00ED751C"/>
    <w:pPr>
      <w:numPr>
        <w:ilvl w:val="3"/>
      </w:numPr>
      <w:tabs>
        <w:tab w:val="num" w:pos="1584"/>
        <w:tab w:val="num" w:pos="2376"/>
      </w:tabs>
      <w:ind w:left="2376"/>
    </w:pPr>
  </w:style>
  <w:style w:type="paragraph" w:customStyle="1" w:styleId="subpar">
    <w:name w:val="subpar"/>
    <w:basedOn w:val="BodyTextIndent3"/>
    <w:rsid w:val="00ED751C"/>
    <w:pPr>
      <w:numPr>
        <w:ilvl w:val="2"/>
        <w:numId w:val="1"/>
      </w:numPr>
      <w:spacing w:before="120"/>
      <w:jc w:val="both"/>
      <w:outlineLvl w:val="2"/>
    </w:pPr>
    <w:rPr>
      <w:szCs w:val="20"/>
      <w:lang w:val="es-ES_tradnl"/>
    </w:rPr>
  </w:style>
  <w:style w:type="paragraph" w:customStyle="1" w:styleId="SubSubPar">
    <w:name w:val="SubSubPar"/>
    <w:basedOn w:val="subpar"/>
    <w:rsid w:val="00ED751C"/>
    <w:pPr>
      <w:numPr>
        <w:ilvl w:val="3"/>
      </w:numPr>
      <w:tabs>
        <w:tab w:val="clear" w:pos="2736"/>
        <w:tab w:val="left" w:pos="0"/>
        <w:tab w:val="num" w:pos="1296"/>
      </w:tabs>
      <w:ind w:left="1296"/>
    </w:pPr>
  </w:style>
  <w:style w:type="paragraph" w:styleId="TOC1">
    <w:name w:val="toc 1"/>
    <w:basedOn w:val="Normal"/>
    <w:next w:val="Normal"/>
    <w:autoRedefine/>
    <w:uiPriority w:val="39"/>
    <w:rsid w:val="00ED751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ED751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rsid w:val="00ED751C"/>
    <w:pPr>
      <w:tabs>
        <w:tab w:val="left" w:pos="1728"/>
      </w:tabs>
      <w:ind w:left="1714" w:hanging="562"/>
    </w:pPr>
    <w:rPr>
      <w:lang w:val="es-ES"/>
    </w:rPr>
  </w:style>
  <w:style w:type="character" w:styleId="Hyperlink">
    <w:name w:val="Hyperlink"/>
    <w:basedOn w:val="DefaultParagraphFont"/>
    <w:uiPriority w:val="99"/>
    <w:rsid w:val="00ED751C"/>
    <w:rPr>
      <w:color w:val="0000FF"/>
      <w:u w:val="single"/>
    </w:rPr>
  </w:style>
  <w:style w:type="character" w:styleId="FootnoteReference">
    <w:name w:val="footnote reference"/>
    <w:aliases w:val="referencia nota al pie,ftref,16 Point,Superscript 6 Point,FC,Ref,de nota al pie,(Ref. de nota al pie),Fußnotenzeichen DISS,Style 24,Appel note de bas de page,Footnote Referencefr,Ref. de nota al pie.,Знак сноски-FN,titulo 2,pie pddes"/>
    <w:basedOn w:val="DefaultParagraphFont"/>
    <w:link w:val="Char2"/>
    <w:uiPriority w:val="99"/>
    <w:qFormat/>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style>
  <w:style w:type="character" w:customStyle="1" w:styleId="BodyTextIndentChar">
    <w:name w:val="Body Text Indent Char"/>
    <w:basedOn w:val="DefaultParagraphFont"/>
    <w:link w:val="BodyTextIndent"/>
    <w:uiPriority w:val="99"/>
    <w:semiHidden/>
    <w:rsid w:val="00ED751C"/>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ED751C"/>
    <w:pPr>
      <w:spacing w:after="120"/>
      <w:ind w:left="360"/>
    </w:pPr>
    <w:rPr>
      <w:szCs w:val="16"/>
    </w:rPr>
  </w:style>
  <w:style w:type="character" w:customStyle="1" w:styleId="BodyTextIndent3Char">
    <w:name w:val="Body Text Indent 3 Char"/>
    <w:basedOn w:val="DefaultParagraphFont"/>
    <w:link w:val="BodyTextIndent3"/>
    <w:uiPriority w:val="99"/>
    <w:semiHidden/>
    <w:rsid w:val="00ED751C"/>
    <w:rPr>
      <w:rFonts w:ascii="Times New Roman" w:eastAsia="Times New Roman" w:hAnsi="Times New Roman" w:cs="Times New Roman"/>
      <w:sz w:val="24"/>
      <w:szCs w:val="16"/>
    </w:rPr>
  </w:style>
  <w:style w:type="paragraph" w:customStyle="1" w:styleId="Regtable">
    <w:name w:val="Regtable"/>
    <w:basedOn w:val="Normal"/>
    <w:link w:val="RegtableChar"/>
    <w:rsid w:val="00ED751C"/>
    <w:pPr>
      <w:keepLines/>
      <w:framePr w:wrap="around" w:vAnchor="text" w:hAnchor="text" w:y="1"/>
      <w:spacing w:before="20" w:after="20"/>
    </w:pPr>
    <w:rPr>
      <w:sz w:val="20"/>
    </w:rPr>
  </w:style>
  <w:style w:type="character" w:customStyle="1" w:styleId="RegtableChar">
    <w:name w:val="Regtable Char"/>
    <w:basedOn w:val="DefaultParagraphFont"/>
    <w:link w:val="Regtable"/>
    <w:rsid w:val="00ED751C"/>
    <w:rPr>
      <w:rFonts w:ascii="Times New Roman" w:eastAsia="Times New Roman" w:hAnsi="Times New Roman" w:cs="Times New Roman"/>
      <w:sz w:val="20"/>
      <w:szCs w:val="20"/>
    </w:rPr>
  </w:style>
  <w:style w:type="paragraph" w:customStyle="1" w:styleId="TableTitle">
    <w:name w:val="TableTitle"/>
    <w:basedOn w:val="Normal"/>
    <w:link w:val="TableTitleChar"/>
    <w:rsid w:val="00ED751C"/>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ED751C"/>
    <w:rPr>
      <w:rFonts w:ascii="Times New Roman Bold" w:eastAsia="Times New Roman" w:hAnsi="Times New Roman Bold" w:cs="Times New Roman"/>
      <w:b/>
      <w:spacing w:val="-3"/>
      <w:sz w:val="20"/>
      <w:szCs w:val="20"/>
    </w:rPr>
  </w:style>
  <w:style w:type="character" w:customStyle="1" w:styleId="Heading5Char">
    <w:name w:val="Heading 5 Char"/>
    <w:basedOn w:val="DefaultParagraphFont"/>
    <w:link w:val="Heading5"/>
    <w:uiPriority w:val="9"/>
    <w:rsid w:val="00ED751C"/>
    <w:rPr>
      <w:rFonts w:asciiTheme="majorHAnsi" w:eastAsiaTheme="majorEastAsia" w:hAnsiTheme="majorHAnsi" w:cstheme="majorBidi"/>
      <w:color w:val="243F60" w:themeColor="accent1" w:themeShade="7F"/>
      <w:sz w:val="24"/>
      <w:szCs w:val="20"/>
    </w:rPr>
  </w:style>
  <w:style w:type="character" w:customStyle="1" w:styleId="Heading6Char">
    <w:name w:val="Heading 6 Char"/>
    <w:basedOn w:val="DefaultParagraphFont"/>
    <w:link w:val="Heading6"/>
    <w:uiPriority w:val="9"/>
    <w:rsid w:val="00ED751C"/>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uiPriority w:val="9"/>
    <w:rsid w:val="00ED751C"/>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uiPriority w:val="9"/>
    <w:rsid w:val="00ED751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D751C"/>
    <w:rPr>
      <w:rFonts w:asciiTheme="majorHAnsi" w:eastAsiaTheme="majorEastAsia" w:hAnsiTheme="majorHAnsi" w:cstheme="majorBidi"/>
      <w:i/>
      <w:iCs/>
      <w:color w:val="404040" w:themeColor="text1" w:themeTint="BF"/>
      <w:sz w:val="20"/>
      <w:szCs w:val="20"/>
    </w:rPr>
  </w:style>
  <w:style w:type="character" w:customStyle="1" w:styleId="Heading1Char">
    <w:name w:val="Heading 1 Char"/>
    <w:basedOn w:val="DefaultParagraphFont"/>
    <w:link w:val="Heading1"/>
    <w:uiPriority w:val="9"/>
    <w:rsid w:val="00DD17C3"/>
    <w:rPr>
      <w:rFonts w:ascii="Arial" w:eastAsia="Times New Roman" w:hAnsi="Arial" w:cs="Times New Roman"/>
      <w:b/>
      <w:kern w:val="28"/>
      <w:sz w:val="28"/>
      <w:szCs w:val="20"/>
    </w:rPr>
  </w:style>
  <w:style w:type="character" w:customStyle="1" w:styleId="Heading2Char">
    <w:name w:val="Heading 2 Char"/>
    <w:basedOn w:val="DefaultParagraphFont"/>
    <w:link w:val="Heading2"/>
    <w:uiPriority w:val="9"/>
    <w:rsid w:val="00DD17C3"/>
    <w:rPr>
      <w:rFonts w:ascii="Arial" w:eastAsia="Times New Roman" w:hAnsi="Arial" w:cs="Times New Roman"/>
      <w:b/>
      <w:i/>
      <w:sz w:val="24"/>
      <w:szCs w:val="20"/>
    </w:rPr>
  </w:style>
  <w:style w:type="character" w:customStyle="1" w:styleId="Heading3Char">
    <w:name w:val="Heading 3 Char"/>
    <w:basedOn w:val="DefaultParagraphFont"/>
    <w:link w:val="Heading3"/>
    <w:uiPriority w:val="9"/>
    <w:rsid w:val="00DD17C3"/>
    <w:rPr>
      <w:rFonts w:ascii="Arial" w:eastAsia="Times New Roman" w:hAnsi="Arial" w:cs="Times New Roman"/>
      <w:sz w:val="24"/>
      <w:szCs w:val="20"/>
    </w:rPr>
  </w:style>
  <w:style w:type="character" w:customStyle="1" w:styleId="Heading4Char">
    <w:name w:val="Heading 4 Char"/>
    <w:basedOn w:val="DefaultParagraphFont"/>
    <w:link w:val="Heading4"/>
    <w:uiPriority w:val="9"/>
    <w:rsid w:val="00DD17C3"/>
    <w:rPr>
      <w:rFonts w:ascii="Arial" w:eastAsia="Times New Roman" w:hAnsi="Arial" w:cs="Times New Roman"/>
      <w:b/>
      <w:sz w:val="24"/>
      <w:szCs w:val="20"/>
    </w:rPr>
  </w:style>
  <w:style w:type="paragraph" w:styleId="ListParagraph">
    <w:name w:val="List Paragraph"/>
    <w:aliases w:val="Bolita,BOLADEF,BOLA,Guión,Titulo 8,Párrafo de lista4,Párrafo de lista5,Párrafo de lista21,Párrafo de lista1,MIBEX B,TITULO 2,Fluvial1"/>
    <w:basedOn w:val="Normal"/>
    <w:link w:val="ListParagraphChar"/>
    <w:uiPriority w:val="34"/>
    <w:qFormat/>
    <w:rsid w:val="00716A0D"/>
    <w:pPr>
      <w:ind w:left="720"/>
      <w:contextualSpacing/>
    </w:pPr>
    <w:rPr>
      <w:szCs w:val="24"/>
    </w:rPr>
  </w:style>
  <w:style w:type="character" w:customStyle="1" w:styleId="ListParagraphChar">
    <w:name w:val="List Paragraph Char"/>
    <w:aliases w:val="Bolita Char,BOLADEF Char,BOLA Char,Guión Char,Titulo 8 Char,Párrafo de lista4 Char,Párrafo de lista5 Char,Párrafo de lista21 Char,Párrafo de lista1 Char,MIBEX B Char,TITULO 2 Char,Fluvial1 Char"/>
    <w:link w:val="ListParagraph"/>
    <w:uiPriority w:val="34"/>
    <w:locked/>
    <w:rsid w:val="00716A0D"/>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AC4D46"/>
    <w:pPr>
      <w:spacing w:after="120" w:line="480" w:lineRule="auto"/>
    </w:pPr>
  </w:style>
  <w:style w:type="character" w:customStyle="1" w:styleId="BodyText2Char">
    <w:name w:val="Body Text 2 Char"/>
    <w:basedOn w:val="DefaultParagraphFont"/>
    <w:link w:val="BodyText2"/>
    <w:uiPriority w:val="99"/>
    <w:semiHidden/>
    <w:rsid w:val="00AC4D46"/>
    <w:rPr>
      <w:rFonts w:ascii="Times New Roman" w:eastAsia="Times New Roman" w:hAnsi="Times New Roman" w:cs="Times New Roman"/>
      <w:sz w:val="24"/>
      <w:szCs w:val="20"/>
    </w:rPr>
  </w:style>
  <w:style w:type="character" w:customStyle="1" w:styleId="ParagraphChar">
    <w:name w:val="Paragraph Char"/>
    <w:aliases w:val="paragraph Char,p Char,PARAGRAPH Char,PG Char,pa Char,at Char"/>
    <w:basedOn w:val="DefaultParagraphFont"/>
    <w:link w:val="Paragraph"/>
    <w:locked/>
    <w:rsid w:val="0084734A"/>
    <w:rPr>
      <w:rFonts w:ascii="Times New Roman" w:eastAsia="Times New Roman" w:hAnsi="Times New Roman" w:cs="Times New Roman"/>
      <w:sz w:val="24"/>
      <w:szCs w:val="20"/>
      <w:lang w:val="es-ES"/>
    </w:rPr>
  </w:style>
  <w:style w:type="numbering" w:customStyle="1" w:styleId="NoList1">
    <w:name w:val="No List1"/>
    <w:next w:val="NoList"/>
    <w:uiPriority w:val="99"/>
    <w:semiHidden/>
    <w:unhideWhenUsed/>
    <w:rsid w:val="00A84531"/>
  </w:style>
  <w:style w:type="paragraph" w:styleId="NoSpacing">
    <w:name w:val="No Spacing"/>
    <w:link w:val="NoSpacingChar"/>
    <w:uiPriority w:val="1"/>
    <w:qFormat/>
    <w:rsid w:val="00A84531"/>
    <w:pPr>
      <w:spacing w:after="0" w:line="240" w:lineRule="auto"/>
    </w:pPr>
    <w:rPr>
      <w:rFonts w:ascii="Times New Roman" w:eastAsia="Times New Roman" w:hAnsi="Times New Roman" w:cs="Times New Roman"/>
      <w:sz w:val="20"/>
      <w:szCs w:val="20"/>
    </w:rPr>
  </w:style>
  <w:style w:type="paragraph" w:customStyle="1" w:styleId="TOCHeading1">
    <w:name w:val="TOC Heading1"/>
    <w:basedOn w:val="Heading1"/>
    <w:next w:val="Normal"/>
    <w:uiPriority w:val="39"/>
    <w:unhideWhenUsed/>
    <w:qFormat/>
    <w:rsid w:val="00A84531"/>
    <w:pPr>
      <w:keepLines/>
      <w:tabs>
        <w:tab w:val="clear" w:pos="360"/>
      </w:tabs>
      <w:spacing w:after="0" w:line="259" w:lineRule="auto"/>
      <w:outlineLvl w:val="9"/>
    </w:pPr>
    <w:rPr>
      <w:b w:val="0"/>
      <w:color w:val="2E74B5"/>
      <w:kern w:val="0"/>
      <w:sz w:val="32"/>
      <w:szCs w:val="32"/>
      <w:lang w:val="es-CO" w:eastAsia="es-CO"/>
    </w:rPr>
  </w:style>
  <w:style w:type="paragraph" w:customStyle="1" w:styleId="Char2">
    <w:name w:val="Char2"/>
    <w:basedOn w:val="Normal"/>
    <w:link w:val="FootnoteReference"/>
    <w:uiPriority w:val="99"/>
    <w:rsid w:val="00A84531"/>
    <w:pPr>
      <w:spacing w:after="160" w:line="240" w:lineRule="exact"/>
    </w:pPr>
    <w:rPr>
      <w:rFonts w:asciiTheme="minorHAnsi" w:eastAsiaTheme="minorHAnsi" w:hAnsiTheme="minorHAnsi" w:cstheme="minorBidi"/>
      <w:sz w:val="22"/>
      <w:szCs w:val="22"/>
      <w:vertAlign w:val="superscript"/>
    </w:rPr>
  </w:style>
  <w:style w:type="table" w:styleId="TableGrid">
    <w:name w:val="Table Grid"/>
    <w:basedOn w:val="TableNormal"/>
    <w:uiPriority w:val="59"/>
    <w:rsid w:val="00A84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84531"/>
    <w:pPr>
      <w:autoSpaceDE w:val="0"/>
      <w:autoSpaceDN w:val="0"/>
      <w:adjustRightInd w:val="0"/>
      <w:spacing w:after="0" w:line="240" w:lineRule="auto"/>
    </w:pPr>
    <w:rPr>
      <w:rFonts w:ascii="Arial" w:hAnsi="Arial" w:cs="Arial"/>
      <w:color w:val="000000"/>
      <w:sz w:val="24"/>
      <w:szCs w:val="24"/>
    </w:rPr>
  </w:style>
  <w:style w:type="character" w:styleId="PlaceholderText">
    <w:name w:val="Placeholder Text"/>
    <w:basedOn w:val="DefaultParagraphFont"/>
    <w:uiPriority w:val="99"/>
    <w:semiHidden/>
    <w:rsid w:val="00A84531"/>
    <w:rPr>
      <w:color w:val="808080"/>
    </w:rPr>
  </w:style>
  <w:style w:type="paragraph" w:styleId="TableofFigures">
    <w:name w:val="table of figures"/>
    <w:basedOn w:val="Normal"/>
    <w:next w:val="Normal"/>
    <w:uiPriority w:val="99"/>
    <w:unhideWhenUsed/>
    <w:rsid w:val="00A84531"/>
    <w:pPr>
      <w:spacing w:before="240"/>
      <w:jc w:val="both"/>
    </w:pPr>
    <w:rPr>
      <w:rFonts w:ascii="Arial" w:hAnsi="Arial"/>
      <w:sz w:val="22"/>
      <w:lang w:val="es-CO"/>
    </w:rPr>
  </w:style>
  <w:style w:type="character" w:customStyle="1" w:styleId="NoSpacingChar">
    <w:name w:val="No Spacing Char"/>
    <w:basedOn w:val="DefaultParagraphFont"/>
    <w:link w:val="NoSpacing"/>
    <w:uiPriority w:val="1"/>
    <w:rsid w:val="00A84531"/>
    <w:rPr>
      <w:rFonts w:ascii="Times New Roman" w:eastAsia="Times New Roman" w:hAnsi="Times New Roman" w:cs="Times New Roman"/>
      <w:sz w:val="20"/>
      <w:szCs w:val="20"/>
    </w:rPr>
  </w:style>
  <w:style w:type="paragraph" w:customStyle="1" w:styleId="Source">
    <w:name w:val="Source"/>
    <w:next w:val="Normal"/>
    <w:link w:val="SourceChar"/>
    <w:qFormat/>
    <w:rsid w:val="00A84531"/>
    <w:pPr>
      <w:spacing w:after="160" w:line="240" w:lineRule="auto"/>
      <w:jc w:val="center"/>
    </w:pPr>
    <w:rPr>
      <w:rFonts w:ascii="Times New Roman" w:eastAsia="Times New Roman" w:hAnsi="Times New Roman" w:cs="Times New Roman"/>
      <w:noProof/>
      <w:sz w:val="18"/>
      <w:szCs w:val="18"/>
      <w:lang w:eastAsia="es-CO"/>
    </w:rPr>
  </w:style>
  <w:style w:type="character" w:customStyle="1" w:styleId="SourceChar">
    <w:name w:val="Source Char"/>
    <w:basedOn w:val="NoSpacingChar"/>
    <w:link w:val="Source"/>
    <w:rsid w:val="00A84531"/>
    <w:rPr>
      <w:rFonts w:ascii="Times New Roman" w:eastAsia="Times New Roman" w:hAnsi="Times New Roman" w:cs="Times New Roman"/>
      <w:noProof/>
      <w:sz w:val="18"/>
      <w:szCs w:val="18"/>
      <w:lang w:eastAsia="es-CO"/>
    </w:rPr>
  </w:style>
  <w:style w:type="paragraph" w:customStyle="1" w:styleId="GraphTitle">
    <w:name w:val="GraphTitle"/>
    <w:basedOn w:val="Normal"/>
    <w:next w:val="NoSpacing"/>
    <w:link w:val="GraphTitleChar"/>
    <w:qFormat/>
    <w:rsid w:val="00A84531"/>
    <w:pPr>
      <w:keepNext/>
      <w:spacing w:before="240"/>
      <w:jc w:val="center"/>
    </w:pPr>
    <w:rPr>
      <w:b/>
      <w:bCs/>
      <w:noProof/>
      <w:sz w:val="20"/>
    </w:rPr>
  </w:style>
  <w:style w:type="character" w:customStyle="1" w:styleId="GraphTitleChar">
    <w:name w:val="GraphTitle Char"/>
    <w:basedOn w:val="DefaultParagraphFont"/>
    <w:link w:val="GraphTitle"/>
    <w:rsid w:val="00A84531"/>
    <w:rPr>
      <w:rFonts w:ascii="Times New Roman" w:eastAsia="Times New Roman" w:hAnsi="Times New Roman" w:cs="Times New Roman"/>
      <w:b/>
      <w:bCs/>
      <w:noProof/>
      <w:sz w:val="20"/>
      <w:szCs w:val="20"/>
    </w:rPr>
  </w:style>
  <w:style w:type="paragraph" w:customStyle="1" w:styleId="bullet">
    <w:name w:val="bullet"/>
    <w:basedOn w:val="ListBullet"/>
    <w:next w:val="Normal"/>
    <w:link w:val="bulletChar"/>
    <w:qFormat/>
    <w:rsid w:val="00A84531"/>
    <w:pPr>
      <w:spacing w:before="80" w:after="160" w:line="240" w:lineRule="atLeast"/>
      <w:ind w:hanging="270"/>
      <w:contextualSpacing w:val="0"/>
    </w:pPr>
    <w:rPr>
      <w:rFonts w:ascii="Times New Roman" w:eastAsia="Calibri" w:hAnsi="Times New Roman"/>
      <w:szCs w:val="24"/>
      <w:lang w:eastAsia="es-CO"/>
    </w:rPr>
  </w:style>
  <w:style w:type="character" w:customStyle="1" w:styleId="bulletChar">
    <w:name w:val="bullet Char"/>
    <w:basedOn w:val="DefaultParagraphFont"/>
    <w:link w:val="bullet"/>
    <w:rsid w:val="00A84531"/>
    <w:rPr>
      <w:rFonts w:ascii="Times New Roman" w:eastAsia="Calibri" w:hAnsi="Times New Roman" w:cs="Times New Roman"/>
      <w:szCs w:val="24"/>
      <w:lang w:val="es-CO" w:eastAsia="es-CO"/>
    </w:rPr>
  </w:style>
  <w:style w:type="paragraph" w:styleId="ListBullet">
    <w:name w:val="List Bullet"/>
    <w:basedOn w:val="Normal"/>
    <w:uiPriority w:val="99"/>
    <w:semiHidden/>
    <w:unhideWhenUsed/>
    <w:rsid w:val="00A84531"/>
    <w:pPr>
      <w:tabs>
        <w:tab w:val="num" w:pos="720"/>
      </w:tabs>
      <w:spacing w:before="240" w:after="240"/>
      <w:ind w:left="720" w:hanging="720"/>
      <w:contextualSpacing/>
      <w:jc w:val="both"/>
    </w:pPr>
    <w:rPr>
      <w:rFonts w:ascii="Arial" w:hAnsi="Arial"/>
      <w:sz w:val="22"/>
      <w:lang w:val="es-CO"/>
    </w:rPr>
  </w:style>
  <w:style w:type="paragraph" w:styleId="BalloonText">
    <w:name w:val="Balloon Text"/>
    <w:basedOn w:val="Normal"/>
    <w:link w:val="BalloonTextChar"/>
    <w:uiPriority w:val="99"/>
    <w:semiHidden/>
    <w:unhideWhenUsed/>
    <w:rsid w:val="00A84531"/>
    <w:pPr>
      <w:jc w:val="both"/>
    </w:pPr>
    <w:rPr>
      <w:rFonts w:ascii="Tahoma" w:hAnsi="Tahoma" w:cs="Tahoma"/>
      <w:sz w:val="16"/>
      <w:szCs w:val="16"/>
      <w:lang w:val="es-CO"/>
    </w:rPr>
  </w:style>
  <w:style w:type="character" w:customStyle="1" w:styleId="BalloonTextChar">
    <w:name w:val="Balloon Text Char"/>
    <w:basedOn w:val="DefaultParagraphFont"/>
    <w:link w:val="BalloonText"/>
    <w:uiPriority w:val="99"/>
    <w:semiHidden/>
    <w:rsid w:val="00A84531"/>
    <w:rPr>
      <w:rFonts w:ascii="Tahoma" w:eastAsia="Times New Roman" w:hAnsi="Tahoma" w:cs="Tahoma"/>
      <w:sz w:val="16"/>
      <w:szCs w:val="16"/>
      <w:lang w:val="es-CO"/>
    </w:rPr>
  </w:style>
  <w:style w:type="character" w:styleId="CommentReference">
    <w:name w:val="annotation reference"/>
    <w:basedOn w:val="DefaultParagraphFont"/>
    <w:uiPriority w:val="99"/>
    <w:semiHidden/>
    <w:unhideWhenUsed/>
    <w:rsid w:val="00A84531"/>
    <w:rPr>
      <w:sz w:val="16"/>
      <w:szCs w:val="16"/>
    </w:rPr>
  </w:style>
  <w:style w:type="paragraph" w:styleId="CommentText">
    <w:name w:val="annotation text"/>
    <w:basedOn w:val="Normal"/>
    <w:link w:val="CommentTextChar"/>
    <w:uiPriority w:val="99"/>
    <w:semiHidden/>
    <w:unhideWhenUsed/>
    <w:rsid w:val="00A84531"/>
    <w:pPr>
      <w:spacing w:before="240" w:after="240"/>
      <w:jc w:val="both"/>
    </w:pPr>
    <w:rPr>
      <w:rFonts w:ascii="Arial" w:hAnsi="Arial"/>
      <w:sz w:val="20"/>
      <w:lang w:val="es-CO"/>
    </w:rPr>
  </w:style>
  <w:style w:type="character" w:customStyle="1" w:styleId="CommentTextChar">
    <w:name w:val="Comment Text Char"/>
    <w:basedOn w:val="DefaultParagraphFont"/>
    <w:link w:val="CommentText"/>
    <w:uiPriority w:val="99"/>
    <w:semiHidden/>
    <w:rsid w:val="00A84531"/>
    <w:rPr>
      <w:rFonts w:ascii="Arial" w:eastAsia="Times New Roman" w:hAnsi="Arial" w:cs="Times New Roman"/>
      <w:sz w:val="20"/>
      <w:szCs w:val="20"/>
      <w:lang w:val="es-CO"/>
    </w:rPr>
  </w:style>
  <w:style w:type="paragraph" w:styleId="CommentSubject">
    <w:name w:val="annotation subject"/>
    <w:basedOn w:val="CommentText"/>
    <w:next w:val="CommentText"/>
    <w:link w:val="CommentSubjectChar"/>
    <w:uiPriority w:val="99"/>
    <w:semiHidden/>
    <w:unhideWhenUsed/>
    <w:rsid w:val="00A84531"/>
    <w:rPr>
      <w:b/>
      <w:bCs/>
    </w:rPr>
  </w:style>
  <w:style w:type="character" w:customStyle="1" w:styleId="CommentSubjectChar">
    <w:name w:val="Comment Subject Char"/>
    <w:basedOn w:val="CommentTextChar"/>
    <w:link w:val="CommentSubject"/>
    <w:uiPriority w:val="99"/>
    <w:semiHidden/>
    <w:rsid w:val="00A84531"/>
    <w:rPr>
      <w:rFonts w:ascii="Arial" w:eastAsia="Times New Roman" w:hAnsi="Arial" w:cs="Times New Roman"/>
      <w:b/>
      <w:bCs/>
      <w:sz w:val="20"/>
      <w:szCs w:val="20"/>
      <w:lang w:val="es-CO"/>
    </w:rPr>
  </w:style>
  <w:style w:type="paragraph" w:customStyle="1" w:styleId="Caption1">
    <w:name w:val="Caption1"/>
    <w:basedOn w:val="Normal"/>
    <w:next w:val="Normal"/>
    <w:uiPriority w:val="35"/>
    <w:unhideWhenUsed/>
    <w:qFormat/>
    <w:rsid w:val="00A84531"/>
    <w:pPr>
      <w:spacing w:after="200"/>
      <w:jc w:val="both"/>
    </w:pPr>
    <w:rPr>
      <w:rFonts w:ascii="Arial" w:hAnsi="Arial"/>
      <w:i/>
      <w:iCs/>
      <w:color w:val="44546A"/>
      <w:sz w:val="18"/>
      <w:szCs w:val="18"/>
      <w:lang w:val="es-CO"/>
    </w:rPr>
  </w:style>
  <w:style w:type="paragraph" w:customStyle="1" w:styleId="NormalWeb1">
    <w:name w:val="Normal (Web)1"/>
    <w:basedOn w:val="Normal"/>
    <w:next w:val="NormalWeb"/>
    <w:uiPriority w:val="99"/>
    <w:semiHidden/>
    <w:unhideWhenUsed/>
    <w:rsid w:val="00A84531"/>
    <w:pPr>
      <w:spacing w:before="100" w:beforeAutospacing="1" w:after="100" w:afterAutospacing="1"/>
    </w:pPr>
    <w:rPr>
      <w:szCs w:val="24"/>
      <w:lang w:val="es-CO" w:eastAsia="es-CO"/>
    </w:rPr>
  </w:style>
  <w:style w:type="paragraph" w:styleId="NormalWeb">
    <w:name w:val="Normal (Web)"/>
    <w:basedOn w:val="Normal"/>
    <w:uiPriority w:val="99"/>
    <w:semiHidden/>
    <w:unhideWhenUsed/>
    <w:rsid w:val="00A84531"/>
    <w:rPr>
      <w:szCs w:val="24"/>
    </w:rPr>
  </w:style>
  <w:style w:type="paragraph" w:styleId="TOCHeading">
    <w:name w:val="TOC Heading"/>
    <w:basedOn w:val="Heading1"/>
    <w:next w:val="Normal"/>
    <w:uiPriority w:val="39"/>
    <w:unhideWhenUsed/>
    <w:qFormat/>
    <w:rsid w:val="00CD529B"/>
    <w:pPr>
      <w:keepLines/>
      <w:tabs>
        <w:tab w:val="clear" w:pos="360"/>
      </w:tabs>
      <w:spacing w:after="0" w:line="259" w:lineRule="auto"/>
      <w:outlineLvl w:val="9"/>
    </w:pPr>
    <w:rPr>
      <w:rFonts w:eastAsiaTheme="majorEastAsia" w:cstheme="majorBidi"/>
      <w:b w:val="0"/>
      <w:color w:val="365F91" w:themeColor="accent1" w:themeShade="BF"/>
      <w:kern w:val="0"/>
      <w:sz w:val="32"/>
      <w:szCs w:val="32"/>
      <w:lang w:val="es-CO" w:eastAsia="es-CO"/>
    </w:rPr>
  </w:style>
  <w:style w:type="paragraph" w:styleId="Caption">
    <w:name w:val="caption"/>
    <w:basedOn w:val="Normal"/>
    <w:next w:val="Normal"/>
    <w:link w:val="CaptionChar"/>
    <w:uiPriority w:val="35"/>
    <w:unhideWhenUsed/>
    <w:qFormat/>
    <w:rsid w:val="00CD529B"/>
    <w:pPr>
      <w:spacing w:after="200"/>
      <w:jc w:val="both"/>
    </w:pPr>
    <w:rPr>
      <w:rFonts w:ascii="Arial" w:hAnsi="Arial"/>
      <w:i/>
      <w:iCs/>
      <w:color w:val="1F497D" w:themeColor="text2"/>
      <w:sz w:val="18"/>
      <w:szCs w:val="18"/>
      <w:lang w:val="es-CO"/>
    </w:rPr>
  </w:style>
  <w:style w:type="character" w:customStyle="1" w:styleId="CaptionChar">
    <w:name w:val="Caption Char"/>
    <w:basedOn w:val="DefaultParagraphFont"/>
    <w:link w:val="Caption"/>
    <w:uiPriority w:val="35"/>
    <w:rsid w:val="00CD529B"/>
    <w:rPr>
      <w:rFonts w:ascii="Arial" w:eastAsia="Times New Roman" w:hAnsi="Arial" w:cs="Times New Roman"/>
      <w:i/>
      <w:iCs/>
      <w:color w:val="1F497D" w:themeColor="text2"/>
      <w:sz w:val="18"/>
      <w:szCs w:val="18"/>
      <w:lang w:val="es-CO"/>
    </w:rPr>
  </w:style>
  <w:style w:type="character" w:customStyle="1" w:styleId="TextonotapieCar1">
    <w:name w:val="Texto nota pie Car1"/>
    <w:aliases w:val="fn Car1,footnote Car1,single space Car1,FOOTNOTES Car1,footnote text Car1,Footnote Text Char Char Car1"/>
    <w:basedOn w:val="DefaultParagraphFont"/>
    <w:uiPriority w:val="99"/>
    <w:semiHidden/>
    <w:rsid w:val="00CD529B"/>
    <w:rPr>
      <w:sz w:val="20"/>
      <w:szCs w:val="20"/>
    </w:rPr>
  </w:style>
  <w:style w:type="paragraph" w:customStyle="1" w:styleId="Ttulo11">
    <w:name w:val="Título 11"/>
    <w:basedOn w:val="Normal"/>
    <w:next w:val="Normal"/>
    <w:uiPriority w:val="9"/>
    <w:qFormat/>
    <w:rsid w:val="00CD529B"/>
    <w:pPr>
      <w:keepNext/>
      <w:keepLines/>
      <w:numPr>
        <w:numId w:val="40"/>
      </w:numPr>
      <w:spacing w:before="360" w:after="240"/>
      <w:jc w:val="both"/>
      <w:outlineLvl w:val="0"/>
    </w:pPr>
    <w:rPr>
      <w:rFonts w:cstheme="minorBidi"/>
      <w:b/>
      <w:bCs/>
      <w:sz w:val="28"/>
      <w:szCs w:val="28"/>
      <w:lang w:val="es-CO"/>
    </w:rPr>
  </w:style>
  <w:style w:type="paragraph" w:customStyle="1" w:styleId="Ttulo31">
    <w:name w:val="Título 31"/>
    <w:basedOn w:val="Normal"/>
    <w:next w:val="Normal"/>
    <w:autoRedefine/>
    <w:uiPriority w:val="9"/>
    <w:qFormat/>
    <w:rsid w:val="00CD529B"/>
    <w:pPr>
      <w:keepNext/>
      <w:keepLines/>
      <w:numPr>
        <w:ilvl w:val="1"/>
        <w:numId w:val="40"/>
      </w:numPr>
      <w:spacing w:before="120" w:after="120"/>
      <w:ind w:left="720" w:hanging="720"/>
      <w:jc w:val="both"/>
      <w:outlineLvl w:val="2"/>
    </w:pPr>
    <w:rPr>
      <w:rFonts w:cstheme="minorBidi"/>
      <w:b/>
      <w:bCs/>
      <w:color w:val="000000"/>
      <w:szCs w:val="22"/>
      <w:lang w:val="es-CO"/>
    </w:rPr>
  </w:style>
  <w:style w:type="paragraph" w:customStyle="1" w:styleId="Ttulo41">
    <w:name w:val="Título 41"/>
    <w:basedOn w:val="Normal"/>
    <w:next w:val="Normal"/>
    <w:uiPriority w:val="9"/>
    <w:unhideWhenUsed/>
    <w:qFormat/>
    <w:rsid w:val="00CD529B"/>
    <w:pPr>
      <w:keepNext/>
      <w:keepLines/>
      <w:numPr>
        <w:ilvl w:val="3"/>
        <w:numId w:val="40"/>
      </w:numPr>
      <w:spacing w:before="240" w:after="240"/>
      <w:jc w:val="both"/>
      <w:outlineLvl w:val="3"/>
    </w:pPr>
    <w:rPr>
      <w:rFonts w:ascii="Cambria" w:hAnsi="Cambria"/>
      <w:b/>
      <w:bCs/>
      <w:iCs/>
      <w:sz w:val="22"/>
      <w:szCs w:val="22"/>
      <w:lang w:val="es-CO"/>
    </w:rPr>
  </w:style>
  <w:style w:type="paragraph" w:customStyle="1" w:styleId="Ttulo51">
    <w:name w:val="Título 51"/>
    <w:basedOn w:val="Normal"/>
    <w:next w:val="Normal"/>
    <w:uiPriority w:val="9"/>
    <w:unhideWhenUsed/>
    <w:qFormat/>
    <w:rsid w:val="00CD529B"/>
    <w:pPr>
      <w:keepNext/>
      <w:keepLines/>
      <w:numPr>
        <w:ilvl w:val="4"/>
        <w:numId w:val="40"/>
      </w:numPr>
      <w:spacing w:before="240" w:after="240"/>
      <w:jc w:val="both"/>
      <w:outlineLvl w:val="4"/>
    </w:pPr>
    <w:rPr>
      <w:rFonts w:ascii="Cambria" w:hAnsi="Cambria"/>
      <w:b/>
      <w:color w:val="243F60"/>
      <w:sz w:val="22"/>
      <w:szCs w:val="22"/>
      <w:lang w:val="es-CO"/>
    </w:rPr>
  </w:style>
  <w:style w:type="paragraph" w:customStyle="1" w:styleId="Ttulo61">
    <w:name w:val="Título 61"/>
    <w:basedOn w:val="Normal"/>
    <w:next w:val="Normal"/>
    <w:uiPriority w:val="9"/>
    <w:semiHidden/>
    <w:unhideWhenUsed/>
    <w:qFormat/>
    <w:rsid w:val="00CD529B"/>
    <w:pPr>
      <w:keepNext/>
      <w:keepLines/>
      <w:numPr>
        <w:ilvl w:val="5"/>
        <w:numId w:val="40"/>
      </w:numPr>
      <w:spacing w:before="200"/>
      <w:jc w:val="both"/>
      <w:outlineLvl w:val="5"/>
    </w:pPr>
    <w:rPr>
      <w:rFonts w:ascii="Cambria" w:hAnsi="Cambria"/>
      <w:i/>
      <w:iCs/>
      <w:color w:val="243F60"/>
      <w:szCs w:val="22"/>
      <w:lang w:val="es-CO"/>
    </w:rPr>
  </w:style>
  <w:style w:type="paragraph" w:customStyle="1" w:styleId="Ttulo71">
    <w:name w:val="Título 71"/>
    <w:basedOn w:val="Normal"/>
    <w:next w:val="Normal"/>
    <w:uiPriority w:val="9"/>
    <w:semiHidden/>
    <w:unhideWhenUsed/>
    <w:qFormat/>
    <w:rsid w:val="00CD529B"/>
    <w:pPr>
      <w:keepNext/>
      <w:keepLines/>
      <w:numPr>
        <w:ilvl w:val="6"/>
        <w:numId w:val="40"/>
      </w:numPr>
      <w:spacing w:before="200"/>
      <w:jc w:val="both"/>
      <w:outlineLvl w:val="6"/>
    </w:pPr>
    <w:rPr>
      <w:rFonts w:ascii="Cambria" w:hAnsi="Cambria"/>
      <w:i/>
      <w:iCs/>
      <w:color w:val="404040"/>
      <w:szCs w:val="22"/>
      <w:lang w:val="es-CO"/>
    </w:rPr>
  </w:style>
  <w:style w:type="paragraph" w:customStyle="1" w:styleId="Ttulo81">
    <w:name w:val="Título 81"/>
    <w:basedOn w:val="Normal"/>
    <w:next w:val="Normal"/>
    <w:uiPriority w:val="9"/>
    <w:semiHidden/>
    <w:unhideWhenUsed/>
    <w:qFormat/>
    <w:rsid w:val="00CD529B"/>
    <w:pPr>
      <w:keepNext/>
      <w:keepLines/>
      <w:numPr>
        <w:ilvl w:val="7"/>
        <w:numId w:val="40"/>
      </w:numPr>
      <w:spacing w:before="200"/>
      <w:jc w:val="both"/>
      <w:outlineLvl w:val="7"/>
    </w:pPr>
    <w:rPr>
      <w:rFonts w:ascii="Cambria" w:hAnsi="Cambria"/>
      <w:color w:val="404040"/>
      <w:sz w:val="20"/>
      <w:lang w:val="es-CO"/>
    </w:rPr>
  </w:style>
  <w:style w:type="paragraph" w:customStyle="1" w:styleId="Ttulo91">
    <w:name w:val="Título 91"/>
    <w:basedOn w:val="Normal"/>
    <w:next w:val="Normal"/>
    <w:uiPriority w:val="9"/>
    <w:semiHidden/>
    <w:unhideWhenUsed/>
    <w:qFormat/>
    <w:rsid w:val="00CD529B"/>
    <w:pPr>
      <w:keepNext/>
      <w:keepLines/>
      <w:numPr>
        <w:ilvl w:val="8"/>
        <w:numId w:val="40"/>
      </w:numPr>
      <w:spacing w:before="200"/>
      <w:jc w:val="both"/>
      <w:outlineLvl w:val="8"/>
    </w:pPr>
    <w:rPr>
      <w:rFonts w:ascii="Cambria" w:hAnsi="Cambria"/>
      <w:i/>
      <w:iCs/>
      <w:color w:val="404040"/>
      <w:sz w:val="20"/>
      <w:lang w:val="es-CO"/>
    </w:rPr>
  </w:style>
  <w:style w:type="paragraph" w:customStyle="1" w:styleId="Nivel3">
    <w:name w:val="Nivel 3"/>
    <w:basedOn w:val="Heading4"/>
    <w:link w:val="Nivel3Car"/>
    <w:qFormat/>
    <w:rsid w:val="00CD529B"/>
    <w:pPr>
      <w:keepLines/>
      <w:numPr>
        <w:ilvl w:val="2"/>
        <w:numId w:val="40"/>
      </w:numPr>
      <w:spacing w:after="240" w:line="259" w:lineRule="auto"/>
      <w:jc w:val="both"/>
    </w:pPr>
    <w:rPr>
      <w:rFonts w:ascii="Cambria" w:hAnsi="Cambria"/>
      <w:bCs/>
      <w:iCs/>
      <w:color w:val="000000"/>
      <w:szCs w:val="24"/>
      <w:lang w:val="es-CO"/>
    </w:rPr>
  </w:style>
  <w:style w:type="character" w:customStyle="1" w:styleId="Nivel3Car">
    <w:name w:val="Nivel 3 Car"/>
    <w:basedOn w:val="Heading3Char"/>
    <w:link w:val="Nivel3"/>
    <w:rsid w:val="00CD529B"/>
    <w:rPr>
      <w:rFonts w:ascii="Cambria" w:eastAsia="Times New Roman" w:hAnsi="Cambria" w:cs="Times New Roman"/>
      <w:b/>
      <w:bCs/>
      <w:iCs/>
      <w:color w:val="000000"/>
      <w:sz w:val="24"/>
      <w:szCs w:val="24"/>
      <w:lang w:val="es-CO"/>
    </w:rPr>
  </w:style>
  <w:style w:type="numbering" w:customStyle="1" w:styleId="NoList2">
    <w:name w:val="No List2"/>
    <w:next w:val="NoList"/>
    <w:uiPriority w:val="99"/>
    <w:semiHidden/>
    <w:unhideWhenUsed/>
    <w:rsid w:val="001175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4.xml"/><Relationship Id="rId26" Type="http://schemas.openxmlformats.org/officeDocument/2006/relationships/hyperlink" Target="http://zeus.creg.gov.co/Publicac.nsf/52188526a7290f8505256eee0072eba7/884f074fa4b49c3505258096007c1903" TargetMode="External"/><Relationship Id="rId39" Type="http://schemas.openxmlformats.org/officeDocument/2006/relationships/hyperlink" Target="http://www.upme.gov.co/Siel/Siel/Portals/0/Piec/PIEC_2016-2020_PublicarDic202016.pdf" TargetMode="External"/><Relationship Id="rId21" Type="http://schemas.openxmlformats.org/officeDocument/2006/relationships/footer" Target="footer3.xml"/><Relationship Id="rId34" Type="http://schemas.openxmlformats.org/officeDocument/2006/relationships/hyperlink" Target="http://www.creg.gov.co/index.php/es/normatividad/normas/circulares" TargetMode="External"/><Relationship Id="rId42" Type="http://schemas.openxmlformats.org/officeDocument/2006/relationships/image" Target="media/image2.png"/><Relationship Id="rId47" Type="http://schemas.openxmlformats.org/officeDocument/2006/relationships/image" Target="media/image7.png"/><Relationship Id="rId50" Type="http://schemas.openxmlformats.org/officeDocument/2006/relationships/image" Target="media/image10.png"/><Relationship Id="rId55"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5" Type="http://schemas.openxmlformats.org/officeDocument/2006/relationships/hyperlink" Target="http://idbdocs.iadb.org/wsdocs/getDocument.aspx?DOCNUM=40789525" TargetMode="External"/><Relationship Id="rId33" Type="http://schemas.openxmlformats.org/officeDocument/2006/relationships/hyperlink" Target="http://apolo.creg.gov.co/Publicac.nsf/1c09d18d2d5ffb5b05256eee00709c02/11d218ae3d892c1605257f70004ed535?OpenDocument" TargetMode="External"/><Relationship Id="rId38" Type="http://schemas.openxmlformats.org/officeDocument/2006/relationships/hyperlink" Target="https://www.minminas.gov.co/documents/10180/23517/36901-Resolucion-40095-1Feb2016-1.pdf" TargetMode="External"/><Relationship Id="rId46"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hyperlink" Target="http://www.cnogas.org.co/documentos/Minminas-Resolucion-40052-18Ene2016.pdf" TargetMode="External"/><Relationship Id="rId41" Type="http://schemas.openxmlformats.org/officeDocument/2006/relationships/image" Target="media/image1.png"/><Relationship Id="rId54"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8.xml"/><Relationship Id="rId32" Type="http://schemas.openxmlformats.org/officeDocument/2006/relationships/hyperlink" Target="http://apolo.creg.gov.co/Publicac.nsf/1c09d18d2d5ffb5b05256eee00709c02/84e16439657b002b05257e52005011b5?OpenDocument" TargetMode="External"/><Relationship Id="rId37" Type="http://schemas.openxmlformats.org/officeDocument/2006/relationships/hyperlink" Target="http://wp.presidencia.gov.co/sitios/normativa/decretos/2015/Decretos2015/DECRETO%201623%20DEL%2011%20DE%20AGOSTO%20DE%202015.pdf" TargetMode="External"/><Relationship Id="rId40" Type="http://schemas.openxmlformats.org/officeDocument/2006/relationships/hyperlink" Target="http://idbdocs.iadb.org/wsdocs/getDocument.aspx?DOCNUM=40816101" TargetMode="External"/><Relationship Id="rId45" Type="http://schemas.openxmlformats.org/officeDocument/2006/relationships/image" Target="media/image5.png"/><Relationship Id="rId53" Type="http://schemas.openxmlformats.org/officeDocument/2006/relationships/image" Target="media/image12.png"/><Relationship Id="rId58"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yperlink" Target="https://idbg.sharepoint.com/sites/EmployeePortal/Analytics/Pages/Operations-Reports.aspxhttp:/wp.presidencia.gov.co/sitios/normativa/decretos/2015/Decretos2015/DECRETO%202345%20DEL%203%20DE%20DICIEMBRE%20DE%202015.pdf" TargetMode="External"/><Relationship Id="rId36" Type="http://schemas.openxmlformats.org/officeDocument/2006/relationships/hyperlink" Target="http://www1.upme.gov.co/sites/default/files/Resolucion_formatos_FNCE_comentarios.pdf" TargetMode="External"/><Relationship Id="rId49" Type="http://schemas.openxmlformats.org/officeDocument/2006/relationships/image" Target="media/image9.png"/><Relationship Id="rId57"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5.xml"/><Relationship Id="rId31" Type="http://schemas.openxmlformats.org/officeDocument/2006/relationships/hyperlink" Target="http://www.upme.gov.co/Estudios/2016/SmartGrids2030/2_Parte2_Proyecto_BID_Smart_Grids.pdf" TargetMode="External"/><Relationship Id="rId44" Type="http://schemas.openxmlformats.org/officeDocument/2006/relationships/image" Target="media/image4.png"/><Relationship Id="rId52" Type="http://schemas.openxmlformats.org/officeDocument/2006/relationships/hyperlink" Target="http://www.upme.gov.co/SeccionDemanda/Resolucion_41286_de_2016_PROURE.pdf"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yperlink" Target="http://apolo.creg.gov.co/Publicac.nsf/1c09d18d2d5ffb5b05256eee00709c02/67513914c35d6b8c05257e2d007cf0b0/$FILE/Creg024-2015.pdf" TargetMode="External"/><Relationship Id="rId30" Type="http://schemas.openxmlformats.org/officeDocument/2006/relationships/hyperlink" Target="http://www.etiquetaenergetica.gov.co/wp-content/uploads/2015/09/RESOLUCION-41012-de-2015_RETIQ.pdf" TargetMode="External"/><Relationship Id="rId35" Type="http://schemas.openxmlformats.org/officeDocument/2006/relationships/hyperlink" Target="http://www.upme.gov.co/Normatividad/Normatividad%20Sectorial/Res.40095_1_febrero_2016.pdf" TargetMode="External"/><Relationship Id="rId43" Type="http://schemas.openxmlformats.org/officeDocument/2006/relationships/image" Target="media/image3.png"/><Relationship Id="rId48" Type="http://schemas.openxmlformats.org/officeDocument/2006/relationships/image" Target="media/image8.png"/><Relationship Id="rId56" Type="http://schemas.openxmlformats.org/officeDocument/2006/relationships/footer" Target="footer5.xml"/><Relationship Id="rId8" Type="http://schemas.openxmlformats.org/officeDocument/2006/relationships/numbering" Target="numbering.xml"/><Relationship Id="rId51" Type="http://schemas.openxmlformats.org/officeDocument/2006/relationships/image" Target="media/image11.png"/><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theice.com/products/197/EUA-Futures/data" TargetMode="External"/><Relationship Id="rId1" Type="http://schemas.openxmlformats.org/officeDocument/2006/relationships/hyperlink" Target="https://www.investing.com/commodities/carbon-emissions-historical-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FormUrls xmlns="http://schemas.microsoft.com/sharepoint/v3/contenttype/forms/url">
  <Display>_catalogs/masterpage/ECMForms/OperationsCT/View.aspx</Display>
  <Edit>_catalogs/masterpage/ECMForms/OperationsCT/Edit.aspx</Edit>
</FormUrl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5DABF23F27B23A47B950CA95C3833BD8" ma:contentTypeVersion="5" ma:contentTypeDescription="The base project type from which other project content types inherit their information." ma:contentTypeScope="" ma:versionID="8047d10134b06004f6ce2e3e89fc4a4c">
  <xsd:schema xmlns:xsd="http://www.w3.org/2001/XMLSchema" xmlns:xs="http://www.w3.org/2001/XMLSchema" xmlns:p="http://schemas.microsoft.com/office/2006/metadata/properties" xmlns:ns2="cdc7663a-08f0-4737-9e8c-148ce897a09c" targetNamespace="http://schemas.microsoft.com/office/2006/metadata/properties" ma:root="true" ma:fieldsID="c4ae8e40f2965d50795c8bf0b96be33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 xsi:nil="true"/>
    <Division_x0020_or_x0020_Unit xmlns="cdc7663a-08f0-4737-9e8c-148ce897a09c" xsi:nil="true"/>
    <Other_x0020_Author xmlns="cdc7663a-08f0-4737-9e8c-148ce897a09c" xsi:nil="true"/>
    <IDBDocs_x0020_Number xmlns="cdc7663a-08f0-4737-9e8c-148ce897a09c" xsi:nil="true"/>
    <Document_x0020_Author xmlns="cdc7663a-08f0-4737-9e8c-148ce897a09c" xsi:nil="true"/>
    <Operation_x0020_Type xmlns="cdc7663a-08f0-4737-9e8c-148ce897a09c" xsi:nil="true"/>
    <TaxCatchAll xmlns="cdc7663a-08f0-4737-9e8c-148ce897a09c"/>
    <Fiscal_x0020_Year_x0020_IDB xmlns="cdc7663a-08f0-4737-9e8c-148ce897a09c" xsi:nil="true"/>
    <Project_x0020_Number xmlns="cdc7663a-08f0-4737-9e8c-148ce897a09c">Co-L1217</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 xsi:nil="true"/>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4D2ED-B340-43D2-9A5A-3B10FC15BAFE}">
  <ds:schemaRefs>
    <ds:schemaRef ds:uri="Microsoft.SharePoint.Taxonomy.ContentTypeSync"/>
  </ds:schemaRefs>
</ds:datastoreItem>
</file>

<file path=customXml/itemProps2.xml><?xml version="1.0" encoding="utf-8"?>
<ds:datastoreItem xmlns:ds="http://schemas.openxmlformats.org/officeDocument/2006/customXml" ds:itemID="{C8B5B635-0640-47CF-BCBE-3FE2D6BE007A}">
  <ds:schemaRefs>
    <ds:schemaRef ds:uri="http://schemas.microsoft.com/sharepoint/v3/contenttype/forms/url"/>
  </ds:schemaRefs>
</ds:datastoreItem>
</file>

<file path=customXml/itemProps3.xml><?xml version="1.0" encoding="utf-8"?>
<ds:datastoreItem xmlns:ds="http://schemas.openxmlformats.org/officeDocument/2006/customXml" ds:itemID="{7E92050C-1D79-4098-B6C2-DDE1A105D3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EDAC96-F894-4F2E-B3CB-C3751EC9A8EB}">
  <ds:schemaRefs>
    <ds:schemaRef ds:uri="http://schemas.microsoft.com/sharepoint/v3/contenttype/forms"/>
  </ds:schemaRefs>
</ds:datastoreItem>
</file>

<file path=customXml/itemProps5.xml><?xml version="1.0" encoding="utf-8"?>
<ds:datastoreItem xmlns:ds="http://schemas.openxmlformats.org/officeDocument/2006/customXml" ds:itemID="{E33BB52A-29DD-4E39-B6EC-C860DE3C65D4}">
  <ds:schemaRefs>
    <ds:schemaRef ds:uri="http://schemas.microsoft.com/sharepoint/events"/>
  </ds:schemaRefs>
</ds:datastoreItem>
</file>

<file path=customXml/itemProps6.xml><?xml version="1.0" encoding="utf-8"?>
<ds:datastoreItem xmlns:ds="http://schemas.openxmlformats.org/officeDocument/2006/customXml" ds:itemID="{7FC0DFF1-3077-42AC-B5A1-C8F6A56D42D0}">
  <ds:schemaRefs>
    <ds:schemaRef ds:uri="http://purl.org/dc/dcmitype/"/>
    <ds:schemaRef ds:uri="http://www.w3.org/XML/1998/namespace"/>
    <ds:schemaRef ds:uri="http://schemas.microsoft.com/office/2006/metadata/properties"/>
    <ds:schemaRef ds:uri="http://schemas.microsoft.com/office/2006/documentManagement/types"/>
    <ds:schemaRef ds:uri="http://purl.org/dc/terms/"/>
    <ds:schemaRef ds:uri="http://schemas.microsoft.com/office/infopath/2007/PartnerControls"/>
    <ds:schemaRef ds:uri="http://purl.org/dc/elements/1.1/"/>
    <ds:schemaRef ds:uri="http://schemas.openxmlformats.org/package/2006/metadata/core-properties"/>
    <ds:schemaRef ds:uri="cdc7663a-08f0-4737-9e8c-148ce897a09c"/>
  </ds:schemaRefs>
</ds:datastoreItem>
</file>

<file path=customXml/itemProps7.xml><?xml version="1.0" encoding="utf-8"?>
<ds:datastoreItem xmlns:ds="http://schemas.openxmlformats.org/officeDocument/2006/customXml" ds:itemID="{5382EB73-B96C-49E2-8132-55A41DCF2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78</Pages>
  <Words>23767</Words>
  <Characters>135472</Characters>
  <Application>Microsoft Office Word</Application>
  <DocSecurity>0</DocSecurity>
  <Lines>1128</Lines>
  <Paragraphs>317</Paragraphs>
  <ScaleCrop>false</ScaleCrop>
  <HeadingPairs>
    <vt:vector size="2" baseType="variant">
      <vt:variant>
        <vt:lpstr>Title</vt:lpstr>
      </vt:variant>
      <vt:variant>
        <vt:i4>1</vt:i4>
      </vt:variant>
    </vt:vector>
  </HeadingPairs>
  <TitlesOfParts>
    <vt:vector size="1" baseType="lpstr">
      <vt:lpstr>CO-L1217 Plan de Seguimiento y Evaluación</vt:lpstr>
    </vt:vector>
  </TitlesOfParts>
  <Company>Inter-American Development Bank</Company>
  <LinksUpToDate>false</LinksUpToDate>
  <CharactersWithSpaces>158922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CO-L1217 Plan de Seguimiento y Evaluación</dc:title>
  <dc:creator>claudiacox</dc:creator>
  <cp:lastModifiedBy>Cardenas Valero, Juan Carlos</cp:lastModifiedBy>
  <cp:revision>3</cp:revision>
  <dcterms:created xsi:type="dcterms:W3CDTF">2017-06-21T18:01:00Z</dcterms:created>
  <dcterms:modified xsi:type="dcterms:W3CDTF">2017-09-28T21:53:00Z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0x010100ACF722E9F6B0B149B0CD8BE2560A6672005DABF23F27B23A47B950CA95C3833BD8</vt:lpwstr>
  </property>
  <property fmtid="{D5CDD505-2E9C-101B-9397-08002B2CF9AE}" pid="5" name="TaxKeywordTaxHTField">
    <vt:lpwstr/>
  </property>
  <property fmtid="{D5CDD505-2E9C-101B-9397-08002B2CF9AE}" pid="6" name="Series Operations IDB">
    <vt:lpwstr>-1;#Unclassified|a6dff32e-d477-44cd-a56b-85efe9e0a56c</vt:lpwstr>
  </property>
  <property fmtid="{D5CDD505-2E9C-101B-9397-08002B2CF9AE}" pid="7" name="Sub-Sector">
    <vt:lpwstr/>
  </property>
  <property fmtid="{D5CDD505-2E9C-101B-9397-08002B2CF9AE}" pid="8" name="Country">
    <vt:lpwstr>27;#Colombia|c7d386d6-75f3-4fc0-bde8-e021ccd68f5c</vt:lpwstr>
  </property>
  <property fmtid="{D5CDD505-2E9C-101B-9397-08002B2CF9AE}" pid="9" name="Fund IDB">
    <vt:lpwstr/>
  </property>
  <property fmtid="{D5CDD505-2E9C-101B-9397-08002B2CF9AE}" pid="10" name="Series_x0020_Operations_x0020_IDB">
    <vt:lpwstr>-1;#Unclassified|a6dff32e-d477-44cd-a56b-85efe9e0a56c</vt:lpwstr>
  </property>
  <property fmtid="{D5CDD505-2E9C-101B-9397-08002B2CF9AE}" pid="11" name="Webtopic">
    <vt:lpwstr/>
  </property>
  <property fmtid="{D5CDD505-2E9C-101B-9397-08002B2CF9AE}" pid="12" name="Sector IDB">
    <vt:lpwstr/>
  </property>
  <property fmtid="{D5CDD505-2E9C-101B-9397-08002B2CF9AE}" pid="13" name="Function Operations IDB">
    <vt:lpwstr>-1;#IDBDocs|cca77002-e150-4b2d-ab1f-1d7a7cdcae16</vt:lpwstr>
  </property>
  <property fmtid="{D5CDD505-2E9C-101B-9397-08002B2CF9AE}" pid="14" name="Publication_x0020_Type">
    <vt:lpwstr/>
  </property>
  <property fmtid="{D5CDD505-2E9C-101B-9397-08002B2CF9AE}" pid="15" name="Publishing_x0020_House">
    <vt:lpwstr/>
  </property>
  <property fmtid="{D5CDD505-2E9C-101B-9397-08002B2CF9AE}" pid="16" name="Abstract">
    <vt:lpwstr/>
  </property>
  <property fmtid="{D5CDD505-2E9C-101B-9397-08002B2CF9AE}" pid="17" name="Disclosure Activity">
    <vt:lpwstr/>
  </property>
  <property fmtid="{D5CDD505-2E9C-101B-9397-08002B2CF9AE}" pid="18" name="Function_x0020_Operations_x0020_IDB">
    <vt:lpwstr>-1;#IDBDocs|cca77002-e150-4b2d-ab1f-1d7a7cdcae16</vt:lpwstr>
  </property>
  <property fmtid="{D5CDD505-2E9C-101B-9397-08002B2CF9AE}" pid="19" name="Region">
    <vt:lpwstr/>
  </property>
  <property fmtid="{D5CDD505-2E9C-101B-9397-08002B2CF9AE}" pid="20" name="Disclosure_x0020_Activity">
    <vt:lpwstr/>
  </property>
  <property fmtid="{D5CDD505-2E9C-101B-9397-08002B2CF9AE}" pid="21" name="Fund_x0020_IDB">
    <vt:lpwstr/>
  </property>
  <property fmtid="{D5CDD505-2E9C-101B-9397-08002B2CF9AE}" pid="22" name="Publishing House">
    <vt:lpwstr/>
  </property>
  <property fmtid="{D5CDD505-2E9C-101B-9397-08002B2CF9AE}" pid="23" name="Disclosed">
    <vt:bool>false</vt:bool>
  </property>
  <property fmtid="{D5CDD505-2E9C-101B-9397-08002B2CF9AE}" pid="24" name="KP Topics">
    <vt:lpwstr/>
  </property>
  <property fmtid="{D5CDD505-2E9C-101B-9397-08002B2CF9AE}" pid="25" name="KP_x0020_Topics">
    <vt:lpwstr/>
  </property>
  <property fmtid="{D5CDD505-2E9C-101B-9397-08002B2CF9AE}" pid="26" name="Editor1">
    <vt:lpwstr/>
  </property>
  <property fmtid="{D5CDD505-2E9C-101B-9397-08002B2CF9AE}" pid="27" name="Sector_x0020_IDB">
    <vt:lpwstr/>
  </property>
  <property fmtid="{D5CDD505-2E9C-101B-9397-08002B2CF9AE}" pid="28" name="Publication Type">
    <vt:lpwstr/>
  </property>
</Properties>
</file>