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5FDE" w:rsidRDefault="00ED5FDE" w:rsidP="00986590">
      <w:pPr>
        <w:pBdr>
          <w:bottom w:val="single" w:sz="8" w:space="4" w:color="4F81BD"/>
        </w:pBdr>
        <w:spacing w:after="300"/>
        <w:contextualSpacing/>
        <w:jc w:val="right"/>
        <w:rPr>
          <w:rFonts w:ascii="Arial" w:eastAsia="Calibri" w:hAnsi="Arial" w:cs="Arial"/>
          <w:color w:val="17365D"/>
          <w:spacing w:val="5"/>
          <w:kern w:val="28"/>
          <w:sz w:val="24"/>
          <w:lang w:val="es-ES_tradnl" w:eastAsia="es-ES_tradnl"/>
        </w:rPr>
      </w:pPr>
      <w:bookmarkStart w:id="0" w:name="_GoBack"/>
      <w:bookmarkEnd w:id="0"/>
      <w:r w:rsidRPr="00ED5FDE">
        <w:rPr>
          <w:rFonts w:ascii="Arial" w:eastAsia="Calibri" w:hAnsi="Arial" w:cs="Arial"/>
          <w:b/>
          <w:color w:val="17365D"/>
          <w:spacing w:val="5"/>
          <w:kern w:val="28"/>
          <w:sz w:val="24"/>
          <w:lang w:val="es-ES_tradnl" w:eastAsia="es-ES_tradnl"/>
        </w:rPr>
        <w:t>PROGRAMA NACIONAL PARA ASEGURAR UN SUMINISTRO DE ENERGÍA SOSTENIBLE Y EFICIENTE</w:t>
      </w:r>
    </w:p>
    <w:p w:rsidR="00986590" w:rsidRPr="00072B0D" w:rsidRDefault="00986590" w:rsidP="00986590">
      <w:pPr>
        <w:pBdr>
          <w:bottom w:val="single" w:sz="8" w:space="4" w:color="4F81BD"/>
        </w:pBdr>
        <w:spacing w:after="300"/>
        <w:contextualSpacing/>
        <w:jc w:val="right"/>
        <w:rPr>
          <w:rFonts w:ascii="Arial" w:eastAsia="Calibri" w:hAnsi="Arial" w:cs="Arial"/>
          <w:color w:val="17365D"/>
          <w:spacing w:val="5"/>
          <w:kern w:val="28"/>
          <w:sz w:val="24"/>
          <w:lang w:val="pt-BR" w:eastAsia="es-ES_tradnl"/>
        </w:rPr>
      </w:pPr>
      <w:r w:rsidRPr="00072B0D">
        <w:rPr>
          <w:rFonts w:ascii="Arial" w:eastAsia="Calibri" w:hAnsi="Arial" w:cs="Arial"/>
          <w:color w:val="17365D"/>
          <w:spacing w:val="5"/>
          <w:kern w:val="28"/>
          <w:sz w:val="24"/>
          <w:lang w:val="pt-BR" w:eastAsia="es-ES_tradnl"/>
        </w:rPr>
        <w:t>C</w:t>
      </w:r>
      <w:r w:rsidR="00ED5FDE" w:rsidRPr="00072B0D">
        <w:rPr>
          <w:rFonts w:ascii="Arial" w:eastAsia="Calibri" w:hAnsi="Arial" w:cs="Arial"/>
          <w:color w:val="17365D"/>
          <w:spacing w:val="5"/>
          <w:kern w:val="28"/>
          <w:sz w:val="24"/>
          <w:lang w:val="pt-BR" w:eastAsia="es-ES_tradnl"/>
        </w:rPr>
        <w:t>O</w:t>
      </w:r>
      <w:r w:rsidRPr="00072B0D">
        <w:rPr>
          <w:rFonts w:ascii="Arial" w:eastAsia="Calibri" w:hAnsi="Arial" w:cs="Arial"/>
          <w:color w:val="17365D"/>
          <w:spacing w:val="5"/>
          <w:kern w:val="28"/>
          <w:sz w:val="24"/>
          <w:lang w:val="pt-BR" w:eastAsia="es-ES_tradnl"/>
        </w:rPr>
        <w:t>-L1</w:t>
      </w:r>
      <w:r w:rsidR="00ED5FDE" w:rsidRPr="00072B0D">
        <w:rPr>
          <w:rFonts w:ascii="Arial" w:eastAsia="Calibri" w:hAnsi="Arial" w:cs="Arial"/>
          <w:color w:val="17365D"/>
          <w:spacing w:val="5"/>
          <w:kern w:val="28"/>
          <w:sz w:val="24"/>
          <w:lang w:val="pt-BR" w:eastAsia="es-ES_tradnl"/>
        </w:rPr>
        <w:t>217</w:t>
      </w:r>
      <w:r w:rsidR="002A4AD1" w:rsidRPr="00072B0D">
        <w:rPr>
          <w:rFonts w:ascii="Arial" w:eastAsia="Calibri" w:hAnsi="Arial" w:cs="Arial"/>
          <w:color w:val="17365D"/>
          <w:spacing w:val="5"/>
          <w:kern w:val="28"/>
          <w:sz w:val="24"/>
          <w:lang w:val="pt-BR" w:eastAsia="es-ES_tradnl"/>
        </w:rPr>
        <w:t xml:space="preserve"> Anexo Técnico</w:t>
      </w:r>
      <w:r w:rsidR="00072B0D" w:rsidRPr="00072B0D">
        <w:rPr>
          <w:rFonts w:ascii="Arial" w:eastAsia="Calibri" w:hAnsi="Arial" w:cs="Arial"/>
          <w:color w:val="17365D"/>
          <w:spacing w:val="5"/>
          <w:kern w:val="28"/>
          <w:sz w:val="24"/>
          <w:lang w:val="pt-BR" w:eastAsia="es-ES_tradnl"/>
        </w:rPr>
        <w:t xml:space="preserve"> (EEO#5)</w:t>
      </w:r>
    </w:p>
    <w:p w:rsidR="00986590" w:rsidRPr="0062120B" w:rsidRDefault="00ED5FDE" w:rsidP="00986590">
      <w:pPr>
        <w:pBdr>
          <w:bottom w:val="single" w:sz="8" w:space="4" w:color="4F81BD"/>
        </w:pBdr>
        <w:spacing w:after="300"/>
        <w:contextualSpacing/>
        <w:jc w:val="right"/>
        <w:rPr>
          <w:rFonts w:ascii="Arial" w:eastAsia="Calibri" w:hAnsi="Arial" w:cs="Arial"/>
          <w:color w:val="17365D"/>
          <w:spacing w:val="5"/>
          <w:kern w:val="28"/>
          <w:sz w:val="24"/>
          <w:lang w:val="es-ES_tradnl" w:eastAsia="es-ES_tradnl"/>
        </w:rPr>
      </w:pPr>
      <w:r>
        <w:rPr>
          <w:rFonts w:ascii="Arial" w:eastAsia="Calibri" w:hAnsi="Arial" w:cs="Arial"/>
          <w:color w:val="17365D"/>
          <w:spacing w:val="5"/>
          <w:kern w:val="28"/>
          <w:sz w:val="24"/>
          <w:lang w:val="es-ES_tradnl" w:eastAsia="es-ES_tradnl"/>
        </w:rPr>
        <w:t xml:space="preserve">Análisis de la Contribución a la </w:t>
      </w:r>
      <w:r w:rsidR="00986590" w:rsidRPr="0062120B">
        <w:rPr>
          <w:rFonts w:ascii="Arial" w:eastAsia="Calibri" w:hAnsi="Arial" w:cs="Arial"/>
          <w:color w:val="17365D"/>
          <w:spacing w:val="5"/>
          <w:kern w:val="28"/>
          <w:sz w:val="24"/>
          <w:lang w:val="es-ES_tradnl" w:eastAsia="es-ES_tradnl"/>
        </w:rPr>
        <w:t xml:space="preserve">Integración Regional </w:t>
      </w:r>
      <w:r w:rsidR="001F3CDC">
        <w:rPr>
          <w:rFonts w:ascii="Arial" w:eastAsia="Calibri" w:hAnsi="Arial" w:cs="Arial"/>
          <w:color w:val="17365D"/>
          <w:spacing w:val="5"/>
          <w:kern w:val="28"/>
          <w:sz w:val="24"/>
          <w:lang w:val="es-ES_tradnl" w:eastAsia="es-ES_tradnl"/>
        </w:rPr>
        <w:t>Competitiva</w:t>
      </w:r>
    </w:p>
    <w:p w:rsidR="00986590" w:rsidRPr="0062120B" w:rsidRDefault="00986590" w:rsidP="00986590">
      <w:pPr>
        <w:ind w:left="720"/>
        <w:contextualSpacing/>
        <w:jc w:val="both"/>
        <w:rPr>
          <w:rFonts w:ascii="Arial" w:eastAsia="Calibri" w:hAnsi="Arial" w:cs="Arial"/>
          <w:sz w:val="24"/>
          <w:lang w:val="es-ES_tradnl"/>
        </w:rPr>
      </w:pPr>
    </w:p>
    <w:p w:rsidR="00986590" w:rsidRPr="0062120B" w:rsidRDefault="00986590" w:rsidP="00986590">
      <w:pPr>
        <w:keepNext/>
        <w:keepLines/>
        <w:numPr>
          <w:ilvl w:val="0"/>
          <w:numId w:val="2"/>
        </w:numPr>
        <w:spacing w:before="120" w:after="120" w:line="240" w:lineRule="auto"/>
        <w:ind w:left="450" w:hanging="450"/>
        <w:outlineLvl w:val="1"/>
        <w:rPr>
          <w:rFonts w:ascii="Arial" w:eastAsia="MS Gothic" w:hAnsi="Arial" w:cs="Arial"/>
          <w:b/>
          <w:bCs/>
          <w:color w:val="4F81BD"/>
          <w:lang w:val="es-ES_tradnl"/>
        </w:rPr>
      </w:pPr>
      <w:r w:rsidRPr="0062120B">
        <w:rPr>
          <w:rFonts w:ascii="Arial" w:eastAsia="MS Gothic" w:hAnsi="Arial" w:cs="Arial"/>
          <w:b/>
          <w:bCs/>
          <w:color w:val="4F81BD"/>
          <w:lang w:val="es-ES_tradnl"/>
        </w:rPr>
        <w:t>Resumen Ejecutivo</w:t>
      </w:r>
    </w:p>
    <w:p w:rsidR="002F3ACA" w:rsidRDefault="00124ABD" w:rsidP="002F3ACA">
      <w:pPr>
        <w:numPr>
          <w:ilvl w:val="1"/>
          <w:numId w:val="2"/>
        </w:numPr>
        <w:autoSpaceDE w:val="0"/>
        <w:autoSpaceDN w:val="0"/>
        <w:adjustRightInd w:val="0"/>
        <w:spacing w:before="120" w:after="120" w:line="240" w:lineRule="auto"/>
        <w:ind w:left="547" w:hanging="547"/>
        <w:jc w:val="both"/>
        <w:rPr>
          <w:rFonts w:ascii="Arial" w:eastAsia="MS Mincho" w:hAnsi="Arial" w:cs="Arial"/>
          <w:bCs/>
          <w:lang w:val="es-ES_tradnl" w:eastAsia="ja-JP"/>
        </w:rPr>
      </w:pPr>
      <w:r>
        <w:rPr>
          <w:rFonts w:ascii="Arial" w:eastAsia="MS Mincho" w:hAnsi="Arial" w:cs="Arial"/>
          <w:bCs/>
          <w:lang w:val="es-ES_tradnl" w:eastAsia="ja-JP"/>
        </w:rPr>
        <w:t xml:space="preserve">El </w:t>
      </w:r>
      <w:r w:rsidRPr="00124ABD">
        <w:rPr>
          <w:rFonts w:ascii="Arial" w:eastAsia="MS Mincho" w:hAnsi="Arial" w:cs="Arial"/>
          <w:bCs/>
          <w:i/>
          <w:lang w:val="es-ES_tradnl" w:eastAsia="ja-JP"/>
        </w:rPr>
        <w:t>Programa Nacional para Asegurar un Suministro de Energía Sostenible y Eficiente</w:t>
      </w:r>
      <w:r>
        <w:rPr>
          <w:rFonts w:ascii="Arial" w:eastAsia="MS Mincho" w:hAnsi="Arial" w:cs="Arial"/>
          <w:bCs/>
          <w:lang w:val="es-ES_tradnl" w:eastAsia="ja-JP"/>
        </w:rPr>
        <w:t xml:space="preserve"> </w:t>
      </w:r>
      <w:r w:rsidR="00CF13CF">
        <w:rPr>
          <w:rFonts w:ascii="Arial" w:eastAsia="MS Mincho" w:hAnsi="Arial" w:cs="Arial"/>
          <w:bCs/>
          <w:lang w:val="es-ES_tradnl" w:eastAsia="ja-JP"/>
        </w:rPr>
        <w:t>(CO</w:t>
      </w:r>
      <w:r>
        <w:rPr>
          <w:rFonts w:ascii="Arial" w:eastAsia="MS Mincho" w:hAnsi="Arial" w:cs="Arial"/>
          <w:bCs/>
          <w:lang w:val="es-ES_tradnl" w:eastAsia="ja-JP"/>
        </w:rPr>
        <w:t xml:space="preserve">-L1217) </w:t>
      </w:r>
      <w:r w:rsidR="00066A66" w:rsidRPr="003E44A3">
        <w:rPr>
          <w:rFonts w:ascii="Arial" w:eastAsia="MS Mincho" w:hAnsi="Arial" w:cs="Arial"/>
          <w:bCs/>
          <w:lang w:val="es-ES_tradnl" w:eastAsia="ja-JP"/>
        </w:rPr>
        <w:t xml:space="preserve">apoya el proceso de integración energética regional a través del </w:t>
      </w:r>
      <w:r w:rsidR="00066A66" w:rsidRPr="003E44A3">
        <w:rPr>
          <w:rFonts w:ascii="Arial" w:eastAsia="MS Mincho" w:hAnsi="Arial" w:cs="Arial"/>
          <w:b/>
          <w:bCs/>
          <w:lang w:val="es-ES_tradnl" w:eastAsia="ja-JP"/>
        </w:rPr>
        <w:t xml:space="preserve">Componente II Apoyo a la diversificación de la matriz energética y confiabilidad del SIN, y a la promoción de la integración </w:t>
      </w:r>
      <w:r w:rsidR="0035073C">
        <w:rPr>
          <w:rFonts w:ascii="Arial" w:eastAsia="MS Mincho" w:hAnsi="Arial" w:cs="Arial"/>
          <w:b/>
          <w:bCs/>
          <w:lang w:val="es-ES_tradnl" w:eastAsia="ja-JP"/>
        </w:rPr>
        <w:t>eléctrica</w:t>
      </w:r>
      <w:r w:rsidR="00066A66" w:rsidRPr="003E44A3">
        <w:rPr>
          <w:rFonts w:ascii="Arial" w:eastAsia="MS Mincho" w:hAnsi="Arial" w:cs="Arial"/>
          <w:bCs/>
          <w:lang w:val="es-ES_tradnl" w:eastAsia="ja-JP"/>
        </w:rPr>
        <w:t xml:space="preserve">, </w:t>
      </w:r>
      <w:r w:rsidR="002F3ACA">
        <w:rPr>
          <w:rFonts w:ascii="Arial" w:eastAsia="MS Mincho" w:hAnsi="Arial" w:cs="Arial"/>
          <w:bCs/>
          <w:lang w:val="es-ES_tradnl" w:eastAsia="ja-JP"/>
        </w:rPr>
        <w:t>el cual</w:t>
      </w:r>
      <w:r w:rsidR="00066A66" w:rsidRPr="003E44A3">
        <w:rPr>
          <w:rFonts w:ascii="Arial" w:eastAsia="MS Mincho" w:hAnsi="Arial" w:cs="Arial"/>
          <w:bCs/>
          <w:lang w:val="es-ES_tradnl" w:eastAsia="ja-JP"/>
        </w:rPr>
        <w:t xml:space="preserve"> promueve la integración regional de </w:t>
      </w:r>
      <w:r w:rsidR="00066A66">
        <w:rPr>
          <w:rFonts w:ascii="Arial" w:eastAsia="MS Mincho" w:hAnsi="Arial" w:cs="Arial"/>
          <w:bCs/>
          <w:lang w:val="es-ES_tradnl" w:eastAsia="ja-JP"/>
        </w:rPr>
        <w:t>Colombia</w:t>
      </w:r>
      <w:r w:rsidR="00066A66" w:rsidRPr="003E44A3">
        <w:rPr>
          <w:rFonts w:ascii="Arial" w:eastAsia="MS Mincho" w:hAnsi="Arial" w:cs="Arial"/>
          <w:bCs/>
          <w:lang w:val="es-ES_tradnl" w:eastAsia="ja-JP"/>
        </w:rPr>
        <w:t xml:space="preserve"> con lo mercados energéticos </w:t>
      </w:r>
      <w:r w:rsidR="00066A66">
        <w:rPr>
          <w:rFonts w:ascii="Arial" w:eastAsia="MS Mincho" w:hAnsi="Arial" w:cs="Arial"/>
          <w:bCs/>
          <w:lang w:val="es-ES_tradnl" w:eastAsia="ja-JP"/>
        </w:rPr>
        <w:t>de países vecinos.</w:t>
      </w:r>
      <w:r w:rsidR="002F3ACA">
        <w:rPr>
          <w:rFonts w:ascii="Arial" w:eastAsia="MS Mincho" w:hAnsi="Arial" w:cs="Arial"/>
          <w:bCs/>
          <w:lang w:val="es-ES_tradnl" w:eastAsia="ja-JP"/>
        </w:rPr>
        <w:t xml:space="preserve">  </w:t>
      </w:r>
    </w:p>
    <w:p w:rsidR="006463C7" w:rsidRPr="006463C7" w:rsidRDefault="002F3ACA" w:rsidP="002F3ACA">
      <w:pPr>
        <w:numPr>
          <w:ilvl w:val="1"/>
          <w:numId w:val="2"/>
        </w:numPr>
        <w:autoSpaceDE w:val="0"/>
        <w:autoSpaceDN w:val="0"/>
        <w:adjustRightInd w:val="0"/>
        <w:spacing w:before="120" w:after="120" w:line="240" w:lineRule="auto"/>
        <w:ind w:left="547" w:hanging="547"/>
        <w:jc w:val="both"/>
        <w:rPr>
          <w:rFonts w:ascii="Arial" w:eastAsia="MS Mincho" w:hAnsi="Arial" w:cs="Arial"/>
          <w:bCs/>
          <w:lang w:val="es-ES_tradnl" w:eastAsia="ja-JP"/>
        </w:rPr>
      </w:pPr>
      <w:r>
        <w:rPr>
          <w:rFonts w:ascii="Arial" w:eastAsia="MS Mincho" w:hAnsi="Arial" w:cs="Arial"/>
          <w:bCs/>
          <w:lang w:val="es-ES_tradnl" w:eastAsia="ja-JP"/>
        </w:rPr>
        <w:t xml:space="preserve">El programa </w:t>
      </w:r>
      <w:r w:rsidR="00124ABD">
        <w:rPr>
          <w:rFonts w:ascii="Arial" w:eastAsia="MS Mincho" w:hAnsi="Arial" w:cs="Arial"/>
          <w:bCs/>
          <w:lang w:val="es-ES_tradnl" w:eastAsia="ja-JP"/>
        </w:rPr>
        <w:t>contribuye a la integración regional competitiva</w:t>
      </w:r>
      <w:r w:rsidR="00703ACE">
        <w:rPr>
          <w:rFonts w:ascii="Arial" w:eastAsia="MS Mincho" w:hAnsi="Arial" w:cs="Arial"/>
          <w:bCs/>
          <w:lang w:val="es-ES_tradnl" w:eastAsia="ja-JP"/>
        </w:rPr>
        <w:t xml:space="preserve"> bajo </w:t>
      </w:r>
      <w:r>
        <w:rPr>
          <w:rFonts w:ascii="Arial" w:eastAsia="MS Mincho" w:hAnsi="Arial" w:cs="Arial"/>
          <w:bCs/>
          <w:lang w:val="es-ES_tradnl" w:eastAsia="ja-JP"/>
        </w:rPr>
        <w:t xml:space="preserve">los </w:t>
      </w:r>
      <w:r w:rsidR="00703ACE">
        <w:rPr>
          <w:rFonts w:ascii="Arial" w:eastAsia="MS Mincho" w:hAnsi="Arial" w:cs="Arial"/>
          <w:bCs/>
          <w:lang w:val="es-ES_tradnl" w:eastAsia="ja-JP"/>
        </w:rPr>
        <w:t>criterio</w:t>
      </w:r>
      <w:r>
        <w:rPr>
          <w:rFonts w:ascii="Arial" w:eastAsia="MS Mincho" w:hAnsi="Arial" w:cs="Arial"/>
          <w:bCs/>
          <w:lang w:val="es-ES_tradnl" w:eastAsia="ja-JP"/>
        </w:rPr>
        <w:t>s</w:t>
      </w:r>
      <w:r w:rsidR="00703ACE">
        <w:rPr>
          <w:rFonts w:ascii="Arial" w:eastAsia="MS Mincho" w:hAnsi="Arial" w:cs="Arial"/>
          <w:bCs/>
          <w:lang w:val="es-ES_tradnl" w:eastAsia="ja-JP"/>
        </w:rPr>
        <w:t xml:space="preserve"> indicativo</w:t>
      </w:r>
      <w:r>
        <w:rPr>
          <w:rFonts w:ascii="Arial" w:eastAsia="MS Mincho" w:hAnsi="Arial" w:cs="Arial"/>
          <w:bCs/>
          <w:lang w:val="es-ES_tradnl" w:eastAsia="ja-JP"/>
        </w:rPr>
        <w:t>s</w:t>
      </w:r>
      <w:r w:rsidR="00703ACE">
        <w:rPr>
          <w:rFonts w:ascii="Arial" w:eastAsia="MS Mincho" w:hAnsi="Arial" w:cs="Arial"/>
          <w:bCs/>
          <w:lang w:val="es-ES_tradnl" w:eastAsia="ja-JP"/>
        </w:rPr>
        <w:t xml:space="preserve"> de</w:t>
      </w:r>
      <w:r w:rsidR="00066A66">
        <w:rPr>
          <w:rFonts w:ascii="Arial" w:eastAsia="MS Mincho" w:hAnsi="Arial" w:cs="Arial"/>
          <w:bCs/>
          <w:lang w:val="es-ES_tradnl" w:eastAsia="ja-JP"/>
        </w:rPr>
        <w:t>:</w:t>
      </w:r>
      <w:r w:rsidR="006463C7">
        <w:rPr>
          <w:rFonts w:ascii="Arial" w:eastAsia="MS Mincho" w:hAnsi="Arial" w:cs="Arial"/>
          <w:bCs/>
          <w:lang w:val="es-ES_tradnl" w:eastAsia="ja-JP"/>
        </w:rPr>
        <w:t xml:space="preserve"> </w:t>
      </w:r>
      <w:r w:rsidR="00066A66" w:rsidRPr="002B7551">
        <w:rPr>
          <w:rFonts w:ascii="Arial" w:eastAsia="MS Mincho" w:hAnsi="Arial" w:cs="Arial"/>
          <w:bCs/>
          <w:lang w:val="es-ES_tradnl" w:eastAsia="ja-JP"/>
        </w:rPr>
        <w:t xml:space="preserve">(i) </w:t>
      </w:r>
      <w:r w:rsidR="00066A66" w:rsidRPr="002B7551">
        <w:rPr>
          <w:rFonts w:ascii="Arial" w:eastAsia="MS Mincho" w:hAnsi="Arial" w:cs="Arial"/>
          <w:bCs/>
          <w:i/>
          <w:lang w:val="es-ES_tradnl" w:eastAsia="ja-JP"/>
        </w:rPr>
        <w:t>Focalización multinacional</w:t>
      </w:r>
      <w:r w:rsidR="002B7551">
        <w:rPr>
          <w:rFonts w:ascii="Arial" w:eastAsia="MS Mincho" w:hAnsi="Arial" w:cs="Arial"/>
          <w:bCs/>
          <w:i/>
          <w:lang w:val="es-ES_tradnl" w:eastAsia="ja-JP"/>
        </w:rPr>
        <w:t>,</w:t>
      </w:r>
      <w:r w:rsidR="00066A66" w:rsidRPr="002B7551">
        <w:rPr>
          <w:rFonts w:ascii="Arial" w:eastAsia="MS Mincho" w:hAnsi="Arial" w:cs="Arial"/>
          <w:bCs/>
          <w:lang w:val="es-ES_tradnl" w:eastAsia="ja-JP"/>
        </w:rPr>
        <w:t xml:space="preserve"> debido a que </w:t>
      </w:r>
      <w:r w:rsidRPr="002B7551">
        <w:rPr>
          <w:rFonts w:ascii="Arial" w:eastAsia="MS Mincho" w:hAnsi="Arial" w:cs="Arial"/>
          <w:bCs/>
          <w:lang w:val="es-ES_tradnl" w:eastAsia="ja-JP"/>
        </w:rPr>
        <w:t xml:space="preserve">el </w:t>
      </w:r>
      <w:r w:rsidR="00066A66" w:rsidRPr="002B7551">
        <w:rPr>
          <w:rFonts w:ascii="Arial" w:eastAsia="MS Mincho" w:hAnsi="Arial" w:cs="Arial"/>
          <w:bCs/>
          <w:lang w:val="es-ES_tradnl" w:eastAsia="ja-JP"/>
        </w:rPr>
        <w:t xml:space="preserve">Componente II </w:t>
      </w:r>
      <w:r w:rsidRPr="002B7551">
        <w:rPr>
          <w:rFonts w:ascii="Arial" w:eastAsia="MS Mincho" w:hAnsi="Arial" w:cs="Arial"/>
          <w:bCs/>
          <w:lang w:val="es-ES_tradnl" w:eastAsia="ja-JP"/>
        </w:rPr>
        <w:t>considera</w:t>
      </w:r>
      <w:r w:rsidR="00066A66" w:rsidRPr="002B7551">
        <w:rPr>
          <w:rFonts w:ascii="Arial" w:eastAsia="MS Mincho" w:hAnsi="Arial" w:cs="Arial"/>
          <w:bCs/>
          <w:lang w:val="es-ES_tradnl" w:eastAsia="ja-JP"/>
        </w:rPr>
        <w:t xml:space="preserve"> </w:t>
      </w:r>
      <w:r w:rsidRPr="002B7551">
        <w:rPr>
          <w:rFonts w:ascii="Arial" w:eastAsia="MS Mincho" w:hAnsi="Arial" w:cs="Arial"/>
          <w:bCs/>
          <w:lang w:val="es-ES_tradnl" w:eastAsia="ja-JP"/>
        </w:rPr>
        <w:t xml:space="preserve">medidas </w:t>
      </w:r>
      <w:r w:rsidR="00066A66" w:rsidRPr="002B7551">
        <w:rPr>
          <w:rFonts w:ascii="Arial" w:eastAsia="MS Mincho" w:hAnsi="Arial" w:cs="Arial"/>
          <w:bCs/>
          <w:lang w:val="es-ES_tradnl" w:eastAsia="ja-JP"/>
        </w:rPr>
        <w:t xml:space="preserve">de política que </w:t>
      </w:r>
      <w:r w:rsidR="006501AD">
        <w:rPr>
          <w:rFonts w:ascii="Arial" w:eastAsia="MS Mincho" w:hAnsi="Arial" w:cs="Arial"/>
          <w:bCs/>
          <w:lang w:val="es-ES_tradnl" w:eastAsia="ja-JP"/>
        </w:rPr>
        <w:t>promueven</w:t>
      </w:r>
      <w:r w:rsidR="006501AD" w:rsidRPr="002B7551">
        <w:rPr>
          <w:rFonts w:ascii="Arial" w:eastAsia="MS Mincho" w:hAnsi="Arial" w:cs="Arial"/>
          <w:bCs/>
          <w:lang w:val="es-ES_tradnl" w:eastAsia="ja-JP"/>
        </w:rPr>
        <w:t xml:space="preserve"> </w:t>
      </w:r>
      <w:r w:rsidR="00066A66" w:rsidRPr="002B7551">
        <w:rPr>
          <w:rFonts w:ascii="Arial" w:eastAsia="MS Mincho" w:hAnsi="Arial" w:cs="Arial"/>
          <w:bCs/>
          <w:lang w:val="es-ES_tradnl" w:eastAsia="ja-JP"/>
        </w:rPr>
        <w:t xml:space="preserve">la </w:t>
      </w:r>
      <w:r w:rsidR="006501AD">
        <w:rPr>
          <w:rFonts w:ascii="Arial" w:eastAsia="MS Mincho" w:hAnsi="Arial" w:cs="Arial"/>
          <w:bCs/>
          <w:lang w:val="es-ES_tradnl" w:eastAsia="ja-JP"/>
        </w:rPr>
        <w:t>i</w:t>
      </w:r>
      <w:r w:rsidR="005F6A30">
        <w:rPr>
          <w:rFonts w:ascii="Arial" w:eastAsia="MS Mincho" w:hAnsi="Arial" w:cs="Arial"/>
          <w:bCs/>
          <w:lang w:val="es-ES_tradnl" w:eastAsia="ja-JP"/>
        </w:rPr>
        <w:t>ntegració</w:t>
      </w:r>
      <w:r w:rsidR="006501AD">
        <w:rPr>
          <w:rFonts w:ascii="Arial" w:eastAsia="MS Mincho" w:hAnsi="Arial" w:cs="Arial"/>
          <w:bCs/>
          <w:lang w:val="es-ES_tradnl" w:eastAsia="ja-JP"/>
        </w:rPr>
        <w:t>n</w:t>
      </w:r>
      <w:r w:rsidR="006501AD" w:rsidRPr="002B7551">
        <w:rPr>
          <w:rFonts w:ascii="Arial" w:eastAsia="MS Mincho" w:hAnsi="Arial" w:cs="Arial"/>
          <w:bCs/>
          <w:lang w:val="es-ES_tradnl" w:eastAsia="ja-JP"/>
        </w:rPr>
        <w:t xml:space="preserve"> </w:t>
      </w:r>
      <w:r w:rsidR="00066A66" w:rsidRPr="002B7551">
        <w:rPr>
          <w:rFonts w:ascii="Arial" w:eastAsia="MS Mincho" w:hAnsi="Arial" w:cs="Arial"/>
          <w:bCs/>
          <w:lang w:val="es-ES_tradnl" w:eastAsia="ja-JP"/>
        </w:rPr>
        <w:t xml:space="preserve">del sector eléctrico </w:t>
      </w:r>
      <w:r w:rsidRPr="002B7551">
        <w:rPr>
          <w:rFonts w:ascii="Arial" w:eastAsia="MS Mincho" w:hAnsi="Arial" w:cs="Arial"/>
          <w:bCs/>
          <w:lang w:val="es-ES_tradnl" w:eastAsia="ja-JP"/>
        </w:rPr>
        <w:t>colombiano</w:t>
      </w:r>
      <w:r w:rsidR="00066A66" w:rsidRPr="002B7551">
        <w:rPr>
          <w:rFonts w:ascii="Arial" w:eastAsia="MS Mincho" w:hAnsi="Arial" w:cs="Arial"/>
          <w:bCs/>
          <w:lang w:val="es-ES_tradnl" w:eastAsia="ja-JP"/>
        </w:rPr>
        <w:t xml:space="preserve"> con impactos transfronterizos (Región Andina y </w:t>
      </w:r>
      <w:r w:rsidRPr="002B7551">
        <w:rPr>
          <w:rFonts w:ascii="Arial" w:eastAsia="MS Mincho" w:hAnsi="Arial" w:cs="Arial"/>
          <w:bCs/>
          <w:lang w:val="es-ES_tradnl" w:eastAsia="ja-JP"/>
        </w:rPr>
        <w:t>Panamá</w:t>
      </w:r>
      <w:r w:rsidR="00066A66" w:rsidRPr="002B7551">
        <w:rPr>
          <w:rFonts w:ascii="Arial" w:eastAsia="MS Mincho" w:hAnsi="Arial" w:cs="Arial"/>
          <w:bCs/>
          <w:lang w:val="es-ES_tradnl" w:eastAsia="ja-JP"/>
        </w:rPr>
        <w:t>)</w:t>
      </w:r>
      <w:r w:rsidR="005F6A30">
        <w:rPr>
          <w:rFonts w:ascii="Arial" w:eastAsia="MS Mincho" w:hAnsi="Arial" w:cs="Arial"/>
          <w:bCs/>
          <w:lang w:val="es-ES_tradnl" w:eastAsia="ja-JP"/>
        </w:rPr>
        <w:t>. Se espera que</w:t>
      </w:r>
      <w:r w:rsidR="00066A66" w:rsidRPr="002B7551">
        <w:rPr>
          <w:rFonts w:ascii="Arial" w:eastAsia="MS Mincho" w:hAnsi="Arial" w:cs="Arial"/>
          <w:bCs/>
          <w:lang w:val="es-ES_tradnl" w:eastAsia="ja-JP"/>
        </w:rPr>
        <w:t xml:space="preserve"> el programa </w:t>
      </w:r>
      <w:r w:rsidR="005F6A30">
        <w:rPr>
          <w:rFonts w:ascii="Arial" w:eastAsia="MS Mincho" w:hAnsi="Arial" w:cs="Arial"/>
          <w:bCs/>
          <w:lang w:val="es-ES_tradnl" w:eastAsia="ja-JP"/>
        </w:rPr>
        <w:t>contribuya</w:t>
      </w:r>
      <w:r w:rsidR="00066A66" w:rsidRPr="002B7551">
        <w:rPr>
          <w:rFonts w:ascii="Arial" w:eastAsia="MS Mincho" w:hAnsi="Arial" w:cs="Arial"/>
          <w:bCs/>
          <w:lang w:val="es-ES_tradnl" w:eastAsia="ja-JP"/>
        </w:rPr>
        <w:t xml:space="preserve"> al incremento de los intercambios de energía binacionales a</w:t>
      </w:r>
      <w:r w:rsidR="005F6A30">
        <w:rPr>
          <w:rFonts w:ascii="Arial" w:eastAsia="MS Mincho" w:hAnsi="Arial" w:cs="Arial"/>
          <w:bCs/>
          <w:lang w:val="es-ES_tradnl" w:eastAsia="ja-JP"/>
        </w:rPr>
        <w:t>l</w:t>
      </w:r>
      <w:r w:rsidR="00066A66" w:rsidRPr="002B7551">
        <w:rPr>
          <w:rFonts w:ascii="Arial" w:eastAsia="MS Mincho" w:hAnsi="Arial" w:cs="Arial"/>
          <w:bCs/>
          <w:lang w:val="es-ES_tradnl" w:eastAsia="ja-JP"/>
        </w:rPr>
        <w:t xml:space="preserve"> 2020, en el sub-sector de electricidad </w:t>
      </w:r>
      <w:r w:rsidR="005F6A30">
        <w:rPr>
          <w:rFonts w:ascii="Arial" w:eastAsia="MS Mincho" w:hAnsi="Arial" w:cs="Arial"/>
          <w:bCs/>
          <w:lang w:val="es-ES_tradnl" w:eastAsia="ja-JP"/>
        </w:rPr>
        <w:t>de acuerdo a lo indicado en la Matriz de Resultados</w:t>
      </w:r>
      <w:r w:rsidRPr="002B7551">
        <w:rPr>
          <w:rFonts w:ascii="Arial" w:eastAsia="MS Mincho" w:hAnsi="Arial" w:cs="Arial"/>
          <w:bCs/>
          <w:lang w:val="es-ES_tradnl" w:eastAsia="ja-JP"/>
        </w:rPr>
        <w:t>; y de</w:t>
      </w:r>
      <w:r w:rsidR="006463C7" w:rsidRPr="002B7551">
        <w:rPr>
          <w:rFonts w:ascii="Arial" w:eastAsia="MS Mincho" w:hAnsi="Arial" w:cs="Arial"/>
          <w:bCs/>
          <w:lang w:val="es-ES_tradnl" w:eastAsia="ja-JP"/>
        </w:rPr>
        <w:t xml:space="preserve"> (ii) </w:t>
      </w:r>
      <w:r w:rsidR="006463C7" w:rsidRPr="002B7551">
        <w:rPr>
          <w:rFonts w:ascii="Arial" w:eastAsia="MS Mincho" w:hAnsi="Arial" w:cs="Arial"/>
          <w:bCs/>
          <w:i/>
          <w:lang w:val="es-ES_tradnl" w:eastAsia="ja-JP"/>
        </w:rPr>
        <w:t>Subsidiariedad nacional</w:t>
      </w:r>
      <w:r w:rsidR="002B7551">
        <w:rPr>
          <w:rFonts w:ascii="Arial" w:eastAsia="MS Mincho" w:hAnsi="Arial" w:cs="Arial"/>
          <w:bCs/>
          <w:i/>
          <w:lang w:val="es-ES_tradnl" w:eastAsia="ja-JP"/>
        </w:rPr>
        <w:t>,</w:t>
      </w:r>
      <w:r w:rsidR="006463C7" w:rsidRPr="002B7551">
        <w:rPr>
          <w:rFonts w:ascii="Arial" w:eastAsia="MS Mincho" w:hAnsi="Arial" w:cs="Arial"/>
          <w:bCs/>
          <w:lang w:val="es-ES_tradnl" w:eastAsia="ja-JP"/>
        </w:rPr>
        <w:t xml:space="preserve"> debido</w:t>
      </w:r>
      <w:r w:rsidR="006463C7">
        <w:rPr>
          <w:rFonts w:ascii="Arial" w:eastAsia="MS Mincho" w:hAnsi="Arial" w:cs="Arial"/>
          <w:bCs/>
          <w:lang w:val="es-ES_tradnl" w:eastAsia="ja-JP"/>
        </w:rPr>
        <w:t xml:space="preserve"> a que a</w:t>
      </w:r>
      <w:r w:rsidR="006463C7" w:rsidRPr="006463C7">
        <w:rPr>
          <w:rFonts w:ascii="Arial" w:eastAsia="MS Mincho" w:hAnsi="Arial" w:cs="Arial"/>
          <w:bCs/>
          <w:lang w:val="es-ES_tradnl" w:eastAsia="ja-JP"/>
        </w:rPr>
        <w:t xml:space="preserve">poya de manera directa </w:t>
      </w:r>
      <w:r w:rsidR="00F632C4">
        <w:rPr>
          <w:rFonts w:ascii="Arial" w:eastAsia="MS Mincho" w:hAnsi="Arial" w:cs="Arial"/>
          <w:bCs/>
          <w:lang w:val="es-ES_tradnl" w:eastAsia="ja-JP"/>
        </w:rPr>
        <w:t xml:space="preserve">la </w:t>
      </w:r>
      <w:r w:rsidR="00FB1069">
        <w:rPr>
          <w:rFonts w:ascii="Arial" w:eastAsia="MS Mincho" w:hAnsi="Arial" w:cs="Arial"/>
          <w:bCs/>
          <w:lang w:val="es-ES_tradnl" w:eastAsia="ja-JP"/>
        </w:rPr>
        <w:t>incorporación</w:t>
      </w:r>
      <w:r w:rsidR="00F632C4">
        <w:rPr>
          <w:rFonts w:ascii="Arial" w:eastAsia="MS Mincho" w:hAnsi="Arial" w:cs="Arial"/>
          <w:bCs/>
          <w:lang w:val="es-ES_tradnl" w:eastAsia="ja-JP"/>
        </w:rPr>
        <w:t xml:space="preserve"> de medidas regulatorias locales que promueven la integración eléctrica regional y el refuerzo del mercado nacional de gas</w:t>
      </w:r>
      <w:r w:rsidR="00190B83">
        <w:rPr>
          <w:rFonts w:ascii="Arial" w:eastAsia="MS Mincho" w:hAnsi="Arial" w:cs="Arial"/>
          <w:bCs/>
          <w:lang w:val="es-ES_tradnl" w:eastAsia="ja-JP"/>
        </w:rPr>
        <w:t xml:space="preserve"> natural para la generación eléctrica, </w:t>
      </w:r>
      <w:r w:rsidR="00F632C4">
        <w:rPr>
          <w:rFonts w:ascii="Arial" w:eastAsia="MS Mincho" w:hAnsi="Arial" w:cs="Arial"/>
          <w:bCs/>
          <w:lang w:val="es-ES_tradnl" w:eastAsia="ja-JP"/>
        </w:rPr>
        <w:t xml:space="preserve">bajo los mismos objetivos. </w:t>
      </w:r>
    </w:p>
    <w:p w:rsidR="00986590" w:rsidRPr="0062120B" w:rsidRDefault="00986590" w:rsidP="00986590">
      <w:pPr>
        <w:keepNext/>
        <w:keepLines/>
        <w:numPr>
          <w:ilvl w:val="0"/>
          <w:numId w:val="2"/>
        </w:numPr>
        <w:spacing w:before="120" w:after="120" w:line="240" w:lineRule="auto"/>
        <w:ind w:left="450" w:hanging="450"/>
        <w:outlineLvl w:val="1"/>
        <w:rPr>
          <w:rFonts w:ascii="Arial" w:eastAsia="MS Gothic" w:hAnsi="Arial" w:cs="Arial"/>
          <w:b/>
          <w:bCs/>
          <w:color w:val="4F81BD"/>
          <w:lang w:val="es-ES_tradnl"/>
        </w:rPr>
      </w:pPr>
      <w:r w:rsidRPr="0062120B">
        <w:rPr>
          <w:rFonts w:ascii="Arial" w:eastAsia="MS Gothic" w:hAnsi="Arial" w:cs="Arial"/>
          <w:b/>
          <w:bCs/>
          <w:color w:val="4F81BD"/>
          <w:lang w:val="es-ES_tradnl"/>
        </w:rPr>
        <w:t>Introducción</w:t>
      </w:r>
    </w:p>
    <w:p w:rsidR="00986590" w:rsidRPr="0062120B" w:rsidRDefault="00986590" w:rsidP="00986590">
      <w:pPr>
        <w:numPr>
          <w:ilvl w:val="1"/>
          <w:numId w:val="2"/>
        </w:numPr>
        <w:autoSpaceDE w:val="0"/>
        <w:autoSpaceDN w:val="0"/>
        <w:adjustRightInd w:val="0"/>
        <w:spacing w:before="120" w:after="120" w:line="240" w:lineRule="auto"/>
        <w:ind w:left="547" w:hanging="547"/>
        <w:jc w:val="both"/>
        <w:rPr>
          <w:rFonts w:ascii="Arial" w:eastAsia="MS Mincho" w:hAnsi="Arial" w:cs="Arial"/>
          <w:bCs/>
          <w:lang w:val="es-ES_tradnl" w:eastAsia="ja-JP"/>
        </w:rPr>
      </w:pPr>
      <w:r w:rsidRPr="0062120B">
        <w:rPr>
          <w:rFonts w:ascii="Arial" w:eastAsia="MS Mincho" w:hAnsi="Arial" w:cs="Arial"/>
          <w:bCs/>
          <w:lang w:val="es-ES_tradnl" w:eastAsia="ja-JP"/>
        </w:rPr>
        <w:t xml:space="preserve">En el marco de la estrategia sectorial del BID, que apoya la Competitividad Global y Regional para la Integración (GN-2565-4), el presente anexo explica los argumentos técnicos por los cuales la Operación </w:t>
      </w:r>
      <w:r w:rsidR="004F741B">
        <w:rPr>
          <w:rFonts w:ascii="Arial" w:eastAsia="MS Mincho" w:hAnsi="Arial" w:cs="Arial"/>
          <w:bCs/>
          <w:lang w:val="es-ES_tradnl" w:eastAsia="ja-JP"/>
        </w:rPr>
        <w:t>CO-L1217 mediante su</w:t>
      </w:r>
      <w:r w:rsidRPr="0062120B">
        <w:rPr>
          <w:rFonts w:ascii="Arial" w:eastAsia="MS Mincho" w:hAnsi="Arial" w:cs="Arial"/>
          <w:bCs/>
          <w:lang w:val="es-ES_tradnl" w:eastAsia="ja-JP"/>
        </w:rPr>
        <w:t xml:space="preserve"> </w:t>
      </w:r>
      <w:r w:rsidR="004F741B">
        <w:rPr>
          <w:rFonts w:ascii="Arial" w:eastAsia="MS Mincho" w:hAnsi="Arial" w:cs="Arial"/>
          <w:bCs/>
          <w:lang w:val="es-ES_tradnl" w:eastAsia="ja-JP"/>
        </w:rPr>
        <w:t>Componente</w:t>
      </w:r>
      <w:r w:rsidRPr="0062120B">
        <w:rPr>
          <w:rFonts w:ascii="Arial" w:eastAsia="MS Mincho" w:hAnsi="Arial" w:cs="Arial"/>
          <w:bCs/>
          <w:lang w:val="es-ES_tradnl" w:eastAsia="ja-JP"/>
        </w:rPr>
        <w:t xml:space="preserve"> II se alinean estratégicamente con el Desafío Integración Económica de la Estrategia Institucional Actualizada del Banco (GN-2828).</w:t>
      </w:r>
    </w:p>
    <w:p w:rsidR="00986590" w:rsidRPr="0062120B" w:rsidRDefault="00986590" w:rsidP="00986590">
      <w:pPr>
        <w:numPr>
          <w:ilvl w:val="1"/>
          <w:numId w:val="2"/>
        </w:numPr>
        <w:autoSpaceDE w:val="0"/>
        <w:autoSpaceDN w:val="0"/>
        <w:adjustRightInd w:val="0"/>
        <w:spacing w:before="120" w:after="120" w:line="240" w:lineRule="auto"/>
        <w:ind w:left="547" w:hanging="547"/>
        <w:jc w:val="both"/>
        <w:rPr>
          <w:rFonts w:ascii="Arial" w:eastAsia="MS Mincho" w:hAnsi="Arial" w:cs="Arial"/>
          <w:bCs/>
          <w:lang w:val="es-ES_tradnl" w:eastAsia="ja-JP"/>
        </w:rPr>
      </w:pPr>
      <w:r w:rsidRPr="0062120B">
        <w:rPr>
          <w:rFonts w:ascii="Arial" w:eastAsia="MS Mincho" w:hAnsi="Arial" w:cs="Arial"/>
          <w:bCs/>
          <w:lang w:val="es-ES_tradnl" w:eastAsia="ja-JP"/>
        </w:rPr>
        <w:t xml:space="preserve">El presente anexo se estructura en tres secciones: (i) Antecedentes del proyecto, para su análisis desde la perspectiva de integración regional; (ii) Aspectos considerados para la clasificación de la operación como una actuación de integración regional; y (iii) Validación de los criterios de clasificación de la operación de acuerdo a lo estipulado en los Lineamientos para la Clasificación de Prioridades en el Programa de Financiamiento, conforme las guías GN-2650 y GN-2733. </w:t>
      </w:r>
    </w:p>
    <w:p w:rsidR="00986590" w:rsidRPr="0062120B" w:rsidRDefault="00986590" w:rsidP="00986590">
      <w:pPr>
        <w:keepNext/>
        <w:keepLines/>
        <w:numPr>
          <w:ilvl w:val="0"/>
          <w:numId w:val="2"/>
        </w:numPr>
        <w:spacing w:before="120" w:after="120" w:line="240" w:lineRule="auto"/>
        <w:ind w:left="450" w:hanging="450"/>
        <w:outlineLvl w:val="1"/>
        <w:rPr>
          <w:rFonts w:ascii="Arial" w:eastAsia="MS Gothic" w:hAnsi="Arial" w:cs="Arial"/>
          <w:b/>
          <w:bCs/>
          <w:color w:val="4F81BD"/>
          <w:lang w:val="es-ES_tradnl"/>
        </w:rPr>
      </w:pPr>
      <w:r w:rsidRPr="0062120B">
        <w:rPr>
          <w:rFonts w:ascii="Arial" w:eastAsia="MS Gothic" w:hAnsi="Arial" w:cs="Arial"/>
          <w:b/>
          <w:bCs/>
          <w:color w:val="4F81BD"/>
          <w:lang w:val="es-ES_tradnl"/>
        </w:rPr>
        <w:t>Antecedentes del Proyecto</w:t>
      </w:r>
    </w:p>
    <w:p w:rsidR="00986590" w:rsidRPr="0062120B" w:rsidRDefault="004F741B" w:rsidP="00986590">
      <w:pPr>
        <w:pStyle w:val="ListParagraph"/>
        <w:keepNext/>
        <w:keepLines/>
        <w:numPr>
          <w:ilvl w:val="0"/>
          <w:numId w:val="29"/>
        </w:numPr>
        <w:spacing w:before="120" w:after="120" w:line="240" w:lineRule="auto"/>
        <w:outlineLvl w:val="1"/>
        <w:rPr>
          <w:rFonts w:ascii="Arial" w:eastAsia="MS Gothic" w:hAnsi="Arial" w:cs="Arial"/>
          <w:b/>
          <w:bCs/>
          <w:color w:val="4F81BD"/>
          <w:lang w:val="es-ES_tradnl"/>
        </w:rPr>
      </w:pPr>
      <w:r w:rsidRPr="004F741B">
        <w:rPr>
          <w:rFonts w:ascii="Arial" w:eastAsia="MS Gothic" w:hAnsi="Arial" w:cs="Arial"/>
          <w:b/>
          <w:bCs/>
          <w:color w:val="4F81BD"/>
          <w:lang w:val="es-ES_tradnl"/>
        </w:rPr>
        <w:t>Interconexiones eléctricas internacionales</w:t>
      </w:r>
    </w:p>
    <w:p w:rsidR="004F741B" w:rsidRPr="004F741B" w:rsidRDefault="00986590" w:rsidP="004F741B">
      <w:pPr>
        <w:numPr>
          <w:ilvl w:val="1"/>
          <w:numId w:val="2"/>
        </w:numPr>
        <w:autoSpaceDE w:val="0"/>
        <w:autoSpaceDN w:val="0"/>
        <w:adjustRightInd w:val="0"/>
        <w:spacing w:before="120" w:after="120" w:line="240" w:lineRule="auto"/>
        <w:ind w:left="547" w:hanging="547"/>
        <w:jc w:val="both"/>
        <w:rPr>
          <w:rFonts w:ascii="Arial" w:eastAsia="MS Mincho" w:hAnsi="Arial" w:cs="Arial"/>
          <w:bCs/>
          <w:lang w:val="es-ES_tradnl" w:eastAsia="ja-JP"/>
        </w:rPr>
      </w:pPr>
      <w:r w:rsidRPr="0062120B">
        <w:rPr>
          <w:rFonts w:ascii="Arial" w:eastAsia="MS Mincho" w:hAnsi="Arial" w:cs="Arial"/>
          <w:bCs/>
          <w:lang w:val="es-ES_tradnl" w:eastAsia="ja-JP"/>
        </w:rPr>
        <w:t xml:space="preserve"> </w:t>
      </w:r>
      <w:r w:rsidR="004F741B" w:rsidRPr="004F741B">
        <w:rPr>
          <w:rFonts w:ascii="Arial" w:eastAsia="MS Mincho" w:hAnsi="Arial" w:cs="Arial"/>
          <w:bCs/>
          <w:lang w:val="es-ES_tradnl" w:eastAsia="ja-JP"/>
        </w:rPr>
        <w:t xml:space="preserve">Colombia reconoce que las interconexiones internacionales permiten el acceso a fuentes de generación más económicas, aumenta la confiabilidad del sistema en la medida que se cuenta con más opciones de generación para atender el crecimiento de la demanda; constituyen fuente de apoyo ante situaciones de emergencia, permite reducir emisiones de carbono, genera ingresos por exportación de energía. Actualmente el SIN colombiano se encuentra interconectado con los sistemas de Ecuador y Venezuela. La interconexión entre Colombia y Ecuador consiste en 4 líneas de transmisión, con capacidad total de 550 MW. Las líneas de alto voltaje que conectan Colombia y Venezuela suman una capacidad igual a 336 MW. </w:t>
      </w:r>
    </w:p>
    <w:p w:rsidR="004F741B" w:rsidRPr="004F741B" w:rsidRDefault="004F741B" w:rsidP="004F741B">
      <w:pPr>
        <w:numPr>
          <w:ilvl w:val="1"/>
          <w:numId w:val="2"/>
        </w:numPr>
        <w:tabs>
          <w:tab w:val="num" w:pos="720"/>
        </w:tabs>
        <w:autoSpaceDE w:val="0"/>
        <w:autoSpaceDN w:val="0"/>
        <w:adjustRightInd w:val="0"/>
        <w:spacing w:before="120" w:after="120" w:line="240" w:lineRule="auto"/>
        <w:ind w:left="547" w:hanging="547"/>
        <w:jc w:val="both"/>
        <w:rPr>
          <w:rFonts w:ascii="Arial" w:eastAsia="MS Mincho" w:hAnsi="Arial" w:cs="Arial"/>
          <w:bCs/>
          <w:lang w:val="es-ES_tradnl" w:eastAsia="ja-JP"/>
        </w:rPr>
      </w:pPr>
      <w:r w:rsidRPr="004F741B">
        <w:rPr>
          <w:rFonts w:ascii="Arial" w:eastAsia="MS Mincho" w:hAnsi="Arial" w:cs="Arial"/>
          <w:bCs/>
          <w:lang w:val="es-ES_tradnl" w:eastAsia="ja-JP"/>
        </w:rPr>
        <w:t xml:space="preserve">Colombia </w:t>
      </w:r>
      <w:r w:rsidR="00F632C4">
        <w:rPr>
          <w:rFonts w:ascii="Arial" w:eastAsia="MS Mincho" w:hAnsi="Arial" w:cs="Arial"/>
          <w:bCs/>
          <w:lang w:val="es-ES_tradnl" w:eastAsia="ja-JP"/>
        </w:rPr>
        <w:t>tiene entre sus</w:t>
      </w:r>
      <w:r w:rsidR="00F632C4" w:rsidRPr="004F741B">
        <w:rPr>
          <w:rFonts w:ascii="Arial" w:eastAsia="MS Mincho" w:hAnsi="Arial" w:cs="Arial"/>
          <w:bCs/>
          <w:lang w:val="es-ES_tradnl" w:eastAsia="ja-JP"/>
        </w:rPr>
        <w:t xml:space="preserve"> </w:t>
      </w:r>
      <w:r w:rsidRPr="004F741B">
        <w:rPr>
          <w:rFonts w:ascii="Arial" w:eastAsia="MS Mincho" w:hAnsi="Arial" w:cs="Arial"/>
          <w:bCs/>
          <w:lang w:val="es-ES_tradnl" w:eastAsia="ja-JP"/>
        </w:rPr>
        <w:t xml:space="preserve">dos grandes </w:t>
      </w:r>
      <w:r w:rsidR="00F632C4">
        <w:rPr>
          <w:rFonts w:ascii="Arial" w:eastAsia="MS Mincho" w:hAnsi="Arial" w:cs="Arial"/>
          <w:bCs/>
          <w:lang w:val="es-ES_tradnl" w:eastAsia="ja-JP"/>
        </w:rPr>
        <w:t>prioridades</w:t>
      </w:r>
      <w:r w:rsidR="00F632C4" w:rsidRPr="004F741B">
        <w:rPr>
          <w:rFonts w:ascii="Arial" w:eastAsia="MS Mincho" w:hAnsi="Arial" w:cs="Arial"/>
          <w:bCs/>
          <w:lang w:val="es-ES_tradnl" w:eastAsia="ja-JP"/>
        </w:rPr>
        <w:t xml:space="preserve"> </w:t>
      </w:r>
      <w:r w:rsidRPr="004F741B">
        <w:rPr>
          <w:rFonts w:ascii="Arial" w:eastAsia="MS Mincho" w:hAnsi="Arial" w:cs="Arial"/>
          <w:bCs/>
          <w:lang w:val="es-ES" w:eastAsia="ja-JP"/>
        </w:rPr>
        <w:t xml:space="preserve">la interconexión eléctrica </w:t>
      </w:r>
      <w:r w:rsidR="00F632C4">
        <w:rPr>
          <w:rFonts w:ascii="Arial" w:eastAsia="MS Mincho" w:hAnsi="Arial" w:cs="Arial"/>
          <w:bCs/>
          <w:lang w:val="es-ES" w:eastAsia="ja-JP"/>
        </w:rPr>
        <w:t>regional</w:t>
      </w:r>
      <w:r w:rsidR="00854161">
        <w:rPr>
          <w:rFonts w:ascii="Arial" w:eastAsia="MS Mincho" w:hAnsi="Arial" w:cs="Arial"/>
          <w:bCs/>
          <w:lang w:val="es-ES" w:eastAsia="ja-JP"/>
        </w:rPr>
        <w:t>, a través de</w:t>
      </w:r>
      <w:r w:rsidRPr="004F741B">
        <w:rPr>
          <w:rFonts w:ascii="Arial" w:eastAsia="MS Mincho" w:hAnsi="Arial" w:cs="Arial"/>
          <w:bCs/>
          <w:lang w:val="es-ES" w:eastAsia="ja-JP"/>
        </w:rPr>
        <w:t>: (i) el Sistema de Integración Eléctrica Andina (SINEA)</w:t>
      </w:r>
      <w:r w:rsidR="00F632C4">
        <w:rPr>
          <w:rFonts w:ascii="Arial" w:eastAsia="MS Mincho" w:hAnsi="Arial" w:cs="Arial"/>
          <w:bCs/>
          <w:lang w:val="es-ES" w:eastAsia="ja-JP"/>
        </w:rPr>
        <w:t xml:space="preserve">; y (ii) la interconexión </w:t>
      </w:r>
      <w:r w:rsidR="00854161">
        <w:rPr>
          <w:rFonts w:ascii="Arial" w:eastAsia="MS Mincho" w:hAnsi="Arial" w:cs="Arial"/>
          <w:bCs/>
          <w:lang w:val="es-ES" w:eastAsia="ja-JP"/>
        </w:rPr>
        <w:t xml:space="preserve">al </w:t>
      </w:r>
      <w:r w:rsidR="00854161">
        <w:rPr>
          <w:rFonts w:ascii="Arial" w:eastAsia="MS Mincho" w:hAnsi="Arial" w:cs="Arial"/>
          <w:bCs/>
          <w:lang w:val="es-ES" w:eastAsia="ja-JP"/>
        </w:rPr>
        <w:lastRenderedPageBreak/>
        <w:t>norte con Panama</w:t>
      </w:r>
      <w:r w:rsidRPr="004F741B">
        <w:rPr>
          <w:rFonts w:ascii="Arial" w:eastAsia="MS Mincho" w:hAnsi="Arial" w:cs="Arial"/>
          <w:bCs/>
          <w:lang w:val="es-ES" w:eastAsia="ja-JP"/>
        </w:rPr>
        <w:t xml:space="preserve">. </w:t>
      </w:r>
      <w:r w:rsidR="00854161">
        <w:rPr>
          <w:rFonts w:ascii="Arial" w:eastAsia="MS Mincho" w:hAnsi="Arial" w:cs="Arial"/>
          <w:bCs/>
          <w:lang w:val="es-ES" w:eastAsia="ja-JP"/>
        </w:rPr>
        <w:t xml:space="preserve">SINEA, </w:t>
      </w:r>
      <w:r w:rsidRPr="004F741B">
        <w:rPr>
          <w:rFonts w:ascii="Arial" w:eastAsia="MS Mincho" w:hAnsi="Arial" w:cs="Arial"/>
          <w:bCs/>
          <w:lang w:val="es-ES" w:eastAsia="ja-JP"/>
        </w:rPr>
        <w:t>cuenta con la participación de Colombia y Ecuador, Perú</w:t>
      </w:r>
      <w:r w:rsidR="00854161">
        <w:rPr>
          <w:rFonts w:ascii="Arial" w:eastAsia="MS Mincho" w:hAnsi="Arial" w:cs="Arial"/>
          <w:bCs/>
          <w:lang w:val="es-ES" w:eastAsia="ja-JP"/>
        </w:rPr>
        <w:t>,</w:t>
      </w:r>
      <w:r w:rsidRPr="004F741B">
        <w:rPr>
          <w:rFonts w:ascii="Arial" w:eastAsia="MS Mincho" w:hAnsi="Arial" w:cs="Arial"/>
          <w:bCs/>
          <w:lang w:val="es-ES" w:eastAsia="ja-JP"/>
        </w:rPr>
        <w:t xml:space="preserve"> Chile</w:t>
      </w:r>
      <w:r w:rsidR="00854161">
        <w:rPr>
          <w:rFonts w:ascii="Arial" w:eastAsia="MS Mincho" w:hAnsi="Arial" w:cs="Arial"/>
          <w:bCs/>
          <w:lang w:val="es-ES" w:eastAsia="ja-JP"/>
        </w:rPr>
        <w:t>,</w:t>
      </w:r>
      <w:r w:rsidRPr="004F741B">
        <w:rPr>
          <w:rFonts w:ascii="Arial" w:eastAsia="MS Mincho" w:hAnsi="Arial" w:cs="Arial"/>
          <w:bCs/>
          <w:lang w:val="es-ES" w:eastAsia="ja-JP"/>
        </w:rPr>
        <w:t xml:space="preserve"> y Bolivia</w:t>
      </w:r>
      <w:r w:rsidR="00854161">
        <w:rPr>
          <w:rFonts w:ascii="Arial" w:eastAsia="MS Mincho" w:hAnsi="Arial" w:cs="Arial"/>
          <w:bCs/>
          <w:lang w:val="es-ES" w:eastAsia="ja-JP"/>
        </w:rPr>
        <w:t xml:space="preserve">, este </w:t>
      </w:r>
      <w:r w:rsidR="00FB1069">
        <w:rPr>
          <w:rFonts w:ascii="Arial" w:eastAsia="MS Mincho" w:hAnsi="Arial" w:cs="Arial"/>
          <w:bCs/>
          <w:lang w:val="es-ES" w:eastAsia="ja-JP"/>
        </w:rPr>
        <w:t>último</w:t>
      </w:r>
      <w:r w:rsidRPr="004F741B">
        <w:rPr>
          <w:rFonts w:ascii="Arial" w:eastAsia="MS Mincho" w:hAnsi="Arial" w:cs="Arial"/>
          <w:bCs/>
          <w:lang w:val="es-ES" w:eastAsia="ja-JP"/>
        </w:rPr>
        <w:t xml:space="preserve"> en calidad de país observador. </w:t>
      </w:r>
      <w:r w:rsidR="00854161">
        <w:rPr>
          <w:rFonts w:ascii="Arial" w:eastAsia="MS Mincho" w:hAnsi="Arial" w:cs="Arial"/>
          <w:bCs/>
          <w:lang w:val="es-ES" w:eastAsia="ja-JP"/>
        </w:rPr>
        <w:t xml:space="preserve">Actualmente esta iniciativa avanza con los estudios de </w:t>
      </w:r>
      <w:r w:rsidRPr="004F741B">
        <w:rPr>
          <w:rFonts w:ascii="Arial" w:eastAsia="MS Mincho" w:hAnsi="Arial" w:cs="Arial"/>
          <w:bCs/>
          <w:lang w:val="es-ES" w:eastAsia="ja-JP"/>
        </w:rPr>
        <w:t xml:space="preserve">diseño de la infraestructura y </w:t>
      </w:r>
      <w:r w:rsidRPr="004F741B">
        <w:rPr>
          <w:rFonts w:ascii="Arial" w:eastAsia="MS Mincho" w:hAnsi="Arial" w:cs="Arial"/>
          <w:bCs/>
          <w:lang w:val="es-ES_tradnl" w:eastAsia="ja-JP"/>
        </w:rPr>
        <w:t xml:space="preserve">estudios de planificación y armonización regulatoria. </w:t>
      </w:r>
      <w:r w:rsidR="00854161">
        <w:rPr>
          <w:rFonts w:ascii="Arial" w:eastAsia="MS Mincho" w:hAnsi="Arial" w:cs="Arial"/>
          <w:bCs/>
          <w:lang w:val="es-ES_tradnl" w:eastAsia="ja-JP"/>
        </w:rPr>
        <w:t xml:space="preserve">SNEA contempla </w:t>
      </w:r>
      <w:r w:rsidRPr="004F741B">
        <w:rPr>
          <w:rFonts w:ascii="Arial" w:eastAsia="MS Mincho" w:hAnsi="Arial" w:cs="Arial"/>
          <w:bCs/>
          <w:lang w:val="es-ES_tradnl" w:eastAsia="ja-JP"/>
        </w:rPr>
        <w:t xml:space="preserve">una línea de interconexión </w:t>
      </w:r>
      <w:r w:rsidR="00854161">
        <w:rPr>
          <w:rFonts w:ascii="Arial" w:eastAsia="MS Mincho" w:hAnsi="Arial" w:cs="Arial"/>
          <w:bCs/>
          <w:lang w:val="es-ES_tradnl" w:eastAsia="ja-JP"/>
        </w:rPr>
        <w:t xml:space="preserve">entre </w:t>
      </w:r>
      <w:r w:rsidRPr="004F741B">
        <w:rPr>
          <w:rFonts w:ascii="Arial" w:eastAsia="MS Mincho" w:hAnsi="Arial" w:cs="Arial"/>
          <w:bCs/>
          <w:lang w:val="es-ES_tradnl" w:eastAsia="ja-JP"/>
        </w:rPr>
        <w:t>Colombia-Ecuador en 500 kV (Alférez - Jamondino – San Rafael) de aproximadamente 450 Kms que mejoraría la capacidad efectiva y calidad de la transmisión</w:t>
      </w:r>
      <w:r w:rsidR="00854161">
        <w:rPr>
          <w:rFonts w:ascii="Arial" w:eastAsia="MS Mincho" w:hAnsi="Arial" w:cs="Arial"/>
          <w:bCs/>
          <w:lang w:val="es-ES_tradnl" w:eastAsia="ja-JP"/>
        </w:rPr>
        <w:t xml:space="preserve">. Por otro lado, </w:t>
      </w:r>
      <w:r w:rsidR="00854161">
        <w:rPr>
          <w:rFonts w:ascii="Arial" w:eastAsia="MS Mincho" w:hAnsi="Arial" w:cs="Arial"/>
          <w:bCs/>
          <w:lang w:val="es-ES" w:eastAsia="ja-JP"/>
        </w:rPr>
        <w:t xml:space="preserve">la </w:t>
      </w:r>
      <w:r w:rsidRPr="004F741B">
        <w:rPr>
          <w:rFonts w:ascii="Arial" w:eastAsia="MS Mincho" w:hAnsi="Arial" w:cs="Arial"/>
          <w:bCs/>
          <w:lang w:val="es-ES_tradnl" w:eastAsia="ja-JP"/>
        </w:rPr>
        <w:t>interconexión Colombia-Panamá</w:t>
      </w:r>
      <w:r w:rsidR="00854161">
        <w:rPr>
          <w:rFonts w:ascii="Arial" w:eastAsia="MS Mincho" w:hAnsi="Arial" w:cs="Arial"/>
          <w:bCs/>
          <w:lang w:val="es-ES_tradnl" w:eastAsia="ja-JP"/>
        </w:rPr>
        <w:t>, se espera llege</w:t>
      </w:r>
      <w:r w:rsidRPr="004F741B">
        <w:rPr>
          <w:rFonts w:ascii="Arial" w:eastAsia="MS Mincho" w:hAnsi="Arial" w:cs="Arial"/>
          <w:bCs/>
          <w:lang w:val="es-ES_tradnl" w:eastAsia="ja-JP"/>
        </w:rPr>
        <w:t xml:space="preserve"> a ser parte del Sistema de Interconexión Eléctrica de los Países de América Central (SIEPAC) y </w:t>
      </w:r>
      <w:r w:rsidR="00854161">
        <w:rPr>
          <w:rFonts w:ascii="Arial" w:eastAsia="MS Mincho" w:hAnsi="Arial" w:cs="Arial"/>
          <w:bCs/>
          <w:lang w:val="es-ES_tradnl" w:eastAsia="ja-JP"/>
        </w:rPr>
        <w:t>d</w:t>
      </w:r>
      <w:r w:rsidRPr="004F741B">
        <w:rPr>
          <w:rFonts w:ascii="Arial" w:eastAsia="MS Mincho" w:hAnsi="Arial" w:cs="Arial"/>
          <w:bCs/>
          <w:lang w:val="es-ES_tradnl" w:eastAsia="ja-JP"/>
        </w:rPr>
        <w:t>el Mercado Eléctrico Regional (MER). Consistiría en una línea de 300 MW, desde la subestación de Panamá II hasta la de Cerromatoso en el departamento de Córdoba. La UPME estima que esta línea entraría en operación en 2018 con costo aproximado a US$450 millones. Este proyecto está en fase de evaluación, con apoyo del BID. En el largo plazo Colombia podría desempeñar un papel importante para la interconexión eléctrica entre sur y centro América. De lograrse la interconexión con el SIEPAC y el SINEA, se posibilitaría el intercambio de energía eléctrica desde Guatemala y potencialmente desde México, hasta Chile. En esta gran interconexión, Colombia sería el eje de unión de los dos sistemas.</w:t>
      </w:r>
    </w:p>
    <w:p w:rsidR="00986590" w:rsidRPr="0062120B" w:rsidRDefault="004F741B" w:rsidP="004F741B">
      <w:pPr>
        <w:numPr>
          <w:ilvl w:val="1"/>
          <w:numId w:val="2"/>
        </w:numPr>
        <w:autoSpaceDE w:val="0"/>
        <w:autoSpaceDN w:val="0"/>
        <w:adjustRightInd w:val="0"/>
        <w:spacing w:before="120" w:after="120" w:line="240" w:lineRule="auto"/>
        <w:ind w:left="547" w:hanging="547"/>
        <w:jc w:val="both"/>
        <w:rPr>
          <w:rFonts w:ascii="Arial" w:eastAsia="MS Mincho" w:hAnsi="Arial" w:cs="Arial"/>
          <w:bCs/>
          <w:lang w:val="es-ES_tradnl" w:eastAsia="ja-JP"/>
        </w:rPr>
      </w:pPr>
      <w:r w:rsidRPr="004F741B">
        <w:rPr>
          <w:rFonts w:ascii="Arial" w:eastAsia="MS Mincho" w:hAnsi="Arial" w:cs="Arial"/>
          <w:bCs/>
          <w:lang w:val="es-ES_tradnl" w:eastAsia="ja-JP"/>
        </w:rPr>
        <w:t>El país tiene proyectos adicionales para conectar poblaciones cercanas a frontera con países vecinos y que no están conectadas al SIN. Estos proyectos se consideran como una solución de abastecimiento en las ZNI que podrían conectarse con Venezuela, Brasil y Panamá</w:t>
      </w:r>
      <w:r w:rsidR="00854161">
        <w:rPr>
          <w:rFonts w:ascii="Arial" w:eastAsia="MS Mincho" w:hAnsi="Arial" w:cs="Arial"/>
          <w:bCs/>
          <w:lang w:val="es-ES_tradnl" w:eastAsia="ja-JP"/>
        </w:rPr>
        <w:t xml:space="preserve">. Este tipo de iniciativas de electrificación regional ya se implementa actualmente entre Colombia y Ecuador. </w:t>
      </w:r>
    </w:p>
    <w:p w:rsidR="00986590" w:rsidRPr="0062120B" w:rsidRDefault="00986590" w:rsidP="00986590">
      <w:pPr>
        <w:pStyle w:val="ListParagraph"/>
        <w:keepNext/>
        <w:keepLines/>
        <w:numPr>
          <w:ilvl w:val="0"/>
          <w:numId w:val="29"/>
        </w:numPr>
        <w:spacing w:before="120" w:after="120" w:line="240" w:lineRule="auto"/>
        <w:outlineLvl w:val="1"/>
        <w:rPr>
          <w:rFonts w:ascii="Arial" w:eastAsia="MS Gothic" w:hAnsi="Arial" w:cs="Arial"/>
          <w:b/>
          <w:bCs/>
          <w:color w:val="4F81BD"/>
          <w:lang w:val="es-ES_tradnl"/>
        </w:rPr>
      </w:pPr>
      <w:r w:rsidRPr="0062120B">
        <w:rPr>
          <w:rFonts w:ascii="Arial" w:eastAsia="MS Gothic" w:hAnsi="Arial" w:cs="Arial"/>
          <w:b/>
          <w:bCs/>
          <w:color w:val="4F81BD"/>
          <w:lang w:val="es-ES_tradnl"/>
        </w:rPr>
        <w:t xml:space="preserve">SINEA y el Rol del BID </w:t>
      </w:r>
    </w:p>
    <w:p w:rsidR="00986590" w:rsidRPr="0062120B" w:rsidRDefault="00986590" w:rsidP="00986590">
      <w:pPr>
        <w:numPr>
          <w:ilvl w:val="1"/>
          <w:numId w:val="2"/>
        </w:numPr>
        <w:autoSpaceDE w:val="0"/>
        <w:autoSpaceDN w:val="0"/>
        <w:adjustRightInd w:val="0"/>
        <w:spacing w:before="120" w:after="120" w:line="240" w:lineRule="auto"/>
        <w:ind w:left="547" w:hanging="547"/>
        <w:jc w:val="both"/>
        <w:rPr>
          <w:rFonts w:ascii="Arial" w:eastAsia="MS Mincho" w:hAnsi="Arial" w:cs="Arial"/>
          <w:bCs/>
          <w:lang w:val="es-ES_tradnl" w:eastAsia="ja-JP"/>
        </w:rPr>
      </w:pPr>
      <w:r w:rsidRPr="0062120B">
        <w:rPr>
          <w:rFonts w:ascii="Arial" w:eastAsia="MS Mincho" w:hAnsi="Arial" w:cs="Arial"/>
          <w:b/>
          <w:bCs/>
          <w:lang w:val="es-ES_tradnl" w:eastAsia="ja-JP"/>
        </w:rPr>
        <w:t xml:space="preserve">Marco conceptual del SINEA - </w:t>
      </w:r>
      <w:r w:rsidRPr="0062120B">
        <w:rPr>
          <w:rFonts w:ascii="Arial" w:eastAsia="MS Mincho" w:hAnsi="Arial" w:cs="Arial"/>
          <w:b/>
          <w:bCs/>
          <w:i/>
          <w:lang w:val="es-ES_tradnl" w:eastAsia="ja-JP"/>
        </w:rPr>
        <w:t>Integración eléctrica con apoyo del Programa</w:t>
      </w:r>
      <w:r w:rsidRPr="0062120B">
        <w:rPr>
          <w:rFonts w:ascii="Arial" w:eastAsia="MS Mincho" w:hAnsi="Arial" w:cs="Arial"/>
          <w:b/>
          <w:bCs/>
          <w:lang w:val="es-ES_tradnl" w:eastAsia="ja-JP"/>
        </w:rPr>
        <w:t>.</w:t>
      </w:r>
      <w:r w:rsidRPr="0062120B">
        <w:rPr>
          <w:rFonts w:ascii="Arial" w:eastAsia="MS Mincho" w:hAnsi="Arial" w:cs="Arial"/>
          <w:bCs/>
          <w:lang w:val="es-ES_tradnl" w:eastAsia="ja-JP"/>
        </w:rPr>
        <w:t xml:space="preserve"> Con el propósito de evaluar la construcción de la infraestructura necesaria para la interconexión regional y el diseño de un marco regulatorio que facilite los intercambios y transacciones de energía eléctrica entre Colombia, Ecuador, Perú, Bolivia y Chile; los países acordaron en 2011 la creación de la iniciativa Sistema de Interconexión Eléctrica Andina (SINEA). </w:t>
      </w:r>
    </w:p>
    <w:p w:rsidR="00986590" w:rsidRPr="0062120B" w:rsidRDefault="00B97F65" w:rsidP="00986590">
      <w:pPr>
        <w:numPr>
          <w:ilvl w:val="1"/>
          <w:numId w:val="2"/>
        </w:numPr>
        <w:autoSpaceDE w:val="0"/>
        <w:autoSpaceDN w:val="0"/>
        <w:adjustRightInd w:val="0"/>
        <w:spacing w:before="120" w:after="120" w:line="240" w:lineRule="auto"/>
        <w:ind w:left="540" w:hanging="540"/>
        <w:jc w:val="both"/>
        <w:rPr>
          <w:rFonts w:ascii="Arial" w:eastAsia="MS Mincho" w:hAnsi="Arial" w:cs="Arial"/>
          <w:bCs/>
          <w:lang w:val="es-ES_tradnl" w:eastAsia="ja-JP"/>
        </w:rPr>
      </w:pPr>
      <w:r>
        <w:rPr>
          <w:noProof/>
          <w:lang w:val="es-US" w:eastAsia="zh-CN"/>
        </w:rPr>
        <mc:AlternateContent>
          <mc:Choice Requires="wps">
            <w:drawing>
              <wp:anchor distT="0" distB="0" distL="114300" distR="114300" simplePos="0" relativeHeight="251661312" behindDoc="0" locked="0" layoutInCell="1" allowOverlap="1" wp14:anchorId="6CA0A85E" wp14:editId="6A680D91">
                <wp:simplePos x="0" y="0"/>
                <wp:positionH relativeFrom="column">
                  <wp:posOffset>3397250</wp:posOffset>
                </wp:positionH>
                <wp:positionV relativeFrom="paragraph">
                  <wp:posOffset>3432175</wp:posOffset>
                </wp:positionV>
                <wp:extent cx="2590800" cy="20955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2590800" cy="209550"/>
                        </a:xfrm>
                        <a:prstGeom prst="rect">
                          <a:avLst/>
                        </a:prstGeom>
                        <a:solidFill>
                          <a:prstClr val="white"/>
                        </a:solidFill>
                        <a:ln>
                          <a:noFill/>
                        </a:ln>
                        <a:effectLst/>
                      </wps:spPr>
                      <wps:txbx>
                        <w:txbxContent>
                          <w:p w:rsidR="00F06BFC" w:rsidRPr="00FB5D7D" w:rsidRDefault="00F06BFC" w:rsidP="00F06BFC">
                            <w:pPr>
                              <w:pStyle w:val="Caption"/>
                              <w:jc w:val="center"/>
                              <w:rPr>
                                <w:rFonts w:ascii="Arial" w:hAnsi="Arial" w:cs="Arial"/>
                                <w:noProof/>
                              </w:rPr>
                            </w:pPr>
                            <w:r w:rsidRPr="00F06BFC">
                              <w:rPr>
                                <w:rFonts w:ascii="Arial" w:hAnsi="Arial" w:cs="Arial"/>
                                <w:noProof/>
                              </w:rPr>
                              <w:t>Figura 1: Infraestructura de SINEA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A0A85E" id="_x0000_t202" coordsize="21600,21600" o:spt="202" path="m,l,21600r21600,l21600,xe">
                <v:stroke joinstyle="miter"/>
                <v:path gradientshapeok="t" o:connecttype="rect"/>
              </v:shapetype>
              <v:shape id="Text Box 1" o:spid="_x0000_s1026" type="#_x0000_t202" style="position:absolute;left:0;text-align:left;margin-left:267.5pt;margin-top:270.25pt;width:204pt;height: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" stroked="f">
                <v:textbox inset="0,0,0,0">
                  <w:txbxContent>
                    <w:p w:rsidR="00F06BFC" w:rsidRPr="00FB5D7D" w:rsidRDefault="00F06BFC" w:rsidP="00F06BFC">
                      <w:pPr>
                        <w:pStyle w:val="Caption"/>
                        <w:jc w:val="center"/>
                        <w:rPr>
                          <w:rFonts w:ascii="Arial" w:hAnsi="Arial" w:cs="Arial"/>
                          <w:noProof/>
                        </w:rPr>
                      </w:pPr>
                      <w:r w:rsidRPr="00F06BFC">
                        <w:rPr>
                          <w:rFonts w:ascii="Arial" w:hAnsi="Arial" w:cs="Arial"/>
                          <w:noProof/>
                        </w:rPr>
                        <w:t>Figura 1: Infraestructura de SINEA</w:t>
                      </w:r>
                    </w:p>
                  </w:txbxContent>
                </v:textbox>
                <w10:wrap type="square"/>
              </v:shape>
            </w:pict>
          </mc:Fallback>
        </mc:AlternateContent>
      </w:r>
      <w:r w:rsidRPr="0062120B">
        <w:rPr>
          <w:rFonts w:ascii="Arial" w:hAnsi="Arial" w:cs="Arial"/>
          <w:noProof/>
          <w:lang w:val="es-US" w:eastAsia="zh-CN"/>
        </w:rPr>
        <w:drawing>
          <wp:anchor distT="0" distB="0" distL="114300" distR="114300" simplePos="0" relativeHeight="251659264" behindDoc="0" locked="0" layoutInCell="1" allowOverlap="1" wp14:anchorId="34DD5169" wp14:editId="29890BE7">
            <wp:simplePos x="0" y="0"/>
            <wp:positionH relativeFrom="column">
              <wp:posOffset>3359150</wp:posOffset>
            </wp:positionH>
            <wp:positionV relativeFrom="paragraph">
              <wp:posOffset>117475</wp:posOffset>
            </wp:positionV>
            <wp:extent cx="2705735" cy="3155950"/>
            <wp:effectExtent l="0" t="0" r="0" b="6350"/>
            <wp:wrapSquare wrapText="bothSides"/>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05735" cy="3155950"/>
                    </a:xfrm>
                    <a:prstGeom prst="rect">
                      <a:avLst/>
                    </a:prstGeom>
                    <a:noFill/>
                    <a:ln>
                      <a:noFill/>
                    </a:ln>
                  </pic:spPr>
                </pic:pic>
              </a:graphicData>
            </a:graphic>
            <wp14:sizeRelH relativeFrom="page">
              <wp14:pctWidth>0</wp14:pctWidth>
            </wp14:sizeRelH>
            <wp14:sizeRelV relativeFrom="page">
              <wp14:pctHeight>0</wp14:pctHeight>
            </wp14:sizeRelV>
          </wp:anchor>
        </w:drawing>
      </w:r>
      <w:r w:rsidR="00986590" w:rsidRPr="0062120B">
        <w:rPr>
          <w:rFonts w:ascii="Arial" w:eastAsia="MS Mincho" w:hAnsi="Arial" w:cs="Arial"/>
          <w:bCs/>
          <w:lang w:val="es-ES_tradnl" w:eastAsia="ja-JP"/>
        </w:rPr>
        <w:t xml:space="preserve">Con el apoyo del Banco Interamericano de Desarrollo (BID), mediante la Cooperación Técnica “Apoyo a los Estudios de Interconexión Eléctrica Andina” (RG-T2056), la iniciativa SINEA avanzó en el desarrollo de los estudios de infraestructura y armonización regulatoria, que han permitido delinear la estrategia de avance de la interconexión eléctrica andina. Los estudios concluyeron que la conformación de un mercado eléctrico regional (MRES) en los países andinos traería beneficios netos totales que superarían los US$1.500 millones y en los 10 primeros años de integración. Sin embargo, se necesita avanzar gradualmente en los detalles y por etapas, donde en primer lugar se apunte a un mejor aprovechamiento de las interconexiones existentes y al desarrollo de ámbitos de intercambios bilaterales, para luego ir hacia la conformación de un mercado subregional (integrado por Colombia, Ecuador y Perú), al que paulatinamente se le incorporarían Chile y </w:t>
      </w:r>
      <w:r w:rsidR="00986590" w:rsidRPr="0062120B">
        <w:rPr>
          <w:rFonts w:ascii="Arial" w:eastAsia="MS Mincho" w:hAnsi="Arial" w:cs="Arial"/>
          <w:bCs/>
          <w:lang w:val="es-ES_tradnl" w:eastAsia="ja-JP"/>
        </w:rPr>
        <w:lastRenderedPageBreak/>
        <w:t>Bolivia en sucesivas etapas, a medida que se concreten nuevas interconexiones y se establezcan marcos normativos que posibiliten los intercambios de electricidad.</w:t>
      </w:r>
    </w:p>
    <w:p w:rsidR="00986590" w:rsidRPr="0062120B" w:rsidRDefault="00986590" w:rsidP="00986590">
      <w:pPr>
        <w:numPr>
          <w:ilvl w:val="1"/>
          <w:numId w:val="2"/>
        </w:numPr>
        <w:autoSpaceDE w:val="0"/>
        <w:autoSpaceDN w:val="0"/>
        <w:adjustRightInd w:val="0"/>
        <w:spacing w:before="120" w:after="120" w:line="240" w:lineRule="auto"/>
        <w:ind w:left="547" w:hanging="547"/>
        <w:jc w:val="both"/>
        <w:rPr>
          <w:rFonts w:ascii="Arial" w:eastAsia="MS Mincho" w:hAnsi="Arial" w:cs="Arial"/>
          <w:bCs/>
          <w:lang w:val="es-ES_tradnl" w:eastAsia="ja-JP"/>
        </w:rPr>
      </w:pPr>
      <w:r w:rsidRPr="0062120B">
        <w:rPr>
          <w:rFonts w:ascii="Arial" w:eastAsia="MS Mincho" w:hAnsi="Arial" w:cs="Arial"/>
          <w:bCs/>
          <w:lang w:val="es-ES_tradnl" w:eastAsia="ja-JP"/>
        </w:rPr>
        <w:t>De las reuniones SINEA</w:t>
      </w:r>
      <w:r w:rsidRPr="0062120B">
        <w:rPr>
          <w:rStyle w:val="FootnoteReference"/>
          <w:rFonts w:ascii="Arial" w:eastAsia="MS Mincho" w:hAnsi="Arial" w:cs="Arial"/>
          <w:bCs/>
          <w:lang w:val="es-ES_tradnl" w:eastAsia="ja-JP"/>
        </w:rPr>
        <w:footnoteReference w:id="1"/>
      </w:r>
      <w:r w:rsidRPr="0062120B">
        <w:rPr>
          <w:rFonts w:ascii="Arial" w:eastAsia="MS Mincho" w:hAnsi="Arial" w:cs="Arial"/>
          <w:bCs/>
          <w:lang w:val="es-ES_tradnl" w:eastAsia="ja-JP"/>
        </w:rPr>
        <w:t xml:space="preserve"> los países acuerdan la importancia de mejorar los sistemas nacionales de generación, transmisión y distribución eléctrica para alcanzar los estándares técnicos y operativos de un sistema interconectado regional. </w:t>
      </w:r>
    </w:p>
    <w:p w:rsidR="00986590" w:rsidRPr="0062120B" w:rsidRDefault="00986590" w:rsidP="00986590">
      <w:pPr>
        <w:numPr>
          <w:ilvl w:val="1"/>
          <w:numId w:val="2"/>
        </w:numPr>
        <w:autoSpaceDE w:val="0"/>
        <w:autoSpaceDN w:val="0"/>
        <w:adjustRightInd w:val="0"/>
        <w:spacing w:before="120" w:after="120" w:line="240" w:lineRule="auto"/>
        <w:ind w:left="547" w:hanging="547"/>
        <w:jc w:val="both"/>
        <w:rPr>
          <w:rFonts w:ascii="Arial" w:hAnsi="Arial" w:cs="Arial"/>
          <w:lang w:val="es-ES_tradnl"/>
        </w:rPr>
      </w:pPr>
      <w:r w:rsidRPr="00E25EA3">
        <w:rPr>
          <w:rFonts w:ascii="Arial" w:eastAsia="MS Mincho" w:hAnsi="Arial" w:cs="Arial"/>
          <w:bCs/>
          <w:lang w:val="es-ES_tradnl" w:eastAsia="ja-JP"/>
        </w:rPr>
        <w:t>Además, como complemento a los desarrollos en infraestructura física, todos los países</w:t>
      </w:r>
      <w:r w:rsidRPr="0062120B">
        <w:rPr>
          <w:rFonts w:ascii="Arial" w:eastAsia="MS Mincho" w:hAnsi="Arial" w:cs="Arial"/>
          <w:bCs/>
          <w:lang w:val="es-ES_tradnl" w:eastAsia="ja-JP"/>
        </w:rPr>
        <w:t xml:space="preserve"> participantes de la interconexión regional tendrán que adecuar sus marcos regulatorios y comerciales para participar en el mercado que se defina (Mercado de Tiempo Real o Predespacho Vinculante).</w:t>
      </w:r>
      <w:r w:rsidRPr="0062120B" w:rsidDel="00DC2CCC">
        <w:rPr>
          <w:rFonts w:ascii="Arial" w:eastAsia="MS Mincho" w:hAnsi="Arial" w:cs="Arial"/>
          <w:bCs/>
          <w:lang w:val="es-ES_tradnl" w:eastAsia="ja-JP"/>
        </w:rPr>
        <w:t xml:space="preserve"> </w:t>
      </w:r>
      <w:r w:rsidRPr="0062120B">
        <w:rPr>
          <w:rFonts w:ascii="Arial" w:eastAsia="MS Mincho" w:hAnsi="Arial" w:cs="Arial"/>
          <w:bCs/>
          <w:lang w:val="es-ES_tradnl" w:eastAsia="ja-JP"/>
        </w:rPr>
        <w:t>Además, se prevé que los países acuerden las reglas de compensación por la energía que transitará por sus redes provenientes de un país y con destino a un tercero.</w:t>
      </w:r>
    </w:p>
    <w:p w:rsidR="00986590" w:rsidRPr="0062120B" w:rsidRDefault="00986590" w:rsidP="00986590">
      <w:pPr>
        <w:numPr>
          <w:ilvl w:val="1"/>
          <w:numId w:val="2"/>
        </w:numPr>
        <w:autoSpaceDE w:val="0"/>
        <w:autoSpaceDN w:val="0"/>
        <w:adjustRightInd w:val="0"/>
        <w:spacing w:before="120" w:after="120" w:line="240" w:lineRule="auto"/>
        <w:ind w:left="547" w:hanging="547"/>
        <w:jc w:val="both"/>
        <w:rPr>
          <w:rFonts w:ascii="Arial" w:hAnsi="Arial" w:cs="Arial"/>
          <w:lang w:val="es-ES_tradnl"/>
        </w:rPr>
      </w:pPr>
      <w:r w:rsidRPr="0062120B">
        <w:rPr>
          <w:rFonts w:ascii="Arial" w:eastAsia="MS Mincho" w:hAnsi="Arial" w:cs="Arial"/>
          <w:bCs/>
          <w:lang w:val="es-ES_tradnl" w:eastAsia="ja-JP"/>
        </w:rPr>
        <w:t xml:space="preserve">Entre los objetivos propuestos de esta iniciativa regional, se incluye asegurar el suministro de energía, promover el uso de energías renovables y diversificar la canasta energética. </w:t>
      </w:r>
    </w:p>
    <w:p w:rsidR="00986590" w:rsidRPr="0062120B" w:rsidRDefault="00986590" w:rsidP="00986590">
      <w:pPr>
        <w:numPr>
          <w:ilvl w:val="1"/>
          <w:numId w:val="2"/>
        </w:numPr>
        <w:autoSpaceDE w:val="0"/>
        <w:autoSpaceDN w:val="0"/>
        <w:adjustRightInd w:val="0"/>
        <w:spacing w:before="120" w:after="120" w:line="240" w:lineRule="auto"/>
        <w:ind w:left="547" w:hanging="547"/>
        <w:jc w:val="both"/>
        <w:rPr>
          <w:rFonts w:ascii="Arial" w:eastAsia="MS Mincho" w:hAnsi="Arial" w:cs="Arial"/>
          <w:bCs/>
          <w:lang w:val="es-ES_tradnl" w:eastAsia="ja-JP"/>
        </w:rPr>
      </w:pPr>
      <w:r w:rsidRPr="0062120B">
        <w:rPr>
          <w:rFonts w:ascii="Arial" w:eastAsia="MS Mincho" w:hAnsi="Arial" w:cs="Arial"/>
          <w:bCs/>
          <w:lang w:val="es-ES_tradnl" w:eastAsia="ja-JP"/>
        </w:rPr>
        <w:t>El 25 de Abril de 2014, los Ministros de Energía de los países SINEA firmaron una declaración ministerial, por la cual acordaron, entre otras cosas: (i) Avanzar en el proceso de integración eléctrica regional, según lo establecido en la Hoja de Ruta acordada; (ii) Profundizar los entendimientos de interconexión eléctrica binacionales identificados en los estudios realizados en una primera etapa, indispensable para alcanzar la integración regional en la materia; y (iii) analizar y adoptar un acuerdo de armonización regulatoria que permita conformar un mercado eléctrico regional, en forma gradual.</w:t>
      </w:r>
    </w:p>
    <w:p w:rsidR="00986590" w:rsidRPr="0062120B" w:rsidRDefault="00986590" w:rsidP="00986590">
      <w:pPr>
        <w:numPr>
          <w:ilvl w:val="1"/>
          <w:numId w:val="2"/>
        </w:numPr>
        <w:autoSpaceDE w:val="0"/>
        <w:autoSpaceDN w:val="0"/>
        <w:adjustRightInd w:val="0"/>
        <w:spacing w:before="120" w:after="120" w:line="240" w:lineRule="auto"/>
        <w:ind w:left="547" w:hanging="547"/>
        <w:jc w:val="both"/>
        <w:rPr>
          <w:rFonts w:ascii="Arial" w:eastAsia="MS Mincho" w:hAnsi="Arial" w:cs="Arial"/>
          <w:bCs/>
          <w:lang w:val="es-ES_tradnl" w:eastAsia="ja-JP"/>
        </w:rPr>
      </w:pPr>
      <w:r w:rsidRPr="0062120B">
        <w:rPr>
          <w:rFonts w:ascii="Arial" w:eastAsia="MS Mincho" w:hAnsi="Arial" w:cs="Arial"/>
          <w:bCs/>
          <w:lang w:val="es-ES_tradnl" w:eastAsia="ja-JP"/>
        </w:rPr>
        <w:t>Con el apoyo del BID se han logrado avances en la implementación de la Hoja de Ruta de SINEA</w:t>
      </w:r>
      <w:r w:rsidR="00F16FF3">
        <w:rPr>
          <w:rStyle w:val="FootnoteReference"/>
          <w:rFonts w:ascii="Arial" w:eastAsia="MS Mincho" w:hAnsi="Arial" w:cs="Arial"/>
          <w:bCs/>
          <w:lang w:val="es-ES_tradnl" w:eastAsia="ja-JP"/>
        </w:rPr>
        <w:footnoteReference w:id="2"/>
      </w:r>
      <w:r w:rsidRPr="0062120B">
        <w:rPr>
          <w:rFonts w:ascii="Arial" w:eastAsia="MS Mincho" w:hAnsi="Arial" w:cs="Arial"/>
          <w:bCs/>
          <w:lang w:val="es-ES_tradnl" w:eastAsia="ja-JP"/>
        </w:rPr>
        <w:t xml:space="preserve">, destacando la preparación de la Decisión de la Comunidad Andina de Naciones, que contiene el marco regulatorio que permita realizar transacciones regionales en un ámbito subregional (Colombia, Ecuador y Perú); y el estudio a nivel de Anteproyecto de la nueva interconexión eléctrica Perú-Ecuador en 500 kV, que fue culminado con la aprobación de ambos países en Mayo de 2016. </w:t>
      </w:r>
    </w:p>
    <w:p w:rsidR="00986590" w:rsidRDefault="00986590" w:rsidP="00986590">
      <w:pPr>
        <w:numPr>
          <w:ilvl w:val="1"/>
          <w:numId w:val="2"/>
        </w:numPr>
        <w:autoSpaceDE w:val="0"/>
        <w:autoSpaceDN w:val="0"/>
        <w:adjustRightInd w:val="0"/>
        <w:spacing w:before="120" w:after="120" w:line="240" w:lineRule="auto"/>
        <w:ind w:left="547" w:hanging="547"/>
        <w:jc w:val="both"/>
        <w:rPr>
          <w:rFonts w:ascii="Arial" w:eastAsia="MS Mincho" w:hAnsi="Arial" w:cs="Arial"/>
          <w:bCs/>
          <w:lang w:val="es-ES_tradnl" w:eastAsia="ja-JP"/>
        </w:rPr>
      </w:pPr>
      <w:r w:rsidRPr="0062120B">
        <w:rPr>
          <w:rFonts w:ascii="Arial" w:eastAsia="MS Mincho" w:hAnsi="Arial" w:cs="Arial"/>
          <w:bCs/>
          <w:lang w:val="es-ES_tradnl" w:eastAsia="ja-JP"/>
        </w:rPr>
        <w:t>Actualmente el BID se encuentra ejecutando la Cooperación Técnica Estudios Complementarios de Apoyo al Proceso de Integración Energética Andina (RG-T2729)  que tiene por objetivo seguir apoyando el proceso de integración energética regional de los países Andinos (Bolivia, Chile, Colombia, Ecuador y Perú) mediante la financiación de estudios que permitan culminar la armonización regulatoria entre países de la región andina y realizar los estudios de planeación y diseño de infraestructura regional (bi-nacional) faltante; así como, el fortalecimiento institucional y de coordinación regional de la Comunidad Andina y CANREL como institución clave del proceso de integración andino, incluyendo además la implementación de un sistema de información eléctrico regional andino.</w:t>
      </w:r>
    </w:p>
    <w:p w:rsidR="004F741B" w:rsidRPr="004F741B" w:rsidRDefault="004F741B" w:rsidP="004F741B">
      <w:pPr>
        <w:pStyle w:val="ListParagraph"/>
        <w:keepNext/>
        <w:keepLines/>
        <w:numPr>
          <w:ilvl w:val="0"/>
          <w:numId w:val="29"/>
        </w:numPr>
        <w:spacing w:before="120" w:after="120" w:line="240" w:lineRule="auto"/>
        <w:outlineLvl w:val="1"/>
        <w:rPr>
          <w:rFonts w:ascii="Arial" w:eastAsia="MS Gothic" w:hAnsi="Arial" w:cs="Arial"/>
          <w:b/>
          <w:bCs/>
          <w:color w:val="4F81BD"/>
          <w:lang w:val="es-ES_tradnl"/>
        </w:rPr>
      </w:pPr>
      <w:r w:rsidRPr="004F741B">
        <w:rPr>
          <w:rFonts w:ascii="Arial" w:eastAsia="MS Gothic" w:hAnsi="Arial" w:cs="Arial"/>
          <w:b/>
          <w:bCs/>
          <w:color w:val="4F81BD"/>
          <w:lang w:val="es-ES_tradnl"/>
        </w:rPr>
        <w:t>Interconexión Colombia - Panamá</w:t>
      </w:r>
    </w:p>
    <w:p w:rsidR="00436587" w:rsidRDefault="00436587" w:rsidP="00436587">
      <w:pPr>
        <w:numPr>
          <w:ilvl w:val="1"/>
          <w:numId w:val="2"/>
        </w:numPr>
        <w:autoSpaceDE w:val="0"/>
        <w:autoSpaceDN w:val="0"/>
        <w:adjustRightInd w:val="0"/>
        <w:spacing w:before="120" w:after="120" w:line="240" w:lineRule="auto"/>
        <w:ind w:left="547" w:hanging="547"/>
        <w:jc w:val="both"/>
        <w:rPr>
          <w:rFonts w:ascii="Arial" w:eastAsia="MS Mincho" w:hAnsi="Arial" w:cs="Arial"/>
          <w:bCs/>
          <w:lang w:val="es-ES_tradnl" w:eastAsia="ja-JP"/>
        </w:rPr>
      </w:pPr>
      <w:r w:rsidRPr="00436587">
        <w:rPr>
          <w:rFonts w:ascii="Arial" w:eastAsia="MS Mincho" w:hAnsi="Arial" w:cs="Arial"/>
          <w:bCs/>
          <w:lang w:val="es-ES_tradnl" w:eastAsia="ja-JP"/>
        </w:rPr>
        <w:t xml:space="preserve">El BID ha venido apoyado la ejecución de los estudios y actividades requeridas para la viabilidad del Proyecto de Interconexión Eléctrica entre Colombia y Panamá desde 2006. El proyecto consiste en una línea de transmisión eléctrica desde la subestación Panamá II (Provincia de Panamá) hasta la subestación Cerromatoso (Córdoba, Colombia). El recorrido aproximado de la línea será de 600 kilómetros y su capacidad de transporte de </w:t>
      </w:r>
      <w:r w:rsidRPr="00436587">
        <w:rPr>
          <w:rFonts w:ascii="Arial" w:eastAsia="MS Mincho" w:hAnsi="Arial" w:cs="Arial"/>
          <w:bCs/>
          <w:lang w:val="es-ES_tradnl" w:eastAsia="ja-JP"/>
        </w:rPr>
        <w:lastRenderedPageBreak/>
        <w:t>400 MW</w:t>
      </w:r>
      <w:r w:rsidR="007538B1" w:rsidRPr="007538B1">
        <w:rPr>
          <w:rFonts w:ascii="Arial" w:eastAsia="MS Mincho" w:hAnsi="Arial" w:cs="Arial"/>
          <w:bCs/>
          <w:vertAlign w:val="superscript"/>
          <w:lang w:val="es-ES" w:eastAsia="ja-JP"/>
        </w:rPr>
        <w:footnoteReference w:id="3"/>
      </w:r>
      <w:r w:rsidRPr="00436587">
        <w:rPr>
          <w:rFonts w:ascii="Arial" w:eastAsia="MS Mincho" w:hAnsi="Arial" w:cs="Arial"/>
          <w:bCs/>
          <w:lang w:val="es-ES_tradnl" w:eastAsia="ja-JP"/>
        </w:rPr>
        <w:t>. La construcción de la interconexión permitirá la integración de la Comunidad Andina con Mesoamérica, a través del Mercado Eléctrico Regional (MER) y de la red de transmisión del Sistema de Interconexión Eléctrica de los Países de América Central (SIEPAC), el acceso a generación de energía eléctrica más económica, y la reducción del uso de combustibles fósiles líquidos para la generación eléctrica, representando beneficios para los usuarios finales de la región y reducción de emisiones de CO</w:t>
      </w:r>
      <w:r w:rsidRPr="00436587">
        <w:rPr>
          <w:rFonts w:ascii="Arial" w:eastAsia="MS Mincho" w:hAnsi="Arial" w:cs="Arial"/>
          <w:bCs/>
          <w:vertAlign w:val="subscript"/>
          <w:lang w:val="es-ES_tradnl" w:eastAsia="ja-JP"/>
        </w:rPr>
        <w:t>2</w:t>
      </w:r>
      <w:r w:rsidRPr="00436587">
        <w:rPr>
          <w:rFonts w:ascii="Arial" w:eastAsia="MS Mincho" w:hAnsi="Arial" w:cs="Arial"/>
          <w:bCs/>
          <w:lang w:val="es-ES_tradnl" w:eastAsia="ja-JP"/>
        </w:rPr>
        <w:t>.</w:t>
      </w:r>
    </w:p>
    <w:p w:rsidR="00CF71DB" w:rsidRDefault="00266A5D" w:rsidP="00CF71DB">
      <w:pPr>
        <w:keepNext/>
        <w:autoSpaceDE w:val="0"/>
        <w:autoSpaceDN w:val="0"/>
        <w:adjustRightInd w:val="0"/>
        <w:spacing w:before="120" w:after="120" w:line="240" w:lineRule="auto"/>
        <w:ind w:left="90"/>
        <w:jc w:val="center"/>
      </w:pPr>
      <w:r w:rsidRPr="0075094E">
        <w:rPr>
          <w:noProof/>
          <w:lang w:val="es-US" w:eastAsia="zh-CN"/>
        </w:rPr>
        <w:drawing>
          <wp:inline distT="0" distB="0" distL="0" distR="0" wp14:anchorId="099A5FD5" wp14:editId="025B29BA">
            <wp:extent cx="3662225" cy="2639854"/>
            <wp:effectExtent l="0" t="0" r="0" b="8255"/>
            <wp:docPr id="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669413" cy="2645036"/>
                    </a:xfrm>
                    <a:prstGeom prst="rect">
                      <a:avLst/>
                    </a:prstGeom>
                    <a:noFill/>
                  </pic:spPr>
                </pic:pic>
              </a:graphicData>
            </a:graphic>
          </wp:inline>
        </w:drawing>
      </w:r>
    </w:p>
    <w:p w:rsidR="00266A5D" w:rsidRDefault="0079161C" w:rsidP="00CF71DB">
      <w:pPr>
        <w:pStyle w:val="Caption"/>
        <w:jc w:val="center"/>
        <w:rPr>
          <w:rFonts w:ascii="Arial" w:eastAsia="MS Mincho" w:hAnsi="Arial" w:cs="Arial"/>
          <w:bCs w:val="0"/>
          <w:lang w:val="es-ES_tradnl" w:eastAsia="ja-JP"/>
        </w:rPr>
      </w:pPr>
      <w:r>
        <w:rPr>
          <w:rFonts w:ascii="Arial" w:eastAsia="MS Mincho" w:hAnsi="Arial" w:cs="Arial"/>
          <w:bCs w:val="0"/>
          <w:lang w:val="es-ES_tradnl" w:eastAsia="ja-JP"/>
        </w:rPr>
        <w:t xml:space="preserve">Figura 2: </w:t>
      </w:r>
      <w:r w:rsidR="00CF71DB" w:rsidRPr="00CF71DB">
        <w:rPr>
          <w:rFonts w:ascii="Arial" w:eastAsia="MS Mincho" w:hAnsi="Arial" w:cs="Arial"/>
          <w:bCs w:val="0"/>
          <w:lang w:val="es-ES_tradnl" w:eastAsia="ja-JP"/>
        </w:rPr>
        <w:t xml:space="preserve">Tramos del </w:t>
      </w:r>
      <w:r w:rsidR="00CF71DB" w:rsidRPr="00CF71DB">
        <w:rPr>
          <w:rFonts w:ascii="Arial" w:eastAsia="MS Mincho" w:hAnsi="Arial" w:cs="Arial"/>
          <w:bCs w:val="0"/>
          <w:lang w:val="es-ES" w:eastAsia="ja-JP"/>
        </w:rPr>
        <w:t>proyecto</w:t>
      </w:r>
      <w:r w:rsidR="00CF71DB" w:rsidRPr="00CF71DB">
        <w:rPr>
          <w:rFonts w:ascii="Arial" w:eastAsia="MS Mincho" w:hAnsi="Arial" w:cs="Arial"/>
          <w:bCs w:val="0"/>
          <w:lang w:val="es-ES_tradnl" w:eastAsia="ja-JP"/>
        </w:rPr>
        <w:t xml:space="preserve"> de Interconexión Eléctrica Colombia-Panamá</w:t>
      </w:r>
    </w:p>
    <w:p w:rsidR="00986590" w:rsidRDefault="00436587" w:rsidP="00436587">
      <w:pPr>
        <w:numPr>
          <w:ilvl w:val="1"/>
          <w:numId w:val="2"/>
        </w:numPr>
        <w:autoSpaceDE w:val="0"/>
        <w:autoSpaceDN w:val="0"/>
        <w:adjustRightInd w:val="0"/>
        <w:spacing w:before="120" w:after="120" w:line="240" w:lineRule="auto"/>
        <w:ind w:left="547" w:hanging="547"/>
        <w:jc w:val="both"/>
        <w:rPr>
          <w:rFonts w:ascii="Arial" w:eastAsia="MS Mincho" w:hAnsi="Arial" w:cs="Arial"/>
          <w:bCs/>
          <w:lang w:val="es-ES_tradnl" w:eastAsia="ja-JP"/>
        </w:rPr>
      </w:pPr>
      <w:r w:rsidRPr="00436587">
        <w:rPr>
          <w:rFonts w:ascii="Arial" w:eastAsia="MS Mincho" w:hAnsi="Arial" w:cs="Arial"/>
          <w:bCs/>
          <w:lang w:val="es-ES_tradnl" w:eastAsia="ja-JP"/>
        </w:rPr>
        <w:t xml:space="preserve">El Proyecto de Interconexión ha sido considerado de alta importancia para la región y los países que la conforman han ratificado su compromiso de apoyar su desarrollo. Este compromiso ha sido evidenciado en la Declaración Ministerial de junio 2013, sobre el progreso de la Integración Energética Mesoamericana, suscrita por los gobiernos de los países integrantes del Sistema de Interconexión Eléctrica para América Central-SIEPAC, junto con los Gobiernos de Belice, Colombia, México y República </w:t>
      </w:r>
      <w:r w:rsidRPr="00E254E7">
        <w:rPr>
          <w:rFonts w:ascii="Arial" w:eastAsia="MS Mincho" w:hAnsi="Arial" w:cs="Arial"/>
          <w:bCs/>
          <w:lang w:val="es-ES_tradnl" w:eastAsia="ja-JP"/>
        </w:rPr>
        <w:t>Dominicana. La ratificación de este compromiso se realizó en diciembre de 2014, en declaración, en la cual solicitan a los entes encargados promover el desarrollo de los instrumentos</w:t>
      </w:r>
      <w:r w:rsidRPr="00436587">
        <w:rPr>
          <w:rFonts w:ascii="Arial" w:eastAsia="MS Mincho" w:hAnsi="Arial" w:cs="Arial"/>
          <w:bCs/>
          <w:lang w:val="es-ES_tradnl" w:eastAsia="ja-JP"/>
        </w:rPr>
        <w:t xml:space="preserve"> regulatorios y técnicos que se requieran para la coordinación operativa y funcionamiento del MER con la interconexión Panamá-Colombia.</w:t>
      </w:r>
    </w:p>
    <w:p w:rsidR="00266A5D" w:rsidRPr="00436587" w:rsidRDefault="00266A5D" w:rsidP="00266A5D">
      <w:pPr>
        <w:autoSpaceDE w:val="0"/>
        <w:autoSpaceDN w:val="0"/>
        <w:adjustRightInd w:val="0"/>
        <w:spacing w:before="120" w:after="120" w:line="240" w:lineRule="auto"/>
        <w:ind w:left="547"/>
        <w:jc w:val="both"/>
        <w:rPr>
          <w:rFonts w:ascii="Arial" w:eastAsia="MS Mincho" w:hAnsi="Arial" w:cs="Arial"/>
          <w:bCs/>
          <w:lang w:val="es-ES_tradnl" w:eastAsia="ja-JP"/>
        </w:rPr>
      </w:pPr>
    </w:p>
    <w:p w:rsidR="00986590" w:rsidRPr="0062120B" w:rsidRDefault="00986590" w:rsidP="00986590">
      <w:pPr>
        <w:pStyle w:val="ListParagraph"/>
        <w:keepNext/>
        <w:keepLines/>
        <w:numPr>
          <w:ilvl w:val="0"/>
          <w:numId w:val="2"/>
        </w:numPr>
        <w:autoSpaceDE w:val="0"/>
        <w:autoSpaceDN w:val="0"/>
        <w:adjustRightInd w:val="0"/>
        <w:spacing w:before="120" w:after="120" w:line="240" w:lineRule="auto"/>
        <w:ind w:left="540" w:hanging="540"/>
        <w:jc w:val="both"/>
        <w:outlineLvl w:val="1"/>
        <w:rPr>
          <w:rFonts w:ascii="Arial" w:eastAsia="MS Gothic" w:hAnsi="Arial" w:cs="Arial"/>
          <w:b/>
          <w:bCs/>
          <w:color w:val="4F81BD"/>
          <w:lang w:val="es-ES_tradnl"/>
        </w:rPr>
      </w:pPr>
      <w:r w:rsidRPr="0062120B">
        <w:rPr>
          <w:rFonts w:ascii="Arial" w:eastAsia="MS Gothic" w:hAnsi="Arial" w:cs="Arial"/>
          <w:b/>
          <w:bCs/>
          <w:color w:val="4F81BD"/>
          <w:lang w:val="es-ES_tradnl"/>
        </w:rPr>
        <w:t xml:space="preserve">Principales aspectos considerados para la clasificación de </w:t>
      </w:r>
      <w:r w:rsidR="00F417CC">
        <w:rPr>
          <w:rFonts w:ascii="Arial" w:eastAsia="MS Gothic" w:hAnsi="Arial" w:cs="Arial"/>
          <w:b/>
          <w:bCs/>
          <w:color w:val="4F81BD"/>
          <w:lang w:val="es-ES_tradnl"/>
        </w:rPr>
        <w:t>CO-L1217</w:t>
      </w:r>
      <w:r w:rsidRPr="0062120B">
        <w:rPr>
          <w:rFonts w:ascii="Arial" w:eastAsia="MS Gothic" w:hAnsi="Arial" w:cs="Arial"/>
          <w:b/>
          <w:bCs/>
          <w:color w:val="4F81BD"/>
          <w:lang w:val="es-ES_tradnl"/>
        </w:rPr>
        <w:t xml:space="preserve">, como operación de integración regional </w:t>
      </w:r>
    </w:p>
    <w:p w:rsidR="00564559" w:rsidRDefault="00F417CC" w:rsidP="00986590">
      <w:pPr>
        <w:numPr>
          <w:ilvl w:val="1"/>
          <w:numId w:val="2"/>
        </w:numPr>
        <w:autoSpaceDE w:val="0"/>
        <w:autoSpaceDN w:val="0"/>
        <w:adjustRightInd w:val="0"/>
        <w:spacing w:before="120" w:after="120" w:line="240" w:lineRule="auto"/>
        <w:ind w:left="547" w:hanging="547"/>
        <w:jc w:val="both"/>
        <w:rPr>
          <w:rFonts w:ascii="Arial" w:eastAsia="MS Mincho" w:hAnsi="Arial" w:cs="Arial"/>
          <w:bCs/>
          <w:lang w:val="es-ES_tradnl" w:eastAsia="ja-JP"/>
        </w:rPr>
      </w:pPr>
      <w:r w:rsidRPr="00F417CC">
        <w:rPr>
          <w:rFonts w:ascii="Arial" w:eastAsia="MS Mincho" w:hAnsi="Arial" w:cs="Arial"/>
          <w:bCs/>
          <w:lang w:val="es-ES_tradnl" w:eastAsia="ja-JP"/>
        </w:rPr>
        <w:t xml:space="preserve">El objetivo general de la serie programática </w:t>
      </w:r>
      <w:r w:rsidR="00564559" w:rsidRPr="00564559">
        <w:rPr>
          <w:rFonts w:ascii="Arial" w:eastAsia="MS Mincho" w:hAnsi="Arial" w:cs="Arial"/>
          <w:bCs/>
          <w:lang w:val="es-ES_tradnl" w:eastAsia="ja-JP"/>
        </w:rPr>
        <w:t xml:space="preserve">es contribuir a la sostenibilidad del sector energético del país a través de un proceso de reformas de políticas que permitan asegurar la oferta eficiente de energía eléctrica en el SIN y las ZNI, a fin de reducir la vulnerabilidad del sector frente a los efectos del cambio climático y aumentar el acceso eléctrico. Los objetivos específicos son: (i) asegurar un contexto macroeconómico congruente con los objetivos del programa; (ii) contribuir a garantizar el abastecimiento de </w:t>
      </w:r>
      <w:r w:rsidR="00564559" w:rsidRPr="00564559">
        <w:rPr>
          <w:rFonts w:ascii="Arial" w:eastAsia="MS Mincho" w:hAnsi="Arial" w:cs="Arial"/>
          <w:bCs/>
          <w:lang w:val="es-ES_tradnl" w:eastAsia="ja-JP"/>
        </w:rPr>
        <w:lastRenderedPageBreak/>
        <w:t>energía del SIN mediante la diversificación de la matriz energética con FNCER y el incremento de los intercambios energía a nivel internacional; y establecer medidas que permitan aumentar y garantizar la oferta de GN para generación, administrar la demanda energética y optimizar el funcionamiento del MEM; y (iii) promover el acceso a la energía en las ZNI mediante el uso de FNCER.</w:t>
      </w:r>
      <w:r w:rsidR="00564559">
        <w:rPr>
          <w:rFonts w:ascii="Arial" w:eastAsia="MS Mincho" w:hAnsi="Arial" w:cs="Arial"/>
          <w:bCs/>
          <w:lang w:val="es-ES_tradnl" w:eastAsia="ja-JP"/>
        </w:rPr>
        <w:t xml:space="preserve"> </w:t>
      </w:r>
    </w:p>
    <w:p w:rsidR="00986590" w:rsidRPr="0062120B" w:rsidRDefault="00564559" w:rsidP="00986590">
      <w:pPr>
        <w:numPr>
          <w:ilvl w:val="1"/>
          <w:numId w:val="2"/>
        </w:numPr>
        <w:autoSpaceDE w:val="0"/>
        <w:autoSpaceDN w:val="0"/>
        <w:adjustRightInd w:val="0"/>
        <w:spacing w:before="120" w:after="120" w:line="240" w:lineRule="auto"/>
        <w:ind w:left="547" w:hanging="547"/>
        <w:jc w:val="both"/>
        <w:rPr>
          <w:rFonts w:ascii="Arial" w:eastAsia="MS Mincho" w:hAnsi="Arial" w:cs="Arial"/>
          <w:bCs/>
          <w:lang w:val="es-ES_tradnl" w:eastAsia="ja-JP"/>
        </w:rPr>
      </w:pPr>
      <w:r>
        <w:rPr>
          <w:rFonts w:ascii="Arial" w:eastAsia="MS Mincho" w:hAnsi="Arial" w:cs="Arial"/>
          <w:b/>
          <w:bCs/>
          <w:lang w:val="es-ES_tradnl" w:eastAsia="ja-JP"/>
        </w:rPr>
        <w:t xml:space="preserve">El </w:t>
      </w:r>
      <w:r w:rsidRPr="00564559">
        <w:rPr>
          <w:rFonts w:ascii="Arial" w:eastAsia="MS Mincho" w:hAnsi="Arial" w:cs="Arial"/>
          <w:b/>
          <w:bCs/>
          <w:lang w:val="es-ES_tradnl" w:eastAsia="ja-JP"/>
        </w:rPr>
        <w:t>Componente 2</w:t>
      </w:r>
      <w:r>
        <w:rPr>
          <w:rFonts w:ascii="Arial" w:eastAsia="MS Mincho" w:hAnsi="Arial" w:cs="Arial"/>
          <w:b/>
          <w:bCs/>
          <w:lang w:val="es-ES_tradnl" w:eastAsia="ja-JP"/>
        </w:rPr>
        <w:t xml:space="preserve"> del programa</w:t>
      </w:r>
      <w:r w:rsidRPr="00564559">
        <w:rPr>
          <w:rFonts w:ascii="Arial" w:eastAsia="MS Mincho" w:hAnsi="Arial" w:cs="Arial"/>
          <w:b/>
          <w:bCs/>
          <w:lang w:val="es-ES_tradnl" w:eastAsia="ja-JP"/>
        </w:rPr>
        <w:t>. Apoyo a la confiabilidad del abastecimiento eléctrico del Sistema Interconectado Nacional (SIN)</w:t>
      </w:r>
      <w:r>
        <w:rPr>
          <w:rFonts w:ascii="Arial" w:eastAsia="MS Mincho" w:hAnsi="Arial" w:cs="Arial"/>
          <w:b/>
          <w:bCs/>
          <w:lang w:val="es-ES_tradnl" w:eastAsia="ja-JP"/>
        </w:rPr>
        <w:t>,</w:t>
      </w:r>
      <w:r w:rsidRPr="00564559">
        <w:rPr>
          <w:rFonts w:ascii="Arial" w:eastAsia="MS Mincho" w:hAnsi="Arial" w:cs="Arial"/>
          <w:b/>
          <w:bCs/>
          <w:lang w:val="es-ES_tradnl" w:eastAsia="ja-JP"/>
        </w:rPr>
        <w:t xml:space="preserve"> </w:t>
      </w:r>
      <w:r w:rsidRPr="00564559">
        <w:rPr>
          <w:rFonts w:ascii="Arial" w:eastAsia="MS Mincho" w:hAnsi="Arial" w:cs="Arial"/>
          <w:bCs/>
          <w:lang w:val="es-ES_tradnl" w:eastAsia="ja-JP"/>
        </w:rPr>
        <w:t xml:space="preserve">apoyan las siguientes medidas que reducen el riesgo de desabastecimiento del SIN: promoción de la diversificación de la matriz energética con FNCER y mayor integración eléctrica regional; y  medidas para mejorar la operación del mercado eléctrico. </w:t>
      </w:r>
      <w:r w:rsidR="00E254E7">
        <w:rPr>
          <w:rFonts w:ascii="Arial" w:eastAsia="MS Mincho" w:hAnsi="Arial" w:cs="Arial"/>
          <w:bCs/>
          <w:lang w:val="es-ES_tradnl" w:eastAsia="ja-JP"/>
        </w:rPr>
        <w:t>El Subcomponente 2.1 de</w:t>
      </w:r>
      <w:r>
        <w:rPr>
          <w:rFonts w:ascii="Arial" w:eastAsia="MS Mincho" w:hAnsi="Arial" w:cs="Arial"/>
          <w:bCs/>
          <w:lang w:val="es-ES_tradnl" w:eastAsia="ja-JP"/>
        </w:rPr>
        <w:t xml:space="preserve"> este</w:t>
      </w:r>
      <w:r w:rsidR="00E254E7">
        <w:rPr>
          <w:rFonts w:ascii="Arial" w:eastAsia="MS Mincho" w:hAnsi="Arial" w:cs="Arial"/>
          <w:bCs/>
          <w:lang w:val="es-ES_tradnl" w:eastAsia="ja-JP"/>
        </w:rPr>
        <w:t xml:space="preserve"> Componente 2 considera: </w:t>
      </w:r>
    </w:p>
    <w:p w:rsidR="00F05CF3" w:rsidRPr="00F05CF3" w:rsidRDefault="00E254E7" w:rsidP="00F05CF3">
      <w:pPr>
        <w:numPr>
          <w:ilvl w:val="1"/>
          <w:numId w:val="2"/>
        </w:numPr>
        <w:tabs>
          <w:tab w:val="num" w:pos="720"/>
        </w:tabs>
        <w:autoSpaceDE w:val="0"/>
        <w:autoSpaceDN w:val="0"/>
        <w:adjustRightInd w:val="0"/>
        <w:spacing w:before="120" w:after="120" w:line="240" w:lineRule="auto"/>
        <w:ind w:left="547" w:hanging="547"/>
        <w:jc w:val="both"/>
        <w:rPr>
          <w:rFonts w:ascii="Arial" w:eastAsia="MS Mincho" w:hAnsi="Arial" w:cs="Arial"/>
          <w:bCs/>
          <w:lang w:val="es-ES" w:eastAsia="ja-JP"/>
        </w:rPr>
      </w:pPr>
      <w:r>
        <w:rPr>
          <w:rFonts w:ascii="Arial" w:eastAsia="MS Mincho" w:hAnsi="Arial" w:cs="Arial"/>
          <w:b/>
          <w:bCs/>
          <w:lang w:val="es-ES_tradnl" w:eastAsia="ja-JP"/>
        </w:rPr>
        <w:t>Subc</w:t>
      </w:r>
      <w:r w:rsidR="00F417CC" w:rsidRPr="00F417CC">
        <w:rPr>
          <w:rFonts w:ascii="Arial" w:eastAsia="MS Mincho" w:hAnsi="Arial" w:cs="Arial"/>
          <w:b/>
          <w:bCs/>
          <w:lang w:val="es-ES_tradnl" w:eastAsia="ja-JP"/>
        </w:rPr>
        <w:t>omponente 2</w:t>
      </w:r>
      <w:r>
        <w:rPr>
          <w:rFonts w:ascii="Arial" w:eastAsia="MS Mincho" w:hAnsi="Arial" w:cs="Arial"/>
          <w:b/>
          <w:bCs/>
          <w:lang w:val="es-ES_tradnl" w:eastAsia="ja-JP"/>
        </w:rPr>
        <w:t>-1</w:t>
      </w:r>
      <w:r w:rsidR="00F417CC" w:rsidRPr="00F417CC">
        <w:rPr>
          <w:rFonts w:ascii="Arial" w:eastAsia="MS Mincho" w:hAnsi="Arial" w:cs="Arial"/>
          <w:b/>
          <w:bCs/>
          <w:lang w:val="es-ES_tradnl" w:eastAsia="ja-JP"/>
        </w:rPr>
        <w:t xml:space="preserve">. </w:t>
      </w:r>
      <w:r w:rsidR="00D81BEC" w:rsidRPr="00D81BEC">
        <w:rPr>
          <w:rFonts w:ascii="Arial" w:eastAsia="MS Mincho" w:hAnsi="Arial" w:cs="Arial"/>
          <w:b/>
          <w:bCs/>
          <w:lang w:val="es-ES_tradnl" w:eastAsia="ja-JP"/>
        </w:rPr>
        <w:t>Apoyo a la diversifi</w:t>
      </w:r>
      <w:r>
        <w:rPr>
          <w:rFonts w:ascii="Arial" w:eastAsia="MS Mincho" w:hAnsi="Arial" w:cs="Arial"/>
          <w:b/>
          <w:bCs/>
          <w:lang w:val="es-ES_tradnl" w:eastAsia="ja-JP"/>
        </w:rPr>
        <w:t xml:space="preserve">cación de la matriz energética </w:t>
      </w:r>
      <w:r w:rsidR="00D81BEC" w:rsidRPr="00D81BEC">
        <w:rPr>
          <w:rFonts w:ascii="Arial" w:eastAsia="MS Mincho" w:hAnsi="Arial" w:cs="Arial"/>
          <w:b/>
          <w:bCs/>
          <w:lang w:val="es-ES_tradnl" w:eastAsia="ja-JP"/>
        </w:rPr>
        <w:t>y a la integración eléctrica regional</w:t>
      </w:r>
      <w:r w:rsidR="00F417CC" w:rsidRPr="00F417CC">
        <w:rPr>
          <w:rFonts w:ascii="Arial" w:eastAsia="MS Mincho" w:hAnsi="Arial" w:cs="Arial"/>
          <w:b/>
          <w:bCs/>
          <w:lang w:val="es-ES_tradnl" w:eastAsia="ja-JP"/>
        </w:rPr>
        <w:t>.</w:t>
      </w:r>
      <w:r w:rsidR="00F417CC" w:rsidRPr="00F417CC">
        <w:rPr>
          <w:rFonts w:ascii="Arial" w:eastAsia="MS Mincho" w:hAnsi="Arial" w:cs="Arial"/>
          <w:bCs/>
          <w:lang w:val="es-ES_tradnl" w:eastAsia="ja-JP"/>
        </w:rPr>
        <w:t xml:space="preserve"> </w:t>
      </w:r>
      <w:r w:rsidR="00E92BEE" w:rsidRPr="00E92BEE">
        <w:rPr>
          <w:rFonts w:ascii="Arial" w:eastAsia="MS Mincho" w:hAnsi="Arial" w:cs="Arial"/>
          <w:bCs/>
          <w:lang w:val="es-ES_tradnl" w:eastAsia="ja-JP"/>
        </w:rPr>
        <w:t>Apoyará la adopción de políticas enfocadas a la diversificación de la matriz energética mediante la promoción e incorporación de las FNCER al SIN y la promoción de las interconexiones eléctricas regionales, con el objetivo de asegurar el abastecimiento eléctrico del SIN. Se han acordado los siguientes compromisos programáticos, correspondientes a la primera operación: (i) que para la promoción de FNCER, se hayan aprobado y se encuentran vigentes los siguientes reglamentos de la Ley 1715 de 2014: (a) definición de los lineamientos para la aplicación de los incentivos establecidos en el Capítulo III de esa Ley, “Incentivos a la inversión en proyectos de Fuentes No Convencionales de Energía”; (b) procedimientos y requisitos para acceder a los incentivos a la inversión en proyectos FNCER; (c) establecimiento de condiciones de conexión y medida del autogenerador a gran escala al SIN; y (ii) que se haya diseñado el Proyecto de Decisión del Marco Regulatorio para la interconexión Subregional de los Sistemas Eléctricos e Intercambio Comunitario de Electricidad del SINEA</w:t>
      </w:r>
      <w:r w:rsidR="00F05CF3" w:rsidRPr="00F05CF3">
        <w:rPr>
          <w:rFonts w:ascii="Arial" w:eastAsia="MS Mincho" w:hAnsi="Arial" w:cs="Arial"/>
          <w:bCs/>
          <w:lang w:val="es-ES_tradnl" w:eastAsia="ja-JP"/>
        </w:rPr>
        <w:t>.</w:t>
      </w:r>
    </w:p>
    <w:p w:rsidR="00F05CF3" w:rsidRPr="00F05CF3" w:rsidRDefault="00320F1C" w:rsidP="00F05CF3">
      <w:pPr>
        <w:numPr>
          <w:ilvl w:val="1"/>
          <w:numId w:val="2"/>
        </w:numPr>
        <w:tabs>
          <w:tab w:val="num" w:pos="720"/>
        </w:tabs>
        <w:autoSpaceDE w:val="0"/>
        <w:autoSpaceDN w:val="0"/>
        <w:adjustRightInd w:val="0"/>
        <w:spacing w:before="120" w:after="120" w:line="240" w:lineRule="auto"/>
        <w:ind w:left="547" w:hanging="547"/>
        <w:jc w:val="both"/>
        <w:rPr>
          <w:rFonts w:ascii="Arial" w:eastAsia="MS Mincho" w:hAnsi="Arial" w:cs="Arial"/>
          <w:bCs/>
          <w:lang w:val="es-ES" w:eastAsia="ja-JP"/>
        </w:rPr>
      </w:pPr>
      <w:r w:rsidRPr="00320F1C">
        <w:rPr>
          <w:rFonts w:ascii="Arial" w:eastAsia="MS Mincho" w:hAnsi="Arial" w:cs="Arial"/>
          <w:bCs/>
          <w:lang w:val="es-ES_tradnl" w:eastAsia="ja-JP"/>
        </w:rPr>
        <w:t xml:space="preserve">Los mecanismos activadores propuestos en este componente para el segundo préstamo son: (i) para la promoción de FNCER, que se hayan aprobado y se encuentran vigentes y operando los siguientes reglamentos de la Ley 1715 de 2014: (a) implementación y puesta en marcha de un sistema informático para realizar los trámites de incentivos contenidos en la Ley 1715 de 2014; (b) el Fondo de Energías No Convencionales y Gestión de la Energía con los recursos financieros asignados; (c) el programa de incentivos tributarios para FNCER; (d) que establezca las condiciones para el proceso de conexión, medida y entrega de excedentes del autogenerador a gran escala al SIN; y (ii) </w:t>
      </w:r>
      <w:r w:rsidR="007B45A1" w:rsidRPr="007B45A1">
        <w:rPr>
          <w:rFonts w:ascii="Arial" w:eastAsia="MS Mincho" w:hAnsi="Arial" w:cs="Arial"/>
          <w:bCs/>
          <w:lang w:val="es-ES_tradnl" w:eastAsia="ja-JP"/>
        </w:rPr>
        <w:t>que se haya iniciado la implementación de la Hoja de Ruta del SINEA y los estudios complementarios de las Interconexiones Binacionales a que se refieren los estudios del primer programa en el marco del SINEA</w:t>
      </w:r>
      <w:r w:rsidR="00F05CF3" w:rsidRPr="00F05CF3">
        <w:rPr>
          <w:rFonts w:ascii="Arial" w:eastAsia="MS Mincho" w:hAnsi="Arial" w:cs="Arial"/>
          <w:bCs/>
          <w:lang w:val="es-ES_tradnl" w:eastAsia="ja-JP"/>
        </w:rPr>
        <w:t>.</w:t>
      </w:r>
    </w:p>
    <w:p w:rsidR="00986590" w:rsidRPr="00247426" w:rsidRDefault="00986590" w:rsidP="00247426">
      <w:pPr>
        <w:autoSpaceDE w:val="0"/>
        <w:autoSpaceDN w:val="0"/>
        <w:adjustRightInd w:val="0"/>
        <w:spacing w:before="120" w:after="120" w:line="240" w:lineRule="auto"/>
        <w:ind w:left="547"/>
        <w:contextualSpacing/>
        <w:jc w:val="both"/>
        <w:rPr>
          <w:rFonts w:ascii="Arial" w:eastAsia="MS Mincho" w:hAnsi="Arial" w:cs="Arial"/>
          <w:bCs/>
          <w:lang w:val="es-ES_tradnl" w:eastAsia="ja-JP"/>
        </w:rPr>
      </w:pPr>
    </w:p>
    <w:p w:rsidR="00986590" w:rsidRPr="0062120B" w:rsidRDefault="00986590" w:rsidP="00986590">
      <w:pPr>
        <w:pStyle w:val="ListParagraph"/>
        <w:keepNext/>
        <w:keepLines/>
        <w:numPr>
          <w:ilvl w:val="0"/>
          <w:numId w:val="2"/>
        </w:numPr>
        <w:autoSpaceDE w:val="0"/>
        <w:autoSpaceDN w:val="0"/>
        <w:adjustRightInd w:val="0"/>
        <w:spacing w:before="120" w:after="120" w:line="240" w:lineRule="auto"/>
        <w:ind w:left="547" w:hanging="547"/>
        <w:contextualSpacing w:val="0"/>
        <w:jc w:val="both"/>
        <w:outlineLvl w:val="1"/>
        <w:rPr>
          <w:rFonts w:ascii="Arial" w:eastAsia="MS Gothic" w:hAnsi="Arial" w:cs="Arial"/>
          <w:b/>
          <w:bCs/>
          <w:color w:val="4F81BD"/>
          <w:lang w:val="es-ES_tradnl"/>
        </w:rPr>
      </w:pPr>
      <w:r w:rsidRPr="0062120B">
        <w:rPr>
          <w:rFonts w:ascii="Arial" w:eastAsia="MS Gothic" w:hAnsi="Arial" w:cs="Arial"/>
          <w:b/>
          <w:bCs/>
          <w:color w:val="4F81BD"/>
          <w:lang w:val="es-ES_tradnl"/>
        </w:rPr>
        <w:t>Validación de Criterios en el Marco de la Estrategia de Integración</w:t>
      </w:r>
    </w:p>
    <w:p w:rsidR="00986590" w:rsidRPr="0062120B" w:rsidRDefault="00986590" w:rsidP="00986590">
      <w:pPr>
        <w:pStyle w:val="ListParagraph"/>
        <w:numPr>
          <w:ilvl w:val="1"/>
          <w:numId w:val="2"/>
        </w:numPr>
        <w:spacing w:before="120" w:after="120" w:line="240" w:lineRule="auto"/>
        <w:ind w:left="547" w:hanging="547"/>
        <w:contextualSpacing w:val="0"/>
        <w:jc w:val="both"/>
        <w:rPr>
          <w:rFonts w:ascii="Arial" w:eastAsia="MS Mincho" w:hAnsi="Arial" w:cs="Arial"/>
          <w:bCs/>
          <w:lang w:val="es-ES_tradnl" w:eastAsia="ja-JP"/>
        </w:rPr>
      </w:pPr>
      <w:r w:rsidRPr="0062120B">
        <w:rPr>
          <w:rFonts w:ascii="Arial" w:eastAsia="MS Mincho" w:hAnsi="Arial" w:cs="Arial"/>
          <w:bCs/>
          <w:lang w:val="es-ES_tradnl" w:eastAsia="ja-JP"/>
        </w:rPr>
        <w:t>Según la estrategia sectorial del BID de apoyo a la Competitividad Global y Regional para la Integración (GN-2565-4), las operaciones de integración regional serán identificadas de acuerdo a cuatro criterios indicativos que no son mutuamente excluyentes entre sí: (i) Focalización multinacional; (ii) Subsidiariedad nacional; (iii) Adicionalidad regional; y (iv) Compensación de fallas de coordinación.</w:t>
      </w:r>
    </w:p>
    <w:p w:rsidR="00986590" w:rsidRPr="0062120B" w:rsidRDefault="00986590" w:rsidP="00986590">
      <w:pPr>
        <w:pStyle w:val="ListParagraph"/>
        <w:numPr>
          <w:ilvl w:val="1"/>
          <w:numId w:val="2"/>
        </w:numPr>
        <w:spacing w:before="120" w:after="120" w:line="240" w:lineRule="auto"/>
        <w:ind w:left="547" w:hanging="547"/>
        <w:contextualSpacing w:val="0"/>
        <w:jc w:val="both"/>
        <w:rPr>
          <w:rFonts w:ascii="Arial" w:eastAsia="MS Mincho" w:hAnsi="Arial" w:cs="Arial"/>
          <w:bCs/>
          <w:lang w:val="es-ES_tradnl" w:eastAsia="ja-JP"/>
        </w:rPr>
      </w:pPr>
      <w:r w:rsidRPr="0062120B">
        <w:rPr>
          <w:rFonts w:ascii="Arial" w:eastAsia="MS Mincho" w:hAnsi="Arial" w:cs="Arial"/>
          <w:bCs/>
          <w:lang w:val="es-ES_tradnl" w:eastAsia="ja-JP"/>
        </w:rPr>
        <w:t xml:space="preserve">Con base en el alcance de </w:t>
      </w:r>
      <w:r w:rsidR="00CC747A">
        <w:rPr>
          <w:rFonts w:ascii="Arial" w:eastAsia="MS Mincho" w:hAnsi="Arial" w:cs="Arial"/>
          <w:bCs/>
          <w:lang w:val="es-ES_tradnl" w:eastAsia="ja-JP"/>
        </w:rPr>
        <w:t xml:space="preserve">la propuesta de operación </w:t>
      </w:r>
      <w:r w:rsidR="00247426">
        <w:rPr>
          <w:rFonts w:ascii="Arial" w:eastAsia="MS Mincho" w:hAnsi="Arial" w:cs="Arial"/>
          <w:bCs/>
          <w:lang w:val="es-ES_tradnl" w:eastAsia="ja-JP"/>
        </w:rPr>
        <w:t>CO-L1217</w:t>
      </w:r>
      <w:r w:rsidRPr="0062120B">
        <w:rPr>
          <w:rFonts w:ascii="Arial" w:eastAsia="MS Mincho" w:hAnsi="Arial" w:cs="Arial"/>
          <w:bCs/>
          <w:lang w:val="es-ES_tradnl" w:eastAsia="ja-JP"/>
        </w:rPr>
        <w:t xml:space="preserve"> antes expuesto, se evidencia que esta operación contribuye con lo siguiente: (i) </w:t>
      </w:r>
      <w:r w:rsidRPr="0062120B">
        <w:rPr>
          <w:rFonts w:ascii="Arial" w:eastAsia="MS Mincho" w:hAnsi="Arial" w:cs="Arial"/>
          <w:b/>
          <w:bCs/>
          <w:i/>
          <w:lang w:val="es-ES_tradnl" w:eastAsia="ja-JP"/>
        </w:rPr>
        <w:t>Focalización multinacional</w:t>
      </w:r>
      <w:r w:rsidRPr="0062120B">
        <w:rPr>
          <w:rFonts w:ascii="Arial" w:eastAsia="MS Mincho" w:hAnsi="Arial" w:cs="Arial"/>
          <w:bCs/>
          <w:lang w:val="es-ES_tradnl" w:eastAsia="ja-JP"/>
        </w:rPr>
        <w:t xml:space="preserve">- </w:t>
      </w:r>
      <w:r w:rsidR="00247426">
        <w:rPr>
          <w:rFonts w:ascii="Arial" w:eastAsia="MS Mincho" w:hAnsi="Arial" w:cs="Arial"/>
          <w:bCs/>
          <w:lang w:val="es-ES_tradnl" w:eastAsia="ja-JP"/>
        </w:rPr>
        <w:t>El</w:t>
      </w:r>
      <w:r w:rsidRPr="0062120B">
        <w:rPr>
          <w:rFonts w:ascii="Arial" w:eastAsia="MS Mincho" w:hAnsi="Arial" w:cs="Arial"/>
          <w:bCs/>
          <w:lang w:val="es-ES_tradnl" w:eastAsia="ja-JP"/>
        </w:rPr>
        <w:t xml:space="preserve"> Componentes II </w:t>
      </w:r>
      <w:r w:rsidR="00247426">
        <w:rPr>
          <w:rFonts w:ascii="Arial" w:eastAsia="MS Mincho" w:hAnsi="Arial" w:cs="Arial"/>
          <w:bCs/>
          <w:lang w:val="es-ES_tradnl" w:eastAsia="ja-JP"/>
        </w:rPr>
        <w:t>considera</w:t>
      </w:r>
      <w:r w:rsidRPr="0062120B">
        <w:rPr>
          <w:rFonts w:ascii="Arial" w:eastAsia="MS Mincho" w:hAnsi="Arial" w:cs="Arial"/>
          <w:bCs/>
          <w:lang w:val="es-ES_tradnl" w:eastAsia="ja-JP"/>
        </w:rPr>
        <w:t xml:space="preserve"> reformas de política que contribuyen a la internacionalización del sector energético </w:t>
      </w:r>
      <w:r w:rsidR="00247426">
        <w:rPr>
          <w:rFonts w:ascii="Arial" w:eastAsia="MS Mincho" w:hAnsi="Arial" w:cs="Arial"/>
          <w:bCs/>
          <w:lang w:val="es-ES_tradnl" w:eastAsia="ja-JP"/>
        </w:rPr>
        <w:t xml:space="preserve">colombiano </w:t>
      </w:r>
      <w:r w:rsidRPr="0062120B">
        <w:rPr>
          <w:rFonts w:ascii="Arial" w:eastAsia="MS Mincho" w:hAnsi="Arial" w:cs="Arial"/>
          <w:bCs/>
          <w:lang w:val="es-ES_tradnl" w:eastAsia="ja-JP"/>
        </w:rPr>
        <w:t>con impactos transfronterizos (Región Andina)</w:t>
      </w:r>
      <w:r w:rsidR="00CC747A">
        <w:rPr>
          <w:rFonts w:ascii="Arial" w:eastAsia="MS Mincho" w:hAnsi="Arial" w:cs="Arial"/>
          <w:bCs/>
          <w:lang w:val="es-ES_tradnl" w:eastAsia="ja-JP"/>
        </w:rPr>
        <w:t>.</w:t>
      </w:r>
      <w:r w:rsidRPr="0062120B">
        <w:rPr>
          <w:rFonts w:ascii="Arial" w:eastAsia="MS Mincho" w:hAnsi="Arial" w:cs="Arial"/>
          <w:bCs/>
          <w:lang w:val="es-ES_tradnl" w:eastAsia="ja-JP"/>
        </w:rPr>
        <w:t xml:space="preserve"> </w:t>
      </w:r>
      <w:r w:rsidR="00CC747A">
        <w:rPr>
          <w:rFonts w:ascii="Arial" w:eastAsia="MS Mincho" w:hAnsi="Arial" w:cs="Arial"/>
          <w:bCs/>
          <w:lang w:val="es-ES_tradnl" w:eastAsia="ja-JP"/>
        </w:rPr>
        <w:t>E</w:t>
      </w:r>
      <w:r w:rsidR="00CC747A" w:rsidRPr="0062120B">
        <w:rPr>
          <w:rFonts w:ascii="Arial" w:eastAsia="MS Mincho" w:hAnsi="Arial" w:cs="Arial"/>
          <w:bCs/>
          <w:lang w:val="es-ES_tradnl" w:eastAsia="ja-JP"/>
        </w:rPr>
        <w:t xml:space="preserve">l </w:t>
      </w:r>
      <w:r w:rsidRPr="0062120B">
        <w:rPr>
          <w:rFonts w:ascii="Arial" w:eastAsia="MS Mincho" w:hAnsi="Arial" w:cs="Arial"/>
          <w:bCs/>
          <w:lang w:val="es-ES_tradnl" w:eastAsia="ja-JP"/>
        </w:rPr>
        <w:t xml:space="preserve">programa se espera </w:t>
      </w:r>
      <w:r w:rsidR="00CC747A">
        <w:rPr>
          <w:rFonts w:ascii="Arial" w:eastAsia="MS Mincho" w:hAnsi="Arial" w:cs="Arial"/>
          <w:bCs/>
          <w:lang w:val="es-ES_tradnl" w:eastAsia="ja-JP"/>
        </w:rPr>
        <w:t>contribuya</w:t>
      </w:r>
      <w:r w:rsidR="00CC747A" w:rsidRPr="0062120B">
        <w:rPr>
          <w:rFonts w:ascii="Arial" w:eastAsia="MS Mincho" w:hAnsi="Arial" w:cs="Arial"/>
          <w:bCs/>
          <w:lang w:val="es-ES_tradnl" w:eastAsia="ja-JP"/>
        </w:rPr>
        <w:t xml:space="preserve"> </w:t>
      </w:r>
      <w:r w:rsidRPr="0062120B">
        <w:rPr>
          <w:rFonts w:ascii="Arial" w:eastAsia="MS Mincho" w:hAnsi="Arial" w:cs="Arial"/>
          <w:bCs/>
          <w:lang w:val="es-ES_tradnl" w:eastAsia="ja-JP"/>
        </w:rPr>
        <w:t xml:space="preserve">al incremento de los intercambios de energía binacionales </w:t>
      </w:r>
      <w:r w:rsidR="00CC747A">
        <w:rPr>
          <w:rFonts w:ascii="Arial" w:eastAsia="MS Mincho" w:hAnsi="Arial" w:cs="Arial"/>
          <w:bCs/>
          <w:lang w:val="es-ES_tradnl" w:eastAsia="ja-JP"/>
        </w:rPr>
        <w:t>Colombia-</w:t>
      </w:r>
      <w:r w:rsidR="00FB1069">
        <w:rPr>
          <w:rFonts w:ascii="Arial" w:eastAsia="MS Mincho" w:hAnsi="Arial" w:cs="Arial"/>
          <w:bCs/>
          <w:lang w:val="es-ES_tradnl" w:eastAsia="ja-JP"/>
        </w:rPr>
        <w:t>Ecuador</w:t>
      </w:r>
      <w:r w:rsidRPr="0062120B">
        <w:rPr>
          <w:rFonts w:ascii="Arial" w:eastAsia="MS Mincho" w:hAnsi="Arial" w:cs="Arial"/>
          <w:bCs/>
          <w:lang w:val="es-ES_tradnl" w:eastAsia="ja-JP"/>
        </w:rPr>
        <w:t xml:space="preserve">; (ii) </w:t>
      </w:r>
      <w:r w:rsidRPr="0062120B">
        <w:rPr>
          <w:rFonts w:ascii="Arial" w:eastAsia="MS Mincho" w:hAnsi="Arial" w:cs="Arial"/>
          <w:b/>
          <w:bCs/>
          <w:i/>
          <w:lang w:val="es-ES_tradnl" w:eastAsia="ja-JP"/>
        </w:rPr>
        <w:t>Subsidiariedad nacional</w:t>
      </w:r>
      <w:r w:rsidRPr="0062120B">
        <w:rPr>
          <w:rFonts w:ascii="Arial" w:eastAsia="MS Mincho" w:hAnsi="Arial" w:cs="Arial"/>
          <w:bCs/>
          <w:lang w:val="es-ES_tradnl" w:eastAsia="ja-JP"/>
        </w:rPr>
        <w:t xml:space="preserve">- Apoya de manera directa </w:t>
      </w:r>
      <w:r w:rsidR="00190B83">
        <w:rPr>
          <w:rFonts w:ascii="Arial" w:eastAsia="MS Mincho" w:hAnsi="Arial" w:cs="Arial"/>
          <w:bCs/>
          <w:lang w:val="es-ES_tradnl" w:eastAsia="ja-JP"/>
        </w:rPr>
        <w:t xml:space="preserve">la </w:t>
      </w:r>
      <w:r w:rsidR="00FB1069">
        <w:rPr>
          <w:rFonts w:ascii="Arial" w:eastAsia="MS Mincho" w:hAnsi="Arial" w:cs="Arial"/>
          <w:bCs/>
          <w:lang w:val="es-ES_tradnl" w:eastAsia="ja-JP"/>
        </w:rPr>
        <w:t>incorporación</w:t>
      </w:r>
      <w:r w:rsidR="00190B83">
        <w:rPr>
          <w:rFonts w:ascii="Arial" w:eastAsia="MS Mincho" w:hAnsi="Arial" w:cs="Arial"/>
          <w:bCs/>
          <w:lang w:val="es-ES_tradnl" w:eastAsia="ja-JP"/>
        </w:rPr>
        <w:t xml:space="preserve"> de medidas regulatorias locales que promueven la integración eléctrica regional y el refuerzo del mercado nacional de gas natural para la generación eléctrica, bajo los mismos objetivos</w:t>
      </w:r>
      <w:r w:rsidRPr="0062120B">
        <w:rPr>
          <w:rFonts w:ascii="Arial" w:eastAsia="MS Mincho" w:hAnsi="Arial" w:cs="Arial"/>
          <w:bCs/>
          <w:lang w:val="es-ES_tradnl" w:eastAsia="ja-JP"/>
        </w:rPr>
        <w:t>.</w:t>
      </w:r>
    </w:p>
    <w:p w:rsidR="00986590" w:rsidRPr="0062120B" w:rsidRDefault="00247426" w:rsidP="00986590">
      <w:pPr>
        <w:pStyle w:val="ListParagraph"/>
        <w:numPr>
          <w:ilvl w:val="1"/>
          <w:numId w:val="2"/>
        </w:numPr>
        <w:spacing w:after="0" w:line="240" w:lineRule="auto"/>
        <w:ind w:left="540" w:hanging="540"/>
        <w:jc w:val="both"/>
        <w:rPr>
          <w:rFonts w:ascii="Arial" w:hAnsi="Arial" w:cs="Arial"/>
          <w:b/>
          <w:lang w:val="es-ES_tradnl"/>
        </w:rPr>
      </w:pPr>
      <w:r>
        <w:rPr>
          <w:rFonts w:ascii="Arial" w:hAnsi="Arial" w:cs="Arial"/>
          <w:lang w:val="es-ES_tradnl"/>
        </w:rPr>
        <w:t>Las</w:t>
      </w:r>
      <w:r w:rsidR="00986590" w:rsidRPr="0062120B">
        <w:rPr>
          <w:rFonts w:ascii="Arial" w:hAnsi="Arial" w:cs="Arial"/>
          <w:lang w:val="es-ES_tradnl"/>
        </w:rPr>
        <w:t xml:space="preserve"> actividades que apoyan la integración y cooperación regional, globales y regionales se pueden clasificar en tres grandes ámbitos principales: </w:t>
      </w:r>
      <w:r>
        <w:rPr>
          <w:rFonts w:ascii="Arial" w:hAnsi="Arial" w:cs="Arial"/>
          <w:lang w:val="es-ES_tradnl"/>
        </w:rPr>
        <w:t>(</w:t>
      </w:r>
      <w:r w:rsidR="00986590" w:rsidRPr="0062120B">
        <w:rPr>
          <w:rFonts w:ascii="Arial" w:hAnsi="Arial" w:cs="Arial"/>
          <w:lang w:val="es-ES_tradnl"/>
        </w:rPr>
        <w:t xml:space="preserve">i) Infraestructura; </w:t>
      </w:r>
      <w:r>
        <w:rPr>
          <w:rFonts w:ascii="Arial" w:hAnsi="Arial" w:cs="Arial"/>
          <w:lang w:val="es-ES_tradnl"/>
        </w:rPr>
        <w:t>(</w:t>
      </w:r>
      <w:r w:rsidR="00986590" w:rsidRPr="0062120B">
        <w:rPr>
          <w:rFonts w:ascii="Arial" w:hAnsi="Arial" w:cs="Arial"/>
          <w:lang w:val="es-ES_tradnl"/>
        </w:rPr>
        <w:t xml:space="preserve">ii) Fortalecimiento institucional y desarrollo de la capacidad; y </w:t>
      </w:r>
      <w:r>
        <w:rPr>
          <w:rFonts w:ascii="Arial" w:hAnsi="Arial" w:cs="Arial"/>
          <w:lang w:val="es-ES_tradnl"/>
        </w:rPr>
        <w:t>(</w:t>
      </w:r>
      <w:r w:rsidR="00986590" w:rsidRPr="0062120B">
        <w:rPr>
          <w:rFonts w:ascii="Arial" w:hAnsi="Arial" w:cs="Arial"/>
          <w:lang w:val="es-ES_tradnl"/>
        </w:rPr>
        <w:t xml:space="preserve">iii) Cooperación funcional y bienes públicos regionales. De acuerdo a los componentes descritos, la operación se clasifica dentro del ámbito de </w:t>
      </w:r>
      <w:r w:rsidR="00986590" w:rsidRPr="0062120B">
        <w:rPr>
          <w:rFonts w:ascii="Arial" w:hAnsi="Arial" w:cs="Arial"/>
          <w:b/>
          <w:lang w:val="es-ES_tradnl"/>
        </w:rPr>
        <w:t xml:space="preserve">Fortalecimiento institucional y desarrollo de la capacidad, </w:t>
      </w:r>
      <w:r w:rsidR="00986590" w:rsidRPr="0062120B">
        <w:rPr>
          <w:rFonts w:ascii="Arial" w:hAnsi="Arial" w:cs="Arial"/>
          <w:lang w:val="es-ES_tradnl"/>
        </w:rPr>
        <w:t>teniendo en cuenta que la operación apoya reformas de política, actividades relacionadas con el marco normativo, fortalecimiento institucional y desarrollo de capacidades necesarias para facilitar el comercio transfronterizos de bienes y servicios energéticos (electricidad y gas natural), con el objetivo de promover una mejor integración de los sistemas nacionales y de los operadores privados en la economía regional y mundial.</w:t>
      </w:r>
    </w:p>
    <w:p w:rsidR="007E63EE" w:rsidRDefault="007E63EE" w:rsidP="007E63EE">
      <w:pPr>
        <w:pStyle w:val="ListParagraph"/>
        <w:keepNext/>
        <w:keepLines/>
        <w:numPr>
          <w:ilvl w:val="0"/>
          <w:numId w:val="2"/>
        </w:numPr>
        <w:autoSpaceDE w:val="0"/>
        <w:autoSpaceDN w:val="0"/>
        <w:adjustRightInd w:val="0"/>
        <w:spacing w:before="120" w:after="120" w:line="240" w:lineRule="auto"/>
        <w:ind w:left="547" w:hanging="547"/>
        <w:contextualSpacing w:val="0"/>
        <w:jc w:val="both"/>
        <w:outlineLvl w:val="1"/>
        <w:rPr>
          <w:rFonts w:ascii="Arial" w:eastAsia="MS Gothic" w:hAnsi="Arial" w:cs="Arial"/>
          <w:b/>
          <w:bCs/>
          <w:color w:val="4F81BD"/>
          <w:lang w:val="es-ES_tradnl"/>
        </w:rPr>
      </w:pPr>
      <w:r>
        <w:rPr>
          <w:rFonts w:ascii="Arial" w:eastAsia="MS Gothic" w:hAnsi="Arial" w:cs="Arial"/>
          <w:b/>
          <w:bCs/>
          <w:color w:val="4F81BD"/>
          <w:lang w:val="es-ES_tradnl"/>
        </w:rPr>
        <w:t xml:space="preserve">Indicadores relacionados con el aporte de la </w:t>
      </w:r>
      <w:r w:rsidR="0035073C">
        <w:rPr>
          <w:rFonts w:ascii="Arial" w:eastAsia="MS Gothic" w:hAnsi="Arial" w:cs="Arial"/>
          <w:b/>
          <w:bCs/>
          <w:color w:val="4F81BD"/>
          <w:lang w:val="es-ES_tradnl"/>
        </w:rPr>
        <w:t>operación</w:t>
      </w:r>
      <w:r>
        <w:rPr>
          <w:rFonts w:ascii="Arial" w:eastAsia="MS Gothic" w:hAnsi="Arial" w:cs="Arial"/>
          <w:b/>
          <w:bCs/>
          <w:color w:val="4F81BD"/>
          <w:lang w:val="es-ES_tradnl"/>
        </w:rPr>
        <w:t xml:space="preserve"> a la integración regional</w:t>
      </w:r>
    </w:p>
    <w:p w:rsidR="001A2E4D" w:rsidRDefault="001A2E4D" w:rsidP="001A2E4D">
      <w:pPr>
        <w:pStyle w:val="ListParagraph"/>
        <w:keepNext/>
        <w:keepLines/>
        <w:autoSpaceDE w:val="0"/>
        <w:autoSpaceDN w:val="0"/>
        <w:adjustRightInd w:val="0"/>
        <w:spacing w:before="120" w:after="120" w:line="240" w:lineRule="auto"/>
        <w:ind w:left="547"/>
        <w:contextualSpacing w:val="0"/>
        <w:jc w:val="both"/>
        <w:outlineLvl w:val="1"/>
        <w:rPr>
          <w:rFonts w:ascii="Arial" w:eastAsia="MS Gothic" w:hAnsi="Arial" w:cs="Arial"/>
          <w:b/>
          <w:bCs/>
          <w:color w:val="4F81BD"/>
          <w:lang w:val="es-ES_tradnl"/>
        </w:rPr>
      </w:pPr>
    </w:p>
    <w:p w:rsidR="005D6D47" w:rsidRPr="0062120B" w:rsidRDefault="00683FAC" w:rsidP="00FB1069">
      <w:pPr>
        <w:jc w:val="center"/>
        <w:rPr>
          <w:rFonts w:ascii="Arial" w:hAnsi="Arial" w:cs="Arial"/>
          <w:lang w:val="es-ES_tradnl"/>
        </w:rPr>
      </w:pPr>
      <w:hyperlink r:id="rId16" w:history="1">
        <w:r w:rsidR="00FB1069" w:rsidRPr="00FB1069">
          <w:rPr>
            <w:rFonts w:ascii="Arial" w:eastAsia="Times New Roman" w:hAnsi="Arial" w:cs="Arial"/>
            <w:color w:val="0000FF"/>
            <w:sz w:val="20"/>
            <w:szCs w:val="20"/>
            <w:u w:val="single"/>
            <w:lang w:val="es-ES"/>
          </w:rPr>
          <w:t>Matriz de Resultados</w:t>
        </w:r>
      </w:hyperlink>
    </w:p>
    <w:sectPr w:rsidR="005D6D47" w:rsidRPr="0062120B" w:rsidSect="00F468A2">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4EAB" w:rsidRDefault="004B4EAB" w:rsidP="0064148C">
      <w:pPr>
        <w:spacing w:after="0" w:line="240" w:lineRule="auto"/>
      </w:pPr>
      <w:r>
        <w:separator/>
      </w:r>
    </w:p>
  </w:endnote>
  <w:endnote w:type="continuationSeparator" w:id="0">
    <w:p w:rsidR="004B4EAB" w:rsidRDefault="004B4EAB" w:rsidP="006414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0438470"/>
      <w:docPartObj>
        <w:docPartGallery w:val="Page Numbers (Bottom of Page)"/>
        <w:docPartUnique/>
      </w:docPartObj>
    </w:sdtPr>
    <w:sdtEndPr>
      <w:rPr>
        <w:noProof/>
      </w:rPr>
    </w:sdtEndPr>
    <w:sdtContent>
      <w:p w:rsidR="00937EB8" w:rsidRDefault="00937EB8">
        <w:pPr>
          <w:pStyle w:val="Footer"/>
          <w:jc w:val="center"/>
        </w:pPr>
        <w:r>
          <w:fldChar w:fldCharType="begin"/>
        </w:r>
        <w:r>
          <w:instrText xml:space="preserve"> PAGE   \* MERGEFORMAT </w:instrText>
        </w:r>
        <w:r>
          <w:fldChar w:fldCharType="separate"/>
        </w:r>
        <w:r w:rsidR="00683FAC">
          <w:rPr>
            <w:noProof/>
          </w:rPr>
          <w:t>1</w:t>
        </w:r>
        <w:r>
          <w:rPr>
            <w:noProof/>
          </w:rPr>
          <w:fldChar w:fldCharType="end"/>
        </w:r>
      </w:p>
    </w:sdtContent>
  </w:sdt>
  <w:p w:rsidR="00937EB8" w:rsidRDefault="00937E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4EAB" w:rsidRDefault="004B4EAB" w:rsidP="0064148C">
      <w:pPr>
        <w:spacing w:after="0" w:line="240" w:lineRule="auto"/>
      </w:pPr>
      <w:r>
        <w:separator/>
      </w:r>
    </w:p>
  </w:footnote>
  <w:footnote w:type="continuationSeparator" w:id="0">
    <w:p w:rsidR="004B4EAB" w:rsidRDefault="004B4EAB" w:rsidP="0064148C">
      <w:pPr>
        <w:spacing w:after="0" w:line="240" w:lineRule="auto"/>
      </w:pPr>
      <w:r>
        <w:continuationSeparator/>
      </w:r>
    </w:p>
  </w:footnote>
  <w:footnote w:id="1">
    <w:p w:rsidR="00986590" w:rsidRPr="00F16FF3" w:rsidRDefault="00986590" w:rsidP="00986590">
      <w:pPr>
        <w:pStyle w:val="FootnoteText"/>
        <w:rPr>
          <w:rFonts w:ascii="Arial" w:hAnsi="Arial" w:cs="Arial"/>
          <w:sz w:val="18"/>
          <w:szCs w:val="18"/>
          <w:lang w:val="es-ES_tradnl"/>
        </w:rPr>
      </w:pPr>
      <w:r w:rsidRPr="00F16FF3">
        <w:rPr>
          <w:rStyle w:val="FootnoteReference"/>
          <w:rFonts w:ascii="Arial" w:hAnsi="Arial" w:cs="Arial"/>
          <w:sz w:val="18"/>
          <w:szCs w:val="18"/>
        </w:rPr>
        <w:footnoteRef/>
      </w:r>
      <w:r w:rsidRPr="00F16FF3">
        <w:rPr>
          <w:rFonts w:ascii="Arial" w:hAnsi="Arial" w:cs="Arial"/>
          <w:sz w:val="18"/>
          <w:szCs w:val="18"/>
          <w:lang w:val="es-ES_tradnl"/>
        </w:rPr>
        <w:t xml:space="preserve"> Los miembros de la iniciativa SINEA se han reunido a nivel Ministerial en Lima (25 de febrero de 2011), Galápagos (2 de abril de 2011), Lima (22 de julio de 2011), Bogotá (15 de noviembre de 2011), Santiago (27 de septiembre de 2012), Lima (25 de abril de 2014) y Santiago de Chile (4 de Septiembre de 2015).</w:t>
      </w:r>
    </w:p>
  </w:footnote>
  <w:footnote w:id="2">
    <w:p w:rsidR="00F16FF3" w:rsidRPr="00142F88" w:rsidRDefault="00F16FF3">
      <w:pPr>
        <w:pStyle w:val="FootnoteText"/>
        <w:rPr>
          <w:lang w:val="es-ES_tradnl"/>
        </w:rPr>
      </w:pPr>
      <w:r w:rsidRPr="00F16FF3">
        <w:rPr>
          <w:rStyle w:val="FootnoteReference"/>
          <w:rFonts w:ascii="Arial" w:hAnsi="Arial" w:cs="Arial"/>
          <w:sz w:val="18"/>
          <w:szCs w:val="18"/>
        </w:rPr>
        <w:footnoteRef/>
      </w:r>
      <w:r w:rsidRPr="00142F88">
        <w:rPr>
          <w:rFonts w:ascii="Arial" w:hAnsi="Arial" w:cs="Arial"/>
          <w:sz w:val="18"/>
          <w:szCs w:val="18"/>
          <w:lang w:val="es-ES_tradnl"/>
        </w:rPr>
        <w:t xml:space="preserve">  </w:t>
      </w:r>
      <w:hyperlink r:id="rId1" w:history="1">
        <w:r w:rsidRPr="00142F88">
          <w:rPr>
            <w:rStyle w:val="Hyperlink"/>
            <w:rFonts w:ascii="Arial" w:hAnsi="Arial" w:cs="Arial"/>
            <w:sz w:val="18"/>
            <w:szCs w:val="18"/>
            <w:lang w:val="es-ES_tradnl"/>
          </w:rPr>
          <w:t>Hoja de Ruta del SINEA</w:t>
        </w:r>
      </w:hyperlink>
    </w:p>
  </w:footnote>
  <w:footnote w:id="3">
    <w:p w:rsidR="007538B1" w:rsidRPr="007538B1" w:rsidRDefault="007538B1" w:rsidP="007538B1">
      <w:pPr>
        <w:pStyle w:val="FootnoteText"/>
        <w:tabs>
          <w:tab w:val="left" w:pos="0"/>
        </w:tabs>
        <w:ind w:hanging="284"/>
        <w:rPr>
          <w:rFonts w:ascii="Arial" w:hAnsi="Arial" w:cs="Arial"/>
          <w:sz w:val="18"/>
          <w:szCs w:val="18"/>
          <w:lang w:val="es-CO"/>
        </w:rPr>
      </w:pPr>
      <w:r w:rsidRPr="007538B1">
        <w:rPr>
          <w:rStyle w:val="FootnoteReference"/>
          <w:rFonts w:ascii="Arial" w:hAnsi="Arial" w:cs="Arial"/>
          <w:sz w:val="18"/>
          <w:szCs w:val="18"/>
        </w:rPr>
        <w:footnoteRef/>
      </w:r>
      <w:r w:rsidRPr="007538B1">
        <w:rPr>
          <w:rFonts w:ascii="Arial" w:hAnsi="Arial" w:cs="Arial"/>
          <w:sz w:val="18"/>
          <w:szCs w:val="18"/>
          <w:lang w:val="es-CO"/>
        </w:rPr>
        <w:t xml:space="preserve">    </w:t>
      </w:r>
      <w:r w:rsidRPr="007538B1">
        <w:rPr>
          <w:rFonts w:ascii="Arial" w:hAnsi="Arial" w:cs="Arial"/>
          <w:sz w:val="18"/>
          <w:szCs w:val="18"/>
          <w:lang w:val="es-CO"/>
        </w:rPr>
        <w:tab/>
        <w:t>La</w:t>
      </w:r>
      <w:r w:rsidRPr="00E438C9">
        <w:rPr>
          <w:sz w:val="18"/>
          <w:szCs w:val="18"/>
          <w:lang w:val="es-CO"/>
        </w:rPr>
        <w:t xml:space="preserve"> </w:t>
      </w:r>
      <w:r w:rsidRPr="007538B1">
        <w:rPr>
          <w:rFonts w:ascii="Arial" w:hAnsi="Arial" w:cs="Arial"/>
          <w:sz w:val="18"/>
          <w:szCs w:val="18"/>
          <w:lang w:val="es-CO"/>
        </w:rPr>
        <w:t xml:space="preserve">capacidad de transporte de la línea representa el 3% de la capacidad de generación de Colombia y el 14% de la capacidad de Panamá. La oferta eléctrica panameña es vulnerable a cambios hidrológicos y presenta un alto costo de la energía dado el alto uso de derivados del petróleo para la generación, situación similar a otros países de la región.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AF4593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52A3919"/>
    <w:multiLevelType w:val="hybridMultilevel"/>
    <w:tmpl w:val="000C2130"/>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 w15:restartNumberingAfterBreak="0">
    <w:nsid w:val="055E050A"/>
    <w:multiLevelType w:val="hybridMultilevel"/>
    <w:tmpl w:val="1BCCA2B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E32441"/>
    <w:multiLevelType w:val="hybridMultilevel"/>
    <w:tmpl w:val="166EC0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89000B9"/>
    <w:multiLevelType w:val="multilevel"/>
    <w:tmpl w:val="31D6701C"/>
    <w:lvl w:ilvl="0">
      <w:start w:val="1"/>
      <w:numFmt w:val="decimal"/>
      <w:lvlText w:val="%1"/>
      <w:lvlJc w:val="left"/>
      <w:pPr>
        <w:ind w:left="420" w:hanging="420"/>
      </w:pPr>
      <w:rPr>
        <w:rFonts w:hint="default"/>
        <w:u w:val="single"/>
      </w:rPr>
    </w:lvl>
    <w:lvl w:ilvl="1">
      <w:start w:val="1"/>
      <w:numFmt w:val="decimal"/>
      <w:lvlText w:val="%1.%2"/>
      <w:lvlJc w:val="left"/>
      <w:pPr>
        <w:ind w:left="780" w:hanging="420"/>
      </w:pPr>
      <w:rPr>
        <w:rFonts w:hint="default"/>
        <w:b w:val="0"/>
        <w:sz w:val="24"/>
        <w:u w:val="none"/>
      </w:rPr>
    </w:lvl>
    <w:lvl w:ilvl="2">
      <w:start w:val="1"/>
      <w:numFmt w:val="decimal"/>
      <w:lvlText w:val="%1.%2.%3"/>
      <w:lvlJc w:val="left"/>
      <w:pPr>
        <w:ind w:left="1440" w:hanging="720"/>
      </w:pPr>
      <w:rPr>
        <w:rFonts w:hint="default"/>
        <w:u w:val="single"/>
      </w:rPr>
    </w:lvl>
    <w:lvl w:ilvl="3">
      <w:start w:val="1"/>
      <w:numFmt w:val="decimal"/>
      <w:lvlText w:val="%1.%2.%3.%4"/>
      <w:lvlJc w:val="left"/>
      <w:pPr>
        <w:ind w:left="1800" w:hanging="720"/>
      </w:pPr>
      <w:rPr>
        <w:rFonts w:hint="default"/>
        <w:u w:val="single"/>
      </w:rPr>
    </w:lvl>
    <w:lvl w:ilvl="4">
      <w:start w:val="1"/>
      <w:numFmt w:val="decimal"/>
      <w:lvlText w:val="%1.%2.%3.%4.%5"/>
      <w:lvlJc w:val="left"/>
      <w:pPr>
        <w:ind w:left="2520" w:hanging="1080"/>
      </w:pPr>
      <w:rPr>
        <w:rFonts w:hint="default"/>
        <w:u w:val="single"/>
      </w:rPr>
    </w:lvl>
    <w:lvl w:ilvl="5">
      <w:start w:val="1"/>
      <w:numFmt w:val="decimal"/>
      <w:lvlText w:val="%1.%2.%3.%4.%5.%6"/>
      <w:lvlJc w:val="left"/>
      <w:pPr>
        <w:ind w:left="2880" w:hanging="108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3960" w:hanging="1440"/>
      </w:pPr>
      <w:rPr>
        <w:rFonts w:hint="default"/>
        <w:u w:val="single"/>
      </w:rPr>
    </w:lvl>
    <w:lvl w:ilvl="8">
      <w:start w:val="1"/>
      <w:numFmt w:val="decimal"/>
      <w:lvlText w:val="%1.%2.%3.%4.%5.%6.%7.%8.%9"/>
      <w:lvlJc w:val="left"/>
      <w:pPr>
        <w:ind w:left="4680" w:hanging="1800"/>
      </w:pPr>
      <w:rPr>
        <w:rFonts w:hint="default"/>
        <w:u w:val="single"/>
      </w:rPr>
    </w:lvl>
  </w:abstractNum>
  <w:abstractNum w:abstractNumId="5" w15:restartNumberingAfterBreak="0">
    <w:nsid w:val="221834D3"/>
    <w:multiLevelType w:val="hybridMultilevel"/>
    <w:tmpl w:val="A26A5F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30D5018"/>
    <w:multiLevelType w:val="hybridMultilevel"/>
    <w:tmpl w:val="C930E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562F6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8FC7DC0"/>
    <w:multiLevelType w:val="multilevel"/>
    <w:tmpl w:val="4E20B7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2E942E55"/>
    <w:multiLevelType w:val="multilevel"/>
    <w:tmpl w:val="790C5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00D2DDB"/>
    <w:multiLevelType w:val="multilevel"/>
    <w:tmpl w:val="4E20B7F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1" w15:restartNumberingAfterBreak="0">
    <w:nsid w:val="3017304A"/>
    <w:multiLevelType w:val="hybridMultilevel"/>
    <w:tmpl w:val="BBC6557C"/>
    <w:lvl w:ilvl="0" w:tplc="748485A6">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15:restartNumberingAfterBreak="0">
    <w:nsid w:val="31AE1EE1"/>
    <w:multiLevelType w:val="hybridMultilevel"/>
    <w:tmpl w:val="C6F2B04A"/>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hint="default"/>
      </w:rPr>
    </w:lvl>
    <w:lvl w:ilvl="6" w:tplc="040A0001">
      <w:start w:val="1"/>
      <w:numFmt w:val="bullet"/>
      <w:lvlText w:val=""/>
      <w:lvlJc w:val="left"/>
      <w:pPr>
        <w:ind w:left="5040" w:hanging="360"/>
      </w:pPr>
      <w:rPr>
        <w:rFonts w:ascii="Symbol" w:hAnsi="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hint="default"/>
      </w:rPr>
    </w:lvl>
  </w:abstractNum>
  <w:abstractNum w:abstractNumId="13" w15:restartNumberingAfterBreak="0">
    <w:nsid w:val="37852BFA"/>
    <w:multiLevelType w:val="multilevel"/>
    <w:tmpl w:val="BAEA2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8EB3B93"/>
    <w:multiLevelType w:val="hybridMultilevel"/>
    <w:tmpl w:val="72129D06"/>
    <w:lvl w:ilvl="0" w:tplc="DE7E12BE">
      <w:start w:val="1"/>
      <w:numFmt w:val="decimal"/>
      <w:lvlText w:val="%1)"/>
      <w:lvlJc w:val="left"/>
      <w:pPr>
        <w:ind w:left="2070" w:hanging="360"/>
      </w:pPr>
      <w:rPr>
        <w:rFonts w:hint="default"/>
        <w:i w:val="0"/>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5" w15:restartNumberingAfterBreak="0">
    <w:nsid w:val="3DE6510F"/>
    <w:multiLevelType w:val="hybridMultilevel"/>
    <w:tmpl w:val="1D12C3CA"/>
    <w:lvl w:ilvl="0" w:tplc="FF9813D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5157D7E"/>
    <w:multiLevelType w:val="hybridMultilevel"/>
    <w:tmpl w:val="43DCB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E44B88"/>
    <w:multiLevelType w:val="hybridMultilevel"/>
    <w:tmpl w:val="CB724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DF14F86"/>
    <w:multiLevelType w:val="hybridMultilevel"/>
    <w:tmpl w:val="89808D86"/>
    <w:lvl w:ilvl="0" w:tplc="0B5C0DF4">
      <w:start w:val="4"/>
      <w:numFmt w:val="bullet"/>
      <w:lvlText w:val="•"/>
      <w:lvlJc w:val="left"/>
      <w:pPr>
        <w:ind w:left="1080" w:hanging="72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52A4327A"/>
    <w:multiLevelType w:val="hybridMultilevel"/>
    <w:tmpl w:val="8004B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AF21CB"/>
    <w:multiLevelType w:val="hybridMultilevel"/>
    <w:tmpl w:val="EF96D066"/>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1" w15:restartNumberingAfterBreak="0">
    <w:nsid w:val="56F41B9D"/>
    <w:multiLevelType w:val="hybridMultilevel"/>
    <w:tmpl w:val="BBC6557C"/>
    <w:lvl w:ilvl="0" w:tplc="748485A6">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61473D10"/>
    <w:multiLevelType w:val="hybridMultilevel"/>
    <w:tmpl w:val="A6EE69E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AF2BC8"/>
    <w:multiLevelType w:val="hybridMultilevel"/>
    <w:tmpl w:val="B5BEDC2C"/>
    <w:lvl w:ilvl="0" w:tplc="FF9813D4">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681366B2"/>
    <w:multiLevelType w:val="hybridMultilevel"/>
    <w:tmpl w:val="03C4C22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5" w15:restartNumberingAfterBreak="0">
    <w:nsid w:val="6FAC6D5B"/>
    <w:multiLevelType w:val="multilevel"/>
    <w:tmpl w:val="D7542BDE"/>
    <w:lvl w:ilvl="0">
      <w:start w:val="1"/>
      <w:numFmt w:val="upperRoman"/>
      <w:lvlText w:val="%1."/>
      <w:lvlJc w:val="left"/>
      <w:pPr>
        <w:ind w:left="1080" w:hanging="720"/>
      </w:pPr>
      <w:rPr>
        <w:rFonts w:hint="default"/>
      </w:rPr>
    </w:lvl>
    <w:lvl w:ilvl="1">
      <w:start w:val="1"/>
      <w:numFmt w:val="decimal"/>
      <w:lvlText w:val="%2."/>
      <w:lvlJc w:val="left"/>
      <w:pPr>
        <w:ind w:left="720" w:hanging="360"/>
      </w:pPr>
      <w:rPr>
        <w:rFonts w:hint="default"/>
        <w:b w:val="0"/>
        <w:color w:val="auto"/>
      </w:rPr>
    </w:lvl>
    <w:lvl w:ilvl="2">
      <w:start w:val="1"/>
      <w:numFmt w:val="lowerRoman"/>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22A0016"/>
    <w:multiLevelType w:val="multilevel"/>
    <w:tmpl w:val="DDC8D62E"/>
    <w:lvl w:ilvl="0">
      <w:start w:val="1"/>
      <w:numFmt w:val="upperRoman"/>
      <w:lvlText w:val="%1."/>
      <w:lvlJc w:val="left"/>
      <w:pPr>
        <w:ind w:left="360" w:hanging="720"/>
      </w:pPr>
    </w:lvl>
    <w:lvl w:ilvl="1">
      <w:start w:val="1"/>
      <w:numFmt w:val="decimal"/>
      <w:isLgl/>
      <w:lvlText w:val="%1.%2"/>
      <w:lvlJc w:val="left"/>
      <w:pPr>
        <w:ind w:left="450" w:hanging="360"/>
      </w:pPr>
      <w:rPr>
        <w:b w:val="0"/>
      </w:rPr>
    </w:lvl>
    <w:lvl w:ilvl="2">
      <w:start w:val="1"/>
      <w:numFmt w:val="lowerRoman"/>
      <w:lvlText w:val="(%3)"/>
      <w:lvlJc w:val="left"/>
      <w:pPr>
        <w:ind w:left="360" w:hanging="720"/>
      </w:pPr>
      <w:rPr>
        <w:rFonts w:hint="default"/>
      </w:rPr>
    </w:lvl>
    <w:lvl w:ilvl="3">
      <w:start w:val="1"/>
      <w:numFmt w:val="decimal"/>
      <w:isLgl/>
      <w:lvlText w:val="%1.%2.%3.%4"/>
      <w:lvlJc w:val="left"/>
      <w:pPr>
        <w:ind w:left="360" w:hanging="720"/>
      </w:pPr>
    </w:lvl>
    <w:lvl w:ilvl="4">
      <w:start w:val="1"/>
      <w:numFmt w:val="decimal"/>
      <w:isLgl/>
      <w:lvlText w:val="%1.%2.%3.%4.%5"/>
      <w:lvlJc w:val="left"/>
      <w:pPr>
        <w:ind w:left="720" w:hanging="1080"/>
      </w:pPr>
    </w:lvl>
    <w:lvl w:ilvl="5">
      <w:start w:val="1"/>
      <w:numFmt w:val="decimal"/>
      <w:isLgl/>
      <w:lvlText w:val="%1.%2.%3.%4.%5.%6"/>
      <w:lvlJc w:val="left"/>
      <w:pPr>
        <w:ind w:left="720" w:hanging="1080"/>
      </w:pPr>
    </w:lvl>
    <w:lvl w:ilvl="6">
      <w:start w:val="1"/>
      <w:numFmt w:val="decimal"/>
      <w:isLgl/>
      <w:lvlText w:val="%1.%2.%3.%4.%5.%6.%7"/>
      <w:lvlJc w:val="left"/>
      <w:pPr>
        <w:ind w:left="1080" w:hanging="1440"/>
      </w:pPr>
    </w:lvl>
    <w:lvl w:ilvl="7">
      <w:start w:val="1"/>
      <w:numFmt w:val="decimal"/>
      <w:isLgl/>
      <w:lvlText w:val="%1.%2.%3.%4.%5.%6.%7.%8"/>
      <w:lvlJc w:val="left"/>
      <w:pPr>
        <w:ind w:left="1080" w:hanging="1440"/>
      </w:pPr>
    </w:lvl>
    <w:lvl w:ilvl="8">
      <w:start w:val="1"/>
      <w:numFmt w:val="decimal"/>
      <w:isLgl/>
      <w:lvlText w:val="%1.%2.%3.%4.%5.%6.%7.%8.%9"/>
      <w:lvlJc w:val="left"/>
      <w:pPr>
        <w:ind w:left="1440" w:hanging="1800"/>
      </w:pPr>
    </w:lvl>
  </w:abstractNum>
  <w:abstractNum w:abstractNumId="27" w15:restartNumberingAfterBreak="0">
    <w:nsid w:val="73DA472B"/>
    <w:multiLevelType w:val="multilevel"/>
    <w:tmpl w:val="22907164"/>
    <w:lvl w:ilvl="0">
      <w:start w:val="1"/>
      <w:numFmt w:val="upperRoman"/>
      <w:lvlText w:val="%1."/>
      <w:lvlJc w:val="right"/>
      <w:pPr>
        <w:ind w:left="360" w:hanging="360"/>
      </w:pPr>
      <w:rPr>
        <w:b/>
        <w:color w:val="auto"/>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8" w15:restartNumberingAfterBreak="0">
    <w:nsid w:val="79784702"/>
    <w:multiLevelType w:val="hybridMultilevel"/>
    <w:tmpl w:val="4448F0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9C6EFF"/>
    <w:multiLevelType w:val="hybridMultilevel"/>
    <w:tmpl w:val="E16A5612"/>
    <w:lvl w:ilvl="0" w:tplc="64822F2A">
      <w:start w:val="1"/>
      <w:numFmt w:val="bullet"/>
      <w:lvlText w:val="-"/>
      <w:lvlJc w:val="left"/>
      <w:pPr>
        <w:ind w:left="720" w:hanging="360"/>
      </w:pPr>
      <w:rPr>
        <w:rFonts w:ascii="Arial Narrow" w:eastAsia="Times New Roman" w:hAnsi="Arial Narrow"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0" w15:restartNumberingAfterBreak="0">
    <w:nsid w:val="7CA1110C"/>
    <w:multiLevelType w:val="multilevel"/>
    <w:tmpl w:val="13A26A8C"/>
    <w:lvl w:ilvl="0">
      <w:start w:val="1"/>
      <w:numFmt w:val="decimal"/>
      <w:pStyle w:val="Chapter"/>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2"/>
  </w:num>
  <w:num w:numId="2">
    <w:abstractNumId w:val="26"/>
  </w:num>
  <w:num w:numId="3">
    <w:abstractNumId w:val="28"/>
  </w:num>
  <w:num w:numId="4">
    <w:abstractNumId w:val="15"/>
  </w:num>
  <w:num w:numId="5">
    <w:abstractNumId w:val="3"/>
  </w:num>
  <w:num w:numId="6">
    <w:abstractNumId w:val="30"/>
  </w:num>
  <w:num w:numId="7">
    <w:abstractNumId w:val="9"/>
  </w:num>
  <w:num w:numId="8">
    <w:abstractNumId w:val="13"/>
  </w:num>
  <w:num w:numId="9">
    <w:abstractNumId w:val="4"/>
  </w:num>
  <w:num w:numId="10">
    <w:abstractNumId w:val="23"/>
  </w:num>
  <w:num w:numId="11">
    <w:abstractNumId w:val="17"/>
  </w:num>
  <w:num w:numId="12">
    <w:abstractNumId w:val="25"/>
  </w:num>
  <w:num w:numId="13">
    <w:abstractNumId w:val="14"/>
  </w:num>
  <w:num w:numId="14">
    <w:abstractNumId w:val="22"/>
  </w:num>
  <w:num w:numId="15">
    <w:abstractNumId w:val="6"/>
  </w:num>
  <w:num w:numId="16">
    <w:abstractNumId w:val="16"/>
  </w:num>
  <w:num w:numId="17">
    <w:abstractNumId w:val="19"/>
  </w:num>
  <w:num w:numId="18">
    <w:abstractNumId w:val="2"/>
  </w:num>
  <w:num w:numId="19">
    <w:abstractNumId w:val="0"/>
  </w:num>
  <w:num w:numId="20">
    <w:abstractNumId w:val="5"/>
  </w:num>
  <w:num w:numId="21">
    <w:abstractNumId w:val="18"/>
  </w:num>
  <w:num w:numId="22">
    <w:abstractNumId w:val="8"/>
  </w:num>
  <w:num w:numId="23">
    <w:abstractNumId w:val="24"/>
  </w:num>
  <w:num w:numId="24">
    <w:abstractNumId w:val="29"/>
  </w:num>
  <w:num w:numId="25">
    <w:abstractNumId w:val="20"/>
  </w:num>
  <w:num w:numId="26">
    <w:abstractNumId w:val="7"/>
  </w:num>
  <w:num w:numId="27">
    <w:abstractNumId w:val="10"/>
  </w:num>
  <w:num w:numId="28">
    <w:abstractNumId w:val="1"/>
  </w:num>
  <w:num w:numId="29">
    <w:abstractNumId w:val="11"/>
  </w:num>
  <w:num w:numId="30">
    <w:abstractNumId w:val="21"/>
  </w:num>
  <w:num w:numId="31">
    <w:abstractNumId w:val="2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48C"/>
    <w:rsid w:val="0000112D"/>
    <w:rsid w:val="00001776"/>
    <w:rsid w:val="00004DED"/>
    <w:rsid w:val="0000622F"/>
    <w:rsid w:val="00007357"/>
    <w:rsid w:val="00007E57"/>
    <w:rsid w:val="00021E74"/>
    <w:rsid w:val="00027346"/>
    <w:rsid w:val="00027A04"/>
    <w:rsid w:val="00030512"/>
    <w:rsid w:val="0003178B"/>
    <w:rsid w:val="00031870"/>
    <w:rsid w:val="00032AED"/>
    <w:rsid w:val="00037010"/>
    <w:rsid w:val="00041D3A"/>
    <w:rsid w:val="00044235"/>
    <w:rsid w:val="00045D47"/>
    <w:rsid w:val="00050395"/>
    <w:rsid w:val="00050EF7"/>
    <w:rsid w:val="00052386"/>
    <w:rsid w:val="00055410"/>
    <w:rsid w:val="00062D35"/>
    <w:rsid w:val="00066A66"/>
    <w:rsid w:val="00072B0D"/>
    <w:rsid w:val="000766CB"/>
    <w:rsid w:val="00081981"/>
    <w:rsid w:val="00086142"/>
    <w:rsid w:val="000866C7"/>
    <w:rsid w:val="000904EB"/>
    <w:rsid w:val="00092FFF"/>
    <w:rsid w:val="000A017A"/>
    <w:rsid w:val="000A6786"/>
    <w:rsid w:val="000B5216"/>
    <w:rsid w:val="000B6F63"/>
    <w:rsid w:val="000B6FA8"/>
    <w:rsid w:val="000B75D1"/>
    <w:rsid w:val="000C0712"/>
    <w:rsid w:val="000C1872"/>
    <w:rsid w:val="000C3AE0"/>
    <w:rsid w:val="000C4AA2"/>
    <w:rsid w:val="000C7B45"/>
    <w:rsid w:val="000D08D2"/>
    <w:rsid w:val="000D0CAA"/>
    <w:rsid w:val="000D1916"/>
    <w:rsid w:val="000D379F"/>
    <w:rsid w:val="000D40E6"/>
    <w:rsid w:val="000D46AB"/>
    <w:rsid w:val="000D6166"/>
    <w:rsid w:val="000D7514"/>
    <w:rsid w:val="000E0781"/>
    <w:rsid w:val="000E6FE2"/>
    <w:rsid w:val="000F105F"/>
    <w:rsid w:val="000F2A2E"/>
    <w:rsid w:val="000F549E"/>
    <w:rsid w:val="000F59DF"/>
    <w:rsid w:val="00100470"/>
    <w:rsid w:val="0010431D"/>
    <w:rsid w:val="001207DF"/>
    <w:rsid w:val="00121695"/>
    <w:rsid w:val="00121D99"/>
    <w:rsid w:val="00122808"/>
    <w:rsid w:val="00124ABD"/>
    <w:rsid w:val="00126A26"/>
    <w:rsid w:val="0012748A"/>
    <w:rsid w:val="0013005C"/>
    <w:rsid w:val="001352B8"/>
    <w:rsid w:val="001354BB"/>
    <w:rsid w:val="00135C4E"/>
    <w:rsid w:val="00140487"/>
    <w:rsid w:val="00141D4A"/>
    <w:rsid w:val="00142F88"/>
    <w:rsid w:val="00144131"/>
    <w:rsid w:val="00145A6D"/>
    <w:rsid w:val="00154889"/>
    <w:rsid w:val="00161BF3"/>
    <w:rsid w:val="00164232"/>
    <w:rsid w:val="00165FED"/>
    <w:rsid w:val="00170556"/>
    <w:rsid w:val="00171E97"/>
    <w:rsid w:val="001738CD"/>
    <w:rsid w:val="00185248"/>
    <w:rsid w:val="0018527E"/>
    <w:rsid w:val="00190B83"/>
    <w:rsid w:val="0019456A"/>
    <w:rsid w:val="001A2E4D"/>
    <w:rsid w:val="001A3F9E"/>
    <w:rsid w:val="001A4F46"/>
    <w:rsid w:val="001B2D1B"/>
    <w:rsid w:val="001B4689"/>
    <w:rsid w:val="001B50BD"/>
    <w:rsid w:val="001C030E"/>
    <w:rsid w:val="001C0BD0"/>
    <w:rsid w:val="001C621A"/>
    <w:rsid w:val="001D60A0"/>
    <w:rsid w:val="001D6F07"/>
    <w:rsid w:val="001D75AD"/>
    <w:rsid w:val="001D76F2"/>
    <w:rsid w:val="001D7DD9"/>
    <w:rsid w:val="001E311F"/>
    <w:rsid w:val="001E6844"/>
    <w:rsid w:val="001E71C4"/>
    <w:rsid w:val="001F2C48"/>
    <w:rsid w:val="001F3CDC"/>
    <w:rsid w:val="001F4DED"/>
    <w:rsid w:val="00201A22"/>
    <w:rsid w:val="00202008"/>
    <w:rsid w:val="002063F0"/>
    <w:rsid w:val="0020641F"/>
    <w:rsid w:val="0021182B"/>
    <w:rsid w:val="00211AE8"/>
    <w:rsid w:val="00213015"/>
    <w:rsid w:val="002140CD"/>
    <w:rsid w:val="002225BF"/>
    <w:rsid w:val="0022434B"/>
    <w:rsid w:val="00225ACB"/>
    <w:rsid w:val="00233BA8"/>
    <w:rsid w:val="00247426"/>
    <w:rsid w:val="0025220D"/>
    <w:rsid w:val="002523E5"/>
    <w:rsid w:val="0025288A"/>
    <w:rsid w:val="00255BBC"/>
    <w:rsid w:val="002568F8"/>
    <w:rsid w:val="002576F8"/>
    <w:rsid w:val="00265612"/>
    <w:rsid w:val="0026677F"/>
    <w:rsid w:val="00266A5D"/>
    <w:rsid w:val="002702D6"/>
    <w:rsid w:val="002754F8"/>
    <w:rsid w:val="0028775E"/>
    <w:rsid w:val="002921A3"/>
    <w:rsid w:val="002949F8"/>
    <w:rsid w:val="00296C73"/>
    <w:rsid w:val="002A0A03"/>
    <w:rsid w:val="002A4AD1"/>
    <w:rsid w:val="002A53C4"/>
    <w:rsid w:val="002B54F9"/>
    <w:rsid w:val="002B5605"/>
    <w:rsid w:val="002B7551"/>
    <w:rsid w:val="002B7A03"/>
    <w:rsid w:val="002C1A7E"/>
    <w:rsid w:val="002C21D0"/>
    <w:rsid w:val="002D06AE"/>
    <w:rsid w:val="002D28BA"/>
    <w:rsid w:val="002D3939"/>
    <w:rsid w:val="002D4575"/>
    <w:rsid w:val="002D59AC"/>
    <w:rsid w:val="002E3ADC"/>
    <w:rsid w:val="002E491A"/>
    <w:rsid w:val="002E7FBC"/>
    <w:rsid w:val="002F3ACA"/>
    <w:rsid w:val="002F5698"/>
    <w:rsid w:val="003015B9"/>
    <w:rsid w:val="00303E76"/>
    <w:rsid w:val="0030405A"/>
    <w:rsid w:val="00305ABD"/>
    <w:rsid w:val="00307ECD"/>
    <w:rsid w:val="0031221B"/>
    <w:rsid w:val="00313B84"/>
    <w:rsid w:val="00320F1C"/>
    <w:rsid w:val="00327E9B"/>
    <w:rsid w:val="00341026"/>
    <w:rsid w:val="0035073C"/>
    <w:rsid w:val="00355FD6"/>
    <w:rsid w:val="00374DE7"/>
    <w:rsid w:val="00377AC5"/>
    <w:rsid w:val="003813B5"/>
    <w:rsid w:val="00384073"/>
    <w:rsid w:val="00384953"/>
    <w:rsid w:val="00395548"/>
    <w:rsid w:val="003A28DE"/>
    <w:rsid w:val="003B7057"/>
    <w:rsid w:val="003C2086"/>
    <w:rsid w:val="003D0588"/>
    <w:rsid w:val="003D3D07"/>
    <w:rsid w:val="003D45B0"/>
    <w:rsid w:val="003E1D61"/>
    <w:rsid w:val="003E20D6"/>
    <w:rsid w:val="003E44A3"/>
    <w:rsid w:val="003E7D6D"/>
    <w:rsid w:val="003F038D"/>
    <w:rsid w:val="003F084F"/>
    <w:rsid w:val="003F2F79"/>
    <w:rsid w:val="0040011E"/>
    <w:rsid w:val="00410D63"/>
    <w:rsid w:val="00416A8E"/>
    <w:rsid w:val="0042162C"/>
    <w:rsid w:val="004270DA"/>
    <w:rsid w:val="00427685"/>
    <w:rsid w:val="00430776"/>
    <w:rsid w:val="00430ACC"/>
    <w:rsid w:val="00432F78"/>
    <w:rsid w:val="00433681"/>
    <w:rsid w:val="00434B88"/>
    <w:rsid w:val="00436587"/>
    <w:rsid w:val="00441629"/>
    <w:rsid w:val="00443635"/>
    <w:rsid w:val="00444F86"/>
    <w:rsid w:val="004514F5"/>
    <w:rsid w:val="00453652"/>
    <w:rsid w:val="00455BFD"/>
    <w:rsid w:val="00457CD7"/>
    <w:rsid w:val="00463036"/>
    <w:rsid w:val="0046347A"/>
    <w:rsid w:val="00464600"/>
    <w:rsid w:val="00474EA7"/>
    <w:rsid w:val="00475A61"/>
    <w:rsid w:val="00477FC0"/>
    <w:rsid w:val="004802B3"/>
    <w:rsid w:val="00483FC5"/>
    <w:rsid w:val="004872CF"/>
    <w:rsid w:val="004872ED"/>
    <w:rsid w:val="00493D3A"/>
    <w:rsid w:val="004943EA"/>
    <w:rsid w:val="004961B8"/>
    <w:rsid w:val="004A4B79"/>
    <w:rsid w:val="004B4798"/>
    <w:rsid w:val="004B4EAB"/>
    <w:rsid w:val="004C3FA2"/>
    <w:rsid w:val="004C4416"/>
    <w:rsid w:val="004C73D1"/>
    <w:rsid w:val="004D23F6"/>
    <w:rsid w:val="004E3611"/>
    <w:rsid w:val="004F0EF6"/>
    <w:rsid w:val="004F5060"/>
    <w:rsid w:val="004F68DD"/>
    <w:rsid w:val="004F741B"/>
    <w:rsid w:val="004F7C74"/>
    <w:rsid w:val="00500136"/>
    <w:rsid w:val="00512DA5"/>
    <w:rsid w:val="00517C57"/>
    <w:rsid w:val="00522341"/>
    <w:rsid w:val="00522382"/>
    <w:rsid w:val="00535823"/>
    <w:rsid w:val="0053658F"/>
    <w:rsid w:val="00542D53"/>
    <w:rsid w:val="00542FDE"/>
    <w:rsid w:val="00545100"/>
    <w:rsid w:val="005466AA"/>
    <w:rsid w:val="00547A5B"/>
    <w:rsid w:val="0055127F"/>
    <w:rsid w:val="005513CA"/>
    <w:rsid w:val="005546FB"/>
    <w:rsid w:val="00554A9E"/>
    <w:rsid w:val="00554E73"/>
    <w:rsid w:val="00555E7D"/>
    <w:rsid w:val="0055749F"/>
    <w:rsid w:val="00560704"/>
    <w:rsid w:val="00562B0F"/>
    <w:rsid w:val="00564559"/>
    <w:rsid w:val="00571298"/>
    <w:rsid w:val="005736F0"/>
    <w:rsid w:val="00573F7A"/>
    <w:rsid w:val="00586EB1"/>
    <w:rsid w:val="005968B5"/>
    <w:rsid w:val="005A1741"/>
    <w:rsid w:val="005A2804"/>
    <w:rsid w:val="005A2E37"/>
    <w:rsid w:val="005A53C9"/>
    <w:rsid w:val="005B0D83"/>
    <w:rsid w:val="005B31BA"/>
    <w:rsid w:val="005C0FD6"/>
    <w:rsid w:val="005D462A"/>
    <w:rsid w:val="005D46F0"/>
    <w:rsid w:val="005D65F9"/>
    <w:rsid w:val="005D6D47"/>
    <w:rsid w:val="005D7C81"/>
    <w:rsid w:val="005E0604"/>
    <w:rsid w:val="005E0939"/>
    <w:rsid w:val="005E30EA"/>
    <w:rsid w:val="005F4AAB"/>
    <w:rsid w:val="005F6A30"/>
    <w:rsid w:val="006015BF"/>
    <w:rsid w:val="006053A0"/>
    <w:rsid w:val="00605E7C"/>
    <w:rsid w:val="00607FE6"/>
    <w:rsid w:val="00610B8B"/>
    <w:rsid w:val="00611959"/>
    <w:rsid w:val="006125DD"/>
    <w:rsid w:val="0061368E"/>
    <w:rsid w:val="0061642C"/>
    <w:rsid w:val="00620319"/>
    <w:rsid w:val="0062120B"/>
    <w:rsid w:val="006374EA"/>
    <w:rsid w:val="0064148C"/>
    <w:rsid w:val="00641DAF"/>
    <w:rsid w:val="00644FD0"/>
    <w:rsid w:val="006463C7"/>
    <w:rsid w:val="006501AD"/>
    <w:rsid w:val="00667A67"/>
    <w:rsid w:val="00671446"/>
    <w:rsid w:val="00673BEB"/>
    <w:rsid w:val="00676E7B"/>
    <w:rsid w:val="00682524"/>
    <w:rsid w:val="00682730"/>
    <w:rsid w:val="00683FAC"/>
    <w:rsid w:val="0068437A"/>
    <w:rsid w:val="006875BC"/>
    <w:rsid w:val="006936C3"/>
    <w:rsid w:val="0069453C"/>
    <w:rsid w:val="006A0711"/>
    <w:rsid w:val="006A11D3"/>
    <w:rsid w:val="006A20BA"/>
    <w:rsid w:val="006A2366"/>
    <w:rsid w:val="006A7702"/>
    <w:rsid w:val="006B2A1A"/>
    <w:rsid w:val="006C0DFA"/>
    <w:rsid w:val="006C449E"/>
    <w:rsid w:val="006C75FF"/>
    <w:rsid w:val="006C7F8E"/>
    <w:rsid w:val="006F2023"/>
    <w:rsid w:val="006F56E0"/>
    <w:rsid w:val="006F6182"/>
    <w:rsid w:val="006F73A8"/>
    <w:rsid w:val="00701A12"/>
    <w:rsid w:val="007032D2"/>
    <w:rsid w:val="00703ACE"/>
    <w:rsid w:val="00704708"/>
    <w:rsid w:val="0070612E"/>
    <w:rsid w:val="007100D7"/>
    <w:rsid w:val="00711751"/>
    <w:rsid w:val="00712BAA"/>
    <w:rsid w:val="0071380A"/>
    <w:rsid w:val="007139F9"/>
    <w:rsid w:val="00723295"/>
    <w:rsid w:val="00724451"/>
    <w:rsid w:val="00727716"/>
    <w:rsid w:val="00727B7C"/>
    <w:rsid w:val="007307EF"/>
    <w:rsid w:val="00730940"/>
    <w:rsid w:val="00733052"/>
    <w:rsid w:val="00733255"/>
    <w:rsid w:val="007360EC"/>
    <w:rsid w:val="0074207A"/>
    <w:rsid w:val="007538B1"/>
    <w:rsid w:val="00755F01"/>
    <w:rsid w:val="007560B8"/>
    <w:rsid w:val="0075736E"/>
    <w:rsid w:val="00757C79"/>
    <w:rsid w:val="0076102B"/>
    <w:rsid w:val="00761C4A"/>
    <w:rsid w:val="00761E81"/>
    <w:rsid w:val="00762A3D"/>
    <w:rsid w:val="0076665B"/>
    <w:rsid w:val="0077328C"/>
    <w:rsid w:val="0077461E"/>
    <w:rsid w:val="00777B56"/>
    <w:rsid w:val="007804F2"/>
    <w:rsid w:val="00781CBF"/>
    <w:rsid w:val="00790637"/>
    <w:rsid w:val="0079161C"/>
    <w:rsid w:val="00795851"/>
    <w:rsid w:val="007A2D56"/>
    <w:rsid w:val="007A7903"/>
    <w:rsid w:val="007B45A1"/>
    <w:rsid w:val="007C3F26"/>
    <w:rsid w:val="007C6CF7"/>
    <w:rsid w:val="007D17D9"/>
    <w:rsid w:val="007E194C"/>
    <w:rsid w:val="007E4B67"/>
    <w:rsid w:val="007E63EE"/>
    <w:rsid w:val="007E6910"/>
    <w:rsid w:val="007E742F"/>
    <w:rsid w:val="007E7CC4"/>
    <w:rsid w:val="007F7EB5"/>
    <w:rsid w:val="00823E93"/>
    <w:rsid w:val="00826543"/>
    <w:rsid w:val="00826B6F"/>
    <w:rsid w:val="00830C61"/>
    <w:rsid w:val="00840867"/>
    <w:rsid w:val="008421FE"/>
    <w:rsid w:val="0084266F"/>
    <w:rsid w:val="0084385F"/>
    <w:rsid w:val="00844718"/>
    <w:rsid w:val="00847F41"/>
    <w:rsid w:val="00854161"/>
    <w:rsid w:val="00860223"/>
    <w:rsid w:val="00867711"/>
    <w:rsid w:val="00873494"/>
    <w:rsid w:val="008800CC"/>
    <w:rsid w:val="008840F8"/>
    <w:rsid w:val="00886CBB"/>
    <w:rsid w:val="00887CBE"/>
    <w:rsid w:val="00895005"/>
    <w:rsid w:val="00897388"/>
    <w:rsid w:val="008A0C79"/>
    <w:rsid w:val="008A1A00"/>
    <w:rsid w:val="008A489C"/>
    <w:rsid w:val="008A63C7"/>
    <w:rsid w:val="008A6EF3"/>
    <w:rsid w:val="008A7563"/>
    <w:rsid w:val="008A7AA9"/>
    <w:rsid w:val="008B327F"/>
    <w:rsid w:val="008B395F"/>
    <w:rsid w:val="008B75CC"/>
    <w:rsid w:val="008C0E32"/>
    <w:rsid w:val="008C1268"/>
    <w:rsid w:val="008C19CF"/>
    <w:rsid w:val="008C3959"/>
    <w:rsid w:val="008D0278"/>
    <w:rsid w:val="008D15DA"/>
    <w:rsid w:val="008D5787"/>
    <w:rsid w:val="008D6FAE"/>
    <w:rsid w:val="008E1285"/>
    <w:rsid w:val="008E2111"/>
    <w:rsid w:val="008E420C"/>
    <w:rsid w:val="008E4613"/>
    <w:rsid w:val="008F097E"/>
    <w:rsid w:val="008F1482"/>
    <w:rsid w:val="008F19E7"/>
    <w:rsid w:val="00900671"/>
    <w:rsid w:val="00914798"/>
    <w:rsid w:val="00924B5A"/>
    <w:rsid w:val="00927721"/>
    <w:rsid w:val="009305A6"/>
    <w:rsid w:val="0093664B"/>
    <w:rsid w:val="00936CA7"/>
    <w:rsid w:val="00936DDB"/>
    <w:rsid w:val="00936F1C"/>
    <w:rsid w:val="00937EB8"/>
    <w:rsid w:val="009401DA"/>
    <w:rsid w:val="0094109B"/>
    <w:rsid w:val="0094269D"/>
    <w:rsid w:val="00945916"/>
    <w:rsid w:val="00946670"/>
    <w:rsid w:val="00947EDC"/>
    <w:rsid w:val="0095215E"/>
    <w:rsid w:val="00952FF7"/>
    <w:rsid w:val="009566B2"/>
    <w:rsid w:val="0095744C"/>
    <w:rsid w:val="00961C6D"/>
    <w:rsid w:val="0096573D"/>
    <w:rsid w:val="009724B0"/>
    <w:rsid w:val="00973A37"/>
    <w:rsid w:val="0098114A"/>
    <w:rsid w:val="00983AC3"/>
    <w:rsid w:val="00984C7A"/>
    <w:rsid w:val="00985C23"/>
    <w:rsid w:val="00985EC5"/>
    <w:rsid w:val="00986590"/>
    <w:rsid w:val="009866DA"/>
    <w:rsid w:val="00993E7E"/>
    <w:rsid w:val="009A15C5"/>
    <w:rsid w:val="009A2DFA"/>
    <w:rsid w:val="009A631C"/>
    <w:rsid w:val="009A6458"/>
    <w:rsid w:val="009B1829"/>
    <w:rsid w:val="009B18B6"/>
    <w:rsid w:val="009B27A8"/>
    <w:rsid w:val="009B5781"/>
    <w:rsid w:val="009C07B8"/>
    <w:rsid w:val="009C3CB9"/>
    <w:rsid w:val="009C7401"/>
    <w:rsid w:val="009D59C6"/>
    <w:rsid w:val="009E1F0E"/>
    <w:rsid w:val="009E3255"/>
    <w:rsid w:val="009F0CFD"/>
    <w:rsid w:val="009F18F0"/>
    <w:rsid w:val="009F410A"/>
    <w:rsid w:val="00A01A3E"/>
    <w:rsid w:val="00A0478E"/>
    <w:rsid w:val="00A07596"/>
    <w:rsid w:val="00A1060E"/>
    <w:rsid w:val="00A11807"/>
    <w:rsid w:val="00A118E6"/>
    <w:rsid w:val="00A12706"/>
    <w:rsid w:val="00A1501D"/>
    <w:rsid w:val="00A204D7"/>
    <w:rsid w:val="00A2150C"/>
    <w:rsid w:val="00A23470"/>
    <w:rsid w:val="00A27270"/>
    <w:rsid w:val="00A3562F"/>
    <w:rsid w:val="00A364FB"/>
    <w:rsid w:val="00A40AF1"/>
    <w:rsid w:val="00A41E4A"/>
    <w:rsid w:val="00A436EE"/>
    <w:rsid w:val="00A543A2"/>
    <w:rsid w:val="00A56C08"/>
    <w:rsid w:val="00A60B98"/>
    <w:rsid w:val="00A60ED5"/>
    <w:rsid w:val="00A6133B"/>
    <w:rsid w:val="00A624B9"/>
    <w:rsid w:val="00A666EE"/>
    <w:rsid w:val="00A6672A"/>
    <w:rsid w:val="00A719CA"/>
    <w:rsid w:val="00A73A4B"/>
    <w:rsid w:val="00A77A82"/>
    <w:rsid w:val="00A820DF"/>
    <w:rsid w:val="00A85F57"/>
    <w:rsid w:val="00A87983"/>
    <w:rsid w:val="00A92662"/>
    <w:rsid w:val="00AA1F26"/>
    <w:rsid w:val="00AA694A"/>
    <w:rsid w:val="00AB77AD"/>
    <w:rsid w:val="00AC1BDE"/>
    <w:rsid w:val="00AC5605"/>
    <w:rsid w:val="00AC6FE3"/>
    <w:rsid w:val="00AC7AEF"/>
    <w:rsid w:val="00AD5E18"/>
    <w:rsid w:val="00AE069A"/>
    <w:rsid w:val="00AE0D78"/>
    <w:rsid w:val="00AE6A4A"/>
    <w:rsid w:val="00AF5421"/>
    <w:rsid w:val="00AF5A40"/>
    <w:rsid w:val="00B04B8B"/>
    <w:rsid w:val="00B07958"/>
    <w:rsid w:val="00B15400"/>
    <w:rsid w:val="00B2133D"/>
    <w:rsid w:val="00B249E9"/>
    <w:rsid w:val="00B3139C"/>
    <w:rsid w:val="00B31F2A"/>
    <w:rsid w:val="00B45604"/>
    <w:rsid w:val="00B462E1"/>
    <w:rsid w:val="00B57512"/>
    <w:rsid w:val="00B6026E"/>
    <w:rsid w:val="00B67196"/>
    <w:rsid w:val="00B674E5"/>
    <w:rsid w:val="00B67C51"/>
    <w:rsid w:val="00B72E00"/>
    <w:rsid w:val="00B73D3D"/>
    <w:rsid w:val="00B74E87"/>
    <w:rsid w:val="00B75DDD"/>
    <w:rsid w:val="00B822B5"/>
    <w:rsid w:val="00B824A9"/>
    <w:rsid w:val="00B8785E"/>
    <w:rsid w:val="00B94A1F"/>
    <w:rsid w:val="00B97F65"/>
    <w:rsid w:val="00BA31A1"/>
    <w:rsid w:val="00BA3A8E"/>
    <w:rsid w:val="00BA468C"/>
    <w:rsid w:val="00BA4816"/>
    <w:rsid w:val="00BA600F"/>
    <w:rsid w:val="00BB0443"/>
    <w:rsid w:val="00BB7529"/>
    <w:rsid w:val="00BC5509"/>
    <w:rsid w:val="00BC6163"/>
    <w:rsid w:val="00BD231D"/>
    <w:rsid w:val="00BD26BE"/>
    <w:rsid w:val="00BD5554"/>
    <w:rsid w:val="00BE3565"/>
    <w:rsid w:val="00BE4D7E"/>
    <w:rsid w:val="00BF2C6A"/>
    <w:rsid w:val="00BF4916"/>
    <w:rsid w:val="00C00B0F"/>
    <w:rsid w:val="00C00B3B"/>
    <w:rsid w:val="00C01C59"/>
    <w:rsid w:val="00C120D2"/>
    <w:rsid w:val="00C1622F"/>
    <w:rsid w:val="00C30C4D"/>
    <w:rsid w:val="00C31DEF"/>
    <w:rsid w:val="00C322D0"/>
    <w:rsid w:val="00C33B10"/>
    <w:rsid w:val="00C33C5A"/>
    <w:rsid w:val="00C375ED"/>
    <w:rsid w:val="00C41D3A"/>
    <w:rsid w:val="00C4379E"/>
    <w:rsid w:val="00C500C9"/>
    <w:rsid w:val="00C535D4"/>
    <w:rsid w:val="00C53D1E"/>
    <w:rsid w:val="00C62D17"/>
    <w:rsid w:val="00C6304F"/>
    <w:rsid w:val="00C64C05"/>
    <w:rsid w:val="00C660AB"/>
    <w:rsid w:val="00C76C2D"/>
    <w:rsid w:val="00C81CA7"/>
    <w:rsid w:val="00C82C72"/>
    <w:rsid w:val="00C8646E"/>
    <w:rsid w:val="00C90E35"/>
    <w:rsid w:val="00CA126A"/>
    <w:rsid w:val="00CA1E2F"/>
    <w:rsid w:val="00CA6077"/>
    <w:rsid w:val="00CA73B9"/>
    <w:rsid w:val="00CB3766"/>
    <w:rsid w:val="00CB6E7C"/>
    <w:rsid w:val="00CB7233"/>
    <w:rsid w:val="00CC11EF"/>
    <w:rsid w:val="00CC138C"/>
    <w:rsid w:val="00CC6B1C"/>
    <w:rsid w:val="00CC747A"/>
    <w:rsid w:val="00CD14E2"/>
    <w:rsid w:val="00CD1B04"/>
    <w:rsid w:val="00CD3E71"/>
    <w:rsid w:val="00CE254F"/>
    <w:rsid w:val="00CE2E3C"/>
    <w:rsid w:val="00CE36A1"/>
    <w:rsid w:val="00CE7643"/>
    <w:rsid w:val="00CF09AE"/>
    <w:rsid w:val="00CF13CF"/>
    <w:rsid w:val="00CF2A06"/>
    <w:rsid w:val="00CF2BEB"/>
    <w:rsid w:val="00CF4B23"/>
    <w:rsid w:val="00CF63DA"/>
    <w:rsid w:val="00CF71DB"/>
    <w:rsid w:val="00D02CD1"/>
    <w:rsid w:val="00D046A8"/>
    <w:rsid w:val="00D04A1C"/>
    <w:rsid w:val="00D07F02"/>
    <w:rsid w:val="00D12A03"/>
    <w:rsid w:val="00D14BA2"/>
    <w:rsid w:val="00D259EE"/>
    <w:rsid w:val="00D26460"/>
    <w:rsid w:val="00D33EC5"/>
    <w:rsid w:val="00D34125"/>
    <w:rsid w:val="00D351B2"/>
    <w:rsid w:val="00D3725C"/>
    <w:rsid w:val="00D37B2A"/>
    <w:rsid w:val="00D452EA"/>
    <w:rsid w:val="00D50C50"/>
    <w:rsid w:val="00D515D5"/>
    <w:rsid w:val="00D61855"/>
    <w:rsid w:val="00D624D5"/>
    <w:rsid w:val="00D626FA"/>
    <w:rsid w:val="00D6369D"/>
    <w:rsid w:val="00D6515A"/>
    <w:rsid w:val="00D65C7F"/>
    <w:rsid w:val="00D663CC"/>
    <w:rsid w:val="00D81BEC"/>
    <w:rsid w:val="00D83A70"/>
    <w:rsid w:val="00D87168"/>
    <w:rsid w:val="00D87D4F"/>
    <w:rsid w:val="00D91816"/>
    <w:rsid w:val="00D91D5E"/>
    <w:rsid w:val="00DA4C8F"/>
    <w:rsid w:val="00DA78A4"/>
    <w:rsid w:val="00DC28A5"/>
    <w:rsid w:val="00DC2CCC"/>
    <w:rsid w:val="00DE0976"/>
    <w:rsid w:val="00DE2818"/>
    <w:rsid w:val="00DE4D8A"/>
    <w:rsid w:val="00DE66ED"/>
    <w:rsid w:val="00E02AA1"/>
    <w:rsid w:val="00E033B2"/>
    <w:rsid w:val="00E06710"/>
    <w:rsid w:val="00E1012B"/>
    <w:rsid w:val="00E17614"/>
    <w:rsid w:val="00E23E31"/>
    <w:rsid w:val="00E254E7"/>
    <w:rsid w:val="00E25EA3"/>
    <w:rsid w:val="00E30712"/>
    <w:rsid w:val="00E453E7"/>
    <w:rsid w:val="00E52935"/>
    <w:rsid w:val="00E60D22"/>
    <w:rsid w:val="00E74EC5"/>
    <w:rsid w:val="00E77EE0"/>
    <w:rsid w:val="00E83253"/>
    <w:rsid w:val="00E8404C"/>
    <w:rsid w:val="00E85798"/>
    <w:rsid w:val="00E8589E"/>
    <w:rsid w:val="00E92BEE"/>
    <w:rsid w:val="00E93FFF"/>
    <w:rsid w:val="00E97BAE"/>
    <w:rsid w:val="00EA371D"/>
    <w:rsid w:val="00EB6D5F"/>
    <w:rsid w:val="00EB6D98"/>
    <w:rsid w:val="00ED36C6"/>
    <w:rsid w:val="00ED4EF2"/>
    <w:rsid w:val="00ED5FDE"/>
    <w:rsid w:val="00ED6D97"/>
    <w:rsid w:val="00EE3502"/>
    <w:rsid w:val="00EE6561"/>
    <w:rsid w:val="00EF77F2"/>
    <w:rsid w:val="00EF787A"/>
    <w:rsid w:val="00F057B6"/>
    <w:rsid w:val="00F05CF3"/>
    <w:rsid w:val="00F06BFC"/>
    <w:rsid w:val="00F07EA6"/>
    <w:rsid w:val="00F110F9"/>
    <w:rsid w:val="00F125E3"/>
    <w:rsid w:val="00F13E13"/>
    <w:rsid w:val="00F144F4"/>
    <w:rsid w:val="00F160A4"/>
    <w:rsid w:val="00F16669"/>
    <w:rsid w:val="00F16FF3"/>
    <w:rsid w:val="00F239B3"/>
    <w:rsid w:val="00F24B93"/>
    <w:rsid w:val="00F26B39"/>
    <w:rsid w:val="00F26D17"/>
    <w:rsid w:val="00F3366A"/>
    <w:rsid w:val="00F355C2"/>
    <w:rsid w:val="00F41320"/>
    <w:rsid w:val="00F417CC"/>
    <w:rsid w:val="00F4244C"/>
    <w:rsid w:val="00F43778"/>
    <w:rsid w:val="00F43C26"/>
    <w:rsid w:val="00F453D2"/>
    <w:rsid w:val="00F468A2"/>
    <w:rsid w:val="00F632C4"/>
    <w:rsid w:val="00F66DBE"/>
    <w:rsid w:val="00F66F44"/>
    <w:rsid w:val="00F70474"/>
    <w:rsid w:val="00F71D36"/>
    <w:rsid w:val="00F73C7C"/>
    <w:rsid w:val="00F8355E"/>
    <w:rsid w:val="00F86D2A"/>
    <w:rsid w:val="00F87F12"/>
    <w:rsid w:val="00F91E88"/>
    <w:rsid w:val="00F9336F"/>
    <w:rsid w:val="00F96C93"/>
    <w:rsid w:val="00FA3B9D"/>
    <w:rsid w:val="00FA43C9"/>
    <w:rsid w:val="00FB0585"/>
    <w:rsid w:val="00FB0EA8"/>
    <w:rsid w:val="00FB1069"/>
    <w:rsid w:val="00FB3925"/>
    <w:rsid w:val="00FB4727"/>
    <w:rsid w:val="00FB6136"/>
    <w:rsid w:val="00FB6908"/>
    <w:rsid w:val="00FC00C3"/>
    <w:rsid w:val="00FC2672"/>
    <w:rsid w:val="00FC612D"/>
    <w:rsid w:val="00FC7617"/>
    <w:rsid w:val="00FC7B4E"/>
    <w:rsid w:val="00FD18B1"/>
    <w:rsid w:val="00FD1AC7"/>
    <w:rsid w:val="00FD3DA7"/>
    <w:rsid w:val="00FD7575"/>
    <w:rsid w:val="00FE4ABC"/>
    <w:rsid w:val="00FF0430"/>
    <w:rsid w:val="00FF20BE"/>
    <w:rsid w:val="00FF3D8D"/>
    <w:rsid w:val="00FF5FA3"/>
    <w:rsid w:val="00FF63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8709C33E-9608-48F2-B082-6D7E8DF54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986590"/>
  </w:style>
  <w:style w:type="paragraph" w:styleId="Heading1">
    <w:name w:val="heading 1"/>
    <w:basedOn w:val="Normal"/>
    <w:next w:val="Normal"/>
    <w:link w:val="Heading1Char"/>
    <w:uiPriority w:val="9"/>
    <w:qFormat/>
    <w:rsid w:val="000503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F084F"/>
    <w:pPr>
      <w:keepNext/>
      <w:keepLines/>
      <w:numPr>
        <w:ilvl w:val="1"/>
        <w:numId w:val="6"/>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F084F"/>
    <w:pPr>
      <w:keepNext/>
      <w:keepLines/>
      <w:numPr>
        <w:ilvl w:val="2"/>
        <w:numId w:val="6"/>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F084F"/>
    <w:pPr>
      <w:keepNext/>
      <w:keepLines/>
      <w:numPr>
        <w:ilvl w:val="3"/>
        <w:numId w:val="6"/>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F084F"/>
    <w:pPr>
      <w:keepNext/>
      <w:keepLines/>
      <w:numPr>
        <w:ilvl w:val="4"/>
        <w:numId w:val="6"/>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F084F"/>
    <w:pPr>
      <w:keepNext/>
      <w:keepLines/>
      <w:numPr>
        <w:ilvl w:val="5"/>
        <w:numId w:val="6"/>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F084F"/>
    <w:pPr>
      <w:keepNext/>
      <w:keepLines/>
      <w:numPr>
        <w:ilvl w:val="6"/>
        <w:numId w:val="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F084F"/>
    <w:pPr>
      <w:keepNext/>
      <w:keepLines/>
      <w:numPr>
        <w:ilvl w:val="7"/>
        <w:numId w:val="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F084F"/>
    <w:pPr>
      <w:keepNext/>
      <w:keepLines/>
      <w:numPr>
        <w:ilvl w:val="8"/>
        <w:numId w:val="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Texto nota pie IIRSA,FOOTNOTES,single space,footnote text,Footnote Text Char Char,footnote,Texto de rodapé,nota_rodapé,nota de rodapé,texto de nota al pie,Texto nota pie Car Car Car Car Car Car Car Car,foottextfra,F,foottextf,Geneva 9"/>
    <w:basedOn w:val="Normal"/>
    <w:link w:val="FootnoteTextChar"/>
    <w:uiPriority w:val="99"/>
    <w:unhideWhenUsed/>
    <w:rsid w:val="0064148C"/>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nota pie IIRSA Char,FOOTNOTES Char,single space Char,footnote text Char,Footnote Text Char Char Char,footnote Char,Texto de rodapé Char,nota_rodapé Char,nota de rodapé Char,texto de nota al pie Char,foottextfra Char"/>
    <w:basedOn w:val="DefaultParagraphFont"/>
    <w:link w:val="FootnoteText"/>
    <w:uiPriority w:val="99"/>
    <w:rsid w:val="0064148C"/>
    <w:rPr>
      <w:rFonts w:ascii="Times New Roman" w:hAnsi="Times New Roman" w:cs="Times New Roman"/>
      <w:spacing w:val="-3"/>
      <w:sz w:val="20"/>
      <w:szCs w:val="20"/>
    </w:rPr>
  </w:style>
  <w:style w:type="character" w:styleId="FootnoteReference">
    <w:name w:val="footnote reference"/>
    <w:aliases w:val="FC,ftref,Ref,de nota al pie,16 Point,Superscript 6 Point,(Ref. de nota al pie),titulo 2,Texto nota al pie,referencia nota al pie,Footnote Reference Number,Footnote Reference_LVL6,Footnote Reference_LVL61,Footnote Reference_LVL62"/>
    <w:unhideWhenUsed/>
    <w:qFormat/>
    <w:rsid w:val="0064148C"/>
    <w:rPr>
      <w:vertAlign w:val="superscript"/>
    </w:rPr>
  </w:style>
  <w:style w:type="paragraph" w:styleId="ListParagraph">
    <w:name w:val="List Paragraph"/>
    <w:basedOn w:val="Normal"/>
    <w:link w:val="ListParagraphChar"/>
    <w:uiPriority w:val="34"/>
    <w:qFormat/>
    <w:rsid w:val="007100D7"/>
    <w:pPr>
      <w:ind w:left="720"/>
      <w:contextualSpacing/>
    </w:pPr>
  </w:style>
  <w:style w:type="table" w:styleId="TableGrid">
    <w:name w:val="Table Grid"/>
    <w:basedOn w:val="TableNormal"/>
    <w:uiPriority w:val="59"/>
    <w:rsid w:val="006F56E0"/>
    <w:pPr>
      <w:spacing w:after="0"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C3A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3AE0"/>
    <w:rPr>
      <w:rFonts w:ascii="Tahoma" w:hAnsi="Tahoma" w:cs="Tahoma"/>
      <w:sz w:val="16"/>
      <w:szCs w:val="16"/>
    </w:rPr>
  </w:style>
  <w:style w:type="character" w:styleId="CommentReference">
    <w:name w:val="annotation reference"/>
    <w:basedOn w:val="DefaultParagraphFont"/>
    <w:uiPriority w:val="99"/>
    <w:unhideWhenUsed/>
    <w:rsid w:val="00AA694A"/>
    <w:rPr>
      <w:sz w:val="16"/>
      <w:szCs w:val="16"/>
    </w:rPr>
  </w:style>
  <w:style w:type="paragraph" w:styleId="CommentText">
    <w:name w:val="annotation text"/>
    <w:basedOn w:val="Normal"/>
    <w:link w:val="CommentTextChar"/>
    <w:uiPriority w:val="99"/>
    <w:semiHidden/>
    <w:unhideWhenUsed/>
    <w:rsid w:val="00AA694A"/>
    <w:pPr>
      <w:spacing w:line="240" w:lineRule="auto"/>
    </w:pPr>
    <w:rPr>
      <w:sz w:val="20"/>
      <w:szCs w:val="20"/>
    </w:rPr>
  </w:style>
  <w:style w:type="character" w:customStyle="1" w:styleId="CommentTextChar">
    <w:name w:val="Comment Text Char"/>
    <w:basedOn w:val="DefaultParagraphFont"/>
    <w:link w:val="CommentText"/>
    <w:uiPriority w:val="99"/>
    <w:semiHidden/>
    <w:rsid w:val="00AA694A"/>
    <w:rPr>
      <w:sz w:val="20"/>
      <w:szCs w:val="20"/>
    </w:rPr>
  </w:style>
  <w:style w:type="paragraph" w:styleId="CommentSubject">
    <w:name w:val="annotation subject"/>
    <w:basedOn w:val="CommentText"/>
    <w:next w:val="CommentText"/>
    <w:link w:val="CommentSubjectChar"/>
    <w:uiPriority w:val="99"/>
    <w:semiHidden/>
    <w:unhideWhenUsed/>
    <w:rsid w:val="00AA694A"/>
    <w:rPr>
      <w:b/>
      <w:bCs/>
    </w:rPr>
  </w:style>
  <w:style w:type="character" w:customStyle="1" w:styleId="CommentSubjectChar">
    <w:name w:val="Comment Subject Char"/>
    <w:basedOn w:val="CommentTextChar"/>
    <w:link w:val="CommentSubject"/>
    <w:uiPriority w:val="99"/>
    <w:semiHidden/>
    <w:rsid w:val="00AA694A"/>
    <w:rPr>
      <w:b/>
      <w:bCs/>
      <w:sz w:val="20"/>
      <w:szCs w:val="20"/>
    </w:rPr>
  </w:style>
  <w:style w:type="character" w:styleId="Hyperlink">
    <w:name w:val="Hyperlink"/>
    <w:rsid w:val="00A12706"/>
    <w:rPr>
      <w:color w:val="0000FF"/>
      <w:u w:val="single"/>
    </w:rPr>
  </w:style>
  <w:style w:type="paragraph" w:customStyle="1" w:styleId="Chapter">
    <w:name w:val="Chapter"/>
    <w:basedOn w:val="Normal"/>
    <w:next w:val="Normal"/>
    <w:link w:val="ChapterChar"/>
    <w:rsid w:val="003F084F"/>
    <w:pPr>
      <w:keepNext/>
      <w:numPr>
        <w:numId w:val="6"/>
      </w:numPr>
      <w:tabs>
        <w:tab w:val="num" w:pos="648"/>
        <w:tab w:val="left" w:pos="1440"/>
      </w:tabs>
      <w:spacing w:before="240" w:after="240" w:line="240" w:lineRule="auto"/>
      <w:ind w:left="0" w:firstLine="288"/>
      <w:jc w:val="center"/>
    </w:pPr>
    <w:rPr>
      <w:rFonts w:ascii="Times New Roman" w:eastAsia="Times New Roman" w:hAnsi="Times New Roman" w:cs="Times New Roman"/>
      <w:b/>
      <w:smallCaps/>
      <w:sz w:val="24"/>
      <w:szCs w:val="20"/>
    </w:rPr>
  </w:style>
  <w:style w:type="character" w:customStyle="1" w:styleId="ChapterChar">
    <w:name w:val="Chapter Char"/>
    <w:basedOn w:val="DefaultParagraphFont"/>
    <w:link w:val="Chapter"/>
    <w:rsid w:val="003F084F"/>
    <w:rPr>
      <w:rFonts w:ascii="Times New Roman" w:eastAsia="Times New Roman" w:hAnsi="Times New Roman" w:cs="Times New Roman"/>
      <w:b/>
      <w:smallCaps/>
      <w:sz w:val="24"/>
      <w:szCs w:val="20"/>
    </w:rPr>
  </w:style>
  <w:style w:type="paragraph" w:customStyle="1" w:styleId="FirstHeading">
    <w:name w:val="FirstHeading"/>
    <w:basedOn w:val="Normal"/>
    <w:next w:val="Normal"/>
    <w:link w:val="FirstHeadingChar"/>
    <w:rsid w:val="003F084F"/>
    <w:pPr>
      <w:keepNext/>
      <w:tabs>
        <w:tab w:val="left" w:pos="0"/>
        <w:tab w:val="left" w:pos="86"/>
      </w:tabs>
      <w:spacing w:before="120" w:after="120" w:line="240" w:lineRule="auto"/>
      <w:ind w:left="720" w:hanging="720"/>
    </w:pPr>
    <w:rPr>
      <w:rFonts w:ascii="Times New Roman" w:eastAsia="Times New Roman" w:hAnsi="Times New Roman" w:cs="Times New Roman"/>
      <w:b/>
      <w:sz w:val="24"/>
      <w:szCs w:val="20"/>
    </w:rPr>
  </w:style>
  <w:style w:type="character" w:customStyle="1" w:styleId="FirstHeadingChar">
    <w:name w:val="FirstHeading Char"/>
    <w:basedOn w:val="DefaultParagraphFont"/>
    <w:link w:val="FirstHeading"/>
    <w:rsid w:val="003F084F"/>
    <w:rPr>
      <w:rFonts w:ascii="Times New Roman" w:eastAsia="Times New Roman" w:hAnsi="Times New Roman" w:cs="Times New Roman"/>
      <w:b/>
      <w:sz w:val="24"/>
      <w:szCs w:val="20"/>
    </w:rPr>
  </w:style>
  <w:style w:type="paragraph" w:customStyle="1" w:styleId="SecHeading">
    <w:name w:val="SecHeading"/>
    <w:basedOn w:val="Normal"/>
    <w:next w:val="Paragraph"/>
    <w:link w:val="SecHeadingChar"/>
    <w:rsid w:val="003F084F"/>
    <w:pPr>
      <w:keepNext/>
      <w:tabs>
        <w:tab w:val="num" w:pos="1296"/>
      </w:tabs>
      <w:spacing w:before="120" w:after="120" w:line="240" w:lineRule="auto"/>
      <w:ind w:left="1296" w:hanging="576"/>
    </w:pPr>
    <w:rPr>
      <w:rFonts w:ascii="Times New Roman" w:eastAsia="Times New Roman" w:hAnsi="Times New Roman" w:cs="Times New Roman"/>
      <w:b/>
      <w:sz w:val="24"/>
      <w:szCs w:val="20"/>
    </w:rPr>
  </w:style>
  <w:style w:type="character" w:customStyle="1" w:styleId="SecHeadingChar">
    <w:name w:val="SecHeading Char"/>
    <w:basedOn w:val="DefaultParagraphFont"/>
    <w:link w:val="SecHeading"/>
    <w:rsid w:val="003F084F"/>
    <w:rPr>
      <w:rFonts w:ascii="Times New Roman" w:eastAsia="Times New Roman" w:hAnsi="Times New Roman" w:cs="Times New Roman"/>
      <w:b/>
      <w:sz w:val="24"/>
      <w:szCs w:val="20"/>
    </w:rPr>
  </w:style>
  <w:style w:type="paragraph" w:customStyle="1" w:styleId="SubHeading1">
    <w:name w:val="SubHeading1"/>
    <w:basedOn w:val="SecHeading"/>
    <w:link w:val="SubHeading1Char"/>
    <w:rsid w:val="003F084F"/>
    <w:pPr>
      <w:tabs>
        <w:tab w:val="clear" w:pos="1296"/>
        <w:tab w:val="num" w:pos="1872"/>
      </w:tabs>
      <w:ind w:left="1872"/>
    </w:pPr>
  </w:style>
  <w:style w:type="character" w:customStyle="1" w:styleId="SubHeading1Char">
    <w:name w:val="SubHeading1 Char"/>
    <w:basedOn w:val="DefaultParagraphFont"/>
    <w:link w:val="SubHeading1"/>
    <w:rsid w:val="003F084F"/>
    <w:rPr>
      <w:rFonts w:ascii="Times New Roman" w:eastAsia="Times New Roman" w:hAnsi="Times New Roman" w:cs="Times New Roman"/>
      <w:b/>
      <w:sz w:val="24"/>
      <w:szCs w:val="20"/>
    </w:rPr>
  </w:style>
  <w:style w:type="paragraph" w:customStyle="1" w:styleId="Subheading2">
    <w:name w:val="Subheading2"/>
    <w:basedOn w:val="SecHeading"/>
    <w:link w:val="Subheading2Char"/>
    <w:rsid w:val="003F084F"/>
    <w:pPr>
      <w:tabs>
        <w:tab w:val="clear" w:pos="1296"/>
        <w:tab w:val="num" w:pos="2376"/>
      </w:tabs>
      <w:ind w:left="2376" w:hanging="288"/>
    </w:pPr>
  </w:style>
  <w:style w:type="character" w:customStyle="1" w:styleId="Subheading2Char">
    <w:name w:val="Subheading2 Char"/>
    <w:basedOn w:val="DefaultParagraphFont"/>
    <w:link w:val="Subheading2"/>
    <w:rsid w:val="003F084F"/>
    <w:rPr>
      <w:rFonts w:ascii="Times New Roman" w:eastAsia="Times New Roman" w:hAnsi="Times New Roman" w:cs="Times New Roman"/>
      <w:b/>
      <w:sz w:val="24"/>
      <w:szCs w:val="20"/>
    </w:rPr>
  </w:style>
  <w:style w:type="paragraph" w:customStyle="1" w:styleId="Paragraph">
    <w:name w:val="Paragraph"/>
    <w:aliases w:val="paragraph,p,PARAGRAPH,PG,pa,at"/>
    <w:basedOn w:val="BodyTextIndent"/>
    <w:link w:val="ParagraphChar"/>
    <w:uiPriority w:val="99"/>
    <w:qFormat/>
    <w:rsid w:val="003F084F"/>
    <w:pPr>
      <w:tabs>
        <w:tab w:val="num" w:pos="720"/>
      </w:tabs>
      <w:spacing w:before="120"/>
      <w:ind w:left="720" w:hanging="720"/>
      <w:jc w:val="both"/>
      <w:outlineLvl w:val="1"/>
    </w:pPr>
    <w:rPr>
      <w:rFonts w:eastAsia="Times New Roman"/>
      <w:szCs w:val="20"/>
    </w:rPr>
  </w:style>
  <w:style w:type="character" w:customStyle="1" w:styleId="ParagraphChar">
    <w:name w:val="Paragraph Char"/>
    <w:basedOn w:val="DefaultParagraphFont"/>
    <w:link w:val="Paragraph"/>
    <w:uiPriority w:val="99"/>
    <w:rsid w:val="003F084F"/>
    <w:rPr>
      <w:rFonts w:ascii="Times New Roman" w:eastAsia="Times New Roman" w:hAnsi="Times New Roman" w:cs="Times New Roman"/>
      <w:sz w:val="24"/>
      <w:szCs w:val="20"/>
    </w:rPr>
  </w:style>
  <w:style w:type="paragraph" w:customStyle="1" w:styleId="subpar">
    <w:name w:val="subpar"/>
    <w:basedOn w:val="BodyTextIndent3"/>
    <w:link w:val="subparChar"/>
    <w:uiPriority w:val="99"/>
    <w:rsid w:val="003F084F"/>
    <w:pPr>
      <w:tabs>
        <w:tab w:val="num" w:pos="1152"/>
      </w:tabs>
      <w:spacing w:before="120"/>
      <w:ind w:left="1152" w:hanging="432"/>
      <w:jc w:val="both"/>
      <w:outlineLvl w:val="2"/>
    </w:pPr>
    <w:rPr>
      <w:rFonts w:eastAsia="Times New Roman"/>
      <w:szCs w:val="20"/>
    </w:rPr>
  </w:style>
  <w:style w:type="character" w:customStyle="1" w:styleId="subparChar">
    <w:name w:val="subpar Char"/>
    <w:basedOn w:val="DefaultParagraphFont"/>
    <w:link w:val="subpar"/>
    <w:rsid w:val="003F084F"/>
    <w:rPr>
      <w:rFonts w:ascii="Times New Roman" w:eastAsia="Times New Roman" w:hAnsi="Times New Roman" w:cs="Times New Roman"/>
      <w:sz w:val="24"/>
      <w:szCs w:val="20"/>
    </w:rPr>
  </w:style>
  <w:style w:type="paragraph" w:customStyle="1" w:styleId="SubSubPar">
    <w:name w:val="SubSubPar"/>
    <w:basedOn w:val="subpar"/>
    <w:link w:val="SubSubParChar"/>
    <w:uiPriority w:val="99"/>
    <w:rsid w:val="003F084F"/>
    <w:pPr>
      <w:tabs>
        <w:tab w:val="left" w:pos="0"/>
        <w:tab w:val="num" w:pos="1296"/>
      </w:tabs>
      <w:ind w:left="1296" w:hanging="288"/>
    </w:pPr>
  </w:style>
  <w:style w:type="character" w:customStyle="1" w:styleId="SubSubParChar">
    <w:name w:val="SubSubPar Char"/>
    <w:basedOn w:val="DefaultParagraphFont"/>
    <w:link w:val="SubSubPar"/>
    <w:rsid w:val="003F084F"/>
    <w:rPr>
      <w:rFonts w:ascii="Times New Roman" w:eastAsia="Times New Roman" w:hAnsi="Times New Roman" w:cs="Times New Roman"/>
      <w:sz w:val="24"/>
      <w:szCs w:val="20"/>
    </w:rPr>
  </w:style>
  <w:style w:type="paragraph" w:customStyle="1" w:styleId="Regtable">
    <w:name w:val="Regtable"/>
    <w:basedOn w:val="Normal"/>
    <w:link w:val="RegtableChar"/>
    <w:rsid w:val="003F084F"/>
    <w:pPr>
      <w:keepLines/>
      <w:framePr w:wrap="around" w:vAnchor="text" w:hAnchor="text" w:y="1"/>
      <w:spacing w:before="20" w:after="20" w:line="240" w:lineRule="auto"/>
    </w:pPr>
    <w:rPr>
      <w:rFonts w:ascii="Times New Roman" w:eastAsia="Times New Roman" w:hAnsi="Times New Roman" w:cs="Times New Roman"/>
      <w:sz w:val="20"/>
      <w:szCs w:val="20"/>
    </w:rPr>
  </w:style>
  <w:style w:type="character" w:customStyle="1" w:styleId="RegtableChar">
    <w:name w:val="Regtable Char"/>
    <w:basedOn w:val="DefaultParagraphFont"/>
    <w:link w:val="Regtable"/>
    <w:rsid w:val="003F084F"/>
    <w:rPr>
      <w:rFonts w:ascii="Times New Roman" w:eastAsia="Times New Roman" w:hAnsi="Times New Roman" w:cs="Times New Roman"/>
      <w:sz w:val="20"/>
      <w:szCs w:val="20"/>
    </w:rPr>
  </w:style>
  <w:style w:type="paragraph" w:customStyle="1" w:styleId="TableTitle">
    <w:name w:val="TableTitle"/>
    <w:basedOn w:val="Normal"/>
    <w:link w:val="TableTitleChar"/>
    <w:rsid w:val="003F084F"/>
    <w:pPr>
      <w:keepNext/>
      <w:framePr w:wrap="around" w:vAnchor="text" w:hAnchor="text" w:y="1"/>
      <w:spacing w:before="20" w:after="20" w:line="240" w:lineRule="auto"/>
      <w:jc w:val="center"/>
    </w:pPr>
    <w:rPr>
      <w:rFonts w:ascii="Times New Roman Bold" w:eastAsia="Times New Roman" w:hAnsi="Times New Roman Bold" w:cs="Times New Roman"/>
      <w:b/>
      <w:spacing w:val="-3"/>
      <w:sz w:val="20"/>
      <w:szCs w:val="20"/>
    </w:rPr>
  </w:style>
  <w:style w:type="character" w:customStyle="1" w:styleId="TableTitleChar">
    <w:name w:val="TableTitle Char"/>
    <w:basedOn w:val="DefaultParagraphFont"/>
    <w:link w:val="TableTitle"/>
    <w:rsid w:val="003F084F"/>
    <w:rPr>
      <w:rFonts w:ascii="Times New Roman Bold" w:eastAsia="Times New Roman" w:hAnsi="Times New Roman Bold" w:cs="Times New Roman"/>
      <w:b/>
      <w:spacing w:val="-3"/>
      <w:sz w:val="20"/>
      <w:szCs w:val="20"/>
    </w:rPr>
  </w:style>
  <w:style w:type="character" w:customStyle="1" w:styleId="Heading2Char">
    <w:name w:val="Heading 2 Char"/>
    <w:basedOn w:val="DefaultParagraphFont"/>
    <w:link w:val="Heading2"/>
    <w:uiPriority w:val="9"/>
    <w:semiHidden/>
    <w:rsid w:val="003F084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3F084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3F084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3F084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3F084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3F084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F084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F084F"/>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3F084F"/>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3F084F"/>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3F084F"/>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3F084F"/>
    <w:rPr>
      <w:rFonts w:ascii="Times New Roman" w:hAnsi="Times New Roman" w:cs="Times New Roman"/>
      <w:sz w:val="24"/>
      <w:szCs w:val="16"/>
    </w:rPr>
  </w:style>
  <w:style w:type="paragraph" w:styleId="BodyText3">
    <w:name w:val="Body Text 3"/>
    <w:basedOn w:val="Normal"/>
    <w:link w:val="BodyText3Char"/>
    <w:uiPriority w:val="99"/>
    <w:semiHidden/>
    <w:unhideWhenUsed/>
    <w:rsid w:val="0094269D"/>
    <w:pPr>
      <w:spacing w:after="120"/>
    </w:pPr>
    <w:rPr>
      <w:sz w:val="16"/>
      <w:szCs w:val="16"/>
    </w:rPr>
  </w:style>
  <w:style w:type="character" w:customStyle="1" w:styleId="BodyText3Char">
    <w:name w:val="Body Text 3 Char"/>
    <w:basedOn w:val="DefaultParagraphFont"/>
    <w:link w:val="BodyText3"/>
    <w:uiPriority w:val="99"/>
    <w:semiHidden/>
    <w:rsid w:val="0094269D"/>
    <w:rPr>
      <w:sz w:val="16"/>
      <w:szCs w:val="16"/>
    </w:rPr>
  </w:style>
  <w:style w:type="paragraph" w:styleId="Caption">
    <w:name w:val="caption"/>
    <w:aliases w:val="GRÁFICOS,CUADROS"/>
    <w:basedOn w:val="Normal"/>
    <w:next w:val="Normal"/>
    <w:link w:val="CaptionChar"/>
    <w:unhideWhenUsed/>
    <w:qFormat/>
    <w:rsid w:val="00B3139C"/>
    <w:pPr>
      <w:spacing w:line="240" w:lineRule="auto"/>
    </w:pPr>
    <w:rPr>
      <w:b/>
      <w:bCs/>
      <w:color w:val="4F81BD" w:themeColor="accent1"/>
      <w:sz w:val="18"/>
      <w:szCs w:val="18"/>
    </w:rPr>
  </w:style>
  <w:style w:type="character" w:customStyle="1" w:styleId="apple-converted-space">
    <w:name w:val="apple-converted-space"/>
    <w:basedOn w:val="DefaultParagraphFont"/>
    <w:rsid w:val="001738CD"/>
  </w:style>
  <w:style w:type="character" w:customStyle="1" w:styleId="CaptionChar">
    <w:name w:val="Caption Char"/>
    <w:aliases w:val="GRÁFICOS Char,CUADROS Char"/>
    <w:link w:val="Caption"/>
    <w:locked/>
    <w:rsid w:val="0068437A"/>
    <w:rPr>
      <w:b/>
      <w:bCs/>
      <w:color w:val="4F81BD" w:themeColor="accent1"/>
      <w:sz w:val="18"/>
      <w:szCs w:val="18"/>
    </w:rPr>
  </w:style>
  <w:style w:type="character" w:customStyle="1" w:styleId="ParagraphCar1">
    <w:name w:val="Paragraph Car1"/>
    <w:uiPriority w:val="99"/>
    <w:locked/>
    <w:rsid w:val="0068437A"/>
    <w:rPr>
      <w:sz w:val="24"/>
      <w:lang w:val="es-ES_tradnl"/>
    </w:rPr>
  </w:style>
  <w:style w:type="character" w:styleId="Emphasis">
    <w:name w:val="Emphasis"/>
    <w:basedOn w:val="DefaultParagraphFont"/>
    <w:uiPriority w:val="20"/>
    <w:qFormat/>
    <w:rsid w:val="00F43C26"/>
    <w:rPr>
      <w:i/>
      <w:iCs/>
    </w:rPr>
  </w:style>
  <w:style w:type="character" w:customStyle="1" w:styleId="pullquote-right">
    <w:name w:val="pullquote-right"/>
    <w:basedOn w:val="DefaultParagraphFont"/>
    <w:rsid w:val="00D626FA"/>
  </w:style>
  <w:style w:type="paragraph" w:styleId="HTMLPreformatted">
    <w:name w:val="HTML Preformatted"/>
    <w:basedOn w:val="Normal"/>
    <w:link w:val="HTMLPreformattedChar"/>
    <w:uiPriority w:val="99"/>
    <w:unhideWhenUsed/>
    <w:rsid w:val="006F6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6F6182"/>
    <w:rPr>
      <w:rFonts w:ascii="Courier New" w:eastAsia="Times New Roman" w:hAnsi="Courier New" w:cs="Courier New"/>
      <w:sz w:val="20"/>
      <w:szCs w:val="20"/>
    </w:rPr>
  </w:style>
  <w:style w:type="paragraph" w:styleId="Header">
    <w:name w:val="header"/>
    <w:basedOn w:val="Normal"/>
    <w:link w:val="HeaderChar"/>
    <w:uiPriority w:val="99"/>
    <w:unhideWhenUsed/>
    <w:rsid w:val="007138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380A"/>
  </w:style>
  <w:style w:type="paragraph" w:styleId="Footer">
    <w:name w:val="footer"/>
    <w:basedOn w:val="Normal"/>
    <w:link w:val="FooterChar"/>
    <w:uiPriority w:val="99"/>
    <w:unhideWhenUsed/>
    <w:rsid w:val="007138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380A"/>
  </w:style>
  <w:style w:type="character" w:customStyle="1" w:styleId="ListParagraphChar">
    <w:name w:val="List Paragraph Char"/>
    <w:basedOn w:val="DefaultParagraphFont"/>
    <w:link w:val="ListParagraph"/>
    <w:uiPriority w:val="34"/>
    <w:rsid w:val="00F71D36"/>
  </w:style>
  <w:style w:type="character" w:styleId="FollowedHyperlink">
    <w:name w:val="FollowedHyperlink"/>
    <w:basedOn w:val="DefaultParagraphFont"/>
    <w:uiPriority w:val="99"/>
    <w:semiHidden/>
    <w:unhideWhenUsed/>
    <w:rsid w:val="00395548"/>
    <w:rPr>
      <w:color w:val="800080" w:themeColor="followedHyperlink"/>
      <w:u w:val="single"/>
    </w:rPr>
  </w:style>
  <w:style w:type="paragraph" w:styleId="NormalWeb">
    <w:name w:val="Normal (Web)"/>
    <w:basedOn w:val="Normal"/>
    <w:uiPriority w:val="99"/>
    <w:unhideWhenUsed/>
    <w:rsid w:val="00F66D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050395"/>
    <w:rPr>
      <w:rFonts w:asciiTheme="majorHAnsi" w:eastAsiaTheme="majorEastAsia" w:hAnsiTheme="majorHAnsi" w:cstheme="majorBidi"/>
      <w:b/>
      <w:bCs/>
      <w:color w:val="365F91" w:themeColor="accent1" w:themeShade="BF"/>
      <w:sz w:val="28"/>
      <w:szCs w:val="28"/>
    </w:rPr>
  </w:style>
  <w:style w:type="paragraph" w:styleId="ListBullet">
    <w:name w:val="List Bullet"/>
    <w:basedOn w:val="Normal"/>
    <w:uiPriority w:val="99"/>
    <w:unhideWhenUsed/>
    <w:rsid w:val="000E0781"/>
    <w:pPr>
      <w:numPr>
        <w:numId w:val="19"/>
      </w:numPr>
      <w:contextualSpacing/>
    </w:pPr>
  </w:style>
  <w:style w:type="paragraph" w:styleId="Revision">
    <w:name w:val="Revision"/>
    <w:hidden/>
    <w:uiPriority w:val="99"/>
    <w:semiHidden/>
    <w:rsid w:val="006F2023"/>
    <w:pPr>
      <w:spacing w:after="0" w:line="240" w:lineRule="auto"/>
    </w:pPr>
  </w:style>
  <w:style w:type="paragraph" w:styleId="Subtitle">
    <w:name w:val="Subtitle"/>
    <w:aliases w:val="TITULO 2"/>
    <w:basedOn w:val="Normal"/>
    <w:next w:val="Normal"/>
    <w:link w:val="SubtitleChar"/>
    <w:qFormat/>
    <w:rsid w:val="00AF5421"/>
    <w:pPr>
      <w:spacing w:after="60" w:line="240" w:lineRule="auto"/>
      <w:outlineLvl w:val="1"/>
    </w:pPr>
    <w:rPr>
      <w:rFonts w:ascii="Arial Narrow" w:eastAsia="Times New Roman" w:hAnsi="Arial Narrow" w:cs="Times New Roman"/>
      <w:b/>
      <w:i/>
      <w:caps/>
      <w:szCs w:val="24"/>
      <w:lang w:val="es-ES" w:eastAsia="es-ES"/>
    </w:rPr>
  </w:style>
  <w:style w:type="character" w:customStyle="1" w:styleId="SubtitleChar">
    <w:name w:val="Subtitle Char"/>
    <w:aliases w:val="TITULO 2 Char"/>
    <w:basedOn w:val="DefaultParagraphFont"/>
    <w:link w:val="Subtitle"/>
    <w:rsid w:val="00AF5421"/>
    <w:rPr>
      <w:rFonts w:ascii="Arial Narrow" w:eastAsia="Times New Roman" w:hAnsi="Arial Narrow" w:cs="Times New Roman"/>
      <w:b/>
      <w:i/>
      <w:caps/>
      <w:szCs w:val="24"/>
      <w:lang w:val="es-ES" w:eastAsia="es-ES"/>
    </w:rPr>
  </w:style>
  <w:style w:type="paragraph" w:customStyle="1" w:styleId="Default">
    <w:name w:val="Default"/>
    <w:rsid w:val="00303E76"/>
    <w:pPr>
      <w:autoSpaceDE w:val="0"/>
      <w:autoSpaceDN w:val="0"/>
      <w:adjustRightInd w:val="0"/>
      <w:spacing w:after="0" w:line="240" w:lineRule="auto"/>
    </w:pPr>
    <w:rPr>
      <w:rFonts w:ascii="Tahoma" w:eastAsia="Times New Roman" w:hAnsi="Tahoma" w:cs="Tahoma"/>
      <w:color w:val="000000"/>
      <w:sz w:val="24"/>
      <w:szCs w:val="24"/>
      <w:lang w:val="es-ES" w:eastAsia="es-ES"/>
    </w:rPr>
  </w:style>
  <w:style w:type="character" w:customStyle="1" w:styleId="Mention1">
    <w:name w:val="Mention1"/>
    <w:basedOn w:val="DefaultParagraphFont"/>
    <w:uiPriority w:val="99"/>
    <w:semiHidden/>
    <w:unhideWhenUsed/>
    <w:rsid w:val="00F16FF3"/>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089937">
      <w:bodyDiv w:val="1"/>
      <w:marLeft w:val="0"/>
      <w:marRight w:val="0"/>
      <w:marTop w:val="0"/>
      <w:marBottom w:val="0"/>
      <w:divBdr>
        <w:top w:val="none" w:sz="0" w:space="0" w:color="auto"/>
        <w:left w:val="none" w:sz="0" w:space="0" w:color="auto"/>
        <w:bottom w:val="none" w:sz="0" w:space="0" w:color="auto"/>
        <w:right w:val="none" w:sz="0" w:space="0" w:color="auto"/>
      </w:divBdr>
      <w:divsChild>
        <w:div w:id="44644847">
          <w:marLeft w:val="0"/>
          <w:marRight w:val="0"/>
          <w:marTop w:val="240"/>
          <w:marBottom w:val="0"/>
          <w:divBdr>
            <w:top w:val="none" w:sz="0" w:space="0" w:color="auto"/>
            <w:left w:val="none" w:sz="0" w:space="0" w:color="auto"/>
            <w:bottom w:val="none" w:sz="0" w:space="0" w:color="auto"/>
            <w:right w:val="none" w:sz="0" w:space="0" w:color="auto"/>
          </w:divBdr>
        </w:div>
      </w:divsChild>
    </w:div>
    <w:div w:id="351684644">
      <w:bodyDiv w:val="1"/>
      <w:marLeft w:val="0"/>
      <w:marRight w:val="0"/>
      <w:marTop w:val="0"/>
      <w:marBottom w:val="0"/>
      <w:divBdr>
        <w:top w:val="none" w:sz="0" w:space="0" w:color="auto"/>
        <w:left w:val="none" w:sz="0" w:space="0" w:color="auto"/>
        <w:bottom w:val="none" w:sz="0" w:space="0" w:color="auto"/>
        <w:right w:val="none" w:sz="0" w:space="0" w:color="auto"/>
      </w:divBdr>
    </w:div>
    <w:div w:id="508568205">
      <w:bodyDiv w:val="1"/>
      <w:marLeft w:val="0"/>
      <w:marRight w:val="0"/>
      <w:marTop w:val="0"/>
      <w:marBottom w:val="0"/>
      <w:divBdr>
        <w:top w:val="none" w:sz="0" w:space="0" w:color="auto"/>
        <w:left w:val="none" w:sz="0" w:space="0" w:color="auto"/>
        <w:bottom w:val="none" w:sz="0" w:space="0" w:color="auto"/>
        <w:right w:val="none" w:sz="0" w:space="0" w:color="auto"/>
      </w:divBdr>
      <w:divsChild>
        <w:div w:id="18836369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5781033">
      <w:bodyDiv w:val="1"/>
      <w:marLeft w:val="0"/>
      <w:marRight w:val="0"/>
      <w:marTop w:val="0"/>
      <w:marBottom w:val="0"/>
      <w:divBdr>
        <w:top w:val="none" w:sz="0" w:space="0" w:color="auto"/>
        <w:left w:val="none" w:sz="0" w:space="0" w:color="auto"/>
        <w:bottom w:val="none" w:sz="0" w:space="0" w:color="auto"/>
        <w:right w:val="none" w:sz="0" w:space="0" w:color="auto"/>
      </w:divBdr>
    </w:div>
    <w:div w:id="864171781">
      <w:bodyDiv w:val="1"/>
      <w:marLeft w:val="0"/>
      <w:marRight w:val="0"/>
      <w:marTop w:val="0"/>
      <w:marBottom w:val="0"/>
      <w:divBdr>
        <w:top w:val="none" w:sz="0" w:space="0" w:color="auto"/>
        <w:left w:val="none" w:sz="0" w:space="0" w:color="auto"/>
        <w:bottom w:val="none" w:sz="0" w:space="0" w:color="auto"/>
        <w:right w:val="none" w:sz="0" w:space="0" w:color="auto"/>
      </w:divBdr>
    </w:div>
    <w:div w:id="875041595">
      <w:bodyDiv w:val="1"/>
      <w:marLeft w:val="0"/>
      <w:marRight w:val="0"/>
      <w:marTop w:val="0"/>
      <w:marBottom w:val="0"/>
      <w:divBdr>
        <w:top w:val="none" w:sz="0" w:space="0" w:color="auto"/>
        <w:left w:val="none" w:sz="0" w:space="0" w:color="auto"/>
        <w:bottom w:val="none" w:sz="0" w:space="0" w:color="auto"/>
        <w:right w:val="none" w:sz="0" w:space="0" w:color="auto"/>
      </w:divBdr>
      <w:divsChild>
        <w:div w:id="1115634240">
          <w:marLeft w:val="450"/>
          <w:marRight w:val="0"/>
          <w:marTop w:val="0"/>
          <w:marBottom w:val="0"/>
          <w:divBdr>
            <w:top w:val="none" w:sz="0" w:space="0" w:color="auto"/>
            <w:left w:val="none" w:sz="0" w:space="0" w:color="auto"/>
            <w:bottom w:val="none" w:sz="0" w:space="0" w:color="auto"/>
            <w:right w:val="none" w:sz="0" w:space="0" w:color="auto"/>
          </w:divBdr>
        </w:div>
        <w:div w:id="1449348176">
          <w:marLeft w:val="450"/>
          <w:marRight w:val="0"/>
          <w:marTop w:val="0"/>
          <w:marBottom w:val="0"/>
          <w:divBdr>
            <w:top w:val="none" w:sz="0" w:space="0" w:color="auto"/>
            <w:left w:val="none" w:sz="0" w:space="0" w:color="auto"/>
            <w:bottom w:val="none" w:sz="0" w:space="0" w:color="auto"/>
            <w:right w:val="none" w:sz="0" w:space="0" w:color="auto"/>
          </w:divBdr>
        </w:div>
        <w:div w:id="439567062">
          <w:marLeft w:val="0"/>
          <w:marRight w:val="0"/>
          <w:marTop w:val="0"/>
          <w:marBottom w:val="0"/>
          <w:divBdr>
            <w:top w:val="none" w:sz="0" w:space="0" w:color="auto"/>
            <w:left w:val="none" w:sz="0" w:space="0" w:color="auto"/>
            <w:bottom w:val="none" w:sz="0" w:space="0" w:color="auto"/>
            <w:right w:val="none" w:sz="0" w:space="0" w:color="auto"/>
          </w:divBdr>
          <w:divsChild>
            <w:div w:id="82451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867024">
      <w:bodyDiv w:val="1"/>
      <w:marLeft w:val="0"/>
      <w:marRight w:val="0"/>
      <w:marTop w:val="0"/>
      <w:marBottom w:val="0"/>
      <w:divBdr>
        <w:top w:val="none" w:sz="0" w:space="0" w:color="auto"/>
        <w:left w:val="none" w:sz="0" w:space="0" w:color="auto"/>
        <w:bottom w:val="none" w:sz="0" w:space="0" w:color="auto"/>
        <w:right w:val="none" w:sz="0" w:space="0" w:color="auto"/>
      </w:divBdr>
    </w:div>
    <w:div w:id="1742099786">
      <w:bodyDiv w:val="1"/>
      <w:marLeft w:val="0"/>
      <w:marRight w:val="0"/>
      <w:marTop w:val="0"/>
      <w:marBottom w:val="0"/>
      <w:divBdr>
        <w:top w:val="none" w:sz="0" w:space="0" w:color="auto"/>
        <w:left w:val="none" w:sz="0" w:space="0" w:color="auto"/>
        <w:bottom w:val="none" w:sz="0" w:space="0" w:color="auto"/>
        <w:right w:val="none" w:sz="0" w:space="0" w:color="auto"/>
      </w:divBdr>
    </w:div>
    <w:div w:id="1863200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idbdocs.iadb.org/wsdocs/getDocument.aspx?DOCNUM=40789522"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2.jpeg"/><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idbdocs.iadb.org/wsdocs/getDocument.aspx?DOCNUM=3876097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5DABF23F27B23A47B950CA95C3833BD8" ma:contentTypeVersion="5" ma:contentTypeDescription="The base project type from which other project content types inherit their information." ma:contentTypeScope="" ma:versionID="8047d10134b06004f6ce2e3e89fc4a4c">
  <xsd:schema xmlns:xsd="http://www.w3.org/2001/XMLSchema" xmlns:xs="http://www.w3.org/2001/XMLSchema" xmlns:p="http://schemas.microsoft.com/office/2006/metadata/properties" xmlns:ns2="cdc7663a-08f0-4737-9e8c-148ce897a09c" targetNamespace="http://schemas.microsoft.com/office/2006/metadata/properties" ma:root="true" ma:fieldsID="c4ae8e40f2965d50795c8bf0b96be33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FormUrls xmlns="http://schemas.microsoft.com/sharepoint/v3/contenttype/forms/url">
  <Display>_catalogs/masterpage/ECMForms/OperationsCT/View.aspx</Display>
  <Edit>_catalogs/masterpage/ECMForms/OperationsCT/Edit.aspx</Edit>
</FormUrl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Key_x0020_Document xmlns="cdc7663a-08f0-4737-9e8c-148ce897a09c" xsi:nil="true"/>
    <Division_x0020_or_x0020_Unit xmlns="cdc7663a-08f0-4737-9e8c-148ce897a09c" xsi:nil="true"/>
    <Other_x0020_Author xmlns="cdc7663a-08f0-4737-9e8c-148ce897a09c" xsi:nil="true"/>
    <IDBDocs_x0020_Number xmlns="cdc7663a-08f0-4737-9e8c-148ce897a09c" xsi:nil="true"/>
    <Document_x0020_Author xmlns="cdc7663a-08f0-4737-9e8c-148ce897a09c" xsi:nil="true"/>
    <Operation_x0020_Type xmlns="cdc7663a-08f0-4737-9e8c-148ce897a09c" xsi:nil="true"/>
    <TaxCatchAll xmlns="cdc7663a-08f0-4737-9e8c-148ce897a09c"/>
    <Fiscal_x0020_Year_x0020_IDB xmlns="cdc7663a-08f0-4737-9e8c-148ce897a09c" xsi:nil="true"/>
    <Project_x0020_Number xmlns="cdc7663a-08f0-4737-9e8c-148ce897a09c"/>
    <Package_x0020_Code xmlns="cdc7663a-08f0-4737-9e8c-148ce897a09c" xsi:nil="true"/>
    <Migration_x0020_Info xmlns="cdc7663a-08f0-4737-9e8c-148ce897a09c" xsi:nil="true"/>
    <Approval_x0020_Number xmlns="cdc7663a-08f0-4737-9e8c-148ce897a09c" xsi:nil="true"/>
    <Business_x0020_Area xmlns="cdc7663a-08f0-4737-9e8c-148ce897a09c" xsi:nil="true"/>
    <SISCOR_x0020_Number xmlns="cdc7663a-08f0-4737-9e8c-148ce897a09c" xsi:nil="true"/>
    <Identifier xmlns="cdc7663a-08f0-4737-9e8c-148ce897a09c" xsi:nil="true"/>
    <Document_x0020_Language_x0020_IDB xmlns="cdc7663a-08f0-4737-9e8c-148ce897a09c" xsi:nil="true"/>
    <Phase xmlns="cdc7663a-08f0-4737-9e8c-148ce897a09c" xsi:nil="true"/>
    <Access_x0020_to_x0020_Information_x00a0_Policy xmlns="cdc7663a-08f0-4737-9e8c-148ce897a09c"/>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From_x003a_ xmlns="cdc7663a-08f0-4737-9e8c-148ce897a09c" xsi:nil="true"/>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To_x003a_ xmlns="cdc7663a-08f0-4737-9e8c-148ce897a09c" xsi:nil="true"/>
    <nddeef1749674d76abdbe4b239a70bc6 xmlns="cdc7663a-08f0-4737-9e8c-148ce897a09c">
      <Terms xmlns="http://schemas.microsoft.com/office/infopath/2007/PartnerControls"/>
    </nddeef1749674d76abdbe4b239a70bc6>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7C803E-59B3-4600-B397-A98811BBCF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110021-BCD2-4BFB-A380-C1453DAF6FE6}">
  <ds:schemaRefs>
    <ds:schemaRef ds:uri="Microsoft.SharePoint.Taxonomy.ContentTypeSync"/>
  </ds:schemaRefs>
</ds:datastoreItem>
</file>

<file path=customXml/itemProps3.xml><?xml version="1.0" encoding="utf-8"?>
<ds:datastoreItem xmlns:ds="http://schemas.openxmlformats.org/officeDocument/2006/customXml" ds:itemID="{258C3193-8793-4B02-92C5-80BAA07FA97E}">
  <ds:schemaRefs>
    <ds:schemaRef ds:uri="http://schemas.microsoft.com/sharepoint/v3/contenttype/forms/url"/>
  </ds:schemaRefs>
</ds:datastoreItem>
</file>

<file path=customXml/itemProps4.xml><?xml version="1.0" encoding="utf-8"?>
<ds:datastoreItem xmlns:ds="http://schemas.openxmlformats.org/officeDocument/2006/customXml" ds:itemID="{EB08286F-C574-49B6-884E-B65D093C700E}">
  <ds:schemaRefs>
    <ds:schemaRef ds:uri="http://schemas.microsoft.com/sharepoint/events"/>
  </ds:schemaRefs>
</ds:datastoreItem>
</file>

<file path=customXml/itemProps5.xml><?xml version="1.0" encoding="utf-8"?>
<ds:datastoreItem xmlns:ds="http://schemas.openxmlformats.org/officeDocument/2006/customXml" ds:itemID="{E36A50FE-0584-4A44-ABB9-13F4DE1612F2}">
  <ds:schemaRefs>
    <ds:schemaRef ds:uri="http://schemas.microsoft.com/sharepoint/v3/contenttype/forms"/>
  </ds:schemaRefs>
</ds:datastoreItem>
</file>

<file path=customXml/itemProps6.xml><?xml version="1.0" encoding="utf-8"?>
<ds:datastoreItem xmlns:ds="http://schemas.openxmlformats.org/officeDocument/2006/customXml" ds:itemID="{F135B3B8-AC14-4A8E-B9A7-6640F28F623A}">
  <ds:schemaRefs>
    <ds:schemaRef ds:uri="http://schemas.microsoft.com/office/2006/documentManagement/types"/>
    <ds:schemaRef ds:uri="cdc7663a-08f0-4737-9e8c-148ce897a09c"/>
    <ds:schemaRef ds:uri="http://purl.org/dc/dcmitype/"/>
    <ds:schemaRef ds:uri="http://purl.org/dc/terms/"/>
    <ds:schemaRef ds:uri="http://purl.org/dc/elements/1.1/"/>
    <ds:schemaRef ds:uri="http://schemas.microsoft.com/office/infopath/2007/PartnerControls"/>
    <ds:schemaRef ds:uri="http://www.w3.org/XML/1998/namespace"/>
    <ds:schemaRef ds:uri="http://schemas.openxmlformats.org/package/2006/metadata/core-properties"/>
    <ds:schemaRef ds:uri="http://schemas.microsoft.com/office/2006/metadata/properties"/>
  </ds:schemaRefs>
</ds:datastoreItem>
</file>

<file path=customXml/itemProps7.xml><?xml version="1.0" encoding="utf-8"?>
<ds:datastoreItem xmlns:ds="http://schemas.openxmlformats.org/officeDocument/2006/customXml" ds:itemID="{CDCEAE83-5E5C-46DD-82F6-42FAF6114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2587</Words>
  <Characters>14231</Characters>
  <Application>Microsoft Office Word</Application>
  <DocSecurity>4</DocSecurity>
  <Lines>118</Lines>
  <Paragraphs>33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CO-L1217 Anexo_Tecnico POD Analisis Contribución a Integracion_Regional</vt:lpstr>
      <vt:lpstr/>
    </vt:vector>
  </TitlesOfParts>
  <Company>Inter-American Development Bank</Company>
  <LinksUpToDate>false</LinksUpToDate>
  <CharactersWithSpaces>16785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CO-L1217 Anexo_Tecnico POD Analisis Contribución a Integracion_Regional</dc:title>
  <dc:creator>Test</dc:creator>
  <cp:lastModifiedBy>Jesurun-Clements, Nancy</cp:lastModifiedBy>
  <cp:revision>2</cp:revision>
  <cp:lastPrinted>2016-03-09T22:44:00Z</cp:lastPrinted>
  <dcterms:created xsi:type="dcterms:W3CDTF">2017-05-04T17:02:00Z</dcterms:created>
  <dcterms:modified xsi:type="dcterms:W3CDTF">2017-05-04T17:02:00Z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0x010100ACF722E9F6B0B149B0CD8BE2560A6672005DABF23F27B23A47B950CA95C3833BD8</vt:lpwstr>
  </property>
  <property fmtid="{D5CDD505-2E9C-101B-9397-08002B2CF9AE}" pid="5" name="TaxKeywordTaxHTField">
    <vt:lpwstr/>
  </property>
  <property fmtid="{D5CDD505-2E9C-101B-9397-08002B2CF9AE}" pid="6" name="Series Operations IDB">
    <vt:lpwstr>-1;#Unclassified|a6dff32e-d477-44cd-a56b-85efe9e0a56c</vt:lpwstr>
  </property>
  <property fmtid="{D5CDD505-2E9C-101B-9397-08002B2CF9AE}" pid="7" name="Sub-Sector">
    <vt:lpwstr/>
  </property>
  <property fmtid="{D5CDD505-2E9C-101B-9397-08002B2CF9AE}" pid="8" name="Country">
    <vt:lpwstr>27;#Colombia|c7d386d6-75f3-4fc0-bde8-e021ccd68f5c</vt:lpwstr>
  </property>
  <property fmtid="{D5CDD505-2E9C-101B-9397-08002B2CF9AE}" pid="9" name="Fund IDB">
    <vt:lpwstr/>
  </property>
  <property fmtid="{D5CDD505-2E9C-101B-9397-08002B2CF9AE}" pid="10" name="Series_x0020_Operations_x0020_IDB">
    <vt:lpwstr>-1;#Unclassified|a6dff32e-d477-44cd-a56b-85efe9e0a56c</vt:lpwstr>
  </property>
  <property fmtid="{D5CDD505-2E9C-101B-9397-08002B2CF9AE}" pid="11" name="Webtopic">
    <vt:lpwstr/>
  </property>
  <property fmtid="{D5CDD505-2E9C-101B-9397-08002B2CF9AE}" pid="12" name="Sector IDB">
    <vt:lpwstr/>
  </property>
  <property fmtid="{D5CDD505-2E9C-101B-9397-08002B2CF9AE}" pid="13" name="Function Operations IDB">
    <vt:lpwstr>-1;#IDBDocs|cca77002-e150-4b2d-ab1f-1d7a7cdcae16</vt:lpwstr>
  </property>
  <property fmtid="{D5CDD505-2E9C-101B-9397-08002B2CF9AE}" pid="14" name="Publication_x0020_Type">
    <vt:lpwstr/>
  </property>
  <property fmtid="{D5CDD505-2E9C-101B-9397-08002B2CF9AE}" pid="15" name="Publishing_x0020_House">
    <vt:lpwstr/>
  </property>
  <property fmtid="{D5CDD505-2E9C-101B-9397-08002B2CF9AE}" pid="16" name="Abstract">
    <vt:lpwstr/>
  </property>
  <property fmtid="{D5CDD505-2E9C-101B-9397-08002B2CF9AE}" pid="17" name="Disclosure Activity">
    <vt:lpwstr/>
  </property>
  <property fmtid="{D5CDD505-2E9C-101B-9397-08002B2CF9AE}" pid="18" name="Function_x0020_Operations_x0020_IDB">
    <vt:lpwstr>-1;#IDBDocs|cca77002-e150-4b2d-ab1f-1d7a7cdcae16</vt:lpwstr>
  </property>
  <property fmtid="{D5CDD505-2E9C-101B-9397-08002B2CF9AE}" pid="19" name="Region">
    <vt:lpwstr/>
  </property>
  <property fmtid="{D5CDD505-2E9C-101B-9397-08002B2CF9AE}" pid="20" name="Disclosure_x0020_Activity">
    <vt:lpwstr/>
  </property>
  <property fmtid="{D5CDD505-2E9C-101B-9397-08002B2CF9AE}" pid="21" name="Fund_x0020_IDB">
    <vt:lpwstr/>
  </property>
  <property fmtid="{D5CDD505-2E9C-101B-9397-08002B2CF9AE}" pid="22" name="Publishing House">
    <vt:lpwstr/>
  </property>
  <property fmtid="{D5CDD505-2E9C-101B-9397-08002B2CF9AE}" pid="23" name="Disclosed">
    <vt:bool>false</vt:bool>
  </property>
  <property fmtid="{D5CDD505-2E9C-101B-9397-08002B2CF9AE}" pid="24" name="KP Topics">
    <vt:lpwstr/>
  </property>
  <property fmtid="{D5CDD505-2E9C-101B-9397-08002B2CF9AE}" pid="25" name="KP_x0020_Topics">
    <vt:lpwstr/>
  </property>
  <property fmtid="{D5CDD505-2E9C-101B-9397-08002B2CF9AE}" pid="26" name="Editor1">
    <vt:lpwstr/>
  </property>
  <property fmtid="{D5CDD505-2E9C-101B-9397-08002B2CF9AE}" pid="27" name="Sector_x0020_IDB">
    <vt:lpwstr/>
  </property>
  <property fmtid="{D5CDD505-2E9C-101B-9397-08002B2CF9AE}" pid="28" name="Publication Type">
    <vt:lpwstr/>
  </property>
</Properties>
</file>