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41B18" w14:textId="77777777" w:rsidR="000D6B88" w:rsidRPr="001010E7" w:rsidRDefault="000D6B88" w:rsidP="000D6B88">
      <w:pPr>
        <w:pStyle w:val="SubSubPar"/>
        <w:numPr>
          <w:ilvl w:val="0"/>
          <w:numId w:val="0"/>
        </w:numPr>
        <w:spacing w:after="0"/>
        <w:jc w:val="center"/>
        <w:rPr>
          <w:rFonts w:ascii="Arial" w:hAnsi="Arial"/>
          <w:smallCaps/>
          <w:sz w:val="22"/>
          <w:lang w:val="es-ES"/>
        </w:rPr>
      </w:pPr>
      <w:bookmarkStart w:id="0" w:name="_Toc388249744"/>
      <w:r w:rsidRPr="001010E7">
        <w:rPr>
          <w:rFonts w:ascii="Arial" w:hAnsi="Arial"/>
          <w:smallCaps/>
          <w:sz w:val="22"/>
          <w:lang w:val="es-ES"/>
        </w:rPr>
        <w:t>Documento del Banco Interamericano De Desarrollo</w:t>
      </w:r>
      <w:bookmarkEnd w:id="0"/>
    </w:p>
    <w:p w14:paraId="0FC03F2A" w14:textId="77777777" w:rsidR="000D6B88" w:rsidRPr="001010E7" w:rsidRDefault="000D6B88" w:rsidP="000D6B88">
      <w:pPr>
        <w:spacing w:before="120" w:after="120" w:line="240" w:lineRule="auto"/>
        <w:jc w:val="center"/>
        <w:rPr>
          <w:rFonts w:ascii="Arial" w:hAnsi="Arial"/>
          <w:lang w:val="es-ES"/>
        </w:rPr>
      </w:pPr>
    </w:p>
    <w:p w14:paraId="5D43E0C2" w14:textId="77777777" w:rsidR="000D6B88" w:rsidRPr="001010E7" w:rsidRDefault="000D6B88" w:rsidP="000D6B88">
      <w:pPr>
        <w:spacing w:before="120" w:after="120" w:line="240" w:lineRule="auto"/>
        <w:jc w:val="center"/>
        <w:rPr>
          <w:rFonts w:ascii="Arial" w:hAnsi="Arial"/>
          <w:lang w:val="es-ES"/>
        </w:rPr>
      </w:pPr>
    </w:p>
    <w:p w14:paraId="10125CA7" w14:textId="77777777" w:rsidR="000D6B88" w:rsidRPr="001010E7" w:rsidRDefault="000D6B88" w:rsidP="000D6B88">
      <w:pPr>
        <w:spacing w:before="120" w:after="120" w:line="240" w:lineRule="auto"/>
        <w:jc w:val="center"/>
        <w:rPr>
          <w:rFonts w:ascii="Arial" w:hAnsi="Arial"/>
          <w:lang w:val="es-ES"/>
        </w:rPr>
      </w:pPr>
      <w:bookmarkStart w:id="1" w:name="_GoBack"/>
      <w:bookmarkEnd w:id="1"/>
    </w:p>
    <w:p w14:paraId="73E74D62" w14:textId="77777777" w:rsidR="000D6B88" w:rsidRPr="00DF0D13" w:rsidRDefault="000D6B88" w:rsidP="000D6B88">
      <w:pPr>
        <w:tabs>
          <w:tab w:val="left" w:pos="1440"/>
          <w:tab w:val="left" w:pos="3060"/>
        </w:tabs>
        <w:jc w:val="center"/>
        <w:outlineLvl w:val="0"/>
        <w:rPr>
          <w:rFonts w:ascii="Arial" w:hAnsi="Arial"/>
          <w:b/>
          <w:smallCaps/>
          <w:sz w:val="28"/>
          <w:lang w:val="es-AR"/>
        </w:rPr>
      </w:pPr>
      <w:r w:rsidRPr="00DF0D13">
        <w:rPr>
          <w:rFonts w:ascii="Arial" w:hAnsi="Arial"/>
          <w:b/>
          <w:smallCaps/>
          <w:sz w:val="28"/>
          <w:lang w:val="es-ES"/>
        </w:rPr>
        <w:t>M</w:t>
      </w:r>
      <w:r w:rsidRPr="00DF0D13">
        <w:rPr>
          <w:rFonts w:ascii="Arial" w:hAnsi="Arial"/>
          <w:b/>
          <w:smallCaps/>
          <w:sz w:val="28"/>
          <w:lang w:val="es-AR"/>
        </w:rPr>
        <w:t>éxico</w:t>
      </w:r>
    </w:p>
    <w:p w14:paraId="0B909A45" w14:textId="77777777" w:rsidR="000D6B88" w:rsidRPr="001010E7" w:rsidRDefault="000D6B88" w:rsidP="000D6B88">
      <w:pPr>
        <w:spacing w:before="120" w:after="120" w:line="240" w:lineRule="auto"/>
        <w:jc w:val="both"/>
        <w:rPr>
          <w:rFonts w:ascii="Arial" w:hAnsi="Arial"/>
          <w:lang w:val="es-ES"/>
        </w:rPr>
      </w:pPr>
    </w:p>
    <w:p w14:paraId="32FB134B" w14:textId="77777777" w:rsidR="00D47E65" w:rsidRDefault="00D47E65" w:rsidP="00D47E65">
      <w:pPr>
        <w:spacing w:before="360"/>
        <w:jc w:val="center"/>
        <w:rPr>
          <w:rFonts w:ascii="Arial" w:hAnsi="Arial" w:cs="Arial"/>
          <w:b/>
          <w:bCs/>
          <w:smallCaps/>
          <w:sz w:val="28"/>
          <w:szCs w:val="28"/>
          <w:lang w:val="es-MX"/>
        </w:rPr>
      </w:pPr>
      <w:r w:rsidRPr="00C07324">
        <w:rPr>
          <w:rFonts w:ascii="Arial" w:hAnsi="Arial" w:cs="Arial"/>
          <w:b/>
          <w:bCs/>
          <w:smallCaps/>
          <w:sz w:val="28"/>
          <w:szCs w:val="28"/>
          <w:lang w:val="es-MX"/>
        </w:rPr>
        <w:t>Aumento de la Línea de Crédito Condicional para</w:t>
      </w:r>
      <w:r>
        <w:rPr>
          <w:rFonts w:ascii="Arial" w:hAnsi="Arial" w:cs="Arial"/>
          <w:b/>
          <w:bCs/>
          <w:smallCaps/>
          <w:sz w:val="28"/>
          <w:szCs w:val="28"/>
          <w:lang w:val="es-MX"/>
        </w:rPr>
        <w:t xml:space="preserve"> Proyectos de Inversión (CCLIP) para</w:t>
      </w:r>
      <w:r w:rsidRPr="00C07324">
        <w:rPr>
          <w:rFonts w:ascii="Arial" w:hAnsi="Arial" w:cs="Arial"/>
          <w:b/>
          <w:bCs/>
          <w:smallCaps/>
          <w:sz w:val="28"/>
          <w:szCs w:val="28"/>
          <w:lang w:val="es-MX"/>
        </w:rPr>
        <w:t xml:space="preserve"> el Financiamiento Rural Productivo e Inclusivo  </w:t>
      </w:r>
    </w:p>
    <w:p w14:paraId="63B45CE8" w14:textId="6520001B" w:rsidR="00B04FD1" w:rsidRPr="00B04FD1" w:rsidRDefault="00D47E65" w:rsidP="00D47E65">
      <w:pPr>
        <w:tabs>
          <w:tab w:val="left" w:pos="1440"/>
          <w:tab w:val="left" w:pos="3060"/>
        </w:tabs>
        <w:jc w:val="center"/>
        <w:outlineLvl w:val="0"/>
        <w:rPr>
          <w:rFonts w:ascii="Arial" w:hAnsi="Arial"/>
          <w:b/>
          <w:bCs/>
          <w:smallCaps/>
          <w:lang w:val="es-ES_tradnl"/>
        </w:rPr>
      </w:pPr>
      <w:r w:rsidRPr="00B04FD1">
        <w:rPr>
          <w:rFonts w:ascii="Arial" w:hAnsi="Arial"/>
          <w:b/>
          <w:bCs/>
          <w:smallCaps/>
          <w:lang w:val="es-ES_tradnl"/>
        </w:rPr>
        <w:t xml:space="preserve"> </w:t>
      </w:r>
      <w:r w:rsidR="00B04FD1" w:rsidRPr="00B04FD1">
        <w:rPr>
          <w:rFonts w:ascii="Arial" w:hAnsi="Arial"/>
          <w:b/>
          <w:bCs/>
          <w:smallCaps/>
          <w:lang w:val="es-ES_tradnl"/>
        </w:rPr>
        <w:t>(ME-X1024)</w:t>
      </w:r>
    </w:p>
    <w:p w14:paraId="195D19B5" w14:textId="77777777" w:rsidR="00B04FD1" w:rsidRPr="00B04FD1" w:rsidRDefault="00B04FD1" w:rsidP="00B04FD1">
      <w:pPr>
        <w:tabs>
          <w:tab w:val="left" w:pos="1440"/>
          <w:tab w:val="left" w:pos="3060"/>
        </w:tabs>
        <w:jc w:val="center"/>
        <w:outlineLvl w:val="0"/>
        <w:rPr>
          <w:rFonts w:ascii="Arial" w:hAnsi="Arial"/>
          <w:b/>
          <w:bCs/>
          <w:smallCaps/>
          <w:sz w:val="18"/>
          <w:lang w:val="es-ES_tradnl"/>
        </w:rPr>
      </w:pPr>
      <w:r w:rsidRPr="00B04FD1">
        <w:rPr>
          <w:rFonts w:ascii="Arial" w:hAnsi="Arial"/>
          <w:b/>
          <w:bCs/>
          <w:smallCaps/>
          <w:sz w:val="18"/>
          <w:lang w:val="es-ES_tradnl"/>
        </w:rPr>
        <w:t>(MODIFICACIÓN A LA RESOLUCIÓN DE- 138/14)</w:t>
      </w:r>
    </w:p>
    <w:p w14:paraId="23AFFE09" w14:textId="77777777" w:rsidR="00B04FD1" w:rsidRPr="00B04FD1" w:rsidRDefault="00B04FD1" w:rsidP="00B04FD1">
      <w:pPr>
        <w:tabs>
          <w:tab w:val="left" w:pos="1440"/>
          <w:tab w:val="left" w:pos="3060"/>
        </w:tabs>
        <w:jc w:val="center"/>
        <w:outlineLvl w:val="0"/>
        <w:rPr>
          <w:rFonts w:ascii="Arial" w:hAnsi="Arial"/>
          <w:b/>
          <w:bCs/>
          <w:smallCaps/>
          <w:lang w:val="es-ES_tradnl"/>
        </w:rPr>
      </w:pPr>
      <w:r w:rsidRPr="00B04FD1">
        <w:rPr>
          <w:rFonts w:ascii="Arial" w:hAnsi="Arial"/>
          <w:b/>
          <w:bCs/>
          <w:smallCaps/>
          <w:lang w:val="es-ES_tradnl"/>
        </w:rPr>
        <w:t>Y</w:t>
      </w:r>
    </w:p>
    <w:p w14:paraId="7E74D061" w14:textId="736FAB14" w:rsidR="00B04FD1" w:rsidRPr="00572734" w:rsidRDefault="00572734" w:rsidP="00B04FD1">
      <w:pPr>
        <w:tabs>
          <w:tab w:val="left" w:pos="1440"/>
          <w:tab w:val="left" w:pos="3060"/>
        </w:tabs>
        <w:jc w:val="center"/>
        <w:outlineLvl w:val="0"/>
        <w:rPr>
          <w:rFonts w:ascii="Arial" w:hAnsi="Arial"/>
          <w:b/>
          <w:bCs/>
          <w:smallCaps/>
          <w:sz w:val="28"/>
          <w:szCs w:val="28"/>
          <w:lang w:val="es-ES_tradnl"/>
        </w:rPr>
      </w:pPr>
      <w:r>
        <w:rPr>
          <w:rFonts w:ascii="Arial" w:hAnsi="Arial"/>
          <w:b/>
          <w:bCs/>
          <w:smallCaps/>
          <w:sz w:val="28"/>
          <w:szCs w:val="28"/>
          <w:lang w:val="es-ES_tradnl"/>
        </w:rPr>
        <w:t>T</w:t>
      </w:r>
      <w:r w:rsidRPr="00572734">
        <w:rPr>
          <w:rFonts w:ascii="Arial" w:hAnsi="Arial"/>
          <w:b/>
          <w:bCs/>
          <w:smallCaps/>
          <w:sz w:val="28"/>
          <w:szCs w:val="28"/>
          <w:lang w:val="es-ES_tradnl"/>
        </w:rPr>
        <w:t>ercer Programa para el Financiamiento Rural Productivo e Inclusivo</w:t>
      </w:r>
    </w:p>
    <w:p w14:paraId="13821B80" w14:textId="626B07C1" w:rsidR="000D6B88" w:rsidRPr="001010E7" w:rsidRDefault="00B04FD1" w:rsidP="00B04FD1">
      <w:pPr>
        <w:tabs>
          <w:tab w:val="left" w:pos="1440"/>
          <w:tab w:val="left" w:pos="3060"/>
        </w:tabs>
        <w:jc w:val="center"/>
        <w:outlineLvl w:val="0"/>
        <w:rPr>
          <w:rFonts w:ascii="Arial" w:hAnsi="Arial"/>
          <w:b/>
          <w:smallCaps/>
          <w:lang w:val="es-ES"/>
        </w:rPr>
      </w:pPr>
      <w:r w:rsidRPr="00B04FD1">
        <w:rPr>
          <w:rFonts w:ascii="Arial" w:hAnsi="Arial"/>
          <w:b/>
          <w:bCs/>
          <w:smallCaps/>
          <w:lang w:val="es-ES_tradnl"/>
        </w:rPr>
        <w:t>(ME-L1259)</w:t>
      </w:r>
    </w:p>
    <w:p w14:paraId="5B6B3F42" w14:textId="77777777" w:rsidR="00B04FD1" w:rsidRDefault="00B04FD1" w:rsidP="00062D0D">
      <w:pPr>
        <w:spacing w:before="120" w:after="120" w:line="240" w:lineRule="auto"/>
        <w:jc w:val="center"/>
        <w:rPr>
          <w:rFonts w:ascii="Arial" w:hAnsi="Arial"/>
          <w:lang w:val="es-AR"/>
        </w:rPr>
      </w:pPr>
    </w:p>
    <w:p w14:paraId="38BA51A0" w14:textId="580BE55E" w:rsidR="00062D0D" w:rsidRPr="001010E7" w:rsidRDefault="00062D0D" w:rsidP="00062D0D">
      <w:pPr>
        <w:spacing w:before="120" w:after="120" w:line="240" w:lineRule="auto"/>
        <w:jc w:val="center"/>
        <w:rPr>
          <w:rFonts w:ascii="Arial" w:hAnsi="Arial"/>
          <w:lang w:val="es-AR"/>
        </w:rPr>
      </w:pPr>
      <w:r w:rsidRPr="001010E7">
        <w:rPr>
          <w:rFonts w:ascii="Arial" w:hAnsi="Arial"/>
          <w:lang w:val="es-AR"/>
        </w:rPr>
        <w:t>Plan de Monitoreo y Evaluación</w:t>
      </w:r>
    </w:p>
    <w:p w14:paraId="5EDA3F04" w14:textId="77777777" w:rsidR="00062D0D" w:rsidRPr="001010E7" w:rsidRDefault="00062D0D" w:rsidP="00062D0D">
      <w:pPr>
        <w:spacing w:before="120" w:after="120" w:line="240" w:lineRule="auto"/>
        <w:jc w:val="both"/>
        <w:rPr>
          <w:rFonts w:ascii="Arial" w:hAnsi="Arial"/>
          <w:lang w:val="es-AR"/>
        </w:rPr>
      </w:pPr>
    </w:p>
    <w:tbl>
      <w:tblPr>
        <w:tblStyle w:val="TableGrid"/>
        <w:tblW w:w="0" w:type="auto"/>
        <w:tblLook w:val="04A0" w:firstRow="1" w:lastRow="0" w:firstColumn="1" w:lastColumn="0" w:noHBand="0" w:noVBand="1"/>
      </w:tblPr>
      <w:tblGrid>
        <w:gridCol w:w="8630"/>
      </w:tblGrid>
      <w:tr w:rsidR="009F5A8B" w:rsidRPr="0099774C" w14:paraId="76B3B9A0" w14:textId="77777777" w:rsidTr="00B04FD1">
        <w:tc>
          <w:tcPr>
            <w:tcW w:w="8630" w:type="dxa"/>
          </w:tcPr>
          <w:p w14:paraId="7D065339" w14:textId="77777777" w:rsidR="00B730FF" w:rsidRPr="001010E7" w:rsidRDefault="00B730FF" w:rsidP="001010E7">
            <w:pPr>
              <w:spacing w:before="120" w:after="120"/>
              <w:rPr>
                <w:rFonts w:ascii="Arial" w:hAnsi="Arial"/>
                <w:lang w:val="es-AR"/>
              </w:rPr>
            </w:pPr>
            <w:r w:rsidRPr="0099774C">
              <w:rPr>
                <w:rFonts w:ascii="Arial" w:hAnsi="Arial" w:cs="Arial"/>
                <w:lang w:val="es-AR"/>
              </w:rPr>
              <w:t xml:space="preserve">Este documento fue preparado por: </w:t>
            </w:r>
            <w:r w:rsidR="00D96EFF" w:rsidRPr="0099774C">
              <w:rPr>
                <w:rFonts w:ascii="Arial" w:hAnsi="Arial" w:cs="Arial"/>
                <w:lang w:val="es-AR"/>
              </w:rPr>
              <w:t xml:space="preserve">Fernando de Olloqui, </w:t>
            </w:r>
            <w:r w:rsidR="00265DA6" w:rsidRPr="0099774C">
              <w:rPr>
                <w:rFonts w:ascii="Arial" w:hAnsi="Arial" w:cs="Arial"/>
                <w:lang w:val="es-AR"/>
              </w:rPr>
              <w:t>Carmen Fernandez Diez</w:t>
            </w:r>
            <w:r w:rsidR="00D96EFF" w:rsidRPr="0099774C">
              <w:rPr>
                <w:rFonts w:ascii="Arial" w:hAnsi="Arial" w:cs="Arial"/>
                <w:lang w:val="es-AR"/>
              </w:rPr>
              <w:t>, María Cabrera</w:t>
            </w:r>
          </w:p>
        </w:tc>
      </w:tr>
    </w:tbl>
    <w:p w14:paraId="67E51C25" w14:textId="77777777" w:rsidR="00114A2D" w:rsidRPr="001010E7" w:rsidRDefault="00114A2D" w:rsidP="00062D0D">
      <w:pPr>
        <w:spacing w:before="120" w:after="120" w:line="240" w:lineRule="auto"/>
        <w:jc w:val="both"/>
        <w:rPr>
          <w:rFonts w:ascii="Arial" w:hAnsi="Arial"/>
          <w:lang w:val="es-ES_tradnl"/>
        </w:rPr>
        <w:sectPr w:rsidR="00114A2D" w:rsidRPr="001010E7" w:rsidSect="001010E7">
          <w:headerReference w:type="default" r:id="rId8"/>
          <w:footerReference w:type="default" r:id="rId9"/>
          <w:pgSz w:w="12240" w:h="15840" w:code="1"/>
          <w:pgMar w:top="1440" w:right="1800" w:bottom="1440" w:left="1800" w:header="720" w:footer="720" w:gutter="0"/>
          <w:cols w:space="720"/>
          <w:titlePg/>
          <w:docGrid w:linePitch="360"/>
        </w:sectPr>
      </w:pPr>
    </w:p>
    <w:p w14:paraId="5B759C5E" w14:textId="77777777" w:rsidR="00114A2D" w:rsidRPr="001010E7" w:rsidRDefault="00114A2D" w:rsidP="00114A2D">
      <w:pPr>
        <w:jc w:val="center"/>
        <w:rPr>
          <w:rStyle w:val="BookTitle"/>
          <w:rFonts w:ascii="Arial" w:hAnsi="Arial" w:cs="Arial"/>
          <w:lang w:val="es-ES_tradnl"/>
        </w:rPr>
      </w:pPr>
      <w:r w:rsidRPr="001010E7">
        <w:rPr>
          <w:rStyle w:val="BookTitle"/>
          <w:rFonts w:ascii="Arial" w:hAnsi="Arial" w:cs="Arial"/>
          <w:lang w:val="es-ES_tradnl"/>
        </w:rPr>
        <w:lastRenderedPageBreak/>
        <w:t>CONTENIDO</w:t>
      </w:r>
    </w:p>
    <w:p w14:paraId="49FCB5B0" w14:textId="77777777" w:rsidR="00114A2D" w:rsidRPr="001010E7" w:rsidRDefault="00114A2D" w:rsidP="00114A2D">
      <w:pPr>
        <w:rPr>
          <w:rFonts w:ascii="Arial" w:hAnsi="Arial" w:cs="Arial"/>
          <w:lang w:val="es-ES_tradnl"/>
        </w:rPr>
      </w:pPr>
    </w:p>
    <w:p w14:paraId="7ED2FE38" w14:textId="77777777" w:rsidR="00265DA6" w:rsidRPr="001010E7" w:rsidRDefault="00114A2D">
      <w:pPr>
        <w:pStyle w:val="TOC1"/>
        <w:rPr>
          <w:rFonts w:ascii="Arial" w:hAnsi="Arial" w:cs="Arial"/>
          <w:b w:val="0"/>
          <w:smallCaps w:val="0"/>
          <w:sz w:val="22"/>
          <w:lang w:val="es-ES_tradnl"/>
        </w:rPr>
      </w:pPr>
      <w:r w:rsidRPr="001010E7">
        <w:rPr>
          <w:rFonts w:ascii="Arial" w:hAnsi="Arial" w:cs="Arial"/>
          <w:sz w:val="22"/>
        </w:rPr>
        <w:fldChar w:fldCharType="begin"/>
      </w:r>
      <w:r w:rsidRPr="001010E7">
        <w:rPr>
          <w:rFonts w:ascii="Arial" w:hAnsi="Arial" w:cs="Arial"/>
          <w:sz w:val="22"/>
          <w:lang w:val="es-ES_tradnl"/>
        </w:rPr>
        <w:instrText xml:space="preserve"> TOC \f \t "Chapter,1,FirstHeading,2,SecHeading,3" </w:instrText>
      </w:r>
      <w:r w:rsidRPr="001010E7">
        <w:rPr>
          <w:rFonts w:ascii="Arial" w:hAnsi="Arial" w:cs="Arial"/>
          <w:sz w:val="22"/>
        </w:rPr>
        <w:fldChar w:fldCharType="separate"/>
      </w:r>
      <w:r w:rsidR="00265DA6" w:rsidRPr="001010E7">
        <w:rPr>
          <w:rFonts w:ascii="Arial" w:hAnsi="Arial" w:cs="Arial"/>
          <w:sz w:val="22"/>
          <w:lang w:val="es-ES_tradnl"/>
        </w:rPr>
        <w:t>I.</w:t>
      </w:r>
      <w:r w:rsidR="00265DA6" w:rsidRPr="001010E7">
        <w:rPr>
          <w:rFonts w:ascii="Arial" w:hAnsi="Arial" w:cs="Arial"/>
          <w:b w:val="0"/>
          <w:smallCaps w:val="0"/>
          <w:sz w:val="22"/>
          <w:lang w:val="es-ES_tradnl"/>
        </w:rPr>
        <w:tab/>
      </w:r>
      <w:r w:rsidR="00265DA6" w:rsidRPr="001010E7">
        <w:rPr>
          <w:rFonts w:ascii="Arial" w:hAnsi="Arial" w:cs="Arial"/>
          <w:sz w:val="22"/>
          <w:lang w:val="es-ES_tradnl"/>
        </w:rPr>
        <w:t>Introducción</w:t>
      </w:r>
      <w:r w:rsidR="00265DA6" w:rsidRPr="001010E7">
        <w:rPr>
          <w:rFonts w:ascii="Arial" w:hAnsi="Arial" w:cs="Arial"/>
          <w:sz w:val="22"/>
          <w:lang w:val="es-ES_tradnl"/>
        </w:rPr>
        <w:tab/>
      </w:r>
      <w:r w:rsidR="00265DA6" w:rsidRPr="001010E7">
        <w:rPr>
          <w:rFonts w:ascii="Arial" w:hAnsi="Arial" w:cs="Arial"/>
          <w:sz w:val="22"/>
        </w:rPr>
        <w:fldChar w:fldCharType="begin"/>
      </w:r>
      <w:r w:rsidR="00265DA6" w:rsidRPr="001010E7">
        <w:rPr>
          <w:rFonts w:ascii="Arial" w:hAnsi="Arial" w:cs="Arial"/>
          <w:sz w:val="22"/>
          <w:lang w:val="es-ES_tradnl"/>
        </w:rPr>
        <w:instrText xml:space="preserve"> PAGEREF _Toc415826264 \h </w:instrText>
      </w:r>
      <w:r w:rsidR="00265DA6" w:rsidRPr="001010E7">
        <w:rPr>
          <w:rFonts w:ascii="Arial" w:hAnsi="Arial" w:cs="Arial"/>
          <w:sz w:val="22"/>
        </w:rPr>
      </w:r>
      <w:r w:rsidR="00265DA6" w:rsidRPr="001010E7">
        <w:rPr>
          <w:rFonts w:ascii="Arial" w:hAnsi="Arial" w:cs="Arial"/>
          <w:sz w:val="22"/>
        </w:rPr>
        <w:fldChar w:fldCharType="separate"/>
      </w:r>
      <w:r w:rsidR="0012606D" w:rsidRPr="001010E7">
        <w:rPr>
          <w:rFonts w:ascii="Arial" w:hAnsi="Arial" w:cs="Arial"/>
          <w:sz w:val="22"/>
          <w:lang w:val="es-ES_tradnl"/>
        </w:rPr>
        <w:t>1</w:t>
      </w:r>
      <w:r w:rsidR="00265DA6" w:rsidRPr="001010E7">
        <w:rPr>
          <w:rFonts w:ascii="Arial" w:hAnsi="Arial" w:cs="Arial"/>
          <w:sz w:val="22"/>
        </w:rPr>
        <w:fldChar w:fldCharType="end"/>
      </w:r>
    </w:p>
    <w:p w14:paraId="7F6FB003" w14:textId="77777777" w:rsidR="00265DA6" w:rsidRPr="001010E7" w:rsidRDefault="00265DA6">
      <w:pPr>
        <w:pStyle w:val="TOC1"/>
        <w:rPr>
          <w:rFonts w:ascii="Arial" w:hAnsi="Arial" w:cs="Arial"/>
          <w:b w:val="0"/>
          <w:smallCaps w:val="0"/>
          <w:sz w:val="22"/>
          <w:lang w:val="es-ES_tradnl"/>
        </w:rPr>
      </w:pPr>
      <w:r w:rsidRPr="001010E7">
        <w:rPr>
          <w:rFonts w:ascii="Arial" w:hAnsi="Arial" w:cs="Arial"/>
          <w:sz w:val="22"/>
          <w:lang w:val="es-ES_tradnl"/>
        </w:rPr>
        <w:t>II.</w:t>
      </w:r>
      <w:r w:rsidRPr="001010E7">
        <w:rPr>
          <w:rFonts w:ascii="Arial" w:hAnsi="Arial" w:cs="Arial"/>
          <w:b w:val="0"/>
          <w:smallCaps w:val="0"/>
          <w:sz w:val="22"/>
          <w:lang w:val="es-ES_tradnl"/>
        </w:rPr>
        <w:tab/>
      </w:r>
      <w:r w:rsidRPr="001010E7">
        <w:rPr>
          <w:rFonts w:ascii="Arial" w:hAnsi="Arial" w:cs="Arial"/>
          <w:sz w:val="22"/>
          <w:lang w:val="es-ES_tradnl"/>
        </w:rPr>
        <w:t>Monitoreo</w:t>
      </w:r>
      <w:r w:rsidRPr="001010E7">
        <w:rPr>
          <w:rFonts w:ascii="Arial" w:hAnsi="Arial" w:cs="Arial"/>
          <w:sz w:val="22"/>
          <w:lang w:val="es-ES_tradnl"/>
        </w:rPr>
        <w:tab/>
      </w:r>
      <w:r w:rsidRPr="001010E7">
        <w:rPr>
          <w:rFonts w:ascii="Arial" w:hAnsi="Arial" w:cs="Arial"/>
          <w:sz w:val="22"/>
        </w:rPr>
        <w:fldChar w:fldCharType="begin"/>
      </w:r>
      <w:r w:rsidRPr="001010E7">
        <w:rPr>
          <w:rFonts w:ascii="Arial" w:hAnsi="Arial" w:cs="Arial"/>
          <w:sz w:val="22"/>
          <w:lang w:val="es-ES_tradnl"/>
        </w:rPr>
        <w:instrText xml:space="preserve"> PAGEREF _Toc415826265 \h </w:instrText>
      </w:r>
      <w:r w:rsidRPr="001010E7">
        <w:rPr>
          <w:rFonts w:ascii="Arial" w:hAnsi="Arial" w:cs="Arial"/>
          <w:sz w:val="22"/>
        </w:rPr>
      </w:r>
      <w:r w:rsidRPr="001010E7">
        <w:rPr>
          <w:rFonts w:ascii="Arial" w:hAnsi="Arial" w:cs="Arial"/>
          <w:sz w:val="22"/>
        </w:rPr>
        <w:fldChar w:fldCharType="separate"/>
      </w:r>
      <w:r w:rsidR="0012606D" w:rsidRPr="001010E7">
        <w:rPr>
          <w:rFonts w:ascii="Arial" w:hAnsi="Arial" w:cs="Arial"/>
          <w:sz w:val="22"/>
          <w:lang w:val="es-ES_tradnl"/>
        </w:rPr>
        <w:t>3</w:t>
      </w:r>
      <w:r w:rsidRPr="001010E7">
        <w:rPr>
          <w:rFonts w:ascii="Arial" w:hAnsi="Arial" w:cs="Arial"/>
          <w:sz w:val="22"/>
        </w:rPr>
        <w:fldChar w:fldCharType="end"/>
      </w:r>
    </w:p>
    <w:p w14:paraId="7AC06516"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1.</w:t>
      </w:r>
      <w:r w:rsidRPr="001010E7">
        <w:rPr>
          <w:rFonts w:ascii="Arial" w:hAnsi="Arial" w:cs="Arial"/>
          <w:noProof/>
          <w:sz w:val="22"/>
          <w:lang w:val="es-ES_tradnl"/>
        </w:rPr>
        <w:tab/>
        <w:t>Indicadores</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_Toc415826266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3</w:t>
      </w:r>
      <w:r w:rsidRPr="001010E7">
        <w:rPr>
          <w:rFonts w:ascii="Arial" w:hAnsi="Arial" w:cs="Arial"/>
          <w:noProof/>
          <w:sz w:val="22"/>
        </w:rPr>
        <w:fldChar w:fldCharType="end"/>
      </w:r>
    </w:p>
    <w:p w14:paraId="41F302E4"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2.</w:t>
      </w:r>
      <w:r w:rsidRPr="001010E7">
        <w:rPr>
          <w:rFonts w:ascii="Arial" w:hAnsi="Arial" w:cs="Arial"/>
          <w:noProof/>
          <w:sz w:val="22"/>
          <w:lang w:val="es-ES_tradnl"/>
        </w:rPr>
        <w:tab/>
        <w:t>Recolección de Información e Instrumentos</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_Toc415826267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4</w:t>
      </w:r>
      <w:r w:rsidRPr="001010E7">
        <w:rPr>
          <w:rFonts w:ascii="Arial" w:hAnsi="Arial" w:cs="Arial"/>
          <w:noProof/>
          <w:sz w:val="22"/>
        </w:rPr>
        <w:fldChar w:fldCharType="end"/>
      </w:r>
    </w:p>
    <w:p w14:paraId="22C2AF16"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3.</w:t>
      </w:r>
      <w:r w:rsidRPr="001010E7">
        <w:rPr>
          <w:rFonts w:ascii="Arial" w:hAnsi="Arial" w:cs="Arial"/>
          <w:noProof/>
          <w:sz w:val="22"/>
          <w:lang w:val="es-ES_tradnl"/>
        </w:rPr>
        <w:tab/>
        <w:t>Reportes</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_Toc415826268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5</w:t>
      </w:r>
      <w:r w:rsidRPr="001010E7">
        <w:rPr>
          <w:rFonts w:ascii="Arial" w:hAnsi="Arial" w:cs="Arial"/>
          <w:noProof/>
          <w:sz w:val="22"/>
        </w:rPr>
        <w:fldChar w:fldCharType="end"/>
      </w:r>
    </w:p>
    <w:p w14:paraId="21C392B2"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4.</w:t>
      </w:r>
      <w:r w:rsidRPr="001010E7">
        <w:rPr>
          <w:rFonts w:ascii="Arial" w:hAnsi="Arial" w:cs="Arial"/>
          <w:noProof/>
          <w:sz w:val="22"/>
          <w:lang w:val="es-ES_tradnl"/>
        </w:rPr>
        <w:tab/>
        <w:t>Coordinación del Monitoreo, Plan de Trabajo y Presupuesto</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_Toc415826269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5</w:t>
      </w:r>
      <w:r w:rsidRPr="001010E7">
        <w:rPr>
          <w:rFonts w:ascii="Arial" w:hAnsi="Arial" w:cs="Arial"/>
          <w:noProof/>
          <w:sz w:val="22"/>
        </w:rPr>
        <w:fldChar w:fldCharType="end"/>
      </w:r>
    </w:p>
    <w:p w14:paraId="66DF76E0" w14:textId="77777777" w:rsidR="00265DA6" w:rsidRPr="001010E7" w:rsidRDefault="00265DA6">
      <w:pPr>
        <w:pStyle w:val="TOC1"/>
        <w:rPr>
          <w:rFonts w:ascii="Arial" w:hAnsi="Arial" w:cs="Arial"/>
          <w:b w:val="0"/>
          <w:smallCaps w:val="0"/>
          <w:sz w:val="22"/>
          <w:lang w:val="es-ES_tradnl"/>
        </w:rPr>
      </w:pPr>
      <w:r w:rsidRPr="001010E7">
        <w:rPr>
          <w:rFonts w:ascii="Arial" w:hAnsi="Arial" w:cs="Arial"/>
          <w:sz w:val="22"/>
          <w:lang w:val="es-ES_tradnl"/>
        </w:rPr>
        <w:t>III.</w:t>
      </w:r>
      <w:r w:rsidRPr="001010E7">
        <w:rPr>
          <w:rFonts w:ascii="Arial" w:hAnsi="Arial" w:cs="Arial"/>
          <w:b w:val="0"/>
          <w:smallCaps w:val="0"/>
          <w:sz w:val="22"/>
          <w:lang w:val="es-ES_tradnl"/>
        </w:rPr>
        <w:tab/>
      </w:r>
      <w:r w:rsidRPr="001010E7">
        <w:rPr>
          <w:rFonts w:ascii="Arial" w:hAnsi="Arial" w:cs="Arial"/>
          <w:sz w:val="22"/>
          <w:lang w:val="es-ES_tradnl"/>
        </w:rPr>
        <w:t>Evaluación</w:t>
      </w:r>
      <w:r w:rsidRPr="001010E7">
        <w:rPr>
          <w:rFonts w:ascii="Arial" w:hAnsi="Arial" w:cs="Arial"/>
          <w:sz w:val="22"/>
          <w:lang w:val="es-ES_tradnl"/>
        </w:rPr>
        <w:tab/>
      </w:r>
      <w:r w:rsidRPr="001010E7">
        <w:rPr>
          <w:rFonts w:ascii="Arial" w:hAnsi="Arial" w:cs="Arial"/>
          <w:sz w:val="22"/>
        </w:rPr>
        <w:fldChar w:fldCharType="begin"/>
      </w:r>
      <w:r w:rsidRPr="001010E7">
        <w:rPr>
          <w:rFonts w:ascii="Arial" w:hAnsi="Arial" w:cs="Arial"/>
          <w:sz w:val="22"/>
          <w:lang w:val="es-ES_tradnl"/>
        </w:rPr>
        <w:instrText xml:space="preserve"> PAGEREF _Toc415826270 \h </w:instrText>
      </w:r>
      <w:r w:rsidRPr="001010E7">
        <w:rPr>
          <w:rFonts w:ascii="Arial" w:hAnsi="Arial" w:cs="Arial"/>
          <w:sz w:val="22"/>
        </w:rPr>
      </w:r>
      <w:r w:rsidRPr="001010E7">
        <w:rPr>
          <w:rFonts w:ascii="Arial" w:hAnsi="Arial" w:cs="Arial"/>
          <w:sz w:val="22"/>
        </w:rPr>
        <w:fldChar w:fldCharType="separate"/>
      </w:r>
      <w:r w:rsidR="0012606D" w:rsidRPr="001010E7">
        <w:rPr>
          <w:rFonts w:ascii="Arial" w:hAnsi="Arial" w:cs="Arial"/>
          <w:sz w:val="22"/>
          <w:lang w:val="es-ES_tradnl"/>
        </w:rPr>
        <w:t>6</w:t>
      </w:r>
      <w:r w:rsidRPr="001010E7">
        <w:rPr>
          <w:rFonts w:ascii="Arial" w:hAnsi="Arial" w:cs="Arial"/>
          <w:sz w:val="22"/>
        </w:rPr>
        <w:fldChar w:fldCharType="end"/>
      </w:r>
    </w:p>
    <w:p w14:paraId="25E062C4"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1.</w:t>
      </w:r>
      <w:r w:rsidRPr="001010E7">
        <w:rPr>
          <w:rFonts w:ascii="Arial" w:hAnsi="Arial" w:cs="Arial"/>
          <w:noProof/>
          <w:sz w:val="22"/>
          <w:lang w:val="es-ES_tradnl"/>
        </w:rPr>
        <w:tab/>
        <w:t>Preguntas de evaluación</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_Toc415826271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7</w:t>
      </w:r>
      <w:r w:rsidRPr="001010E7">
        <w:rPr>
          <w:rFonts w:ascii="Arial" w:hAnsi="Arial" w:cs="Arial"/>
          <w:noProof/>
          <w:sz w:val="22"/>
        </w:rPr>
        <w:fldChar w:fldCharType="end"/>
      </w:r>
    </w:p>
    <w:p w14:paraId="2C39C88E"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2.</w:t>
      </w:r>
      <w:r w:rsidRPr="001010E7">
        <w:rPr>
          <w:rFonts w:ascii="Arial" w:hAnsi="Arial" w:cs="Arial"/>
          <w:noProof/>
          <w:sz w:val="22"/>
          <w:lang w:val="es-ES_tradnl"/>
        </w:rPr>
        <w:tab/>
        <w:t>Conocimiento existente</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_Toc415826272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8</w:t>
      </w:r>
      <w:r w:rsidRPr="001010E7">
        <w:rPr>
          <w:rFonts w:ascii="Arial" w:hAnsi="Arial" w:cs="Arial"/>
          <w:noProof/>
          <w:sz w:val="22"/>
        </w:rPr>
        <w:fldChar w:fldCharType="end"/>
      </w:r>
    </w:p>
    <w:p w14:paraId="3FCFB0C6" w14:textId="77777777" w:rsidR="00265DA6" w:rsidRPr="001010E7" w:rsidRDefault="00265DA6">
      <w:pPr>
        <w:pStyle w:val="TOC3"/>
        <w:rPr>
          <w:rFonts w:ascii="Arial" w:hAnsi="Arial" w:cs="Arial"/>
          <w:noProof/>
          <w:sz w:val="22"/>
          <w:lang w:val="es-ES_tradnl"/>
        </w:rPr>
      </w:pPr>
      <w:r w:rsidRPr="001010E7">
        <w:rPr>
          <w:rFonts w:ascii="Arial" w:eastAsia="Calibri" w:hAnsi="Arial" w:cs="Arial"/>
          <w:noProof/>
          <w:sz w:val="22"/>
          <w:lang w:val="es-ES_tradnl"/>
        </w:rPr>
        <w:t>3.</w:t>
      </w:r>
      <w:r w:rsidRPr="001010E7">
        <w:rPr>
          <w:rFonts w:ascii="Arial" w:hAnsi="Arial" w:cs="Arial"/>
          <w:noProof/>
          <w:sz w:val="22"/>
          <w:lang w:val="es-ES_tradnl"/>
        </w:rPr>
        <w:tab/>
        <w:t>Principales indicadores de efectos directos</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_Toc415826273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10</w:t>
      </w:r>
      <w:r w:rsidRPr="001010E7">
        <w:rPr>
          <w:rFonts w:ascii="Arial" w:hAnsi="Arial" w:cs="Arial"/>
          <w:noProof/>
          <w:sz w:val="22"/>
        </w:rPr>
        <w:fldChar w:fldCharType="end"/>
      </w:r>
    </w:p>
    <w:p w14:paraId="1DBD76D2" w14:textId="77777777" w:rsidR="00265DA6" w:rsidRPr="001010E7" w:rsidRDefault="00265DA6">
      <w:pPr>
        <w:pStyle w:val="TOC3"/>
        <w:rPr>
          <w:rFonts w:ascii="Arial" w:hAnsi="Arial" w:cs="Arial"/>
          <w:noProof/>
          <w:sz w:val="22"/>
          <w:lang w:val="es-ES_tradnl"/>
        </w:rPr>
      </w:pPr>
      <w:r w:rsidRPr="001010E7">
        <w:rPr>
          <w:rFonts w:ascii="Arial" w:hAnsi="Arial" w:cs="Arial"/>
          <w:noProof/>
          <w:sz w:val="22"/>
          <w:lang w:val="es-ES_tradnl"/>
        </w:rPr>
        <w:t>4.</w:t>
      </w:r>
      <w:r w:rsidRPr="001010E7">
        <w:rPr>
          <w:rFonts w:ascii="Arial" w:hAnsi="Arial" w:cs="Arial"/>
          <w:noProof/>
          <w:sz w:val="22"/>
          <w:lang w:val="es-ES_tradnl"/>
        </w:rPr>
        <w:tab/>
        <w:t>Metodología de evaluación</w:t>
      </w:r>
      <w:r w:rsidRPr="001010E7">
        <w:rPr>
          <w:rFonts w:ascii="Arial" w:hAnsi="Arial" w:cs="Arial"/>
          <w:noProof/>
          <w:sz w:val="22"/>
          <w:lang w:val="es-ES_tradnl"/>
        </w:rPr>
        <w:tab/>
      </w:r>
      <w:r w:rsidRPr="001010E7">
        <w:rPr>
          <w:rFonts w:ascii="Arial" w:hAnsi="Arial" w:cs="Arial"/>
          <w:noProof/>
          <w:sz w:val="22"/>
        </w:rPr>
        <w:fldChar w:fldCharType="begin"/>
      </w:r>
      <w:r w:rsidRPr="001010E7">
        <w:rPr>
          <w:rFonts w:ascii="Arial" w:hAnsi="Arial" w:cs="Arial"/>
          <w:noProof/>
          <w:sz w:val="22"/>
          <w:lang w:val="es-ES_tradnl"/>
        </w:rPr>
        <w:instrText xml:space="preserve"> PAGEREF _Toc415826274 \h </w:instrText>
      </w:r>
      <w:r w:rsidRPr="001010E7">
        <w:rPr>
          <w:rFonts w:ascii="Arial" w:hAnsi="Arial" w:cs="Arial"/>
          <w:noProof/>
          <w:sz w:val="22"/>
        </w:rPr>
      </w:r>
      <w:r w:rsidRPr="001010E7">
        <w:rPr>
          <w:rFonts w:ascii="Arial" w:hAnsi="Arial" w:cs="Arial"/>
          <w:noProof/>
          <w:sz w:val="22"/>
        </w:rPr>
        <w:fldChar w:fldCharType="separate"/>
      </w:r>
      <w:r w:rsidR="0012606D" w:rsidRPr="001010E7">
        <w:rPr>
          <w:rFonts w:ascii="Arial" w:hAnsi="Arial" w:cs="Arial"/>
          <w:noProof/>
          <w:sz w:val="22"/>
          <w:lang w:val="es-ES_tradnl"/>
        </w:rPr>
        <w:t>11</w:t>
      </w:r>
      <w:r w:rsidRPr="001010E7">
        <w:rPr>
          <w:rFonts w:ascii="Arial" w:hAnsi="Arial" w:cs="Arial"/>
          <w:noProof/>
          <w:sz w:val="22"/>
        </w:rPr>
        <w:fldChar w:fldCharType="end"/>
      </w:r>
    </w:p>
    <w:p w14:paraId="0884166E" w14:textId="77777777" w:rsidR="00062D0D" w:rsidRPr="001010E7" w:rsidRDefault="00114A2D" w:rsidP="00114A2D">
      <w:pPr>
        <w:pStyle w:val="TOC3"/>
        <w:rPr>
          <w:rFonts w:ascii="Arial" w:hAnsi="Arial" w:cs="Arial"/>
          <w:sz w:val="22"/>
          <w:lang w:val="es-ES_tradnl"/>
        </w:rPr>
      </w:pPr>
      <w:r w:rsidRPr="001010E7">
        <w:rPr>
          <w:rFonts w:ascii="Arial" w:hAnsi="Arial" w:cs="Arial"/>
          <w:sz w:val="22"/>
        </w:rPr>
        <w:fldChar w:fldCharType="end"/>
      </w:r>
    </w:p>
    <w:p w14:paraId="4E5D4005" w14:textId="77777777" w:rsidR="00062D0D" w:rsidRPr="001010E7" w:rsidRDefault="00062D0D" w:rsidP="00982FF1">
      <w:pPr>
        <w:rPr>
          <w:rFonts w:ascii="Arial" w:hAnsi="Arial" w:cs="Arial"/>
          <w:lang w:val="es-ES_tradnl"/>
        </w:rPr>
      </w:pPr>
    </w:p>
    <w:p w14:paraId="6A6DD349" w14:textId="5E3945FE" w:rsidR="00062D0D" w:rsidRPr="001010E7" w:rsidRDefault="00062D0D" w:rsidP="00982FF1">
      <w:pPr>
        <w:rPr>
          <w:rFonts w:ascii="Arial" w:hAnsi="Arial" w:cs="Arial"/>
          <w:lang w:val="es-ES_tradnl"/>
        </w:rPr>
      </w:pPr>
    </w:p>
    <w:p w14:paraId="124F7EB3" w14:textId="77777777" w:rsidR="00062D0D" w:rsidRPr="001010E7" w:rsidRDefault="00062D0D" w:rsidP="00982FF1">
      <w:pPr>
        <w:rPr>
          <w:rFonts w:ascii="Arial" w:hAnsi="Arial" w:cs="Arial"/>
          <w:lang w:val="es-ES_tradnl"/>
        </w:rPr>
      </w:pPr>
      <w:r w:rsidRPr="001010E7">
        <w:rPr>
          <w:rFonts w:ascii="Arial" w:hAnsi="Arial" w:cs="Arial"/>
          <w:lang w:val="es-ES_tradnl"/>
        </w:rPr>
        <w:br w:type="page"/>
      </w:r>
    </w:p>
    <w:p w14:paraId="0EBC5114" w14:textId="77777777" w:rsidR="00062D0D" w:rsidRPr="001010E7" w:rsidRDefault="00062D0D" w:rsidP="00982FF1">
      <w:pPr>
        <w:rPr>
          <w:rFonts w:ascii="Arial" w:hAnsi="Arial" w:cs="Arial"/>
          <w:lang w:val="es-ES_tradnl"/>
        </w:rPr>
        <w:sectPr w:rsidR="00062D0D" w:rsidRPr="001010E7" w:rsidSect="00344FA5">
          <w:footerReference w:type="default" r:id="rId10"/>
          <w:pgSz w:w="12240" w:h="15840" w:code="1"/>
          <w:pgMar w:top="1440" w:right="1800" w:bottom="1440" w:left="1800" w:header="720" w:footer="720" w:gutter="0"/>
          <w:pgNumType w:start="0"/>
          <w:cols w:space="720"/>
          <w:titlePg/>
          <w:docGrid w:linePitch="360"/>
        </w:sectPr>
      </w:pPr>
    </w:p>
    <w:p w14:paraId="697F1AA5" w14:textId="77777777" w:rsidR="00062D0D" w:rsidRPr="001010E7" w:rsidRDefault="00062D0D" w:rsidP="00344FA5">
      <w:pPr>
        <w:pStyle w:val="Chapter"/>
        <w:tabs>
          <w:tab w:val="clear" w:pos="2088"/>
          <w:tab w:val="num" w:pos="648"/>
        </w:tabs>
        <w:spacing w:before="0"/>
        <w:ind w:left="0"/>
        <w:rPr>
          <w:rFonts w:ascii="Arial" w:hAnsi="Arial" w:cs="Arial"/>
          <w:sz w:val="22"/>
          <w:szCs w:val="22"/>
        </w:rPr>
      </w:pPr>
      <w:bookmarkStart w:id="2" w:name="_Toc352756751"/>
      <w:bookmarkStart w:id="3" w:name="_Toc415826264"/>
      <w:r w:rsidRPr="001010E7">
        <w:rPr>
          <w:rFonts w:ascii="Arial" w:hAnsi="Arial" w:cs="Arial"/>
          <w:sz w:val="22"/>
          <w:szCs w:val="22"/>
        </w:rPr>
        <w:lastRenderedPageBreak/>
        <w:t>Introducción</w:t>
      </w:r>
      <w:bookmarkEnd w:id="2"/>
      <w:bookmarkEnd w:id="3"/>
      <w:r w:rsidRPr="001010E7">
        <w:rPr>
          <w:rFonts w:ascii="Arial" w:hAnsi="Arial" w:cs="Arial"/>
          <w:sz w:val="22"/>
          <w:szCs w:val="22"/>
        </w:rPr>
        <w:t xml:space="preserve"> </w:t>
      </w:r>
    </w:p>
    <w:p w14:paraId="4C2E167D" w14:textId="77777777" w:rsidR="002C5AC0" w:rsidRPr="001010E7" w:rsidRDefault="0043266C"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 xml:space="preserve">El objetivo del </w:t>
      </w:r>
      <w:r w:rsidR="004808E3" w:rsidRPr="001010E7">
        <w:rPr>
          <w:rFonts w:ascii="Arial" w:hAnsi="Arial" w:cs="Arial"/>
          <w:sz w:val="22"/>
          <w:szCs w:val="22"/>
          <w:lang w:val="es-ES_tradnl"/>
        </w:rPr>
        <w:t xml:space="preserve">Tercer </w:t>
      </w:r>
      <w:r w:rsidRPr="001010E7">
        <w:rPr>
          <w:rFonts w:ascii="Arial" w:hAnsi="Arial" w:cs="Arial"/>
          <w:sz w:val="22"/>
          <w:szCs w:val="22"/>
          <w:lang w:val="es-ES_tradnl"/>
        </w:rPr>
        <w:t xml:space="preserve">Programa bajo la Línea CCLIP </w:t>
      </w:r>
      <w:r w:rsidR="00AB67FB" w:rsidRPr="001010E7">
        <w:rPr>
          <w:rFonts w:ascii="Arial" w:hAnsi="Arial" w:cs="Arial"/>
          <w:sz w:val="22"/>
          <w:szCs w:val="22"/>
          <w:lang w:val="es-ES_tradnl"/>
        </w:rPr>
        <w:t xml:space="preserve">(ME-X1024) </w:t>
      </w:r>
      <w:r w:rsidR="004808E3" w:rsidRPr="001010E7">
        <w:rPr>
          <w:rFonts w:ascii="Arial" w:hAnsi="Arial" w:cs="Arial"/>
          <w:sz w:val="22"/>
          <w:szCs w:val="22"/>
          <w:lang w:val="es-ES_tradnl"/>
        </w:rPr>
        <w:t xml:space="preserve">es </w:t>
      </w:r>
      <w:r w:rsidR="00E94F1B" w:rsidRPr="001010E7">
        <w:rPr>
          <w:rFonts w:ascii="Arial" w:hAnsi="Arial" w:cs="Arial"/>
          <w:sz w:val="22"/>
          <w:szCs w:val="22"/>
          <w:lang w:val="es-ES_tradnl"/>
        </w:rPr>
        <w:t>co</w:t>
      </w:r>
      <w:r w:rsidR="002C5AC0" w:rsidRPr="001010E7">
        <w:rPr>
          <w:rFonts w:ascii="Arial" w:hAnsi="Arial" w:cs="Arial"/>
          <w:sz w:val="22"/>
          <w:szCs w:val="22"/>
          <w:lang w:val="es-ES_tradnl"/>
        </w:rPr>
        <w:t>ntribuir a elevar la productividad del sector primario, mediante un mayor acceso a financiamiento por parte de las Unidades Económicas Rurales (UER) para realizar inversiones productivas; y promover la inclusión financiera en beneficio del sector rural, mediante el acceso a crédito productivo de las UER para mejorar sus ingresos.</w:t>
      </w:r>
      <w:r w:rsidR="004808E3" w:rsidRPr="001010E7">
        <w:rPr>
          <w:rFonts w:ascii="Arial" w:hAnsi="Arial" w:cs="Arial"/>
          <w:sz w:val="22"/>
          <w:szCs w:val="22"/>
          <w:lang w:val="es-ES_tradnl"/>
        </w:rPr>
        <w:t xml:space="preserve"> </w:t>
      </w:r>
    </w:p>
    <w:p w14:paraId="1F219E7E" w14:textId="77777777" w:rsidR="002C5AC0" w:rsidRPr="001010E7" w:rsidRDefault="002C5AC0"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El Programa mitigará los problemas existentes en el financiamiento al desarrollo productivo rural, a través de aumentar la oferta de financiamiento productivo para proyectos de inversión de las UER que permitirán incrementar el nivel de inversiones y los ingresos.</w:t>
      </w:r>
    </w:p>
    <w:p w14:paraId="67C9FC85" w14:textId="77777777" w:rsidR="002C5AC0" w:rsidRPr="001010E7" w:rsidRDefault="000C3A4C"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 xml:space="preserve">La </w:t>
      </w:r>
      <w:r w:rsidR="0043266C" w:rsidRPr="001010E7">
        <w:rPr>
          <w:rFonts w:ascii="Arial" w:hAnsi="Arial" w:cs="Arial"/>
          <w:sz w:val="22"/>
          <w:szCs w:val="22"/>
          <w:lang w:val="es-ES_tradnl"/>
        </w:rPr>
        <w:t>Financiera Nacional</w:t>
      </w:r>
      <w:r w:rsidR="00E934D2" w:rsidRPr="001010E7">
        <w:rPr>
          <w:rFonts w:ascii="Arial" w:hAnsi="Arial" w:cs="Arial"/>
          <w:sz w:val="22"/>
          <w:szCs w:val="22"/>
          <w:lang w:val="es-ES_tradnl"/>
        </w:rPr>
        <w:t xml:space="preserve"> de Desarrollo Agropecuario, Rural, Forestal y Pesquero</w:t>
      </w:r>
      <w:r w:rsidR="00062D0D" w:rsidRPr="001010E7">
        <w:rPr>
          <w:rFonts w:ascii="Arial" w:hAnsi="Arial" w:cs="Arial"/>
          <w:sz w:val="22"/>
          <w:szCs w:val="22"/>
          <w:lang w:val="es-ES_tradnl"/>
        </w:rPr>
        <w:t xml:space="preserve"> </w:t>
      </w:r>
      <w:r w:rsidR="00827C56" w:rsidRPr="001010E7">
        <w:rPr>
          <w:rFonts w:ascii="Arial" w:hAnsi="Arial" w:cs="Arial"/>
          <w:sz w:val="22"/>
          <w:szCs w:val="22"/>
          <w:lang w:val="es-ES_tradnl"/>
        </w:rPr>
        <w:t>(FN</w:t>
      </w:r>
      <w:r w:rsidR="00B15848" w:rsidRPr="001010E7">
        <w:rPr>
          <w:rFonts w:ascii="Arial" w:hAnsi="Arial" w:cs="Arial"/>
          <w:sz w:val="22"/>
          <w:szCs w:val="22"/>
          <w:lang w:val="es-ES_tradnl"/>
        </w:rPr>
        <w:t xml:space="preserve"> o FND</w:t>
      </w:r>
      <w:r w:rsidR="00827C56" w:rsidRPr="001010E7">
        <w:rPr>
          <w:rFonts w:ascii="Arial" w:hAnsi="Arial" w:cs="Arial"/>
          <w:sz w:val="22"/>
          <w:szCs w:val="22"/>
          <w:lang w:val="es-ES_tradnl"/>
        </w:rPr>
        <w:t xml:space="preserve">) </w:t>
      </w:r>
      <w:r w:rsidR="00062D0D" w:rsidRPr="001010E7">
        <w:rPr>
          <w:rFonts w:ascii="Arial" w:hAnsi="Arial" w:cs="Arial"/>
          <w:sz w:val="22"/>
          <w:szCs w:val="22"/>
          <w:lang w:val="es-ES_tradnl"/>
        </w:rPr>
        <w:t xml:space="preserve">será el prestatario y ejecutor </w:t>
      </w:r>
      <w:r w:rsidR="00393049" w:rsidRPr="001010E7">
        <w:rPr>
          <w:rFonts w:ascii="Arial" w:hAnsi="Arial" w:cs="Arial"/>
          <w:sz w:val="22"/>
          <w:szCs w:val="22"/>
          <w:lang w:val="es-ES_tradnl"/>
        </w:rPr>
        <w:t xml:space="preserve">(Agencia Ejecutora) </w:t>
      </w:r>
      <w:r w:rsidR="00062D0D" w:rsidRPr="001010E7">
        <w:rPr>
          <w:rFonts w:ascii="Arial" w:hAnsi="Arial" w:cs="Arial"/>
          <w:sz w:val="22"/>
          <w:szCs w:val="22"/>
          <w:lang w:val="es-ES_tradnl"/>
        </w:rPr>
        <w:t xml:space="preserve">del préstamo y utilizará su estructura organizativa para cumplir con las responsabilidades y realizar las actividades previstas durante la ejecución del programa. </w:t>
      </w:r>
    </w:p>
    <w:p w14:paraId="4AE975B9" w14:textId="77777777" w:rsidR="002C5AC0" w:rsidRPr="001010E7" w:rsidRDefault="00ED2762"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L</w:t>
      </w:r>
      <w:r w:rsidR="00062D0D" w:rsidRPr="001010E7">
        <w:rPr>
          <w:rFonts w:ascii="Arial" w:hAnsi="Arial" w:cs="Arial"/>
          <w:sz w:val="22"/>
          <w:szCs w:val="22"/>
          <w:lang w:val="es-ES_tradnl"/>
        </w:rPr>
        <w:t>os recursos del programa para apoyar la administración, promoción, monitoreo y eval</w:t>
      </w:r>
      <w:r w:rsidRPr="001010E7">
        <w:rPr>
          <w:rFonts w:ascii="Arial" w:hAnsi="Arial" w:cs="Arial"/>
          <w:sz w:val="22"/>
          <w:szCs w:val="22"/>
          <w:lang w:val="es-ES_tradnl"/>
        </w:rPr>
        <w:t xml:space="preserve">uación de impacto del programa estarán a cargo de la </w:t>
      </w:r>
      <w:r w:rsidR="00393049" w:rsidRPr="001010E7">
        <w:rPr>
          <w:rFonts w:ascii="Arial" w:hAnsi="Arial" w:cs="Arial"/>
          <w:sz w:val="22"/>
          <w:szCs w:val="22"/>
          <w:lang w:val="es-ES_tradnl"/>
        </w:rPr>
        <w:t>A</w:t>
      </w:r>
      <w:r w:rsidRPr="001010E7">
        <w:rPr>
          <w:rFonts w:ascii="Arial" w:hAnsi="Arial" w:cs="Arial"/>
          <w:sz w:val="22"/>
          <w:szCs w:val="22"/>
          <w:lang w:val="es-ES_tradnl"/>
        </w:rPr>
        <w:t xml:space="preserve">gencia </w:t>
      </w:r>
      <w:r w:rsidR="00393049" w:rsidRPr="001010E7">
        <w:rPr>
          <w:rFonts w:ascii="Arial" w:hAnsi="Arial" w:cs="Arial"/>
          <w:sz w:val="22"/>
          <w:szCs w:val="22"/>
          <w:lang w:val="es-ES_tradnl"/>
        </w:rPr>
        <w:t>E</w:t>
      </w:r>
      <w:r w:rsidRPr="001010E7">
        <w:rPr>
          <w:rFonts w:ascii="Arial" w:hAnsi="Arial" w:cs="Arial"/>
          <w:sz w:val="22"/>
          <w:szCs w:val="22"/>
          <w:lang w:val="es-ES_tradnl"/>
        </w:rPr>
        <w:t>jec</w:t>
      </w:r>
      <w:r w:rsidR="00393049" w:rsidRPr="001010E7">
        <w:rPr>
          <w:rFonts w:ascii="Arial" w:hAnsi="Arial" w:cs="Arial"/>
          <w:sz w:val="22"/>
          <w:szCs w:val="22"/>
          <w:lang w:val="es-ES_tradnl"/>
        </w:rPr>
        <w:t>u</w:t>
      </w:r>
      <w:r w:rsidRPr="001010E7">
        <w:rPr>
          <w:rFonts w:ascii="Arial" w:hAnsi="Arial" w:cs="Arial"/>
          <w:sz w:val="22"/>
          <w:szCs w:val="22"/>
          <w:lang w:val="es-ES_tradnl"/>
        </w:rPr>
        <w:t>tora</w:t>
      </w:r>
      <w:r w:rsidR="00E94F1B" w:rsidRPr="001010E7">
        <w:rPr>
          <w:rFonts w:ascii="Arial" w:hAnsi="Arial" w:cs="Arial"/>
          <w:sz w:val="22"/>
          <w:szCs w:val="22"/>
          <w:lang w:val="es-ES_tradnl"/>
        </w:rPr>
        <w:t xml:space="preserve"> (AE)</w:t>
      </w:r>
      <w:r w:rsidRPr="001010E7">
        <w:rPr>
          <w:rFonts w:ascii="Arial" w:hAnsi="Arial" w:cs="Arial"/>
          <w:sz w:val="22"/>
          <w:szCs w:val="22"/>
          <w:lang w:val="es-ES_tradnl"/>
        </w:rPr>
        <w:t>.</w:t>
      </w:r>
    </w:p>
    <w:p w14:paraId="79561A43" w14:textId="77777777" w:rsidR="00062D0D" w:rsidRPr="001010E7" w:rsidRDefault="00062D0D"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 xml:space="preserve">Como parte de la ejecución del programa, se han identificado los siguientes instrumentos de monitoreo y evaluación: </w:t>
      </w:r>
    </w:p>
    <w:p w14:paraId="773A774B" w14:textId="77777777" w:rsidR="003964E6" w:rsidRPr="001010E7" w:rsidRDefault="003964E6" w:rsidP="0099774C">
      <w:pPr>
        <w:pStyle w:val="subpar"/>
        <w:tabs>
          <w:tab w:val="clear" w:pos="2592"/>
        </w:tabs>
        <w:ind w:left="1170"/>
        <w:rPr>
          <w:rFonts w:ascii="Arial" w:hAnsi="Arial" w:cs="Arial"/>
          <w:sz w:val="22"/>
          <w:szCs w:val="22"/>
          <w:lang w:val="es-ES_tradnl"/>
        </w:rPr>
      </w:pPr>
      <w:r w:rsidRPr="001010E7">
        <w:rPr>
          <w:rFonts w:ascii="Arial" w:hAnsi="Arial" w:cs="Arial"/>
          <w:sz w:val="22"/>
          <w:szCs w:val="22"/>
          <w:lang w:val="es-ES_tradnl"/>
        </w:rPr>
        <w:t>Instrumentos de Monitoreo</w:t>
      </w:r>
    </w:p>
    <w:p w14:paraId="18FF7B4C" w14:textId="77777777" w:rsidR="008F39CA" w:rsidRPr="001010E7" w:rsidRDefault="008F39CA" w:rsidP="00344FA5">
      <w:pPr>
        <w:pStyle w:val="subpar"/>
        <w:numPr>
          <w:ilvl w:val="0"/>
          <w:numId w:val="96"/>
        </w:numPr>
        <w:spacing w:before="60" w:after="60"/>
        <w:ind w:left="1620"/>
        <w:rPr>
          <w:rFonts w:ascii="Arial" w:hAnsi="Arial" w:cs="Arial"/>
          <w:sz w:val="22"/>
          <w:szCs w:val="22"/>
          <w:lang w:val="es-AR"/>
        </w:rPr>
      </w:pPr>
      <w:r w:rsidRPr="001010E7">
        <w:rPr>
          <w:rFonts w:ascii="Arial" w:hAnsi="Arial" w:cs="Arial"/>
          <w:sz w:val="22"/>
          <w:szCs w:val="22"/>
          <w:lang w:val="es-ES_tradnl"/>
        </w:rPr>
        <w:t>I</w:t>
      </w:r>
      <w:r w:rsidRPr="001010E7">
        <w:rPr>
          <w:rFonts w:ascii="Arial" w:hAnsi="Arial" w:cs="Arial"/>
          <w:sz w:val="22"/>
          <w:szCs w:val="22"/>
          <w:lang w:val="es-AR"/>
        </w:rPr>
        <w:t xml:space="preserve">nformes semestrales de seguimiento del programa en el que la AE informa al Banco el progreso en la ejecución de las actividades programadas, incluyendo el cumplimiento de objetivos previamente acordados para los indicadores de producto que se describen en la matriz de resultados que se adjunta al programa propuesto (descritos en el cuadro 1); </w:t>
      </w:r>
    </w:p>
    <w:p w14:paraId="1C29E09D" w14:textId="77777777" w:rsidR="008F39CA" w:rsidRPr="001010E7" w:rsidRDefault="008F39CA" w:rsidP="00344FA5">
      <w:pPr>
        <w:pStyle w:val="subpar"/>
        <w:numPr>
          <w:ilvl w:val="0"/>
          <w:numId w:val="96"/>
        </w:numPr>
        <w:spacing w:before="60" w:after="60"/>
        <w:ind w:left="1620"/>
        <w:rPr>
          <w:rFonts w:ascii="Arial" w:hAnsi="Arial" w:cs="Arial"/>
          <w:sz w:val="22"/>
          <w:szCs w:val="22"/>
          <w:lang w:val="es-AR"/>
        </w:rPr>
      </w:pPr>
      <w:r w:rsidRPr="001010E7">
        <w:rPr>
          <w:rFonts w:ascii="Arial" w:hAnsi="Arial" w:cs="Arial"/>
          <w:sz w:val="22"/>
          <w:szCs w:val="22"/>
          <w:lang w:val="es-AR"/>
        </w:rPr>
        <w:t xml:space="preserve">Auditorías financieras anuales del programa; y </w:t>
      </w:r>
    </w:p>
    <w:p w14:paraId="0D9A9DE3" w14:textId="68816CA5" w:rsidR="008F39CA" w:rsidRPr="001010E7" w:rsidRDefault="008F39CA" w:rsidP="0099774C">
      <w:pPr>
        <w:pStyle w:val="subpar"/>
        <w:tabs>
          <w:tab w:val="clear" w:pos="2592"/>
        </w:tabs>
        <w:ind w:left="1170"/>
        <w:rPr>
          <w:rFonts w:ascii="Arial" w:hAnsi="Arial" w:cs="Arial"/>
          <w:sz w:val="22"/>
          <w:szCs w:val="22"/>
          <w:lang w:val="es-ES_tradnl"/>
        </w:rPr>
      </w:pPr>
      <w:r w:rsidRPr="001010E7">
        <w:rPr>
          <w:rFonts w:ascii="Arial" w:hAnsi="Arial" w:cs="Arial"/>
          <w:sz w:val="22"/>
          <w:szCs w:val="22"/>
          <w:lang w:val="es-ES_tradnl"/>
        </w:rPr>
        <w:t xml:space="preserve">Instrumentos de Evaluación </w:t>
      </w:r>
    </w:p>
    <w:p w14:paraId="7FA7BF70" w14:textId="03AD0BA7" w:rsidR="00062D0D" w:rsidRPr="001010E7" w:rsidRDefault="008F39CA" w:rsidP="00344FA5">
      <w:pPr>
        <w:pStyle w:val="subpar"/>
        <w:numPr>
          <w:ilvl w:val="0"/>
          <w:numId w:val="96"/>
        </w:numPr>
        <w:spacing w:before="60" w:after="60"/>
        <w:ind w:left="1620"/>
        <w:rPr>
          <w:rFonts w:ascii="Arial" w:hAnsi="Arial" w:cs="Arial"/>
          <w:sz w:val="22"/>
          <w:szCs w:val="22"/>
          <w:lang w:val="es-AR"/>
        </w:rPr>
      </w:pPr>
      <w:r w:rsidRPr="001010E7">
        <w:rPr>
          <w:rFonts w:ascii="Arial" w:hAnsi="Arial" w:cs="Arial"/>
          <w:sz w:val="22"/>
          <w:szCs w:val="22"/>
          <w:lang w:val="es-AR"/>
        </w:rPr>
        <w:t xml:space="preserve">Tres evaluaciones de impacto de la CLIPP (dos de estas evaluaciones están en ejecución y la restante es tentativa). </w:t>
      </w:r>
      <w:r w:rsidR="00062D0D" w:rsidRPr="001010E7">
        <w:rPr>
          <w:rFonts w:ascii="Arial" w:hAnsi="Arial" w:cs="Arial"/>
          <w:sz w:val="22"/>
          <w:szCs w:val="22"/>
          <w:lang w:val="es-AR"/>
        </w:rPr>
        <w:t>La</w:t>
      </w:r>
      <w:r w:rsidRPr="001010E7">
        <w:rPr>
          <w:rFonts w:ascii="Arial" w:hAnsi="Arial" w:cs="Arial"/>
          <w:sz w:val="22"/>
          <w:szCs w:val="22"/>
          <w:lang w:val="es-AR"/>
        </w:rPr>
        <w:t>s</w:t>
      </w:r>
      <w:r w:rsidR="00062D0D" w:rsidRPr="001010E7">
        <w:rPr>
          <w:rFonts w:ascii="Arial" w:hAnsi="Arial" w:cs="Arial"/>
          <w:sz w:val="22"/>
          <w:szCs w:val="22"/>
          <w:lang w:val="es-AR"/>
        </w:rPr>
        <w:t xml:space="preserve"> </w:t>
      </w:r>
      <w:r w:rsidRPr="001010E7">
        <w:rPr>
          <w:rFonts w:ascii="Arial" w:hAnsi="Arial" w:cs="Arial"/>
          <w:sz w:val="22"/>
          <w:szCs w:val="22"/>
          <w:lang w:val="es-AR"/>
        </w:rPr>
        <w:t>evaluaciones</w:t>
      </w:r>
      <w:r w:rsidR="00062D0D" w:rsidRPr="001010E7">
        <w:rPr>
          <w:rFonts w:ascii="Arial" w:hAnsi="Arial" w:cs="Arial"/>
          <w:sz w:val="22"/>
          <w:szCs w:val="22"/>
          <w:lang w:val="es-AR"/>
        </w:rPr>
        <w:t xml:space="preserve"> de impacto del programa apunta</w:t>
      </w:r>
      <w:r w:rsidRPr="001010E7">
        <w:rPr>
          <w:rFonts w:ascii="Arial" w:hAnsi="Arial" w:cs="Arial"/>
          <w:sz w:val="22"/>
          <w:szCs w:val="22"/>
          <w:lang w:val="es-AR"/>
        </w:rPr>
        <w:t>n</w:t>
      </w:r>
      <w:r w:rsidR="00062D0D" w:rsidRPr="001010E7">
        <w:rPr>
          <w:rFonts w:ascii="Arial" w:hAnsi="Arial" w:cs="Arial"/>
          <w:sz w:val="22"/>
          <w:szCs w:val="22"/>
          <w:lang w:val="es-AR"/>
        </w:rPr>
        <w:t xml:space="preserve"> fundamentalmente a proveer evidencia sobre el impacto </w:t>
      </w:r>
      <w:r w:rsidR="00A430DB" w:rsidRPr="001010E7">
        <w:rPr>
          <w:rFonts w:ascii="Arial" w:hAnsi="Arial" w:cs="Arial"/>
          <w:sz w:val="22"/>
          <w:szCs w:val="22"/>
          <w:lang w:val="es-AR"/>
        </w:rPr>
        <w:t>en</w:t>
      </w:r>
      <w:r w:rsidR="00062D0D" w:rsidRPr="001010E7">
        <w:rPr>
          <w:rFonts w:ascii="Arial" w:hAnsi="Arial" w:cs="Arial"/>
          <w:sz w:val="22"/>
          <w:szCs w:val="22"/>
          <w:lang w:val="es-AR"/>
        </w:rPr>
        <w:t xml:space="preserve"> las </w:t>
      </w:r>
      <w:r w:rsidR="00F83235" w:rsidRPr="001010E7">
        <w:rPr>
          <w:rFonts w:ascii="Arial" w:hAnsi="Arial" w:cs="Arial"/>
          <w:sz w:val="22"/>
          <w:szCs w:val="22"/>
          <w:lang w:val="es-AR"/>
        </w:rPr>
        <w:t>unidades</w:t>
      </w:r>
      <w:r w:rsidR="00062D0D" w:rsidRPr="001010E7">
        <w:rPr>
          <w:rFonts w:ascii="Arial" w:hAnsi="Arial" w:cs="Arial"/>
          <w:sz w:val="22"/>
          <w:szCs w:val="22"/>
          <w:lang w:val="es-AR"/>
        </w:rPr>
        <w:t xml:space="preserve"> beneficiarias con relación a la de </w:t>
      </w:r>
      <w:r w:rsidR="00F83235" w:rsidRPr="001010E7">
        <w:rPr>
          <w:rFonts w:ascii="Arial" w:hAnsi="Arial" w:cs="Arial"/>
          <w:sz w:val="22"/>
          <w:szCs w:val="22"/>
          <w:lang w:val="es-AR"/>
        </w:rPr>
        <w:t>unidades</w:t>
      </w:r>
      <w:r w:rsidR="00062D0D" w:rsidRPr="001010E7">
        <w:rPr>
          <w:rFonts w:ascii="Arial" w:hAnsi="Arial" w:cs="Arial"/>
          <w:sz w:val="22"/>
          <w:szCs w:val="22"/>
          <w:lang w:val="es-AR"/>
        </w:rPr>
        <w:t xml:space="preserve"> comparables, no beneficiarias</w:t>
      </w:r>
      <w:r w:rsidR="00CE00D7" w:rsidRPr="001010E7">
        <w:rPr>
          <w:rFonts w:ascii="Arial" w:hAnsi="Arial" w:cs="Arial"/>
          <w:sz w:val="22"/>
          <w:szCs w:val="22"/>
          <w:lang w:val="es-AR"/>
        </w:rPr>
        <w:t xml:space="preserve">. </w:t>
      </w:r>
      <w:r w:rsidR="00CE00D7" w:rsidRPr="001010E7">
        <w:rPr>
          <w:rFonts w:ascii="Arial" w:eastAsia="Times New Roman" w:hAnsi="Arial" w:cs="Arial"/>
          <w:sz w:val="22"/>
          <w:szCs w:val="22"/>
          <w:lang w:val="es-ES_tradnl"/>
        </w:rPr>
        <w:t xml:space="preserve">El actual diseño y los avances en la preparación de las </w:t>
      </w:r>
      <w:r w:rsidR="001010E7" w:rsidRPr="001010E7">
        <w:rPr>
          <w:rFonts w:ascii="Arial" w:eastAsia="Times New Roman" w:hAnsi="Arial" w:cs="Arial"/>
          <w:sz w:val="22"/>
          <w:szCs w:val="22"/>
          <w:lang w:val="es-ES_tradnl"/>
        </w:rPr>
        <w:t>evaluaciones</w:t>
      </w:r>
      <w:r w:rsidR="00CE00D7" w:rsidRPr="001010E7">
        <w:rPr>
          <w:rFonts w:ascii="Arial" w:eastAsia="Times New Roman" w:hAnsi="Arial" w:cs="Arial"/>
          <w:sz w:val="22"/>
          <w:szCs w:val="22"/>
          <w:lang w:val="es-ES_tradnl"/>
        </w:rPr>
        <w:t xml:space="preserve"> de impacto se detallan en el apartado III de este informe. </w:t>
      </w:r>
      <w:r w:rsidR="003133C8" w:rsidRPr="001010E7">
        <w:rPr>
          <w:rFonts w:ascii="Arial" w:hAnsi="Arial" w:cs="Arial"/>
          <w:sz w:val="22"/>
          <w:szCs w:val="22"/>
          <w:lang w:val="es-AR"/>
        </w:rPr>
        <w:t xml:space="preserve"> </w:t>
      </w:r>
    </w:p>
    <w:p w14:paraId="616831CF" w14:textId="77777777" w:rsidR="00114B93" w:rsidRPr="001010E7" w:rsidRDefault="00F83235" w:rsidP="00344FA5">
      <w:pPr>
        <w:pStyle w:val="Paragraph"/>
        <w:numPr>
          <w:ilvl w:val="1"/>
          <w:numId w:val="24"/>
        </w:numPr>
        <w:tabs>
          <w:tab w:val="clear" w:pos="2448"/>
          <w:tab w:val="num" w:pos="2520"/>
        </w:tabs>
        <w:ind w:left="720" w:hanging="810"/>
        <w:rPr>
          <w:rFonts w:ascii="Arial" w:hAnsi="Arial" w:cs="Arial"/>
          <w:sz w:val="22"/>
          <w:szCs w:val="22"/>
          <w:lang w:val="es-ES_tradnl"/>
        </w:rPr>
      </w:pPr>
      <w:r w:rsidRPr="001010E7">
        <w:rPr>
          <w:rFonts w:ascii="Arial" w:hAnsi="Arial" w:cs="Arial"/>
          <w:sz w:val="22"/>
          <w:szCs w:val="22"/>
          <w:lang w:val="es-ES_tradnl"/>
        </w:rPr>
        <w:t>Financiera Nacional</w:t>
      </w:r>
      <w:r w:rsidR="00062D0D" w:rsidRPr="001010E7">
        <w:rPr>
          <w:rFonts w:ascii="Arial" w:hAnsi="Arial" w:cs="Arial"/>
          <w:sz w:val="22"/>
          <w:szCs w:val="22"/>
          <w:lang w:val="es-ES_tradnl"/>
        </w:rPr>
        <w:t xml:space="preserve"> será responsable de mantener un sistema de información a partir del cual se realizará la recolección de la información administrativa del programa. Dicha información será necesaria para monitorear el progreso del programa en términos de productos, </w:t>
      </w:r>
      <w:r w:rsidR="00EB5A73" w:rsidRPr="001010E7">
        <w:rPr>
          <w:rFonts w:ascii="Arial" w:hAnsi="Arial" w:cs="Arial"/>
          <w:sz w:val="22"/>
          <w:szCs w:val="22"/>
          <w:lang w:val="es-ES_tradnl"/>
        </w:rPr>
        <w:t>y para completar</w:t>
      </w:r>
      <w:r w:rsidR="00062D0D" w:rsidRPr="001010E7">
        <w:rPr>
          <w:rFonts w:ascii="Arial" w:hAnsi="Arial" w:cs="Arial"/>
          <w:sz w:val="22"/>
          <w:szCs w:val="22"/>
          <w:lang w:val="es-ES_tradnl"/>
        </w:rPr>
        <w:t xml:space="preserve"> la evaluación de impacto prevista bajo el mismo. En efecto, los datos administrativos complementarán otras </w:t>
      </w:r>
      <w:r w:rsidR="00062D0D" w:rsidRPr="001010E7">
        <w:rPr>
          <w:rFonts w:ascii="Arial" w:hAnsi="Arial" w:cs="Arial"/>
          <w:sz w:val="22"/>
          <w:szCs w:val="22"/>
          <w:lang w:val="es-ES_tradnl"/>
        </w:rPr>
        <w:lastRenderedPageBreak/>
        <w:t xml:space="preserve">fuentes externas de información, como </w:t>
      </w:r>
      <w:r w:rsidR="00EB5A73" w:rsidRPr="001010E7">
        <w:rPr>
          <w:rFonts w:ascii="Arial" w:hAnsi="Arial" w:cs="Arial"/>
          <w:sz w:val="22"/>
          <w:szCs w:val="22"/>
          <w:lang w:val="es-ES_tradnl"/>
        </w:rPr>
        <w:t xml:space="preserve">las </w:t>
      </w:r>
      <w:r w:rsidR="00062D0D" w:rsidRPr="001010E7">
        <w:rPr>
          <w:rFonts w:ascii="Arial" w:hAnsi="Arial" w:cs="Arial"/>
          <w:sz w:val="22"/>
          <w:szCs w:val="22"/>
          <w:lang w:val="es-ES_tradnl"/>
        </w:rPr>
        <w:t xml:space="preserve">encuestas </w:t>
      </w:r>
      <w:r w:rsidR="00EB5A73" w:rsidRPr="001010E7">
        <w:rPr>
          <w:rFonts w:ascii="Arial" w:hAnsi="Arial" w:cs="Arial"/>
          <w:sz w:val="22"/>
          <w:szCs w:val="22"/>
          <w:lang w:val="es-ES_tradnl"/>
        </w:rPr>
        <w:t>levantadas en 2016 y 2017</w:t>
      </w:r>
      <w:r w:rsidR="00062D0D" w:rsidRPr="001010E7">
        <w:rPr>
          <w:rFonts w:ascii="Arial" w:hAnsi="Arial" w:cs="Arial"/>
          <w:sz w:val="22"/>
          <w:szCs w:val="22"/>
          <w:lang w:val="es-ES_tradnl"/>
        </w:rPr>
        <w:t xml:space="preserve"> entre beneficiarios y empresas comparables, no beneficiarias, a los efectos de evaluar los impactos del programa. En síntesis, la </w:t>
      </w:r>
      <w:r w:rsidR="00393049" w:rsidRPr="001010E7">
        <w:rPr>
          <w:rFonts w:ascii="Arial" w:hAnsi="Arial" w:cs="Arial"/>
          <w:sz w:val="22"/>
          <w:szCs w:val="22"/>
          <w:lang w:val="es-ES_tradnl"/>
        </w:rPr>
        <w:t>A</w:t>
      </w:r>
      <w:r w:rsidR="00062D0D" w:rsidRPr="001010E7">
        <w:rPr>
          <w:rFonts w:ascii="Arial" w:hAnsi="Arial" w:cs="Arial"/>
          <w:sz w:val="22"/>
          <w:szCs w:val="22"/>
          <w:lang w:val="es-ES_tradnl"/>
        </w:rPr>
        <w:t xml:space="preserve">gencia </w:t>
      </w:r>
      <w:r w:rsidR="00393049" w:rsidRPr="001010E7">
        <w:rPr>
          <w:rFonts w:ascii="Arial" w:hAnsi="Arial" w:cs="Arial"/>
          <w:sz w:val="22"/>
          <w:szCs w:val="22"/>
          <w:lang w:val="es-ES_tradnl"/>
        </w:rPr>
        <w:t>E</w:t>
      </w:r>
      <w:r w:rsidR="00062D0D" w:rsidRPr="001010E7">
        <w:rPr>
          <w:rFonts w:ascii="Arial" w:hAnsi="Arial" w:cs="Arial"/>
          <w:sz w:val="22"/>
          <w:szCs w:val="22"/>
          <w:lang w:val="es-ES_tradnl"/>
        </w:rPr>
        <w:t xml:space="preserve">jecutora será responsable por la recolección y mantenimiento de toda la información sobre el programa en sus sistemas de información.  </w:t>
      </w:r>
      <w:bookmarkStart w:id="4" w:name="_Toc352756752"/>
    </w:p>
    <w:p w14:paraId="754BB16E" w14:textId="77777777" w:rsidR="00114B93" w:rsidRPr="001010E7" w:rsidRDefault="00114B93" w:rsidP="00114B93">
      <w:pPr>
        <w:rPr>
          <w:rFonts w:ascii="Arial" w:hAnsi="Arial" w:cs="Arial"/>
          <w:lang w:val="es-ES_tradnl"/>
        </w:rPr>
        <w:sectPr w:rsidR="00114B93" w:rsidRPr="001010E7" w:rsidSect="00344FA5">
          <w:type w:val="continuous"/>
          <w:pgSz w:w="12240" w:h="15840" w:code="1"/>
          <w:pgMar w:top="1440" w:right="1800" w:bottom="1440" w:left="1800" w:header="720" w:footer="720" w:gutter="0"/>
          <w:cols w:space="708"/>
          <w:docGrid w:linePitch="360"/>
        </w:sectPr>
      </w:pPr>
    </w:p>
    <w:p w14:paraId="73E2C3FE" w14:textId="77777777" w:rsidR="00062D0D" w:rsidRPr="001010E7" w:rsidRDefault="00062D0D" w:rsidP="00344FA5">
      <w:pPr>
        <w:pStyle w:val="Chapter"/>
        <w:tabs>
          <w:tab w:val="clear" w:pos="2088"/>
          <w:tab w:val="num" w:pos="648"/>
        </w:tabs>
        <w:spacing w:before="0"/>
        <w:ind w:left="0"/>
        <w:rPr>
          <w:rFonts w:ascii="Arial" w:hAnsi="Arial" w:cs="Arial"/>
          <w:sz w:val="22"/>
          <w:szCs w:val="22"/>
        </w:rPr>
      </w:pPr>
      <w:bookmarkStart w:id="5" w:name="_Toc415826265"/>
      <w:r w:rsidRPr="001010E7">
        <w:rPr>
          <w:rFonts w:ascii="Arial" w:hAnsi="Arial" w:cs="Arial"/>
          <w:sz w:val="22"/>
          <w:szCs w:val="22"/>
        </w:rPr>
        <w:t>Monitoreo</w:t>
      </w:r>
      <w:bookmarkEnd w:id="4"/>
      <w:bookmarkEnd w:id="5"/>
    </w:p>
    <w:p w14:paraId="5D85CB00" w14:textId="77777777" w:rsidR="003759D3" w:rsidRPr="001010E7" w:rsidRDefault="00062D0D" w:rsidP="001010E7">
      <w:pPr>
        <w:pStyle w:val="Paragraph"/>
        <w:tabs>
          <w:tab w:val="clear" w:pos="2736"/>
        </w:tabs>
        <w:spacing w:before="0"/>
        <w:ind w:left="720" w:hanging="720"/>
        <w:rPr>
          <w:rFonts w:ascii="Arial" w:hAnsi="Arial" w:cs="Arial"/>
          <w:sz w:val="22"/>
          <w:szCs w:val="22"/>
          <w:lang w:val="es-ES_tradnl"/>
        </w:rPr>
      </w:pPr>
      <w:r w:rsidRPr="001010E7">
        <w:rPr>
          <w:rFonts w:ascii="Arial" w:hAnsi="Arial" w:cs="Arial"/>
          <w:sz w:val="22"/>
          <w:szCs w:val="22"/>
          <w:lang w:val="es-ES_tradnl"/>
        </w:rPr>
        <w:t>El propósito de esta sección es describir el proceso de monitoreo del programa</w:t>
      </w:r>
      <w:r w:rsidR="001847AE" w:rsidRPr="001010E7">
        <w:rPr>
          <w:rFonts w:ascii="Arial" w:hAnsi="Arial" w:cs="Arial"/>
          <w:sz w:val="22"/>
          <w:szCs w:val="22"/>
          <w:lang w:val="es-ES_tradnl"/>
        </w:rPr>
        <w:t xml:space="preserve"> que se aplicará a lo largo de la ejecución del programa para garantizar su correcto desarrollo y adecuada utilización de los recursos. FN será responsable de realizar el seguimiento del programa</w:t>
      </w:r>
      <w:r w:rsidRPr="001010E7">
        <w:rPr>
          <w:rFonts w:ascii="Arial" w:hAnsi="Arial" w:cs="Arial"/>
          <w:sz w:val="22"/>
          <w:szCs w:val="22"/>
          <w:lang w:val="es-ES_tradnl"/>
        </w:rPr>
        <w:t xml:space="preserve">. Su monitoreo se centrará principalmente en el número de </w:t>
      </w:r>
      <w:r w:rsidR="00F83235" w:rsidRPr="001010E7">
        <w:rPr>
          <w:rFonts w:ascii="Arial" w:hAnsi="Arial" w:cs="Arial"/>
          <w:sz w:val="22"/>
          <w:szCs w:val="22"/>
          <w:lang w:val="es-ES_tradnl"/>
        </w:rPr>
        <w:t>unidades productivas</w:t>
      </w:r>
      <w:r w:rsidRPr="001010E7">
        <w:rPr>
          <w:rFonts w:ascii="Arial" w:hAnsi="Arial" w:cs="Arial"/>
          <w:sz w:val="22"/>
          <w:szCs w:val="22"/>
          <w:lang w:val="es-ES_tradnl"/>
        </w:rPr>
        <w:t xml:space="preserve"> que acceden a créditos fondeados con recursos del Programa para financiar proyectos de inversión </w:t>
      </w:r>
      <w:r w:rsidR="00F83235" w:rsidRPr="001010E7">
        <w:rPr>
          <w:rFonts w:ascii="Arial" w:hAnsi="Arial" w:cs="Arial"/>
          <w:sz w:val="22"/>
          <w:szCs w:val="22"/>
          <w:lang w:val="es-ES_tradnl"/>
        </w:rPr>
        <w:t>(proyectos de capitalización y paquetes tecnológicos)</w:t>
      </w:r>
      <w:r w:rsidR="00EB5A73" w:rsidRPr="001010E7">
        <w:rPr>
          <w:rFonts w:ascii="Arial" w:hAnsi="Arial" w:cs="Arial"/>
          <w:sz w:val="22"/>
          <w:szCs w:val="22"/>
          <w:lang w:val="es-ES_tradnl"/>
        </w:rPr>
        <w:t xml:space="preserve"> que desarrollan actividades productivas en el sector primario y demás actividades económicas en el medio rural directamente vinculadas al sector primario (ya sea en los sectores secundario o terciario)</w:t>
      </w:r>
      <w:r w:rsidR="008C2B91" w:rsidRPr="001010E7">
        <w:rPr>
          <w:rFonts w:ascii="Arial" w:hAnsi="Arial" w:cs="Arial"/>
          <w:sz w:val="22"/>
          <w:szCs w:val="22"/>
          <w:lang w:val="es-ES_tradnl"/>
        </w:rPr>
        <w:t>.</w:t>
      </w:r>
      <w:r w:rsidRPr="001010E7">
        <w:rPr>
          <w:rFonts w:ascii="Arial" w:hAnsi="Arial" w:cs="Arial"/>
          <w:sz w:val="22"/>
          <w:szCs w:val="22"/>
          <w:lang w:val="es-ES_tradnl"/>
        </w:rPr>
        <w:t xml:space="preserve"> Adicionalmente, se medirán anualmente los resultados del programa. </w:t>
      </w:r>
      <w:bookmarkStart w:id="6" w:name="_Toc352756753"/>
    </w:p>
    <w:p w14:paraId="70C9B635" w14:textId="77777777" w:rsidR="00062D0D" w:rsidRPr="001010E7" w:rsidRDefault="00062D0D" w:rsidP="00344FA5">
      <w:pPr>
        <w:pStyle w:val="SecHeading"/>
        <w:tabs>
          <w:tab w:val="clear" w:pos="1296"/>
        </w:tabs>
        <w:ind w:left="720" w:firstLine="0"/>
        <w:rPr>
          <w:rFonts w:ascii="Arial" w:hAnsi="Arial" w:cs="Arial"/>
          <w:color w:val="auto"/>
          <w:sz w:val="22"/>
          <w:szCs w:val="22"/>
        </w:rPr>
      </w:pPr>
      <w:bookmarkStart w:id="7" w:name="_Toc415826266"/>
      <w:r w:rsidRPr="001010E7">
        <w:rPr>
          <w:rFonts w:ascii="Arial" w:hAnsi="Arial" w:cs="Arial"/>
          <w:color w:val="auto"/>
          <w:sz w:val="22"/>
          <w:szCs w:val="22"/>
        </w:rPr>
        <w:t>Indicadores</w:t>
      </w:r>
      <w:bookmarkEnd w:id="6"/>
      <w:bookmarkEnd w:id="7"/>
      <w:r w:rsidRPr="001010E7">
        <w:rPr>
          <w:rFonts w:ascii="Arial" w:hAnsi="Arial" w:cs="Arial"/>
          <w:color w:val="auto"/>
          <w:sz w:val="22"/>
          <w:szCs w:val="22"/>
        </w:rPr>
        <w:t xml:space="preserve"> </w:t>
      </w:r>
    </w:p>
    <w:p w14:paraId="05600F16" w14:textId="77777777" w:rsidR="00E819FA" w:rsidRPr="001010E7" w:rsidRDefault="001847AE"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Los indicadores que serán monitoreados y registrados en el Informe de Seguimiento del Proyecto (PMR</w:t>
      </w:r>
      <w:r w:rsidRPr="001010E7">
        <w:rPr>
          <w:rStyle w:val="FootnoteReference"/>
          <w:rFonts w:ascii="Arial" w:hAnsi="Arial" w:cs="Arial"/>
          <w:sz w:val="22"/>
          <w:szCs w:val="22"/>
          <w:lang w:val="es-ES_tradnl"/>
        </w:rPr>
        <w:footnoteReference w:id="2"/>
      </w:r>
      <w:r w:rsidRPr="001010E7">
        <w:rPr>
          <w:rFonts w:ascii="Arial" w:hAnsi="Arial" w:cs="Arial"/>
          <w:sz w:val="22"/>
          <w:szCs w:val="22"/>
          <w:lang w:val="es-ES_tradnl"/>
        </w:rPr>
        <w:t xml:space="preserve">) se encuentran </w:t>
      </w:r>
      <w:r w:rsidR="00062D0D" w:rsidRPr="001010E7">
        <w:rPr>
          <w:rFonts w:ascii="Arial" w:hAnsi="Arial" w:cs="Arial"/>
          <w:sz w:val="22"/>
          <w:szCs w:val="22"/>
          <w:lang w:val="es-ES_tradnl"/>
        </w:rPr>
        <w:t xml:space="preserve">descritos en la Matriz de Resultados del Programa acordada con la </w:t>
      </w:r>
      <w:r w:rsidR="001E1694" w:rsidRPr="001010E7">
        <w:rPr>
          <w:rFonts w:ascii="Arial" w:hAnsi="Arial" w:cs="Arial"/>
          <w:sz w:val="22"/>
          <w:szCs w:val="22"/>
          <w:lang w:val="es-ES_tradnl"/>
        </w:rPr>
        <w:t>AE</w:t>
      </w:r>
      <w:r w:rsidR="00062D0D" w:rsidRPr="001010E7">
        <w:rPr>
          <w:rFonts w:ascii="Arial" w:hAnsi="Arial" w:cs="Arial"/>
          <w:sz w:val="22"/>
          <w:szCs w:val="22"/>
          <w:lang w:val="es-ES_tradnl"/>
        </w:rPr>
        <w:t xml:space="preserve">. Los indicadores de producto y de resultados intermedios a ser monitoreados periódicamente </w:t>
      </w:r>
      <w:r w:rsidR="005F1542" w:rsidRPr="001010E7">
        <w:rPr>
          <w:rFonts w:ascii="Arial" w:hAnsi="Arial" w:cs="Arial"/>
          <w:sz w:val="22"/>
          <w:szCs w:val="22"/>
          <w:lang w:val="es-ES_tradnl"/>
        </w:rPr>
        <w:t xml:space="preserve">se señalan en el Cuadro 1. </w:t>
      </w:r>
    </w:p>
    <w:p w14:paraId="512F6DF9" w14:textId="28BE7754" w:rsidR="00127493" w:rsidRPr="001010E7" w:rsidRDefault="005F1542"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Adicionalmente, se dará seguimiento a los indicadores de mitigación del riesgo identificado como medio conforme al </w:t>
      </w:r>
      <w:r w:rsidR="00C5640D" w:rsidRPr="001010E7">
        <w:rPr>
          <w:rFonts w:ascii="Arial" w:hAnsi="Arial" w:cs="Arial"/>
          <w:sz w:val="22"/>
          <w:szCs w:val="22"/>
          <w:lang w:val="es-ES_tradnl"/>
        </w:rPr>
        <w:t>(GR</w:t>
      </w:r>
      <w:r w:rsidRPr="001010E7">
        <w:rPr>
          <w:rFonts w:ascii="Arial" w:hAnsi="Arial" w:cs="Arial"/>
          <w:sz w:val="22"/>
          <w:szCs w:val="22"/>
          <w:lang w:val="es-ES_tradnl"/>
        </w:rPr>
        <w:t>P</w:t>
      </w:r>
      <w:r w:rsidR="00C5640D" w:rsidRPr="001010E7">
        <w:rPr>
          <w:rFonts w:ascii="Arial" w:hAnsi="Arial" w:cs="Arial"/>
          <w:sz w:val="22"/>
          <w:szCs w:val="22"/>
          <w:lang w:val="es-ES_tradnl"/>
        </w:rPr>
        <w:t>)</w:t>
      </w:r>
      <w:r w:rsidRPr="001010E7">
        <w:rPr>
          <w:rFonts w:ascii="Arial" w:hAnsi="Arial" w:cs="Arial"/>
          <w:sz w:val="22"/>
          <w:szCs w:val="22"/>
          <w:lang w:val="es-ES_tradnl"/>
        </w:rPr>
        <w:t xml:space="preserve"> del programa. Estos son</w:t>
      </w:r>
      <w:r w:rsidR="00062D0D" w:rsidRPr="001010E7">
        <w:rPr>
          <w:rFonts w:ascii="Arial" w:hAnsi="Arial" w:cs="Arial"/>
          <w:sz w:val="22"/>
          <w:szCs w:val="22"/>
          <w:lang w:val="es-ES_tradnl"/>
        </w:rPr>
        <w:t>:</w:t>
      </w:r>
      <w:r w:rsidRPr="001010E7">
        <w:rPr>
          <w:rFonts w:ascii="Arial" w:hAnsi="Arial" w:cs="Arial"/>
          <w:sz w:val="22"/>
          <w:szCs w:val="22"/>
          <w:lang w:val="es-ES_tradnl"/>
        </w:rPr>
        <w:t xml:space="preserve"> </w:t>
      </w:r>
      <w:r w:rsidR="001010E7" w:rsidRPr="001010E7">
        <w:rPr>
          <w:rFonts w:ascii="Arial" w:hAnsi="Arial" w:cs="Arial"/>
          <w:sz w:val="22"/>
          <w:szCs w:val="22"/>
          <w:lang w:val="es-ES_tradnl"/>
        </w:rPr>
        <w:t>(</w:t>
      </w:r>
      <w:r w:rsidR="000846D3" w:rsidRPr="001010E7">
        <w:rPr>
          <w:rFonts w:ascii="Arial" w:hAnsi="Arial" w:cs="Arial"/>
          <w:sz w:val="22"/>
          <w:szCs w:val="22"/>
          <w:lang w:val="es-ES_tradnl"/>
        </w:rPr>
        <w:t>i</w:t>
      </w:r>
      <w:r w:rsidR="001010E7" w:rsidRPr="001010E7">
        <w:rPr>
          <w:rFonts w:ascii="Arial" w:hAnsi="Arial" w:cs="Arial"/>
          <w:sz w:val="22"/>
          <w:szCs w:val="22"/>
          <w:lang w:val="es-ES_tradnl"/>
        </w:rPr>
        <w:t>)</w:t>
      </w:r>
      <w:r w:rsidR="000013BF" w:rsidRPr="001010E7">
        <w:rPr>
          <w:rFonts w:ascii="Arial" w:hAnsi="Arial" w:cs="Arial"/>
          <w:sz w:val="22"/>
          <w:szCs w:val="22"/>
          <w:lang w:val="es-ES_tradnl"/>
        </w:rPr>
        <w:t xml:space="preserve"> la cooperación técnica ME-T1346 implementada; </w:t>
      </w:r>
      <w:r w:rsidR="000846D3" w:rsidRPr="001010E7">
        <w:rPr>
          <w:rFonts w:ascii="Arial" w:hAnsi="Arial" w:cs="Arial"/>
          <w:sz w:val="22"/>
          <w:szCs w:val="22"/>
          <w:lang w:val="es-ES_tradnl"/>
        </w:rPr>
        <w:t xml:space="preserve">y </w:t>
      </w:r>
      <w:r w:rsidR="001010E7" w:rsidRPr="001010E7">
        <w:rPr>
          <w:rFonts w:ascii="Arial" w:hAnsi="Arial" w:cs="Arial"/>
          <w:sz w:val="22"/>
          <w:szCs w:val="22"/>
          <w:lang w:val="es-ES_tradnl"/>
        </w:rPr>
        <w:t>(</w:t>
      </w:r>
      <w:r w:rsidR="000846D3" w:rsidRPr="001010E7">
        <w:rPr>
          <w:rFonts w:ascii="Arial" w:hAnsi="Arial" w:cs="Arial"/>
          <w:sz w:val="22"/>
          <w:szCs w:val="22"/>
          <w:lang w:val="es-ES_tradnl"/>
        </w:rPr>
        <w:t>ii</w:t>
      </w:r>
      <w:r w:rsidR="001010E7" w:rsidRPr="001010E7">
        <w:rPr>
          <w:rFonts w:ascii="Arial" w:hAnsi="Arial" w:cs="Arial"/>
          <w:sz w:val="22"/>
          <w:szCs w:val="22"/>
          <w:lang w:val="es-ES_tradnl"/>
        </w:rPr>
        <w:t xml:space="preserve">) </w:t>
      </w:r>
      <w:r w:rsidR="000846D3" w:rsidRPr="001010E7">
        <w:rPr>
          <w:rFonts w:ascii="Arial" w:hAnsi="Arial" w:cs="Arial"/>
          <w:sz w:val="22"/>
          <w:szCs w:val="22"/>
          <w:lang w:val="es-ES_tradnl"/>
        </w:rPr>
        <w:t>p</w:t>
      </w:r>
      <w:r w:rsidRPr="001010E7">
        <w:rPr>
          <w:rFonts w:ascii="Arial" w:hAnsi="Arial" w:cs="Arial"/>
          <w:sz w:val="22"/>
          <w:szCs w:val="22"/>
          <w:lang w:val="es-ES_tradnl"/>
        </w:rPr>
        <w:t>uesta en operación de nueva plataforma</w:t>
      </w:r>
      <w:r w:rsidR="000846D3" w:rsidRPr="001010E7">
        <w:rPr>
          <w:rFonts w:ascii="Arial" w:hAnsi="Arial" w:cs="Arial"/>
          <w:sz w:val="22"/>
          <w:szCs w:val="22"/>
          <w:lang w:val="es-ES_tradnl"/>
        </w:rPr>
        <w:t xml:space="preserve"> tecnológica</w:t>
      </w:r>
      <w:r w:rsidRPr="001010E7">
        <w:rPr>
          <w:rFonts w:ascii="Arial" w:hAnsi="Arial" w:cs="Arial"/>
          <w:sz w:val="22"/>
          <w:szCs w:val="22"/>
          <w:lang w:val="es-ES_tradnl"/>
        </w:rPr>
        <w:t>.</w:t>
      </w:r>
      <w:r w:rsidR="00062D0D" w:rsidRPr="001010E7">
        <w:rPr>
          <w:rFonts w:ascii="Arial" w:hAnsi="Arial" w:cs="Arial"/>
          <w:sz w:val="22"/>
          <w:szCs w:val="22"/>
          <w:lang w:val="es-ES_tradnl"/>
        </w:rPr>
        <w:t xml:space="preserve">  </w:t>
      </w:r>
    </w:p>
    <w:p w14:paraId="239ABF07" w14:textId="77777777" w:rsidR="00062D0D" w:rsidRPr="001010E7" w:rsidRDefault="00062D0D" w:rsidP="00062D0D">
      <w:pPr>
        <w:pStyle w:val="Default"/>
        <w:jc w:val="center"/>
        <w:rPr>
          <w:rFonts w:ascii="Arial" w:hAnsi="Arial" w:cs="Arial"/>
          <w:b/>
          <w:color w:val="auto"/>
          <w:sz w:val="22"/>
          <w:szCs w:val="22"/>
          <w:lang w:val="es-AR"/>
        </w:rPr>
      </w:pPr>
      <w:r w:rsidRPr="001010E7">
        <w:rPr>
          <w:rFonts w:ascii="Arial" w:hAnsi="Arial" w:cs="Arial"/>
          <w:b/>
          <w:color w:val="auto"/>
          <w:sz w:val="22"/>
          <w:szCs w:val="22"/>
          <w:lang w:val="es-AR"/>
        </w:rPr>
        <w:t>Cuadro 1</w:t>
      </w:r>
    </w:p>
    <w:p w14:paraId="029F33A8" w14:textId="77777777" w:rsidR="00062D0D" w:rsidRPr="001010E7" w:rsidRDefault="00062D0D" w:rsidP="00062D0D">
      <w:pPr>
        <w:pStyle w:val="Default"/>
        <w:jc w:val="center"/>
        <w:rPr>
          <w:rFonts w:ascii="Arial" w:hAnsi="Arial" w:cs="Arial"/>
          <w:b/>
          <w:color w:val="auto"/>
          <w:sz w:val="22"/>
          <w:szCs w:val="22"/>
          <w:lang w:val="es-AR"/>
        </w:rPr>
      </w:pPr>
      <w:r w:rsidRPr="001010E7">
        <w:rPr>
          <w:rFonts w:ascii="Arial" w:hAnsi="Arial" w:cs="Arial"/>
          <w:b/>
          <w:color w:val="auto"/>
          <w:sz w:val="22"/>
          <w:szCs w:val="22"/>
          <w:lang w:val="es-AR"/>
        </w:rPr>
        <w:t>Indicadores de Monitoreo</w:t>
      </w:r>
    </w:p>
    <w:tbl>
      <w:tblPr>
        <w:tblStyle w:val="TableGrid"/>
        <w:tblW w:w="8910" w:type="dxa"/>
        <w:jc w:val="center"/>
        <w:tblLook w:val="04A0" w:firstRow="1" w:lastRow="0" w:firstColumn="1" w:lastColumn="0" w:noHBand="0" w:noVBand="1"/>
      </w:tblPr>
      <w:tblGrid>
        <w:gridCol w:w="3365"/>
        <w:gridCol w:w="1994"/>
        <w:gridCol w:w="1527"/>
        <w:gridCol w:w="2024"/>
      </w:tblGrid>
      <w:tr w:rsidR="00D40865" w:rsidRPr="001010E7" w14:paraId="41EC0E4C" w14:textId="77777777" w:rsidTr="003A3AAB">
        <w:trPr>
          <w:jc w:val="center"/>
        </w:trPr>
        <w:tc>
          <w:tcPr>
            <w:tcW w:w="3365" w:type="dxa"/>
          </w:tcPr>
          <w:p w14:paraId="308D6BC7" w14:textId="77777777" w:rsidR="00062D0D" w:rsidRPr="001010E7" w:rsidRDefault="00062D0D" w:rsidP="00D13924">
            <w:pPr>
              <w:pStyle w:val="Default"/>
              <w:jc w:val="center"/>
              <w:rPr>
                <w:rFonts w:ascii="Arial" w:hAnsi="Arial" w:cs="Arial"/>
                <w:b/>
                <w:color w:val="auto"/>
                <w:sz w:val="18"/>
                <w:szCs w:val="18"/>
                <w:lang w:val="es-AR"/>
              </w:rPr>
            </w:pPr>
            <w:r w:rsidRPr="001010E7">
              <w:rPr>
                <w:rFonts w:ascii="Arial" w:hAnsi="Arial" w:cs="Arial"/>
                <w:b/>
                <w:color w:val="auto"/>
                <w:sz w:val="18"/>
                <w:szCs w:val="18"/>
                <w:lang w:val="es-AR"/>
              </w:rPr>
              <w:t>Indicador</w:t>
            </w:r>
          </w:p>
        </w:tc>
        <w:tc>
          <w:tcPr>
            <w:tcW w:w="1994" w:type="dxa"/>
          </w:tcPr>
          <w:p w14:paraId="3C6C9088" w14:textId="77777777" w:rsidR="00062D0D" w:rsidRPr="001010E7" w:rsidRDefault="00062D0D" w:rsidP="00D13924">
            <w:pPr>
              <w:pStyle w:val="Default"/>
              <w:jc w:val="center"/>
              <w:rPr>
                <w:rFonts w:ascii="Arial" w:hAnsi="Arial" w:cs="Arial"/>
                <w:b/>
                <w:color w:val="auto"/>
                <w:sz w:val="18"/>
                <w:szCs w:val="18"/>
                <w:lang w:val="es-AR"/>
              </w:rPr>
            </w:pPr>
            <w:r w:rsidRPr="001010E7">
              <w:rPr>
                <w:rFonts w:ascii="Arial" w:hAnsi="Arial" w:cs="Arial"/>
                <w:b/>
                <w:color w:val="auto"/>
                <w:sz w:val="18"/>
                <w:szCs w:val="18"/>
                <w:lang w:val="es-AR"/>
              </w:rPr>
              <w:t>Formula</w:t>
            </w:r>
            <w:r w:rsidR="009B0D08" w:rsidRPr="001010E7">
              <w:rPr>
                <w:rFonts w:ascii="Arial" w:hAnsi="Arial" w:cs="Arial"/>
                <w:b/>
                <w:color w:val="auto"/>
                <w:sz w:val="18"/>
                <w:szCs w:val="18"/>
                <w:lang w:val="es-AR"/>
              </w:rPr>
              <w:t>/descripción</w:t>
            </w:r>
          </w:p>
        </w:tc>
        <w:tc>
          <w:tcPr>
            <w:tcW w:w="1527" w:type="dxa"/>
          </w:tcPr>
          <w:p w14:paraId="2BF176B7" w14:textId="77777777" w:rsidR="00062D0D" w:rsidRPr="001010E7" w:rsidRDefault="00062D0D" w:rsidP="00D13924">
            <w:pPr>
              <w:pStyle w:val="Default"/>
              <w:jc w:val="center"/>
              <w:rPr>
                <w:rFonts w:ascii="Arial" w:hAnsi="Arial" w:cs="Arial"/>
                <w:b/>
                <w:color w:val="auto"/>
                <w:sz w:val="18"/>
                <w:szCs w:val="18"/>
                <w:lang w:val="es-AR"/>
              </w:rPr>
            </w:pPr>
            <w:r w:rsidRPr="001010E7">
              <w:rPr>
                <w:rFonts w:ascii="Arial" w:hAnsi="Arial" w:cs="Arial"/>
                <w:b/>
                <w:color w:val="auto"/>
                <w:sz w:val="18"/>
                <w:szCs w:val="18"/>
                <w:lang w:val="es-AR"/>
              </w:rPr>
              <w:t>Frecuencia de Medición</w:t>
            </w:r>
          </w:p>
        </w:tc>
        <w:tc>
          <w:tcPr>
            <w:tcW w:w="2024" w:type="dxa"/>
          </w:tcPr>
          <w:p w14:paraId="696424FE" w14:textId="77777777" w:rsidR="00062D0D" w:rsidRPr="001010E7" w:rsidRDefault="00062D0D" w:rsidP="00D13924">
            <w:pPr>
              <w:pStyle w:val="Default"/>
              <w:jc w:val="center"/>
              <w:rPr>
                <w:rFonts w:ascii="Arial" w:hAnsi="Arial" w:cs="Arial"/>
                <w:b/>
                <w:color w:val="auto"/>
                <w:sz w:val="18"/>
                <w:szCs w:val="18"/>
                <w:lang w:val="es-AR"/>
              </w:rPr>
            </w:pPr>
            <w:r w:rsidRPr="001010E7">
              <w:rPr>
                <w:rFonts w:ascii="Arial" w:hAnsi="Arial" w:cs="Arial"/>
                <w:b/>
                <w:color w:val="auto"/>
                <w:sz w:val="18"/>
                <w:szCs w:val="18"/>
                <w:lang w:val="es-AR"/>
              </w:rPr>
              <w:t>Fuente de Verificación</w:t>
            </w:r>
          </w:p>
        </w:tc>
      </w:tr>
      <w:tr w:rsidR="00D40865" w:rsidRPr="001010E7" w14:paraId="06C6D308" w14:textId="77777777" w:rsidTr="00D13924">
        <w:trPr>
          <w:jc w:val="center"/>
        </w:trPr>
        <w:tc>
          <w:tcPr>
            <w:tcW w:w="8910" w:type="dxa"/>
            <w:gridSpan w:val="4"/>
          </w:tcPr>
          <w:p w14:paraId="17ED5446" w14:textId="77777777" w:rsidR="00062D0D" w:rsidRPr="001010E7" w:rsidRDefault="00062D0D" w:rsidP="00D13924">
            <w:pPr>
              <w:pStyle w:val="Default"/>
              <w:jc w:val="center"/>
              <w:rPr>
                <w:rFonts w:ascii="Arial" w:hAnsi="Arial" w:cs="Arial"/>
                <w:b/>
                <w:color w:val="auto"/>
                <w:sz w:val="18"/>
                <w:szCs w:val="18"/>
                <w:lang w:val="es-AR"/>
              </w:rPr>
            </w:pPr>
            <w:r w:rsidRPr="001010E7">
              <w:rPr>
                <w:rFonts w:ascii="Arial" w:hAnsi="Arial" w:cs="Arial"/>
                <w:b/>
                <w:color w:val="auto"/>
                <w:sz w:val="18"/>
                <w:szCs w:val="18"/>
                <w:lang w:val="es-AR"/>
              </w:rPr>
              <w:t>Indicadores de Producto</w:t>
            </w:r>
          </w:p>
        </w:tc>
      </w:tr>
      <w:tr w:rsidR="00D40865" w:rsidRPr="00D47E65" w14:paraId="1E70E02D" w14:textId="77777777" w:rsidTr="003A3AAB">
        <w:trPr>
          <w:jc w:val="center"/>
        </w:trPr>
        <w:tc>
          <w:tcPr>
            <w:tcW w:w="3365" w:type="dxa"/>
          </w:tcPr>
          <w:p w14:paraId="149A85F8" w14:textId="77777777" w:rsidR="00062D0D" w:rsidRPr="001010E7" w:rsidRDefault="006F2A80" w:rsidP="001010E7">
            <w:pPr>
              <w:pStyle w:val="Default"/>
              <w:jc w:val="both"/>
              <w:rPr>
                <w:rFonts w:ascii="Arial" w:hAnsi="Arial" w:cs="Arial"/>
                <w:color w:val="auto"/>
                <w:sz w:val="18"/>
                <w:szCs w:val="18"/>
                <w:lang w:val="es-AR"/>
              </w:rPr>
            </w:pPr>
            <w:r w:rsidRPr="001010E7">
              <w:rPr>
                <w:rFonts w:ascii="Arial" w:eastAsia="Arial Unicode MS" w:hAnsi="Arial" w:cs="Arial"/>
                <w:color w:val="auto"/>
                <w:sz w:val="18"/>
                <w:szCs w:val="18"/>
                <w:lang w:val="es-ES_tradnl"/>
              </w:rPr>
              <w:t xml:space="preserve">Unidades Económicas Rurales (UER) </w:t>
            </w:r>
            <w:r w:rsidR="00CA3B72" w:rsidRPr="001010E7">
              <w:rPr>
                <w:rFonts w:ascii="Arial" w:eastAsia="Arial Unicode MS" w:hAnsi="Arial" w:cs="Arial"/>
                <w:color w:val="auto"/>
                <w:sz w:val="18"/>
                <w:szCs w:val="18"/>
                <w:lang w:val="es-ES_tradnl"/>
              </w:rPr>
              <w:t>pequeñas y medianas</w:t>
            </w:r>
            <w:r w:rsidR="002C5AC0" w:rsidRPr="001010E7">
              <w:rPr>
                <w:rFonts w:ascii="Arial" w:eastAsia="Arial Unicode MS" w:hAnsi="Arial" w:cs="Arial"/>
                <w:color w:val="auto"/>
                <w:sz w:val="18"/>
                <w:szCs w:val="18"/>
                <w:lang w:val="es-ES_tradnl"/>
              </w:rPr>
              <w:t xml:space="preserve"> (PYME)</w:t>
            </w:r>
            <w:r w:rsidR="00CA3B72" w:rsidRPr="001010E7">
              <w:rPr>
                <w:rFonts w:ascii="Arial" w:eastAsia="Arial Unicode MS" w:hAnsi="Arial" w:cs="Arial"/>
                <w:color w:val="auto"/>
                <w:sz w:val="18"/>
                <w:szCs w:val="18"/>
                <w:lang w:val="es-ES_tradnl"/>
              </w:rPr>
              <w:t xml:space="preserve"> </w:t>
            </w:r>
            <w:r w:rsidR="00FB74A8" w:rsidRPr="001010E7">
              <w:rPr>
                <w:rFonts w:ascii="Arial" w:eastAsia="Arial Unicode MS" w:hAnsi="Arial" w:cs="Arial"/>
                <w:color w:val="auto"/>
                <w:sz w:val="18"/>
                <w:szCs w:val="18"/>
                <w:lang w:val="es-ES_tradnl"/>
              </w:rPr>
              <w:t>del sector primario con financiamiento del programa</w:t>
            </w:r>
            <w:r w:rsidR="00B3207E" w:rsidRPr="001010E7" w:rsidDel="00B3207E">
              <w:rPr>
                <w:rFonts w:ascii="Arial" w:eastAsia="Arial Unicode MS" w:hAnsi="Arial" w:cs="Arial"/>
                <w:color w:val="auto"/>
                <w:sz w:val="18"/>
                <w:szCs w:val="18"/>
                <w:lang w:val="es-ES_tradnl"/>
              </w:rPr>
              <w:t xml:space="preserve"> </w:t>
            </w:r>
            <w:r w:rsidR="00062D0D" w:rsidRPr="001010E7">
              <w:rPr>
                <w:rFonts w:ascii="Arial" w:hAnsi="Arial" w:cs="Arial"/>
                <w:color w:val="auto"/>
                <w:sz w:val="18"/>
                <w:szCs w:val="18"/>
                <w:lang w:val="es-AR"/>
              </w:rPr>
              <w:t>(Unidad d</w:t>
            </w:r>
            <w:r w:rsidR="00A05368" w:rsidRPr="001010E7">
              <w:rPr>
                <w:rFonts w:ascii="Arial" w:hAnsi="Arial" w:cs="Arial"/>
                <w:color w:val="auto"/>
                <w:sz w:val="18"/>
                <w:szCs w:val="18"/>
                <w:lang w:val="es-AR"/>
              </w:rPr>
              <w:t xml:space="preserve">e Medición: </w:t>
            </w:r>
            <w:r w:rsidR="009E4A0C" w:rsidRPr="001010E7">
              <w:rPr>
                <w:rFonts w:ascii="Arial" w:hAnsi="Arial" w:cs="Arial"/>
                <w:color w:val="auto"/>
                <w:sz w:val="18"/>
                <w:szCs w:val="18"/>
                <w:lang w:val="es-AR"/>
              </w:rPr>
              <w:t xml:space="preserve">número de </w:t>
            </w:r>
            <w:r w:rsidRPr="001010E7">
              <w:rPr>
                <w:rFonts w:ascii="Arial" w:hAnsi="Arial" w:cs="Arial"/>
                <w:color w:val="auto"/>
                <w:sz w:val="18"/>
                <w:szCs w:val="18"/>
                <w:lang w:val="es-AR"/>
              </w:rPr>
              <w:t>UER</w:t>
            </w:r>
            <w:r w:rsidR="00A05368" w:rsidRPr="001010E7">
              <w:rPr>
                <w:rFonts w:ascii="Arial" w:hAnsi="Arial" w:cs="Arial"/>
                <w:color w:val="auto"/>
                <w:sz w:val="18"/>
                <w:szCs w:val="18"/>
                <w:lang w:val="es-AR"/>
              </w:rPr>
              <w:t>)</w:t>
            </w:r>
          </w:p>
        </w:tc>
        <w:tc>
          <w:tcPr>
            <w:tcW w:w="1994" w:type="dxa"/>
          </w:tcPr>
          <w:p w14:paraId="07122715" w14:textId="7AF5259F" w:rsidR="00062D0D" w:rsidRPr="001010E7" w:rsidRDefault="009B0D08" w:rsidP="001010E7">
            <w:pPr>
              <w:pStyle w:val="Default"/>
              <w:jc w:val="both"/>
              <w:rPr>
                <w:rFonts w:ascii="Arial" w:eastAsia="Arial Unicode MS" w:hAnsi="Arial" w:cs="Arial"/>
                <w:color w:val="auto"/>
                <w:sz w:val="18"/>
                <w:szCs w:val="18"/>
                <w:lang w:val="es-ES_tradnl"/>
              </w:rPr>
            </w:pPr>
            <w:r w:rsidRPr="001010E7">
              <w:rPr>
                <w:rFonts w:ascii="Arial" w:eastAsia="Arial Unicode MS" w:hAnsi="Arial" w:cs="Arial"/>
                <w:color w:val="auto"/>
                <w:sz w:val="18"/>
                <w:szCs w:val="18"/>
                <w:lang w:val="es-ES_tradnl"/>
              </w:rPr>
              <w:t xml:space="preserve"> Mide el número de UER </w:t>
            </w:r>
            <w:r w:rsidR="00FB74A8" w:rsidRPr="001010E7">
              <w:rPr>
                <w:rFonts w:ascii="Arial" w:eastAsia="Arial Unicode MS" w:hAnsi="Arial" w:cs="Arial"/>
                <w:color w:val="auto"/>
                <w:sz w:val="18"/>
                <w:szCs w:val="18"/>
                <w:lang w:val="es-ES_tradnl"/>
              </w:rPr>
              <w:t>del sector primario</w:t>
            </w:r>
            <w:r w:rsidRPr="001010E7">
              <w:rPr>
                <w:rFonts w:ascii="Arial" w:eastAsia="Arial Unicode MS" w:hAnsi="Arial" w:cs="Arial"/>
                <w:color w:val="auto"/>
                <w:sz w:val="18"/>
                <w:szCs w:val="18"/>
                <w:lang w:val="es-ES_tradnl"/>
              </w:rPr>
              <w:t xml:space="preserve"> que han recibido crédito productivo con recursos del programa. Supone un monto promedio de crédito otorgado de alrededor de </w:t>
            </w:r>
            <w:r w:rsidR="001010E7" w:rsidRPr="001010E7">
              <w:rPr>
                <w:rFonts w:ascii="Arial" w:eastAsia="Arial Unicode MS" w:hAnsi="Arial" w:cs="Arial"/>
                <w:color w:val="auto"/>
                <w:sz w:val="18"/>
                <w:szCs w:val="18"/>
                <w:lang w:val="es-ES_tradnl"/>
              </w:rPr>
              <w:t>US</w:t>
            </w:r>
            <w:r w:rsidR="0040238E" w:rsidRPr="001010E7">
              <w:rPr>
                <w:rFonts w:ascii="Arial" w:hAnsi="Arial" w:cs="Arial"/>
                <w:sz w:val="18"/>
                <w:szCs w:val="18"/>
                <w:lang w:val="es-ES_tradnl"/>
              </w:rPr>
              <w:t>$28,335</w:t>
            </w:r>
            <w:r w:rsidR="0040238E" w:rsidRPr="001010E7">
              <w:rPr>
                <w:rFonts w:ascii="Arial" w:hAnsi="Arial" w:cs="Arial"/>
                <w:sz w:val="18"/>
                <w:szCs w:val="18"/>
                <w:vertAlign w:val="superscript"/>
                <w:lang w:val="es-ES_tradnl"/>
              </w:rPr>
              <w:footnoteReference w:id="3"/>
            </w:r>
            <w:r w:rsidR="0040238E" w:rsidRPr="001010E7">
              <w:rPr>
                <w:rFonts w:ascii="Arial" w:hAnsi="Arial" w:cs="Arial"/>
                <w:sz w:val="18"/>
                <w:szCs w:val="18"/>
                <w:lang w:val="es-ES_tradnl"/>
              </w:rPr>
              <w:t xml:space="preserve"> </w:t>
            </w:r>
            <w:r w:rsidRPr="001010E7">
              <w:rPr>
                <w:rFonts w:ascii="Arial" w:eastAsia="Arial Unicode MS" w:hAnsi="Arial" w:cs="Arial"/>
                <w:color w:val="auto"/>
                <w:sz w:val="18"/>
                <w:szCs w:val="18"/>
                <w:lang w:val="es-ES_tradnl"/>
              </w:rPr>
              <w:t>por UER.</w:t>
            </w:r>
          </w:p>
        </w:tc>
        <w:tc>
          <w:tcPr>
            <w:tcW w:w="1527" w:type="dxa"/>
          </w:tcPr>
          <w:p w14:paraId="5E71F5A4" w14:textId="77777777" w:rsidR="00062D0D" w:rsidRPr="001010E7" w:rsidRDefault="00062D0D"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Semestral</w:t>
            </w:r>
          </w:p>
        </w:tc>
        <w:tc>
          <w:tcPr>
            <w:tcW w:w="2024" w:type="dxa"/>
          </w:tcPr>
          <w:p w14:paraId="54E98A70" w14:textId="77777777" w:rsidR="00062D0D" w:rsidRPr="001010E7" w:rsidRDefault="00062D0D"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 xml:space="preserve">Información Administrativa: Sistema de Información de </w:t>
            </w:r>
            <w:r w:rsidR="009E4A0C" w:rsidRPr="001010E7">
              <w:rPr>
                <w:rFonts w:ascii="Arial" w:hAnsi="Arial" w:cs="Arial"/>
                <w:color w:val="auto"/>
                <w:sz w:val="18"/>
                <w:szCs w:val="18"/>
                <w:lang w:val="es-AR"/>
              </w:rPr>
              <w:t>Financiera Nacional</w:t>
            </w:r>
          </w:p>
        </w:tc>
      </w:tr>
      <w:tr w:rsidR="00D40865" w:rsidRPr="00D47E65" w14:paraId="6ECA4E3E" w14:textId="77777777" w:rsidTr="003A3AAB">
        <w:trPr>
          <w:trHeight w:val="1160"/>
          <w:jc w:val="center"/>
        </w:trPr>
        <w:tc>
          <w:tcPr>
            <w:tcW w:w="3365" w:type="dxa"/>
          </w:tcPr>
          <w:p w14:paraId="6B54F0FE" w14:textId="77777777" w:rsidR="00062D0D" w:rsidRPr="001010E7" w:rsidRDefault="00A077D2" w:rsidP="001010E7">
            <w:pPr>
              <w:spacing w:line="240" w:lineRule="auto"/>
              <w:jc w:val="both"/>
              <w:rPr>
                <w:rFonts w:ascii="Arial" w:hAnsi="Arial" w:cs="Arial"/>
                <w:sz w:val="18"/>
                <w:szCs w:val="18"/>
                <w:lang w:val="es-AR"/>
              </w:rPr>
            </w:pPr>
            <w:r w:rsidRPr="001010E7">
              <w:rPr>
                <w:rFonts w:ascii="Arial" w:eastAsia="Arial Unicode MS" w:hAnsi="Arial" w:cs="Arial"/>
                <w:sz w:val="18"/>
                <w:szCs w:val="18"/>
                <w:lang w:val="es-ES_tradnl"/>
              </w:rPr>
              <w:lastRenderedPageBreak/>
              <w:t xml:space="preserve">UER </w:t>
            </w:r>
            <w:r w:rsidR="00CA3B72" w:rsidRPr="001010E7">
              <w:rPr>
                <w:rFonts w:ascii="Arial" w:eastAsia="Arial Unicode MS" w:hAnsi="Arial" w:cs="Arial"/>
                <w:sz w:val="18"/>
                <w:szCs w:val="18"/>
                <w:lang w:val="es-ES_tradnl"/>
              </w:rPr>
              <w:t xml:space="preserve">pequeñas y medianas </w:t>
            </w:r>
            <w:r w:rsidR="002C5AC0" w:rsidRPr="001010E7">
              <w:rPr>
                <w:rFonts w:ascii="Arial" w:eastAsia="Arial Unicode MS" w:hAnsi="Arial" w:cs="Arial"/>
                <w:sz w:val="18"/>
                <w:szCs w:val="18"/>
                <w:lang w:val="es-ES_tradnl"/>
              </w:rPr>
              <w:t xml:space="preserve">(PYME) </w:t>
            </w:r>
            <w:r w:rsidR="00CA3B72" w:rsidRPr="001010E7">
              <w:rPr>
                <w:rFonts w:ascii="Arial" w:eastAsia="Arial Unicode MS" w:hAnsi="Arial" w:cs="Arial"/>
                <w:sz w:val="18"/>
                <w:szCs w:val="18"/>
                <w:lang w:val="es-ES_tradnl"/>
              </w:rPr>
              <w:t xml:space="preserve">del sector secundario </w:t>
            </w:r>
            <w:r w:rsidR="00B337F5" w:rsidRPr="001010E7">
              <w:rPr>
                <w:rFonts w:ascii="Arial" w:eastAsia="Arial Unicode MS" w:hAnsi="Arial" w:cs="Arial"/>
                <w:sz w:val="18"/>
                <w:szCs w:val="18"/>
                <w:lang w:val="es-ES_tradnl"/>
              </w:rPr>
              <w:t>y terciario en localidades rurales</w:t>
            </w:r>
            <w:r w:rsidR="00B3207E" w:rsidRPr="001010E7">
              <w:rPr>
                <w:rFonts w:ascii="Arial" w:eastAsia="Arial Unicode MS" w:hAnsi="Arial" w:cs="Arial"/>
                <w:sz w:val="18"/>
                <w:szCs w:val="18"/>
                <w:lang w:val="es-ES_tradnl"/>
              </w:rPr>
              <w:t xml:space="preserve"> con financiamiento del programa</w:t>
            </w:r>
            <w:r w:rsidR="00B3207E" w:rsidRPr="001010E7" w:rsidDel="00B3207E">
              <w:rPr>
                <w:rFonts w:ascii="Arial" w:eastAsia="Arial Unicode MS" w:hAnsi="Arial" w:cs="Arial"/>
                <w:sz w:val="18"/>
                <w:szCs w:val="18"/>
                <w:lang w:val="es-ES_tradnl"/>
              </w:rPr>
              <w:t xml:space="preserve"> </w:t>
            </w:r>
            <w:r w:rsidRPr="001010E7">
              <w:rPr>
                <w:rFonts w:ascii="Arial" w:eastAsia="Arial Unicode MS" w:hAnsi="Arial" w:cs="Arial"/>
                <w:sz w:val="18"/>
                <w:szCs w:val="18"/>
                <w:lang w:val="es-ES_tradnl"/>
              </w:rPr>
              <w:t>(Unidad de Medición: número de</w:t>
            </w:r>
            <w:r w:rsidR="006F2A80" w:rsidRPr="001010E7">
              <w:rPr>
                <w:rFonts w:ascii="Arial" w:eastAsia="Arial Unicode MS" w:hAnsi="Arial" w:cs="Arial"/>
                <w:sz w:val="18"/>
                <w:szCs w:val="18"/>
                <w:lang w:val="es-ES_tradnl"/>
              </w:rPr>
              <w:t xml:space="preserve"> UER</w:t>
            </w:r>
            <w:r w:rsidRPr="001010E7">
              <w:rPr>
                <w:rFonts w:ascii="Arial" w:eastAsia="Arial Unicode MS" w:hAnsi="Arial" w:cs="Arial"/>
                <w:sz w:val="18"/>
                <w:szCs w:val="18"/>
                <w:lang w:val="es-ES_tradnl"/>
              </w:rPr>
              <w:t>)</w:t>
            </w:r>
          </w:p>
        </w:tc>
        <w:tc>
          <w:tcPr>
            <w:tcW w:w="1994" w:type="dxa"/>
          </w:tcPr>
          <w:p w14:paraId="34AE2787" w14:textId="578AB42F" w:rsidR="00062D0D" w:rsidRPr="001010E7" w:rsidRDefault="009B0D08" w:rsidP="001010E7">
            <w:pPr>
              <w:jc w:val="both"/>
              <w:rPr>
                <w:rFonts w:ascii="Arial" w:hAnsi="Arial" w:cs="Arial"/>
                <w:sz w:val="18"/>
                <w:szCs w:val="18"/>
                <w:lang w:val="es-ES_tradnl"/>
              </w:rPr>
            </w:pPr>
            <w:r w:rsidRPr="001010E7">
              <w:rPr>
                <w:rFonts w:ascii="Arial" w:eastAsia="Arial Unicode MS" w:hAnsi="Arial" w:cs="Arial"/>
                <w:sz w:val="18"/>
                <w:szCs w:val="18"/>
                <w:lang w:val="es-ES_tradnl"/>
              </w:rPr>
              <w:t xml:space="preserve">Mide el número de UER en localidades </w:t>
            </w:r>
            <w:r w:rsidR="00CA3B72" w:rsidRPr="001010E7">
              <w:rPr>
                <w:rFonts w:ascii="Arial" w:eastAsia="Arial Unicode MS" w:hAnsi="Arial" w:cs="Arial"/>
                <w:sz w:val="18"/>
                <w:szCs w:val="18"/>
                <w:lang w:val="es-ES_tradnl"/>
              </w:rPr>
              <w:t>de menos de 50</w:t>
            </w:r>
            <w:r w:rsidR="00985E45" w:rsidRPr="001010E7">
              <w:rPr>
                <w:rFonts w:ascii="Arial" w:eastAsia="Arial Unicode MS" w:hAnsi="Arial" w:cs="Arial"/>
                <w:sz w:val="18"/>
                <w:szCs w:val="18"/>
                <w:lang w:val="es-ES_tradnl"/>
              </w:rPr>
              <w:t>.</w:t>
            </w:r>
            <w:r w:rsidR="00CA3B72" w:rsidRPr="001010E7">
              <w:rPr>
                <w:rFonts w:ascii="Arial" w:eastAsia="Arial Unicode MS" w:hAnsi="Arial" w:cs="Arial"/>
                <w:sz w:val="18"/>
                <w:szCs w:val="18"/>
                <w:lang w:val="es-ES_tradnl"/>
              </w:rPr>
              <w:t>000 habitantes en el sector secundario</w:t>
            </w:r>
            <w:r w:rsidRPr="001010E7">
              <w:rPr>
                <w:rFonts w:ascii="Arial" w:eastAsia="Arial Unicode MS" w:hAnsi="Arial" w:cs="Arial"/>
                <w:sz w:val="18"/>
                <w:szCs w:val="18"/>
                <w:lang w:val="es-ES_tradnl"/>
              </w:rPr>
              <w:t xml:space="preserve"> que han recibido crédito productivo con recursos del programa. Supone un monto promedio de crédito otorgado de alrededor de </w:t>
            </w:r>
            <w:r w:rsidR="001010E7" w:rsidRPr="001010E7">
              <w:rPr>
                <w:rFonts w:ascii="Arial" w:eastAsia="Arial Unicode MS" w:hAnsi="Arial" w:cs="Arial"/>
                <w:sz w:val="18"/>
                <w:szCs w:val="18"/>
                <w:lang w:val="es-ES_tradnl"/>
              </w:rPr>
              <w:t>US</w:t>
            </w:r>
            <w:r w:rsidR="00C04C7F" w:rsidRPr="001010E7">
              <w:rPr>
                <w:rFonts w:ascii="Arial" w:eastAsia="Arial Unicode MS" w:hAnsi="Arial" w:cs="Arial"/>
                <w:sz w:val="18"/>
                <w:szCs w:val="18"/>
                <w:lang w:val="es-ES_tradnl"/>
              </w:rPr>
              <w:t>$18.849</w:t>
            </w:r>
            <w:r w:rsidR="00C04C7F" w:rsidRPr="001010E7">
              <w:rPr>
                <w:rFonts w:ascii="Arial" w:eastAsia="Arial Unicode MS" w:hAnsi="Arial" w:cs="Arial"/>
                <w:sz w:val="18"/>
                <w:szCs w:val="18"/>
                <w:vertAlign w:val="superscript"/>
                <w:lang w:val="es-ES_tradnl"/>
              </w:rPr>
              <w:footnoteReference w:id="4"/>
            </w:r>
            <w:r w:rsidR="0083506E" w:rsidRPr="001010E7">
              <w:rPr>
                <w:rFonts w:ascii="Arial" w:eastAsia="Arial Unicode MS" w:hAnsi="Arial" w:cs="Arial"/>
                <w:sz w:val="18"/>
                <w:szCs w:val="18"/>
                <w:vertAlign w:val="superscript"/>
                <w:lang w:val="es-ES_tradnl"/>
              </w:rPr>
              <w:t xml:space="preserve"> </w:t>
            </w:r>
            <w:r w:rsidR="007A3A3A" w:rsidRPr="001010E7">
              <w:rPr>
                <w:rFonts w:ascii="Arial" w:eastAsia="Arial Unicode MS" w:hAnsi="Arial" w:cs="Arial"/>
                <w:sz w:val="18"/>
                <w:szCs w:val="18"/>
                <w:lang w:val="es-ES_tradnl"/>
              </w:rPr>
              <w:t>por UER.</w:t>
            </w:r>
          </w:p>
        </w:tc>
        <w:tc>
          <w:tcPr>
            <w:tcW w:w="1527" w:type="dxa"/>
          </w:tcPr>
          <w:p w14:paraId="182F2536" w14:textId="77777777" w:rsidR="00062D0D" w:rsidRPr="001010E7" w:rsidRDefault="00062D0D"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Semestral</w:t>
            </w:r>
          </w:p>
        </w:tc>
        <w:tc>
          <w:tcPr>
            <w:tcW w:w="2024" w:type="dxa"/>
          </w:tcPr>
          <w:p w14:paraId="63B340D0" w14:textId="77777777" w:rsidR="00062D0D" w:rsidRPr="001010E7" w:rsidRDefault="00062D0D"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 xml:space="preserve">Información Administrativa: Sistema de Información de </w:t>
            </w:r>
            <w:r w:rsidR="009E4A0C" w:rsidRPr="001010E7">
              <w:rPr>
                <w:rFonts w:ascii="Arial" w:hAnsi="Arial" w:cs="Arial"/>
                <w:color w:val="auto"/>
                <w:sz w:val="18"/>
                <w:szCs w:val="18"/>
                <w:lang w:val="es-AR"/>
              </w:rPr>
              <w:t>Financiera Nacional</w:t>
            </w:r>
          </w:p>
        </w:tc>
      </w:tr>
      <w:tr w:rsidR="006B1793" w:rsidRPr="001010E7" w14:paraId="472FE4D8" w14:textId="77777777" w:rsidTr="003A3AAB">
        <w:trPr>
          <w:trHeight w:val="350"/>
          <w:jc w:val="center"/>
        </w:trPr>
        <w:tc>
          <w:tcPr>
            <w:tcW w:w="8910" w:type="dxa"/>
            <w:gridSpan w:val="4"/>
          </w:tcPr>
          <w:p w14:paraId="622882D4" w14:textId="77777777" w:rsidR="006B1793" w:rsidRPr="001010E7" w:rsidRDefault="006B1793" w:rsidP="001010E7">
            <w:pPr>
              <w:pStyle w:val="Default"/>
              <w:jc w:val="both"/>
              <w:rPr>
                <w:rFonts w:ascii="Arial" w:hAnsi="Arial" w:cs="Arial"/>
                <w:b/>
                <w:color w:val="auto"/>
                <w:sz w:val="18"/>
                <w:szCs w:val="18"/>
                <w:lang w:val="es-AR"/>
              </w:rPr>
            </w:pPr>
            <w:r w:rsidRPr="001010E7">
              <w:rPr>
                <w:rFonts w:ascii="Arial" w:hAnsi="Arial" w:cs="Arial"/>
                <w:b/>
                <w:color w:val="auto"/>
                <w:sz w:val="18"/>
                <w:szCs w:val="18"/>
                <w:lang w:val="es-AR"/>
              </w:rPr>
              <w:t>Indicadores de Resultados</w:t>
            </w:r>
          </w:p>
        </w:tc>
      </w:tr>
      <w:tr w:rsidR="00B3207E" w:rsidRPr="00D47E65" w14:paraId="27AC5CC8" w14:textId="77777777" w:rsidTr="003A3AAB">
        <w:trPr>
          <w:trHeight w:val="1160"/>
          <w:jc w:val="center"/>
        </w:trPr>
        <w:tc>
          <w:tcPr>
            <w:tcW w:w="3365" w:type="dxa"/>
          </w:tcPr>
          <w:p w14:paraId="136B068B" w14:textId="18711666" w:rsidR="00B3207E" w:rsidRPr="001010E7" w:rsidRDefault="00985E45" w:rsidP="001010E7">
            <w:pPr>
              <w:jc w:val="both"/>
              <w:rPr>
                <w:rFonts w:ascii="Arial" w:eastAsia="Arial Unicode MS" w:hAnsi="Arial" w:cs="Arial"/>
                <w:sz w:val="18"/>
                <w:szCs w:val="18"/>
                <w:lang w:val="es-ES_tradnl"/>
              </w:rPr>
            </w:pPr>
            <w:r w:rsidRPr="001010E7">
              <w:rPr>
                <w:rFonts w:ascii="Arial" w:eastAsia="Arial Unicode MS" w:hAnsi="Arial" w:cs="Arial"/>
                <w:sz w:val="18"/>
                <w:szCs w:val="18"/>
                <w:lang w:val="es-ES_tradnl"/>
              </w:rPr>
              <w:t>I</w:t>
            </w:r>
            <w:r w:rsidR="00FF67DC" w:rsidRPr="001010E7">
              <w:rPr>
                <w:rFonts w:ascii="Arial" w:eastAsia="Arial Unicode MS" w:hAnsi="Arial" w:cs="Arial"/>
                <w:sz w:val="18"/>
                <w:szCs w:val="18"/>
                <w:lang w:val="es-ES_tradnl"/>
              </w:rPr>
              <w:t>nversiones productivas de las UER del sector primario, r</w:t>
            </w:r>
            <w:r w:rsidR="00B3207E" w:rsidRPr="001010E7">
              <w:rPr>
                <w:rFonts w:ascii="Arial" w:eastAsia="Arial Unicode MS" w:hAnsi="Arial" w:cs="Arial"/>
                <w:sz w:val="18"/>
                <w:szCs w:val="18"/>
                <w:lang w:val="es-ES_tradnl"/>
              </w:rPr>
              <w:t>ealizadas con el programa (Unidad de Medición: Millones de US$)</w:t>
            </w:r>
          </w:p>
        </w:tc>
        <w:tc>
          <w:tcPr>
            <w:tcW w:w="1994" w:type="dxa"/>
          </w:tcPr>
          <w:p w14:paraId="0BE6AE55" w14:textId="598679F9" w:rsidR="00B3207E" w:rsidRPr="001010E7" w:rsidRDefault="00C04C7F" w:rsidP="001010E7">
            <w:pPr>
              <w:pStyle w:val="Default"/>
              <w:jc w:val="both"/>
              <w:rPr>
                <w:rFonts w:ascii="Arial" w:hAnsi="Arial" w:cs="Arial"/>
                <w:color w:val="auto"/>
                <w:sz w:val="18"/>
                <w:szCs w:val="18"/>
                <w:lang w:val="es-AR"/>
              </w:rPr>
            </w:pPr>
            <w:bookmarkStart w:id="8" w:name="_Hlk487719987"/>
            <w:r w:rsidRPr="001010E7">
              <w:rPr>
                <w:rFonts w:ascii="Arial" w:eastAsia="Arial Unicode MS" w:hAnsi="Arial" w:cs="Arial"/>
                <w:sz w:val="18"/>
                <w:szCs w:val="18"/>
                <w:lang w:val="es-ES_tradnl"/>
              </w:rPr>
              <w:t>Millones de US$</w:t>
            </w:r>
            <w:bookmarkEnd w:id="8"/>
          </w:p>
        </w:tc>
        <w:tc>
          <w:tcPr>
            <w:tcW w:w="1527" w:type="dxa"/>
          </w:tcPr>
          <w:p w14:paraId="2BBAB052" w14:textId="77777777" w:rsidR="00B3207E" w:rsidRPr="001010E7" w:rsidRDefault="00B3207E"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Anual</w:t>
            </w:r>
          </w:p>
        </w:tc>
        <w:tc>
          <w:tcPr>
            <w:tcW w:w="2024" w:type="dxa"/>
          </w:tcPr>
          <w:p w14:paraId="340B1188" w14:textId="77777777" w:rsidR="00B3207E" w:rsidRPr="001010E7" w:rsidRDefault="00B3207E"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Información Administrativa: Sistema de Información de Financiera Nacional</w:t>
            </w:r>
          </w:p>
        </w:tc>
      </w:tr>
      <w:tr w:rsidR="00B3207E" w:rsidRPr="00D47E65" w14:paraId="493ABEA5" w14:textId="77777777" w:rsidTr="00344FA5">
        <w:trPr>
          <w:trHeight w:val="1214"/>
          <w:jc w:val="center"/>
        </w:trPr>
        <w:tc>
          <w:tcPr>
            <w:tcW w:w="3365" w:type="dxa"/>
          </w:tcPr>
          <w:p w14:paraId="1A703E59" w14:textId="0B10FF0B" w:rsidR="00B3207E" w:rsidRPr="001010E7" w:rsidRDefault="00985E45" w:rsidP="001010E7">
            <w:pPr>
              <w:jc w:val="both"/>
              <w:rPr>
                <w:rFonts w:ascii="Arial" w:eastAsia="Arial Unicode MS" w:hAnsi="Arial" w:cs="Arial"/>
                <w:sz w:val="18"/>
                <w:szCs w:val="18"/>
                <w:lang w:val="es-ES_tradnl"/>
              </w:rPr>
            </w:pPr>
            <w:r w:rsidRPr="001010E7">
              <w:rPr>
                <w:rFonts w:ascii="Arial" w:eastAsia="Arial Unicode MS" w:hAnsi="Arial" w:cs="Arial"/>
                <w:sz w:val="18"/>
                <w:szCs w:val="18"/>
                <w:lang w:val="es-ES_tradnl"/>
              </w:rPr>
              <w:t xml:space="preserve">Inversiones </w:t>
            </w:r>
            <w:r w:rsidR="00FF67DC" w:rsidRPr="001010E7">
              <w:rPr>
                <w:rFonts w:ascii="Arial" w:eastAsia="Arial Unicode MS" w:hAnsi="Arial" w:cs="Arial"/>
                <w:sz w:val="18"/>
                <w:szCs w:val="18"/>
                <w:lang w:val="es-ES_tradnl"/>
              </w:rPr>
              <w:t xml:space="preserve">productivas </w:t>
            </w:r>
            <w:r w:rsidRPr="001010E7">
              <w:rPr>
                <w:rFonts w:ascii="Arial" w:eastAsia="Arial Unicode MS" w:hAnsi="Arial" w:cs="Arial"/>
                <w:sz w:val="18"/>
                <w:szCs w:val="18"/>
                <w:lang w:val="es-ES_tradnl"/>
              </w:rPr>
              <w:t>de</w:t>
            </w:r>
            <w:r w:rsidR="00B3207E" w:rsidRPr="001010E7">
              <w:rPr>
                <w:rFonts w:ascii="Arial" w:eastAsia="Arial Unicode MS" w:hAnsi="Arial" w:cs="Arial"/>
                <w:sz w:val="18"/>
                <w:szCs w:val="18"/>
                <w:lang w:val="es-ES_tradnl"/>
              </w:rPr>
              <w:t xml:space="preserve"> </w:t>
            </w:r>
            <w:r w:rsidR="00FF67DC" w:rsidRPr="001010E7">
              <w:rPr>
                <w:rFonts w:ascii="Arial" w:eastAsia="Arial Unicode MS" w:hAnsi="Arial" w:cs="Arial"/>
                <w:sz w:val="18"/>
                <w:szCs w:val="18"/>
                <w:lang w:val="es-ES_tradnl"/>
              </w:rPr>
              <w:t xml:space="preserve">las </w:t>
            </w:r>
            <w:r w:rsidR="00B3207E" w:rsidRPr="001010E7">
              <w:rPr>
                <w:rFonts w:ascii="Arial" w:eastAsia="Arial Unicode MS" w:hAnsi="Arial" w:cs="Arial"/>
                <w:sz w:val="18"/>
                <w:szCs w:val="18"/>
                <w:lang w:val="es-ES_tradnl"/>
              </w:rPr>
              <w:t>UER</w:t>
            </w:r>
            <w:r w:rsidR="006B1793" w:rsidRPr="001010E7">
              <w:rPr>
                <w:rFonts w:ascii="Arial" w:eastAsia="Arial Unicode MS" w:hAnsi="Arial" w:cs="Arial"/>
                <w:sz w:val="18"/>
                <w:szCs w:val="18"/>
                <w:lang w:val="es-ES_tradnl"/>
              </w:rPr>
              <w:t xml:space="preserve"> </w:t>
            </w:r>
            <w:r w:rsidR="00FF67DC" w:rsidRPr="001010E7">
              <w:rPr>
                <w:rFonts w:ascii="Arial" w:eastAsia="Arial Unicode MS" w:hAnsi="Arial" w:cs="Arial"/>
                <w:sz w:val="18"/>
                <w:szCs w:val="18"/>
                <w:lang w:val="es-ES_tradnl"/>
              </w:rPr>
              <w:t>de los sectores</w:t>
            </w:r>
            <w:r w:rsidR="009D19AF" w:rsidRPr="001010E7">
              <w:rPr>
                <w:rFonts w:ascii="Arial" w:eastAsia="Arial Unicode MS" w:hAnsi="Arial" w:cs="Arial"/>
                <w:sz w:val="18"/>
                <w:szCs w:val="18"/>
                <w:lang w:val="es-ES_tradnl"/>
              </w:rPr>
              <w:t xml:space="preserve"> secundario</w:t>
            </w:r>
            <w:r w:rsidR="00B337F5" w:rsidRPr="001010E7">
              <w:rPr>
                <w:rFonts w:ascii="Arial" w:eastAsia="Arial Unicode MS" w:hAnsi="Arial" w:cs="Arial"/>
                <w:sz w:val="18"/>
                <w:szCs w:val="18"/>
                <w:lang w:val="es-ES_tradnl"/>
              </w:rPr>
              <w:t xml:space="preserve"> y terciario</w:t>
            </w:r>
            <w:r w:rsidR="009D19AF" w:rsidRPr="001010E7">
              <w:rPr>
                <w:rFonts w:ascii="Arial" w:eastAsia="Arial Unicode MS" w:hAnsi="Arial" w:cs="Arial"/>
                <w:sz w:val="18"/>
                <w:szCs w:val="18"/>
                <w:lang w:val="es-ES_tradnl"/>
              </w:rPr>
              <w:t xml:space="preserve"> </w:t>
            </w:r>
            <w:r w:rsidR="00B3207E" w:rsidRPr="001010E7">
              <w:rPr>
                <w:rFonts w:ascii="Arial" w:eastAsia="Arial Unicode MS" w:hAnsi="Arial" w:cs="Arial"/>
                <w:sz w:val="18"/>
                <w:szCs w:val="18"/>
                <w:lang w:val="es-ES_tradnl"/>
              </w:rPr>
              <w:t xml:space="preserve">en localidades </w:t>
            </w:r>
            <w:r w:rsidR="0083506E" w:rsidRPr="001010E7">
              <w:rPr>
                <w:rFonts w:ascii="Arial" w:eastAsia="Arial Unicode MS" w:hAnsi="Arial" w:cs="Arial"/>
                <w:sz w:val="18"/>
                <w:szCs w:val="18"/>
                <w:lang w:val="es-ES_tradnl"/>
              </w:rPr>
              <w:t>rurales</w:t>
            </w:r>
            <w:r w:rsidR="006B1793" w:rsidRPr="001010E7">
              <w:rPr>
                <w:rFonts w:ascii="Arial" w:eastAsia="Arial Unicode MS" w:hAnsi="Arial" w:cs="Arial"/>
                <w:sz w:val="18"/>
                <w:szCs w:val="18"/>
                <w:lang w:val="es-ES_tradnl"/>
              </w:rPr>
              <w:t xml:space="preserve"> </w:t>
            </w:r>
            <w:r w:rsidR="00B3207E" w:rsidRPr="001010E7">
              <w:rPr>
                <w:rFonts w:ascii="Arial" w:eastAsia="Arial Unicode MS" w:hAnsi="Arial" w:cs="Arial"/>
                <w:sz w:val="18"/>
                <w:szCs w:val="18"/>
                <w:lang w:val="es-ES_tradnl"/>
              </w:rPr>
              <w:t>realizadas con el programa (Unidad de Medición: Millones de US$)</w:t>
            </w:r>
          </w:p>
        </w:tc>
        <w:tc>
          <w:tcPr>
            <w:tcW w:w="1994" w:type="dxa"/>
          </w:tcPr>
          <w:p w14:paraId="5F14A011" w14:textId="47C234EB" w:rsidR="00B3207E" w:rsidRPr="001010E7" w:rsidRDefault="00C04C7F" w:rsidP="001010E7">
            <w:pPr>
              <w:pStyle w:val="Default"/>
              <w:jc w:val="both"/>
              <w:rPr>
                <w:rFonts w:ascii="Arial" w:hAnsi="Arial" w:cs="Arial"/>
                <w:color w:val="auto"/>
                <w:sz w:val="18"/>
                <w:szCs w:val="18"/>
                <w:lang w:val="es-AR"/>
              </w:rPr>
            </w:pPr>
            <w:r w:rsidRPr="001010E7">
              <w:rPr>
                <w:rFonts w:ascii="Arial" w:eastAsia="Arial Unicode MS" w:hAnsi="Arial" w:cs="Arial"/>
                <w:sz w:val="18"/>
                <w:szCs w:val="18"/>
                <w:lang w:val="es-ES_tradnl"/>
              </w:rPr>
              <w:t>Millones de US$</w:t>
            </w:r>
          </w:p>
        </w:tc>
        <w:tc>
          <w:tcPr>
            <w:tcW w:w="1527" w:type="dxa"/>
          </w:tcPr>
          <w:p w14:paraId="354D8DCF" w14:textId="77777777" w:rsidR="00B3207E" w:rsidRPr="001010E7" w:rsidRDefault="00B3207E"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Anual</w:t>
            </w:r>
          </w:p>
        </w:tc>
        <w:tc>
          <w:tcPr>
            <w:tcW w:w="2024" w:type="dxa"/>
          </w:tcPr>
          <w:p w14:paraId="7B460BAC" w14:textId="77777777" w:rsidR="00B3207E" w:rsidRPr="001010E7" w:rsidRDefault="00B3207E" w:rsidP="001010E7">
            <w:pPr>
              <w:pStyle w:val="Default"/>
              <w:jc w:val="both"/>
              <w:rPr>
                <w:rFonts w:ascii="Arial" w:hAnsi="Arial" w:cs="Arial"/>
                <w:color w:val="auto"/>
                <w:sz w:val="18"/>
                <w:szCs w:val="18"/>
                <w:lang w:val="es-AR"/>
              </w:rPr>
            </w:pPr>
            <w:r w:rsidRPr="001010E7">
              <w:rPr>
                <w:rFonts w:ascii="Arial" w:hAnsi="Arial" w:cs="Arial"/>
                <w:color w:val="auto"/>
                <w:sz w:val="18"/>
                <w:szCs w:val="18"/>
                <w:lang w:val="es-AR"/>
              </w:rPr>
              <w:t>Información Administrativa: Sistema de Información de Financiera Nacional</w:t>
            </w:r>
          </w:p>
        </w:tc>
      </w:tr>
      <w:tr w:rsidR="006B1793" w:rsidRPr="00D47E65" w14:paraId="50A67F1B" w14:textId="77777777" w:rsidTr="003A3AAB">
        <w:trPr>
          <w:trHeight w:val="1160"/>
          <w:jc w:val="center"/>
        </w:trPr>
        <w:tc>
          <w:tcPr>
            <w:tcW w:w="3365" w:type="dxa"/>
          </w:tcPr>
          <w:p w14:paraId="6DB08ED7" w14:textId="79E60120" w:rsidR="006B1793" w:rsidRPr="001010E7" w:rsidRDefault="00C04C7F" w:rsidP="006B1793">
            <w:pPr>
              <w:rPr>
                <w:rFonts w:ascii="Arial" w:eastAsia="Arial Unicode MS" w:hAnsi="Arial" w:cs="Arial"/>
                <w:sz w:val="18"/>
                <w:szCs w:val="18"/>
                <w:lang w:val="es-ES_tradnl"/>
              </w:rPr>
            </w:pPr>
            <w:bookmarkStart w:id="9" w:name="_Hlk487719811"/>
            <w:r w:rsidRPr="001010E7">
              <w:rPr>
                <w:rFonts w:ascii="Arial" w:eastAsia="Arial Unicode MS" w:hAnsi="Arial" w:cs="Arial"/>
                <w:sz w:val="18"/>
                <w:szCs w:val="18"/>
                <w:lang w:val="es-ES_tradnl"/>
              </w:rPr>
              <w:t>Porcentaje de beneficiarios de FND que por primera vez reciben crédito formal</w:t>
            </w:r>
            <w:bookmarkEnd w:id="9"/>
            <w:r w:rsidRPr="001010E7" w:rsidDel="00C04C7F">
              <w:rPr>
                <w:rFonts w:ascii="Arial" w:eastAsia="Arial Unicode MS" w:hAnsi="Arial" w:cs="Arial"/>
                <w:sz w:val="18"/>
                <w:szCs w:val="18"/>
                <w:lang w:val="es-ES_tradnl"/>
              </w:rPr>
              <w:t xml:space="preserve"> </w:t>
            </w:r>
          </w:p>
        </w:tc>
        <w:tc>
          <w:tcPr>
            <w:tcW w:w="1994" w:type="dxa"/>
          </w:tcPr>
          <w:p w14:paraId="2964B236" w14:textId="07C6144D" w:rsidR="006B1793" w:rsidRPr="001010E7" w:rsidRDefault="00C04C7F" w:rsidP="001010E7">
            <w:pPr>
              <w:pStyle w:val="Default"/>
              <w:rPr>
                <w:rFonts w:ascii="Arial" w:hAnsi="Arial" w:cs="Arial"/>
                <w:color w:val="auto"/>
                <w:sz w:val="18"/>
                <w:szCs w:val="18"/>
                <w:lang w:val="es-AR"/>
              </w:rPr>
            </w:pPr>
            <w:r w:rsidRPr="001010E7">
              <w:rPr>
                <w:rFonts w:ascii="Arial" w:hAnsi="Arial" w:cs="Arial"/>
                <w:sz w:val="18"/>
                <w:szCs w:val="18"/>
              </w:rPr>
              <w:t>%</w:t>
            </w:r>
            <w:r w:rsidR="006B1793" w:rsidRPr="001010E7" w:rsidDel="009D19AF">
              <w:rPr>
                <w:rFonts w:ascii="Arial" w:hAnsi="Arial" w:cs="Arial"/>
                <w:color w:val="auto"/>
                <w:sz w:val="18"/>
                <w:szCs w:val="18"/>
                <w:lang w:val="es-AR"/>
              </w:rPr>
              <w:t xml:space="preserve"> </w:t>
            </w:r>
          </w:p>
        </w:tc>
        <w:tc>
          <w:tcPr>
            <w:tcW w:w="1527" w:type="dxa"/>
          </w:tcPr>
          <w:p w14:paraId="17158EDF" w14:textId="77777777" w:rsidR="006B1793" w:rsidRPr="001010E7" w:rsidRDefault="006B1793" w:rsidP="006B1793">
            <w:pPr>
              <w:pStyle w:val="Default"/>
              <w:jc w:val="center"/>
              <w:rPr>
                <w:rFonts w:ascii="Arial" w:hAnsi="Arial" w:cs="Arial"/>
                <w:color w:val="auto"/>
                <w:sz w:val="18"/>
                <w:szCs w:val="18"/>
                <w:lang w:val="es-AR"/>
              </w:rPr>
            </w:pPr>
            <w:r w:rsidRPr="001010E7">
              <w:rPr>
                <w:rFonts w:ascii="Arial" w:hAnsi="Arial" w:cs="Arial"/>
                <w:color w:val="auto"/>
                <w:sz w:val="18"/>
                <w:szCs w:val="18"/>
                <w:lang w:val="es-AR"/>
              </w:rPr>
              <w:t>Anual</w:t>
            </w:r>
          </w:p>
        </w:tc>
        <w:tc>
          <w:tcPr>
            <w:tcW w:w="2024" w:type="dxa"/>
          </w:tcPr>
          <w:p w14:paraId="3116BEE7" w14:textId="77777777" w:rsidR="006B1793" w:rsidRPr="001010E7" w:rsidRDefault="006B1793" w:rsidP="006B1793">
            <w:pPr>
              <w:pStyle w:val="Default"/>
              <w:rPr>
                <w:rFonts w:ascii="Arial" w:hAnsi="Arial" w:cs="Arial"/>
                <w:color w:val="auto"/>
                <w:sz w:val="18"/>
                <w:szCs w:val="18"/>
                <w:lang w:val="es-AR"/>
              </w:rPr>
            </w:pPr>
            <w:r w:rsidRPr="001010E7">
              <w:rPr>
                <w:rFonts w:ascii="Arial" w:hAnsi="Arial" w:cs="Arial"/>
                <w:color w:val="auto"/>
                <w:sz w:val="18"/>
                <w:szCs w:val="18"/>
                <w:lang w:val="es-AR"/>
              </w:rPr>
              <w:t>Información Administrativa: Sistema de Información de Financiera Nacional</w:t>
            </w:r>
          </w:p>
        </w:tc>
      </w:tr>
      <w:tr w:rsidR="006B1793" w:rsidRPr="00D47E65" w14:paraId="1EEB4DBE" w14:textId="77777777" w:rsidTr="00B337F5">
        <w:trPr>
          <w:trHeight w:val="1160"/>
          <w:jc w:val="center"/>
        </w:trPr>
        <w:tc>
          <w:tcPr>
            <w:tcW w:w="3365" w:type="dxa"/>
          </w:tcPr>
          <w:p w14:paraId="1E670AD3" w14:textId="032EBCE1" w:rsidR="006B1793" w:rsidRPr="001010E7" w:rsidRDefault="00C04C7F" w:rsidP="006B1793">
            <w:pPr>
              <w:rPr>
                <w:rFonts w:ascii="Arial" w:eastAsia="Arial Unicode MS" w:hAnsi="Arial" w:cs="Arial"/>
                <w:sz w:val="18"/>
                <w:szCs w:val="18"/>
                <w:lang w:val="es-ES_tradnl"/>
              </w:rPr>
            </w:pPr>
            <w:r w:rsidRPr="001010E7">
              <w:rPr>
                <w:rFonts w:ascii="Arial" w:eastAsia="Arial Unicode MS" w:hAnsi="Arial" w:cs="Arial"/>
                <w:sz w:val="18"/>
                <w:szCs w:val="18"/>
                <w:lang w:val="es-ES_tradnl"/>
              </w:rPr>
              <w:t>Diferencia en el valor medio de las exportaciones de las UER beneficiarias del programa en relación a UER comparables no beneficiarias para el 2019</w:t>
            </w:r>
          </w:p>
        </w:tc>
        <w:tc>
          <w:tcPr>
            <w:tcW w:w="1994" w:type="dxa"/>
          </w:tcPr>
          <w:p w14:paraId="7216F639" w14:textId="77777777" w:rsidR="006B1793" w:rsidRPr="001010E7" w:rsidRDefault="006B1793" w:rsidP="001010E7">
            <w:pPr>
              <w:pStyle w:val="Default"/>
              <w:rPr>
                <w:rFonts w:ascii="Arial" w:hAnsi="Arial" w:cs="Arial"/>
                <w:sz w:val="18"/>
                <w:szCs w:val="18"/>
                <w:lang w:val="es-ES_tradnl"/>
              </w:rPr>
            </w:pPr>
            <w:r w:rsidRPr="001010E7">
              <w:rPr>
                <w:rFonts w:ascii="Arial" w:eastAsia="Arial Unicode MS" w:hAnsi="Arial" w:cs="Arial"/>
                <w:sz w:val="18"/>
                <w:szCs w:val="18"/>
              </w:rPr>
              <w:t>Millones US$</w:t>
            </w:r>
          </w:p>
        </w:tc>
        <w:tc>
          <w:tcPr>
            <w:tcW w:w="1527" w:type="dxa"/>
          </w:tcPr>
          <w:p w14:paraId="75F0E409" w14:textId="77777777" w:rsidR="006B1793" w:rsidRPr="001010E7" w:rsidRDefault="006B1793" w:rsidP="006B1793">
            <w:pPr>
              <w:pStyle w:val="Default"/>
              <w:jc w:val="center"/>
              <w:rPr>
                <w:rFonts w:ascii="Arial" w:hAnsi="Arial" w:cs="Arial"/>
                <w:color w:val="auto"/>
                <w:sz w:val="18"/>
                <w:szCs w:val="18"/>
                <w:lang w:val="es-AR"/>
              </w:rPr>
            </w:pPr>
            <w:r w:rsidRPr="001010E7">
              <w:rPr>
                <w:rFonts w:ascii="Arial" w:hAnsi="Arial" w:cs="Arial"/>
                <w:color w:val="auto"/>
                <w:sz w:val="18"/>
                <w:szCs w:val="18"/>
                <w:lang w:val="es-AR"/>
              </w:rPr>
              <w:t>Anual</w:t>
            </w:r>
          </w:p>
        </w:tc>
        <w:tc>
          <w:tcPr>
            <w:tcW w:w="2024" w:type="dxa"/>
          </w:tcPr>
          <w:p w14:paraId="35692CE0" w14:textId="77777777" w:rsidR="006B1793" w:rsidRPr="001010E7" w:rsidRDefault="006B1793" w:rsidP="006B1793">
            <w:pPr>
              <w:pStyle w:val="Default"/>
              <w:rPr>
                <w:rFonts w:ascii="Arial" w:hAnsi="Arial" w:cs="Arial"/>
                <w:color w:val="auto"/>
                <w:sz w:val="18"/>
                <w:szCs w:val="18"/>
                <w:lang w:val="es-AR"/>
              </w:rPr>
            </w:pPr>
            <w:r w:rsidRPr="001010E7">
              <w:rPr>
                <w:rFonts w:ascii="Arial" w:hAnsi="Arial" w:cs="Arial"/>
                <w:color w:val="auto"/>
                <w:sz w:val="18"/>
                <w:szCs w:val="18"/>
                <w:lang w:val="es-AR"/>
              </w:rPr>
              <w:t>Información Administrativa: Sistema de Información de Financiera Nacional</w:t>
            </w:r>
          </w:p>
        </w:tc>
      </w:tr>
    </w:tbl>
    <w:p w14:paraId="441226A0" w14:textId="77777777" w:rsidR="00062D0D" w:rsidRPr="001010E7" w:rsidRDefault="00062D0D" w:rsidP="00344FA5">
      <w:pPr>
        <w:pStyle w:val="SecHeading"/>
        <w:tabs>
          <w:tab w:val="clear" w:pos="1296"/>
        </w:tabs>
        <w:spacing w:before="240"/>
        <w:ind w:left="720" w:firstLine="0"/>
        <w:rPr>
          <w:rFonts w:ascii="Arial" w:hAnsi="Arial" w:cs="Arial"/>
          <w:color w:val="auto"/>
          <w:sz w:val="22"/>
          <w:szCs w:val="22"/>
        </w:rPr>
      </w:pPr>
      <w:bookmarkStart w:id="10" w:name="_Toc352756754"/>
      <w:bookmarkStart w:id="11" w:name="_Toc415826267"/>
      <w:r w:rsidRPr="001010E7">
        <w:rPr>
          <w:rFonts w:ascii="Arial" w:hAnsi="Arial" w:cs="Arial"/>
          <w:color w:val="auto"/>
          <w:sz w:val="22"/>
          <w:szCs w:val="22"/>
        </w:rPr>
        <w:t>Recolección de Información e Instrumentos</w:t>
      </w:r>
      <w:bookmarkEnd w:id="10"/>
      <w:bookmarkEnd w:id="11"/>
    </w:p>
    <w:p w14:paraId="07608F3C" w14:textId="77777777" w:rsidR="00062D0D" w:rsidRPr="001010E7" w:rsidRDefault="00D40865"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Financiera Nacional</w:t>
      </w:r>
      <w:r w:rsidR="00062D0D" w:rsidRPr="001010E7">
        <w:rPr>
          <w:rFonts w:ascii="Arial" w:hAnsi="Arial" w:cs="Arial"/>
          <w:sz w:val="22"/>
          <w:szCs w:val="22"/>
          <w:lang w:val="es-ES_tradnl"/>
        </w:rPr>
        <w:t xml:space="preserve"> y el BID han acordado u</w:t>
      </w:r>
      <w:r w:rsidR="0099774C" w:rsidRPr="001010E7">
        <w:rPr>
          <w:rFonts w:ascii="Arial" w:hAnsi="Arial" w:cs="Arial"/>
          <w:sz w:val="22"/>
          <w:szCs w:val="22"/>
          <w:lang w:val="es-ES_tradnl"/>
        </w:rPr>
        <w:t xml:space="preserve">sar la Matriz de Resultados del </w:t>
      </w:r>
      <w:r w:rsidR="00062D0D" w:rsidRPr="001010E7">
        <w:rPr>
          <w:rFonts w:ascii="Arial" w:hAnsi="Arial" w:cs="Arial"/>
          <w:sz w:val="22"/>
          <w:szCs w:val="22"/>
          <w:lang w:val="es-ES_tradnl"/>
        </w:rPr>
        <w:t xml:space="preserve">Programa y las actividades definidas en el Plan de Monitoreo del Programa a los efectos de monitorear el progreso en su ejecución. Dicho monitoreo descansará en la información administrativa recolectada y mantenida por </w:t>
      </w:r>
      <w:r w:rsidRPr="001010E7">
        <w:rPr>
          <w:rFonts w:ascii="Arial" w:hAnsi="Arial" w:cs="Arial"/>
          <w:sz w:val="22"/>
          <w:szCs w:val="22"/>
          <w:lang w:val="es-ES_tradnl"/>
        </w:rPr>
        <w:t>Financiera Nacional</w:t>
      </w:r>
      <w:r w:rsidR="00062D0D" w:rsidRPr="001010E7">
        <w:rPr>
          <w:rFonts w:ascii="Arial" w:hAnsi="Arial" w:cs="Arial"/>
          <w:sz w:val="22"/>
          <w:szCs w:val="22"/>
          <w:lang w:val="es-ES_tradnl"/>
        </w:rPr>
        <w:t xml:space="preserve">.  </w:t>
      </w:r>
    </w:p>
    <w:p w14:paraId="1E63B2BC" w14:textId="77777777" w:rsidR="00062D0D" w:rsidRPr="001010E7" w:rsidRDefault="00062D0D"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El sistema de información de </w:t>
      </w:r>
      <w:r w:rsidR="00D40865" w:rsidRPr="001010E7">
        <w:rPr>
          <w:rFonts w:ascii="Arial" w:hAnsi="Arial" w:cs="Arial"/>
          <w:sz w:val="22"/>
          <w:szCs w:val="22"/>
          <w:lang w:val="es-ES_tradnl"/>
        </w:rPr>
        <w:t>Financiera Nacional</w:t>
      </w:r>
      <w:r w:rsidRPr="001010E7">
        <w:rPr>
          <w:rFonts w:ascii="Arial" w:hAnsi="Arial" w:cs="Arial"/>
          <w:sz w:val="22"/>
          <w:szCs w:val="22"/>
          <w:lang w:val="es-ES_tradnl"/>
        </w:rPr>
        <w:t xml:space="preserve"> contendrá registros e información administrativa sobre el financiamiento generado por el programa, incluyendo la información básica sobre el número de </w:t>
      </w:r>
      <w:r w:rsidR="00D645D8" w:rsidRPr="001010E7">
        <w:rPr>
          <w:rFonts w:ascii="Arial" w:hAnsi="Arial" w:cs="Arial"/>
          <w:sz w:val="22"/>
          <w:szCs w:val="22"/>
          <w:lang w:val="es-ES_tradnl"/>
        </w:rPr>
        <w:t>unidades rurales</w:t>
      </w:r>
      <w:r w:rsidRPr="001010E7">
        <w:rPr>
          <w:rFonts w:ascii="Arial" w:hAnsi="Arial" w:cs="Arial"/>
          <w:sz w:val="22"/>
          <w:szCs w:val="22"/>
          <w:lang w:val="es-ES_tradnl"/>
        </w:rPr>
        <w:t xml:space="preserve"> atendidas, así como también indicadores de desempeño de la cartera, obtenidos a partir de la información provista por </w:t>
      </w:r>
      <w:r w:rsidR="00C4283E" w:rsidRPr="001010E7">
        <w:rPr>
          <w:rFonts w:ascii="Arial" w:hAnsi="Arial" w:cs="Arial"/>
          <w:sz w:val="22"/>
          <w:szCs w:val="22"/>
          <w:lang w:val="es-ES_tradnl"/>
        </w:rPr>
        <w:t xml:space="preserve">la Financiera Nacional propiamente y por </w:t>
      </w:r>
      <w:r w:rsidRPr="001010E7">
        <w:rPr>
          <w:rFonts w:ascii="Arial" w:hAnsi="Arial" w:cs="Arial"/>
          <w:sz w:val="22"/>
          <w:szCs w:val="22"/>
          <w:lang w:val="es-ES_tradnl"/>
        </w:rPr>
        <w:t xml:space="preserve">las entidades financieras que canalicen </w:t>
      </w:r>
      <w:r w:rsidR="00C4283E" w:rsidRPr="001010E7">
        <w:rPr>
          <w:rFonts w:ascii="Arial" w:hAnsi="Arial" w:cs="Arial"/>
          <w:sz w:val="22"/>
          <w:szCs w:val="22"/>
          <w:lang w:val="es-ES_tradnl"/>
        </w:rPr>
        <w:t>sus</w:t>
      </w:r>
      <w:r w:rsidRPr="001010E7">
        <w:rPr>
          <w:rFonts w:ascii="Arial" w:hAnsi="Arial" w:cs="Arial"/>
          <w:sz w:val="22"/>
          <w:szCs w:val="22"/>
          <w:lang w:val="es-ES_tradnl"/>
        </w:rPr>
        <w:t xml:space="preserve"> recursos. El sistema será mantenido y gestionado </w:t>
      </w:r>
      <w:r w:rsidRPr="001010E7">
        <w:rPr>
          <w:rFonts w:ascii="Arial" w:hAnsi="Arial" w:cs="Arial"/>
          <w:sz w:val="22"/>
          <w:szCs w:val="22"/>
          <w:lang w:val="es-ES_tradnl"/>
        </w:rPr>
        <w:lastRenderedPageBreak/>
        <w:t xml:space="preserve">por </w:t>
      </w:r>
      <w:r w:rsidR="00D40865" w:rsidRPr="001010E7">
        <w:rPr>
          <w:rFonts w:ascii="Arial" w:hAnsi="Arial" w:cs="Arial"/>
          <w:sz w:val="22"/>
          <w:szCs w:val="22"/>
          <w:lang w:val="es-ES_tradnl"/>
        </w:rPr>
        <w:t>Financiera Nacional</w:t>
      </w:r>
      <w:r w:rsidRPr="001010E7">
        <w:rPr>
          <w:rFonts w:ascii="Arial" w:hAnsi="Arial" w:cs="Arial"/>
          <w:sz w:val="22"/>
          <w:szCs w:val="22"/>
          <w:lang w:val="es-ES_tradnl"/>
        </w:rPr>
        <w:t xml:space="preserve">. El monitoreo y reporte de los productos previstos en la Matriz de Resultados será obtenido a partir de informaciones de tipo administrativo. </w:t>
      </w:r>
    </w:p>
    <w:p w14:paraId="71CCAA24" w14:textId="77777777" w:rsidR="00062D0D" w:rsidRPr="001010E7" w:rsidRDefault="009D19AF"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Además</w:t>
      </w:r>
      <w:r w:rsidR="006B1793" w:rsidRPr="001010E7">
        <w:rPr>
          <w:rFonts w:ascii="Arial" w:hAnsi="Arial" w:cs="Arial"/>
          <w:sz w:val="22"/>
          <w:szCs w:val="22"/>
          <w:lang w:val="es-ES_tradnl"/>
        </w:rPr>
        <w:t xml:space="preserve"> de la información administrativa del propio programa</w:t>
      </w:r>
      <w:r w:rsidRPr="001010E7">
        <w:rPr>
          <w:rFonts w:ascii="Arial" w:hAnsi="Arial" w:cs="Arial"/>
          <w:sz w:val="22"/>
          <w:szCs w:val="22"/>
          <w:lang w:val="es-ES_tradnl"/>
        </w:rPr>
        <w:t>, se cuenta con o</w:t>
      </w:r>
      <w:r w:rsidR="00062D0D" w:rsidRPr="001010E7">
        <w:rPr>
          <w:rFonts w:ascii="Arial" w:hAnsi="Arial" w:cs="Arial"/>
          <w:sz w:val="22"/>
          <w:szCs w:val="22"/>
          <w:lang w:val="es-ES_tradnl"/>
        </w:rPr>
        <w:t>tra fuente de información importante,</w:t>
      </w:r>
      <w:r w:rsidR="006B1793" w:rsidRPr="001010E7">
        <w:rPr>
          <w:rFonts w:ascii="Arial" w:hAnsi="Arial" w:cs="Arial"/>
          <w:sz w:val="22"/>
          <w:szCs w:val="22"/>
          <w:lang w:val="es-ES_tradnl"/>
        </w:rPr>
        <w:t xml:space="preserve"> </w:t>
      </w:r>
      <w:r w:rsidRPr="001010E7">
        <w:rPr>
          <w:rFonts w:ascii="Arial" w:hAnsi="Arial" w:cs="Arial"/>
          <w:sz w:val="22"/>
          <w:szCs w:val="22"/>
          <w:lang w:val="es-ES_tradnl"/>
        </w:rPr>
        <w:t xml:space="preserve">como son </w:t>
      </w:r>
      <w:r w:rsidR="00062D0D" w:rsidRPr="001010E7">
        <w:rPr>
          <w:rFonts w:ascii="Arial" w:hAnsi="Arial" w:cs="Arial"/>
          <w:sz w:val="22"/>
          <w:szCs w:val="22"/>
          <w:lang w:val="es-ES_tradnl"/>
        </w:rPr>
        <w:t>las informaciones recolectadas a partir de encuestas tanto para las empresas beneficiarias como para las comparables, no beneficiarias</w:t>
      </w:r>
      <w:r w:rsidRPr="001010E7">
        <w:rPr>
          <w:rFonts w:ascii="Arial" w:hAnsi="Arial" w:cs="Arial"/>
          <w:sz w:val="22"/>
          <w:szCs w:val="22"/>
          <w:lang w:val="es-ES_tradnl"/>
        </w:rPr>
        <w:t xml:space="preserve"> que se levantaron en 2016 y 2017</w:t>
      </w:r>
      <w:r w:rsidR="00062D0D" w:rsidRPr="001010E7">
        <w:rPr>
          <w:rFonts w:ascii="Arial" w:hAnsi="Arial" w:cs="Arial"/>
          <w:sz w:val="22"/>
          <w:szCs w:val="22"/>
          <w:lang w:val="es-ES_tradnl"/>
        </w:rPr>
        <w:t xml:space="preserve"> (ver plan de evaluación más adelante).</w:t>
      </w:r>
    </w:p>
    <w:p w14:paraId="53A80ABB" w14:textId="77777777" w:rsidR="00062D0D" w:rsidRPr="001010E7" w:rsidRDefault="00062D0D" w:rsidP="00E769AA">
      <w:pPr>
        <w:pStyle w:val="SecHeading"/>
        <w:rPr>
          <w:rFonts w:ascii="Arial" w:hAnsi="Arial" w:cs="Arial"/>
          <w:color w:val="auto"/>
          <w:sz w:val="22"/>
          <w:szCs w:val="22"/>
        </w:rPr>
      </w:pPr>
      <w:bookmarkStart w:id="12" w:name="_Toc352756755"/>
      <w:bookmarkStart w:id="13" w:name="_Toc415826268"/>
      <w:r w:rsidRPr="001010E7">
        <w:rPr>
          <w:rFonts w:ascii="Arial" w:hAnsi="Arial" w:cs="Arial"/>
          <w:color w:val="auto"/>
          <w:sz w:val="22"/>
          <w:szCs w:val="22"/>
        </w:rPr>
        <w:t>Reportes</w:t>
      </w:r>
      <w:bookmarkEnd w:id="12"/>
      <w:bookmarkEnd w:id="13"/>
      <w:r w:rsidRPr="001010E7">
        <w:rPr>
          <w:rFonts w:ascii="Arial" w:hAnsi="Arial" w:cs="Arial"/>
          <w:color w:val="auto"/>
          <w:sz w:val="22"/>
          <w:szCs w:val="22"/>
        </w:rPr>
        <w:t xml:space="preserve"> </w:t>
      </w:r>
    </w:p>
    <w:p w14:paraId="70B09840" w14:textId="77777777" w:rsidR="00062D0D" w:rsidRPr="001010E7" w:rsidRDefault="00062D0D"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La ejecución del programa será monitoreada a través de informes de seguimiento. Dichos informes serán preparados por </w:t>
      </w:r>
      <w:r w:rsidR="00D40865" w:rsidRPr="001010E7">
        <w:rPr>
          <w:rFonts w:ascii="Arial" w:hAnsi="Arial" w:cs="Arial"/>
          <w:sz w:val="22"/>
          <w:szCs w:val="22"/>
          <w:lang w:val="es-ES_tradnl"/>
        </w:rPr>
        <w:t>Financiera Nacional</w:t>
      </w:r>
      <w:r w:rsidRPr="001010E7">
        <w:rPr>
          <w:rFonts w:ascii="Arial" w:hAnsi="Arial" w:cs="Arial"/>
          <w:sz w:val="22"/>
          <w:szCs w:val="22"/>
          <w:lang w:val="es-ES_tradnl"/>
        </w:rPr>
        <w:t xml:space="preserve"> y enviados al Banco en los plazos estipulados en las condiciones generales de contratación. Estos informes, que constituirán una fuente de información para el PMR,</w:t>
      </w:r>
      <w:r w:rsidR="009408CA" w:rsidRPr="001010E7">
        <w:rPr>
          <w:rFonts w:ascii="Arial" w:hAnsi="Arial" w:cs="Arial"/>
          <w:sz w:val="22"/>
          <w:szCs w:val="22"/>
          <w:lang w:val="es-ES_tradnl"/>
        </w:rPr>
        <w:t xml:space="preserve"> incluyen: (i) </w:t>
      </w:r>
      <w:r w:rsidRPr="001010E7">
        <w:rPr>
          <w:rFonts w:ascii="Arial" w:hAnsi="Arial" w:cs="Arial"/>
          <w:sz w:val="22"/>
          <w:szCs w:val="22"/>
          <w:lang w:val="es-ES_tradnl"/>
        </w:rPr>
        <w:t>informes semestrales</w:t>
      </w:r>
      <w:r w:rsidR="009408CA" w:rsidRPr="001010E7">
        <w:rPr>
          <w:rFonts w:ascii="Arial" w:hAnsi="Arial" w:cs="Arial"/>
          <w:sz w:val="22"/>
          <w:szCs w:val="22"/>
          <w:lang w:val="es-ES_tradnl"/>
        </w:rPr>
        <w:t>;</w:t>
      </w:r>
      <w:r w:rsidRPr="001010E7">
        <w:rPr>
          <w:rFonts w:ascii="Arial" w:hAnsi="Arial" w:cs="Arial"/>
          <w:sz w:val="22"/>
          <w:szCs w:val="22"/>
          <w:lang w:val="es-ES_tradnl"/>
        </w:rPr>
        <w:t xml:space="preserve"> y (ii) un Informe Final, al final de la ejecución del programa. En general, estos informes proporcionarán evidencia sobre: </w:t>
      </w:r>
      <w:r w:rsidR="009408CA" w:rsidRPr="001010E7">
        <w:rPr>
          <w:rFonts w:ascii="Arial" w:hAnsi="Arial" w:cs="Arial"/>
          <w:sz w:val="22"/>
          <w:szCs w:val="22"/>
          <w:lang w:val="es-ES_tradnl"/>
        </w:rPr>
        <w:t>(</w:t>
      </w:r>
      <w:r w:rsidRPr="001010E7">
        <w:rPr>
          <w:rFonts w:ascii="Arial" w:hAnsi="Arial" w:cs="Arial"/>
          <w:sz w:val="22"/>
          <w:szCs w:val="22"/>
          <w:lang w:val="es-ES_tradnl"/>
        </w:rPr>
        <w:t xml:space="preserve">a) el estado de ejecución de las actividades del programa, </w:t>
      </w:r>
      <w:r w:rsidR="00C4283E" w:rsidRPr="001010E7">
        <w:rPr>
          <w:rFonts w:ascii="Arial" w:hAnsi="Arial" w:cs="Arial"/>
          <w:sz w:val="22"/>
          <w:szCs w:val="22"/>
          <w:lang w:val="es-ES_tradnl"/>
        </w:rPr>
        <w:t xml:space="preserve">el cumplimiento de los criterios de elegibilidad a nivel de proyecto y de programa, </w:t>
      </w:r>
      <w:r w:rsidRPr="001010E7">
        <w:rPr>
          <w:rFonts w:ascii="Arial" w:hAnsi="Arial" w:cs="Arial"/>
          <w:sz w:val="22"/>
          <w:szCs w:val="22"/>
          <w:lang w:val="es-ES_tradnl"/>
        </w:rPr>
        <w:t xml:space="preserve">los problemas y/o riesgos de ejecución identificados y las medidas propuestas para subsanar o mitigar esos problemas o riesgos; </w:t>
      </w:r>
      <w:r w:rsidR="009408CA" w:rsidRPr="001010E7">
        <w:rPr>
          <w:rFonts w:ascii="Arial" w:hAnsi="Arial" w:cs="Arial"/>
          <w:sz w:val="22"/>
          <w:szCs w:val="22"/>
          <w:lang w:val="es-ES_tradnl"/>
        </w:rPr>
        <w:t>(</w:t>
      </w:r>
      <w:r w:rsidRPr="001010E7">
        <w:rPr>
          <w:rFonts w:ascii="Arial" w:hAnsi="Arial" w:cs="Arial"/>
          <w:sz w:val="22"/>
          <w:szCs w:val="22"/>
          <w:lang w:val="es-ES_tradnl"/>
        </w:rPr>
        <w:t>b) la medida</w:t>
      </w:r>
      <w:r w:rsidR="00193596" w:rsidRPr="001010E7">
        <w:rPr>
          <w:rFonts w:ascii="Arial" w:hAnsi="Arial" w:cs="Arial"/>
          <w:sz w:val="22"/>
          <w:szCs w:val="22"/>
          <w:lang w:val="es-ES_tradnl"/>
        </w:rPr>
        <w:t xml:space="preserve"> en que se están cumpliendo las salvaguardas </w:t>
      </w:r>
      <w:r w:rsidRPr="001010E7">
        <w:rPr>
          <w:rFonts w:ascii="Arial" w:hAnsi="Arial" w:cs="Arial"/>
          <w:sz w:val="22"/>
          <w:szCs w:val="22"/>
          <w:lang w:val="es-ES_tradnl"/>
        </w:rPr>
        <w:t>ambientales</w:t>
      </w:r>
      <w:r w:rsidR="00193596" w:rsidRPr="001010E7">
        <w:rPr>
          <w:rFonts w:ascii="Arial" w:hAnsi="Arial" w:cs="Arial"/>
          <w:sz w:val="22"/>
          <w:szCs w:val="22"/>
          <w:lang w:val="es-ES_tradnl"/>
        </w:rPr>
        <w:t xml:space="preserve"> y sociales</w:t>
      </w:r>
      <w:r w:rsidRPr="001010E7">
        <w:rPr>
          <w:rFonts w:ascii="Arial" w:hAnsi="Arial" w:cs="Arial"/>
          <w:sz w:val="22"/>
          <w:szCs w:val="22"/>
          <w:lang w:val="es-ES_tradnl"/>
        </w:rPr>
        <w:t xml:space="preserve"> del programa; y </w:t>
      </w:r>
      <w:r w:rsidR="009408CA" w:rsidRPr="001010E7">
        <w:rPr>
          <w:rFonts w:ascii="Arial" w:hAnsi="Arial" w:cs="Arial"/>
          <w:sz w:val="22"/>
          <w:szCs w:val="22"/>
          <w:lang w:val="es-ES_tradnl"/>
        </w:rPr>
        <w:t>(</w:t>
      </w:r>
      <w:r w:rsidRPr="001010E7">
        <w:rPr>
          <w:rFonts w:ascii="Arial" w:hAnsi="Arial" w:cs="Arial"/>
          <w:sz w:val="22"/>
          <w:szCs w:val="22"/>
          <w:lang w:val="es-ES_tradnl"/>
        </w:rPr>
        <w:t xml:space="preserve">c) el logro de los indicadores de producto </w:t>
      </w:r>
      <w:r w:rsidR="00C4283E" w:rsidRPr="001010E7">
        <w:rPr>
          <w:rFonts w:ascii="Arial" w:hAnsi="Arial" w:cs="Arial"/>
          <w:sz w:val="22"/>
          <w:szCs w:val="22"/>
          <w:lang w:val="es-ES_tradnl"/>
        </w:rPr>
        <w:t>y resultados esperados</w:t>
      </w:r>
      <w:r w:rsidRPr="001010E7">
        <w:rPr>
          <w:rFonts w:ascii="Arial" w:hAnsi="Arial" w:cs="Arial"/>
          <w:sz w:val="22"/>
          <w:szCs w:val="22"/>
          <w:lang w:val="es-ES_tradnl"/>
        </w:rPr>
        <w:t>, en la medida en que estos se materialicen.</w:t>
      </w:r>
    </w:p>
    <w:p w14:paraId="41CDB3CE" w14:textId="77777777" w:rsidR="00062D0D" w:rsidRPr="001010E7" w:rsidRDefault="00062D0D"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Además, los esfuerzos de monitoreo del programa</w:t>
      </w:r>
      <w:r w:rsidR="00C4283E" w:rsidRPr="001010E7">
        <w:rPr>
          <w:rFonts w:ascii="Arial" w:hAnsi="Arial" w:cs="Arial"/>
          <w:sz w:val="22"/>
          <w:szCs w:val="22"/>
          <w:lang w:val="es-ES_tradnl"/>
        </w:rPr>
        <w:t xml:space="preserve">, los </w:t>
      </w:r>
      <w:r w:rsidR="004C24E4" w:rsidRPr="001010E7">
        <w:rPr>
          <w:rFonts w:ascii="Arial" w:hAnsi="Arial" w:cs="Arial"/>
          <w:sz w:val="22"/>
          <w:szCs w:val="22"/>
          <w:lang w:val="es-ES_tradnl"/>
        </w:rPr>
        <w:t xml:space="preserve">informes </w:t>
      </w:r>
      <w:r w:rsidR="00C4283E" w:rsidRPr="001010E7">
        <w:rPr>
          <w:rFonts w:ascii="Arial" w:hAnsi="Arial" w:cs="Arial"/>
          <w:sz w:val="22"/>
          <w:szCs w:val="22"/>
          <w:lang w:val="es-ES_tradnl"/>
        </w:rPr>
        <w:t xml:space="preserve">financieros del programa serán auditados anualmente por una firma auditora independiente aceptada por el Banco, contratada y pagada por la AE. Los </w:t>
      </w:r>
      <w:r w:rsidR="004C24E4" w:rsidRPr="001010E7">
        <w:rPr>
          <w:rFonts w:ascii="Arial" w:hAnsi="Arial" w:cs="Arial"/>
          <w:sz w:val="22"/>
          <w:szCs w:val="22"/>
          <w:lang w:val="es-ES_tradnl"/>
        </w:rPr>
        <w:t xml:space="preserve">informes </w:t>
      </w:r>
      <w:r w:rsidR="00C4283E" w:rsidRPr="001010E7">
        <w:rPr>
          <w:rFonts w:ascii="Arial" w:hAnsi="Arial" w:cs="Arial"/>
          <w:sz w:val="22"/>
          <w:szCs w:val="22"/>
          <w:lang w:val="es-ES_tradnl"/>
        </w:rPr>
        <w:t>financieros auditados del programa serán remitidos al Banco no más tarde 120 días después del cierre del año fiscal de la AE, siguiendo procedimientos y términos de referencia acordados con la Secretaría de Función Pública</w:t>
      </w:r>
      <w:r w:rsidRPr="001010E7">
        <w:rPr>
          <w:rFonts w:ascii="Arial" w:hAnsi="Arial" w:cs="Arial"/>
          <w:sz w:val="22"/>
          <w:szCs w:val="22"/>
          <w:lang w:val="es-ES_tradnl"/>
        </w:rPr>
        <w:t xml:space="preserve">.  </w:t>
      </w:r>
    </w:p>
    <w:p w14:paraId="0B77B6B0" w14:textId="77777777" w:rsidR="00062D0D" w:rsidRPr="001010E7" w:rsidRDefault="00062D0D" w:rsidP="00E769AA">
      <w:pPr>
        <w:pStyle w:val="SecHeading"/>
        <w:rPr>
          <w:rFonts w:ascii="Arial" w:hAnsi="Arial" w:cs="Arial"/>
          <w:color w:val="auto"/>
          <w:sz w:val="22"/>
          <w:szCs w:val="22"/>
        </w:rPr>
      </w:pPr>
      <w:bookmarkStart w:id="14" w:name="_Toc352756756"/>
      <w:bookmarkStart w:id="15" w:name="_Toc415826269"/>
      <w:r w:rsidRPr="001010E7">
        <w:rPr>
          <w:rFonts w:ascii="Arial" w:hAnsi="Arial" w:cs="Arial"/>
          <w:color w:val="auto"/>
          <w:sz w:val="22"/>
          <w:szCs w:val="22"/>
        </w:rPr>
        <w:t>Coordinación del Monitoreo, Plan de Trabajo y Presupuesto</w:t>
      </w:r>
      <w:bookmarkEnd w:id="14"/>
      <w:bookmarkEnd w:id="15"/>
      <w:r w:rsidRPr="001010E7">
        <w:rPr>
          <w:rFonts w:ascii="Arial" w:hAnsi="Arial" w:cs="Arial"/>
          <w:color w:val="auto"/>
          <w:sz w:val="22"/>
          <w:szCs w:val="22"/>
        </w:rPr>
        <w:t xml:space="preserve"> </w:t>
      </w:r>
    </w:p>
    <w:p w14:paraId="0AA8310B" w14:textId="77777777" w:rsidR="00062D0D" w:rsidRPr="001010E7" w:rsidRDefault="00D40865" w:rsidP="00344FA5">
      <w:pPr>
        <w:pStyle w:val="Paragraph"/>
        <w:tabs>
          <w:tab w:val="clear" w:pos="2736"/>
        </w:tabs>
        <w:ind w:left="720" w:hanging="720"/>
        <w:rPr>
          <w:rFonts w:ascii="Arial" w:hAnsi="Arial" w:cs="Arial"/>
          <w:sz w:val="22"/>
          <w:szCs w:val="22"/>
          <w:lang w:val="es-ES_tradnl"/>
        </w:rPr>
      </w:pPr>
      <w:bookmarkStart w:id="16" w:name="_Toc352755939"/>
      <w:bookmarkStart w:id="17" w:name="_Toc387738398"/>
      <w:r w:rsidRPr="001010E7">
        <w:rPr>
          <w:rFonts w:ascii="Arial" w:hAnsi="Arial" w:cs="Arial"/>
          <w:sz w:val="22"/>
          <w:szCs w:val="22"/>
          <w:lang w:val="es-ES_tradnl"/>
        </w:rPr>
        <w:t>Financiera Nacional</w:t>
      </w:r>
      <w:r w:rsidR="00062D0D" w:rsidRPr="001010E7">
        <w:rPr>
          <w:rFonts w:ascii="Arial" w:hAnsi="Arial" w:cs="Arial"/>
          <w:sz w:val="22"/>
          <w:szCs w:val="22"/>
          <w:lang w:val="es-ES_tradnl"/>
        </w:rPr>
        <w:t xml:space="preserve"> será responsable por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6"/>
      <w:bookmarkEnd w:id="17"/>
    </w:p>
    <w:p w14:paraId="716E21D3" w14:textId="77777777" w:rsidR="00C7238F" w:rsidRPr="001010E7" w:rsidRDefault="00C7238F" w:rsidP="00344FA5">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Los costos de Monitoreo serán cubiertos por la Financiera Nacional.</w:t>
      </w:r>
    </w:p>
    <w:p w14:paraId="291489A6" w14:textId="77777777" w:rsidR="00E4468A" w:rsidRPr="001010E7" w:rsidRDefault="00E4468A" w:rsidP="00062D0D">
      <w:pPr>
        <w:pStyle w:val="Default"/>
        <w:spacing w:before="120"/>
        <w:jc w:val="center"/>
        <w:rPr>
          <w:rFonts w:ascii="Arial" w:hAnsi="Arial" w:cs="Arial"/>
          <w:b/>
          <w:color w:val="auto"/>
          <w:sz w:val="22"/>
          <w:szCs w:val="22"/>
          <w:lang w:val="es-AR"/>
        </w:rPr>
      </w:pPr>
    </w:p>
    <w:p w14:paraId="13F171A9" w14:textId="77777777" w:rsidR="00044C04" w:rsidRPr="001010E7" w:rsidRDefault="00044C04">
      <w:pPr>
        <w:spacing w:before="100" w:beforeAutospacing="1" w:after="100" w:afterAutospacing="1" w:line="240" w:lineRule="auto"/>
        <w:rPr>
          <w:rFonts w:ascii="Arial" w:hAnsi="Arial" w:cs="Arial"/>
          <w:b/>
          <w:lang w:val="es-AR"/>
        </w:rPr>
      </w:pPr>
      <w:r w:rsidRPr="001010E7">
        <w:rPr>
          <w:rFonts w:ascii="Arial" w:hAnsi="Arial" w:cs="Arial"/>
          <w:b/>
          <w:lang w:val="es-AR"/>
        </w:rPr>
        <w:br w:type="page"/>
      </w:r>
    </w:p>
    <w:p w14:paraId="30A21765" w14:textId="77777777" w:rsidR="00062D0D" w:rsidRPr="001010E7" w:rsidRDefault="00062D0D" w:rsidP="00062D0D">
      <w:pPr>
        <w:pStyle w:val="Default"/>
        <w:spacing w:before="120"/>
        <w:jc w:val="center"/>
        <w:rPr>
          <w:rFonts w:ascii="Arial" w:hAnsi="Arial" w:cs="Arial"/>
          <w:b/>
          <w:color w:val="auto"/>
          <w:sz w:val="22"/>
          <w:szCs w:val="22"/>
          <w:lang w:val="es-AR"/>
        </w:rPr>
      </w:pPr>
      <w:r w:rsidRPr="001010E7">
        <w:rPr>
          <w:rFonts w:ascii="Arial" w:hAnsi="Arial" w:cs="Arial"/>
          <w:b/>
          <w:color w:val="auto"/>
          <w:sz w:val="22"/>
          <w:szCs w:val="22"/>
          <w:lang w:val="es-AR"/>
        </w:rPr>
        <w:lastRenderedPageBreak/>
        <w:t xml:space="preserve">Cuadro 2 </w:t>
      </w:r>
    </w:p>
    <w:p w14:paraId="55683D9B" w14:textId="77777777" w:rsidR="00062D0D" w:rsidRPr="001010E7" w:rsidRDefault="00062D0D" w:rsidP="00E769AA">
      <w:pPr>
        <w:pStyle w:val="Default"/>
        <w:spacing w:after="40"/>
        <w:jc w:val="center"/>
        <w:rPr>
          <w:rFonts w:ascii="Arial" w:hAnsi="Arial" w:cs="Arial"/>
          <w:b/>
          <w:color w:val="auto"/>
          <w:sz w:val="22"/>
          <w:szCs w:val="22"/>
          <w:lang w:val="es-AR"/>
        </w:rPr>
      </w:pPr>
      <w:r w:rsidRPr="001010E7">
        <w:rPr>
          <w:rFonts w:ascii="Arial" w:hAnsi="Arial" w:cs="Arial"/>
          <w:b/>
          <w:color w:val="auto"/>
          <w:sz w:val="22"/>
          <w:szCs w:val="22"/>
          <w:lang w:val="es-AR"/>
        </w:rPr>
        <w:t xml:space="preserve">Plan de Trabajo </w:t>
      </w:r>
      <w:r w:rsidR="00C7238F" w:rsidRPr="001010E7">
        <w:rPr>
          <w:rFonts w:ascii="Arial" w:hAnsi="Arial" w:cs="Arial"/>
          <w:b/>
          <w:color w:val="auto"/>
          <w:sz w:val="22"/>
          <w:szCs w:val="22"/>
          <w:lang w:val="es-AR"/>
        </w:rPr>
        <w:t xml:space="preserve">y Presupuesto </w:t>
      </w:r>
      <w:r w:rsidRPr="001010E7">
        <w:rPr>
          <w:rFonts w:ascii="Arial" w:hAnsi="Arial" w:cs="Arial"/>
          <w:b/>
          <w:color w:val="auto"/>
          <w:sz w:val="22"/>
          <w:szCs w:val="22"/>
          <w:lang w:val="es-AR"/>
        </w:rPr>
        <w:t>de Monitoreo</w:t>
      </w:r>
    </w:p>
    <w:tbl>
      <w:tblPr>
        <w:tblStyle w:val="TableGrid"/>
        <w:tblW w:w="9675" w:type="dxa"/>
        <w:jc w:val="center"/>
        <w:tblLayout w:type="fixed"/>
        <w:tblLook w:val="04A0" w:firstRow="1" w:lastRow="0" w:firstColumn="1" w:lastColumn="0" w:noHBand="0" w:noVBand="1"/>
      </w:tblPr>
      <w:tblGrid>
        <w:gridCol w:w="1864"/>
        <w:gridCol w:w="360"/>
        <w:gridCol w:w="360"/>
        <w:gridCol w:w="360"/>
        <w:gridCol w:w="360"/>
        <w:gridCol w:w="360"/>
        <w:gridCol w:w="360"/>
        <w:gridCol w:w="360"/>
        <w:gridCol w:w="360"/>
        <w:gridCol w:w="360"/>
        <w:gridCol w:w="360"/>
        <w:gridCol w:w="1710"/>
        <w:gridCol w:w="1350"/>
        <w:gridCol w:w="1151"/>
      </w:tblGrid>
      <w:tr w:rsidR="00044C04" w:rsidRPr="001010E7" w14:paraId="24DEFD7F" w14:textId="77777777" w:rsidTr="00101B5A">
        <w:trPr>
          <w:jc w:val="center"/>
        </w:trPr>
        <w:tc>
          <w:tcPr>
            <w:tcW w:w="1864" w:type="dxa"/>
            <w:vMerge w:val="restart"/>
          </w:tcPr>
          <w:p w14:paraId="1B103AD4" w14:textId="77777777" w:rsidR="00062D0D" w:rsidRPr="00B23134" w:rsidRDefault="00062D0D" w:rsidP="00D13924">
            <w:pPr>
              <w:rPr>
                <w:rFonts w:ascii="Arial" w:hAnsi="Arial" w:cs="Arial"/>
                <w:b/>
                <w:sz w:val="18"/>
                <w:szCs w:val="18"/>
                <w:lang w:val="es-AR"/>
              </w:rPr>
            </w:pPr>
            <w:r w:rsidRPr="00B23134">
              <w:rPr>
                <w:rFonts w:ascii="Arial" w:hAnsi="Arial" w:cs="Arial"/>
                <w:b/>
                <w:sz w:val="18"/>
                <w:szCs w:val="18"/>
                <w:lang w:val="es-AR"/>
              </w:rPr>
              <w:t>Actividades Claves de Monitoreo / Productos por Actividad</w:t>
            </w:r>
          </w:p>
        </w:tc>
        <w:tc>
          <w:tcPr>
            <w:tcW w:w="720" w:type="dxa"/>
            <w:gridSpan w:val="2"/>
          </w:tcPr>
          <w:p w14:paraId="58AD907C" w14:textId="77777777" w:rsidR="00062D0D" w:rsidRPr="00B23134" w:rsidRDefault="00062D0D" w:rsidP="00D13924">
            <w:pPr>
              <w:rPr>
                <w:rFonts w:ascii="Arial" w:hAnsi="Arial" w:cs="Arial"/>
                <w:b/>
                <w:sz w:val="18"/>
                <w:szCs w:val="18"/>
                <w:lang w:val="es-AR"/>
              </w:rPr>
            </w:pPr>
            <w:r w:rsidRPr="00B23134">
              <w:rPr>
                <w:rFonts w:ascii="Arial" w:hAnsi="Arial" w:cs="Arial"/>
                <w:b/>
                <w:sz w:val="18"/>
                <w:szCs w:val="18"/>
                <w:lang w:val="es-AR"/>
              </w:rPr>
              <w:t>201</w:t>
            </w:r>
            <w:r w:rsidR="009D19AF" w:rsidRPr="00B23134">
              <w:rPr>
                <w:rFonts w:ascii="Arial" w:hAnsi="Arial" w:cs="Arial"/>
                <w:b/>
                <w:sz w:val="18"/>
                <w:szCs w:val="18"/>
                <w:lang w:val="es-AR"/>
              </w:rPr>
              <w:t>7</w:t>
            </w:r>
          </w:p>
        </w:tc>
        <w:tc>
          <w:tcPr>
            <w:tcW w:w="720" w:type="dxa"/>
            <w:gridSpan w:val="2"/>
          </w:tcPr>
          <w:p w14:paraId="158CCB1A" w14:textId="77777777" w:rsidR="00062D0D" w:rsidRPr="00B23134" w:rsidRDefault="00062D0D" w:rsidP="00D13924">
            <w:pPr>
              <w:jc w:val="center"/>
              <w:rPr>
                <w:rFonts w:ascii="Arial" w:hAnsi="Arial" w:cs="Arial"/>
                <w:b/>
                <w:sz w:val="18"/>
                <w:szCs w:val="18"/>
                <w:lang w:val="es-AR"/>
              </w:rPr>
            </w:pPr>
            <w:r w:rsidRPr="00B23134">
              <w:rPr>
                <w:rFonts w:ascii="Arial" w:hAnsi="Arial" w:cs="Arial"/>
                <w:b/>
                <w:sz w:val="18"/>
                <w:szCs w:val="18"/>
                <w:lang w:val="es-AR"/>
              </w:rPr>
              <w:t>201</w:t>
            </w:r>
            <w:r w:rsidR="009D19AF" w:rsidRPr="00B23134">
              <w:rPr>
                <w:rFonts w:ascii="Arial" w:hAnsi="Arial" w:cs="Arial"/>
                <w:b/>
                <w:sz w:val="18"/>
                <w:szCs w:val="18"/>
                <w:lang w:val="es-AR"/>
              </w:rPr>
              <w:t>8</w:t>
            </w:r>
          </w:p>
        </w:tc>
        <w:tc>
          <w:tcPr>
            <w:tcW w:w="720" w:type="dxa"/>
            <w:gridSpan w:val="2"/>
          </w:tcPr>
          <w:p w14:paraId="5558670E" w14:textId="77777777" w:rsidR="00062D0D" w:rsidRPr="00B23134" w:rsidRDefault="00062D0D" w:rsidP="00D13924">
            <w:pPr>
              <w:jc w:val="center"/>
              <w:rPr>
                <w:rFonts w:ascii="Arial" w:hAnsi="Arial" w:cs="Arial"/>
                <w:b/>
                <w:sz w:val="18"/>
                <w:szCs w:val="18"/>
                <w:lang w:val="es-AR"/>
              </w:rPr>
            </w:pPr>
            <w:r w:rsidRPr="00B23134">
              <w:rPr>
                <w:rFonts w:ascii="Arial" w:hAnsi="Arial" w:cs="Arial"/>
                <w:b/>
                <w:sz w:val="18"/>
                <w:szCs w:val="18"/>
                <w:lang w:val="es-AR"/>
              </w:rPr>
              <w:t>201</w:t>
            </w:r>
            <w:r w:rsidR="009D19AF" w:rsidRPr="00B23134">
              <w:rPr>
                <w:rFonts w:ascii="Arial" w:hAnsi="Arial" w:cs="Arial"/>
                <w:b/>
                <w:sz w:val="18"/>
                <w:szCs w:val="18"/>
                <w:lang w:val="es-AR"/>
              </w:rPr>
              <w:t>9</w:t>
            </w:r>
          </w:p>
        </w:tc>
        <w:tc>
          <w:tcPr>
            <w:tcW w:w="720" w:type="dxa"/>
            <w:gridSpan w:val="2"/>
          </w:tcPr>
          <w:p w14:paraId="3B767048" w14:textId="77777777" w:rsidR="00062D0D" w:rsidRPr="00B23134" w:rsidRDefault="00910729" w:rsidP="00D13924">
            <w:pPr>
              <w:jc w:val="center"/>
              <w:rPr>
                <w:rFonts w:ascii="Arial" w:hAnsi="Arial" w:cs="Arial"/>
                <w:b/>
                <w:sz w:val="18"/>
                <w:szCs w:val="18"/>
                <w:lang w:val="es-AR"/>
              </w:rPr>
            </w:pPr>
            <w:r w:rsidRPr="00B23134">
              <w:rPr>
                <w:rFonts w:ascii="Arial" w:hAnsi="Arial" w:cs="Arial"/>
                <w:b/>
                <w:sz w:val="18"/>
                <w:szCs w:val="18"/>
                <w:lang w:val="es-AR"/>
              </w:rPr>
              <w:t>20</w:t>
            </w:r>
            <w:r w:rsidR="009D19AF" w:rsidRPr="00B23134">
              <w:rPr>
                <w:rFonts w:ascii="Arial" w:hAnsi="Arial" w:cs="Arial"/>
                <w:b/>
                <w:sz w:val="18"/>
                <w:szCs w:val="18"/>
                <w:lang w:val="es-AR"/>
              </w:rPr>
              <w:t>20</w:t>
            </w:r>
          </w:p>
        </w:tc>
        <w:tc>
          <w:tcPr>
            <w:tcW w:w="720" w:type="dxa"/>
            <w:gridSpan w:val="2"/>
          </w:tcPr>
          <w:p w14:paraId="49BE5F16" w14:textId="77777777" w:rsidR="00062D0D" w:rsidRPr="00B23134" w:rsidRDefault="00910729" w:rsidP="00D13924">
            <w:pPr>
              <w:jc w:val="center"/>
              <w:rPr>
                <w:rFonts w:ascii="Arial" w:hAnsi="Arial" w:cs="Arial"/>
                <w:b/>
                <w:sz w:val="18"/>
                <w:szCs w:val="18"/>
                <w:lang w:val="es-AR"/>
              </w:rPr>
            </w:pPr>
            <w:r w:rsidRPr="00B23134">
              <w:rPr>
                <w:rFonts w:ascii="Arial" w:hAnsi="Arial" w:cs="Arial"/>
                <w:b/>
                <w:sz w:val="18"/>
                <w:szCs w:val="18"/>
                <w:lang w:val="es-AR"/>
              </w:rPr>
              <w:t>20</w:t>
            </w:r>
            <w:r w:rsidR="009D19AF" w:rsidRPr="00B23134">
              <w:rPr>
                <w:rFonts w:ascii="Arial" w:hAnsi="Arial" w:cs="Arial"/>
                <w:b/>
                <w:sz w:val="18"/>
                <w:szCs w:val="18"/>
                <w:lang w:val="es-AR"/>
              </w:rPr>
              <w:t>21</w:t>
            </w:r>
          </w:p>
        </w:tc>
        <w:tc>
          <w:tcPr>
            <w:tcW w:w="1710" w:type="dxa"/>
            <w:vMerge w:val="restart"/>
          </w:tcPr>
          <w:p w14:paraId="27529C2C" w14:textId="77777777" w:rsidR="00062D0D" w:rsidRPr="00B23134" w:rsidRDefault="00062D0D" w:rsidP="00D13924">
            <w:pPr>
              <w:jc w:val="center"/>
              <w:rPr>
                <w:rFonts w:ascii="Arial" w:hAnsi="Arial" w:cs="Arial"/>
                <w:b/>
                <w:sz w:val="18"/>
                <w:szCs w:val="18"/>
                <w:lang w:val="es-AR"/>
              </w:rPr>
            </w:pPr>
            <w:r w:rsidRPr="00B23134">
              <w:rPr>
                <w:rFonts w:ascii="Arial" w:hAnsi="Arial" w:cs="Arial"/>
                <w:b/>
                <w:sz w:val="18"/>
                <w:szCs w:val="18"/>
                <w:lang w:val="es-AR"/>
              </w:rPr>
              <w:t>Costo / Divisa</w:t>
            </w:r>
          </w:p>
        </w:tc>
        <w:tc>
          <w:tcPr>
            <w:tcW w:w="1350" w:type="dxa"/>
            <w:vMerge w:val="restart"/>
          </w:tcPr>
          <w:p w14:paraId="273DFAE9" w14:textId="77777777" w:rsidR="00062D0D" w:rsidRPr="00B23134" w:rsidRDefault="00062D0D" w:rsidP="00D13924">
            <w:pPr>
              <w:jc w:val="center"/>
              <w:rPr>
                <w:rFonts w:ascii="Arial" w:hAnsi="Arial" w:cs="Arial"/>
                <w:b/>
                <w:sz w:val="18"/>
                <w:szCs w:val="18"/>
                <w:lang w:val="es-AR"/>
              </w:rPr>
            </w:pPr>
            <w:r w:rsidRPr="00B23134">
              <w:rPr>
                <w:rFonts w:ascii="Arial" w:hAnsi="Arial" w:cs="Arial"/>
                <w:b/>
                <w:sz w:val="18"/>
                <w:szCs w:val="18"/>
                <w:lang w:val="es-AR"/>
              </w:rPr>
              <w:t>Responsable</w:t>
            </w:r>
          </w:p>
        </w:tc>
        <w:tc>
          <w:tcPr>
            <w:tcW w:w="1151" w:type="dxa"/>
            <w:vMerge w:val="restart"/>
          </w:tcPr>
          <w:p w14:paraId="0FCF7598" w14:textId="77777777" w:rsidR="00062D0D" w:rsidRPr="00B23134" w:rsidRDefault="00062D0D" w:rsidP="00D13924">
            <w:pPr>
              <w:jc w:val="center"/>
              <w:rPr>
                <w:rFonts w:ascii="Arial" w:hAnsi="Arial" w:cs="Arial"/>
                <w:b/>
                <w:sz w:val="18"/>
                <w:szCs w:val="18"/>
                <w:lang w:val="es-AR"/>
              </w:rPr>
            </w:pPr>
            <w:r w:rsidRPr="00B23134">
              <w:rPr>
                <w:rFonts w:ascii="Arial" w:hAnsi="Arial" w:cs="Arial"/>
                <w:b/>
                <w:sz w:val="18"/>
                <w:szCs w:val="18"/>
                <w:lang w:val="es-AR"/>
              </w:rPr>
              <w:t>Fuente de fondeo</w:t>
            </w:r>
          </w:p>
        </w:tc>
      </w:tr>
      <w:tr w:rsidR="00044C04" w:rsidRPr="001010E7" w14:paraId="688784F3" w14:textId="77777777" w:rsidTr="00101B5A">
        <w:trPr>
          <w:trHeight w:val="260"/>
          <w:jc w:val="center"/>
        </w:trPr>
        <w:tc>
          <w:tcPr>
            <w:tcW w:w="1864" w:type="dxa"/>
            <w:vMerge/>
          </w:tcPr>
          <w:p w14:paraId="19AFAA3C" w14:textId="77777777" w:rsidR="00062D0D" w:rsidRPr="00B23134" w:rsidRDefault="00062D0D" w:rsidP="00D13924">
            <w:pPr>
              <w:jc w:val="center"/>
              <w:rPr>
                <w:rFonts w:ascii="Arial" w:hAnsi="Arial" w:cs="Arial"/>
                <w:sz w:val="18"/>
                <w:szCs w:val="18"/>
                <w:lang w:val="es-AR"/>
              </w:rPr>
            </w:pPr>
          </w:p>
        </w:tc>
        <w:tc>
          <w:tcPr>
            <w:tcW w:w="360" w:type="dxa"/>
          </w:tcPr>
          <w:p w14:paraId="03228303"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1</w:t>
            </w:r>
          </w:p>
        </w:tc>
        <w:tc>
          <w:tcPr>
            <w:tcW w:w="360" w:type="dxa"/>
          </w:tcPr>
          <w:p w14:paraId="5E08BAF1"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2</w:t>
            </w:r>
          </w:p>
        </w:tc>
        <w:tc>
          <w:tcPr>
            <w:tcW w:w="360" w:type="dxa"/>
          </w:tcPr>
          <w:p w14:paraId="0FF899E1"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1</w:t>
            </w:r>
          </w:p>
        </w:tc>
        <w:tc>
          <w:tcPr>
            <w:tcW w:w="360" w:type="dxa"/>
          </w:tcPr>
          <w:p w14:paraId="4F340D8D"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2</w:t>
            </w:r>
          </w:p>
        </w:tc>
        <w:tc>
          <w:tcPr>
            <w:tcW w:w="360" w:type="dxa"/>
          </w:tcPr>
          <w:p w14:paraId="1AF8B8A3"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1</w:t>
            </w:r>
          </w:p>
        </w:tc>
        <w:tc>
          <w:tcPr>
            <w:tcW w:w="360" w:type="dxa"/>
          </w:tcPr>
          <w:p w14:paraId="52CFF398"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2</w:t>
            </w:r>
          </w:p>
        </w:tc>
        <w:tc>
          <w:tcPr>
            <w:tcW w:w="360" w:type="dxa"/>
          </w:tcPr>
          <w:p w14:paraId="0EC0F8C5"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1</w:t>
            </w:r>
          </w:p>
        </w:tc>
        <w:tc>
          <w:tcPr>
            <w:tcW w:w="360" w:type="dxa"/>
          </w:tcPr>
          <w:p w14:paraId="1C145C49"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2</w:t>
            </w:r>
          </w:p>
        </w:tc>
        <w:tc>
          <w:tcPr>
            <w:tcW w:w="360" w:type="dxa"/>
          </w:tcPr>
          <w:p w14:paraId="54251145" w14:textId="77777777" w:rsidR="00062D0D" w:rsidRPr="00B23134" w:rsidRDefault="00062D0D" w:rsidP="00D13924">
            <w:pPr>
              <w:jc w:val="center"/>
              <w:rPr>
                <w:rFonts w:ascii="Arial" w:hAnsi="Arial" w:cs="Arial"/>
                <w:sz w:val="18"/>
                <w:szCs w:val="18"/>
                <w:lang w:val="es-AR"/>
              </w:rPr>
            </w:pPr>
          </w:p>
        </w:tc>
        <w:tc>
          <w:tcPr>
            <w:tcW w:w="360" w:type="dxa"/>
          </w:tcPr>
          <w:p w14:paraId="2D14591D" w14:textId="77777777" w:rsidR="00062D0D" w:rsidRPr="00B23134" w:rsidRDefault="00062D0D" w:rsidP="00D13924">
            <w:pPr>
              <w:jc w:val="center"/>
              <w:rPr>
                <w:rFonts w:ascii="Arial" w:hAnsi="Arial" w:cs="Arial"/>
                <w:sz w:val="18"/>
                <w:szCs w:val="18"/>
                <w:lang w:val="es-AR"/>
              </w:rPr>
            </w:pPr>
          </w:p>
        </w:tc>
        <w:tc>
          <w:tcPr>
            <w:tcW w:w="1710" w:type="dxa"/>
            <w:vMerge/>
          </w:tcPr>
          <w:p w14:paraId="00AB673C" w14:textId="77777777" w:rsidR="00062D0D" w:rsidRPr="00B23134" w:rsidRDefault="00062D0D" w:rsidP="00D13924">
            <w:pPr>
              <w:jc w:val="center"/>
              <w:rPr>
                <w:rFonts w:ascii="Arial" w:hAnsi="Arial" w:cs="Arial"/>
                <w:sz w:val="18"/>
                <w:szCs w:val="18"/>
                <w:lang w:val="es-AR"/>
              </w:rPr>
            </w:pPr>
          </w:p>
        </w:tc>
        <w:tc>
          <w:tcPr>
            <w:tcW w:w="1350" w:type="dxa"/>
            <w:vMerge/>
          </w:tcPr>
          <w:p w14:paraId="4AA41707" w14:textId="77777777" w:rsidR="00062D0D" w:rsidRPr="00B23134" w:rsidRDefault="00062D0D" w:rsidP="00D13924">
            <w:pPr>
              <w:jc w:val="center"/>
              <w:rPr>
                <w:rFonts w:ascii="Arial" w:hAnsi="Arial" w:cs="Arial"/>
                <w:sz w:val="18"/>
                <w:szCs w:val="18"/>
                <w:lang w:val="es-AR"/>
              </w:rPr>
            </w:pPr>
          </w:p>
        </w:tc>
        <w:tc>
          <w:tcPr>
            <w:tcW w:w="1151" w:type="dxa"/>
            <w:vMerge/>
          </w:tcPr>
          <w:p w14:paraId="14144429" w14:textId="77777777" w:rsidR="00062D0D" w:rsidRPr="00B23134" w:rsidRDefault="00062D0D" w:rsidP="00D13924">
            <w:pPr>
              <w:jc w:val="center"/>
              <w:rPr>
                <w:rFonts w:ascii="Arial" w:hAnsi="Arial" w:cs="Arial"/>
                <w:sz w:val="18"/>
                <w:szCs w:val="18"/>
                <w:lang w:val="es-AR"/>
              </w:rPr>
            </w:pPr>
          </w:p>
        </w:tc>
      </w:tr>
      <w:tr w:rsidR="00044C04" w:rsidRPr="001010E7" w14:paraId="618E254A" w14:textId="77777777" w:rsidTr="00101B5A">
        <w:trPr>
          <w:trHeight w:val="350"/>
          <w:jc w:val="center"/>
        </w:trPr>
        <w:tc>
          <w:tcPr>
            <w:tcW w:w="1864" w:type="dxa"/>
          </w:tcPr>
          <w:p w14:paraId="320456FD"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Reportes de Monitoreo Semestrales</w:t>
            </w:r>
          </w:p>
        </w:tc>
        <w:tc>
          <w:tcPr>
            <w:tcW w:w="360" w:type="dxa"/>
          </w:tcPr>
          <w:p w14:paraId="6B89F349" w14:textId="77777777" w:rsidR="00062D0D" w:rsidRPr="00B23134" w:rsidRDefault="00062D0D" w:rsidP="00D13924">
            <w:pPr>
              <w:jc w:val="center"/>
              <w:rPr>
                <w:rFonts w:ascii="Arial" w:hAnsi="Arial" w:cs="Arial"/>
                <w:sz w:val="18"/>
                <w:szCs w:val="18"/>
                <w:lang w:val="es-AR"/>
              </w:rPr>
            </w:pPr>
          </w:p>
        </w:tc>
        <w:tc>
          <w:tcPr>
            <w:tcW w:w="360" w:type="dxa"/>
          </w:tcPr>
          <w:p w14:paraId="26472D62"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13A4D7CE"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35F7AD16"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79B8081E"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241C7304"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72752DB4" w14:textId="77777777" w:rsidR="00062D0D" w:rsidRPr="00B23134" w:rsidRDefault="00062D0D" w:rsidP="00D13924">
            <w:pPr>
              <w:jc w:val="center"/>
              <w:rPr>
                <w:rFonts w:ascii="Arial" w:hAnsi="Arial" w:cs="Arial"/>
                <w:sz w:val="18"/>
                <w:szCs w:val="18"/>
                <w:highlight w:val="yellow"/>
                <w:lang w:val="es-AR"/>
              </w:rPr>
            </w:pPr>
          </w:p>
        </w:tc>
        <w:tc>
          <w:tcPr>
            <w:tcW w:w="360" w:type="dxa"/>
          </w:tcPr>
          <w:p w14:paraId="146736A6" w14:textId="77777777" w:rsidR="00062D0D" w:rsidRPr="00B23134" w:rsidRDefault="00062D0D" w:rsidP="00D13924">
            <w:pPr>
              <w:jc w:val="center"/>
              <w:rPr>
                <w:rFonts w:ascii="Arial" w:hAnsi="Arial" w:cs="Arial"/>
                <w:sz w:val="18"/>
                <w:szCs w:val="18"/>
                <w:highlight w:val="yellow"/>
                <w:lang w:val="es-AR"/>
              </w:rPr>
            </w:pPr>
          </w:p>
        </w:tc>
        <w:tc>
          <w:tcPr>
            <w:tcW w:w="360" w:type="dxa"/>
          </w:tcPr>
          <w:p w14:paraId="56A83347" w14:textId="77777777" w:rsidR="00062D0D" w:rsidRPr="00B23134" w:rsidRDefault="00062D0D" w:rsidP="00D13924">
            <w:pPr>
              <w:jc w:val="center"/>
              <w:rPr>
                <w:rFonts w:ascii="Arial" w:hAnsi="Arial" w:cs="Arial"/>
                <w:sz w:val="18"/>
                <w:szCs w:val="18"/>
                <w:highlight w:val="yellow"/>
                <w:lang w:val="es-AR"/>
              </w:rPr>
            </w:pPr>
          </w:p>
        </w:tc>
        <w:tc>
          <w:tcPr>
            <w:tcW w:w="360" w:type="dxa"/>
          </w:tcPr>
          <w:p w14:paraId="0DC414BF" w14:textId="77777777" w:rsidR="00062D0D" w:rsidRPr="00B23134" w:rsidRDefault="00062D0D" w:rsidP="00D13924">
            <w:pPr>
              <w:jc w:val="center"/>
              <w:rPr>
                <w:rFonts w:ascii="Arial" w:hAnsi="Arial" w:cs="Arial"/>
                <w:sz w:val="18"/>
                <w:szCs w:val="18"/>
                <w:highlight w:val="yellow"/>
                <w:lang w:val="es-AR"/>
              </w:rPr>
            </w:pPr>
          </w:p>
        </w:tc>
        <w:tc>
          <w:tcPr>
            <w:tcW w:w="1710" w:type="dxa"/>
          </w:tcPr>
          <w:p w14:paraId="365C90B8"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 xml:space="preserve">Imputado ejecución </w:t>
            </w:r>
          </w:p>
        </w:tc>
        <w:tc>
          <w:tcPr>
            <w:tcW w:w="1350" w:type="dxa"/>
          </w:tcPr>
          <w:p w14:paraId="1828B891"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Agencia Ejecutora</w:t>
            </w:r>
          </w:p>
        </w:tc>
        <w:tc>
          <w:tcPr>
            <w:tcW w:w="1151" w:type="dxa"/>
          </w:tcPr>
          <w:p w14:paraId="6D3D3E5B" w14:textId="77777777" w:rsidR="00062D0D" w:rsidRPr="00B23134" w:rsidRDefault="00062D0D" w:rsidP="00337DFD">
            <w:pPr>
              <w:jc w:val="center"/>
              <w:rPr>
                <w:rFonts w:ascii="Arial" w:hAnsi="Arial" w:cs="Arial"/>
                <w:sz w:val="18"/>
                <w:szCs w:val="18"/>
                <w:lang w:val="es-AR"/>
              </w:rPr>
            </w:pPr>
            <w:r w:rsidRPr="00B23134">
              <w:rPr>
                <w:rFonts w:ascii="Arial" w:hAnsi="Arial" w:cs="Arial"/>
                <w:sz w:val="18"/>
                <w:szCs w:val="18"/>
                <w:lang w:val="es-AR"/>
              </w:rPr>
              <w:t xml:space="preserve">Recursos </w:t>
            </w:r>
            <w:r w:rsidR="00ED2762" w:rsidRPr="00B23134">
              <w:rPr>
                <w:rFonts w:ascii="Arial" w:hAnsi="Arial" w:cs="Arial"/>
                <w:sz w:val="18"/>
                <w:szCs w:val="18"/>
                <w:lang w:val="es-AR"/>
              </w:rPr>
              <w:t xml:space="preserve">Agencia </w:t>
            </w:r>
            <w:r w:rsidR="00337DFD" w:rsidRPr="00B23134">
              <w:rPr>
                <w:rFonts w:ascii="Arial" w:hAnsi="Arial" w:cs="Arial"/>
                <w:sz w:val="18"/>
                <w:szCs w:val="18"/>
                <w:lang w:val="es-AR"/>
              </w:rPr>
              <w:t>E</w:t>
            </w:r>
            <w:r w:rsidR="00ED2762" w:rsidRPr="00B23134">
              <w:rPr>
                <w:rFonts w:ascii="Arial" w:hAnsi="Arial" w:cs="Arial"/>
                <w:sz w:val="18"/>
                <w:szCs w:val="18"/>
                <w:lang w:val="es-AR"/>
              </w:rPr>
              <w:t>jecutora</w:t>
            </w:r>
          </w:p>
        </w:tc>
      </w:tr>
      <w:tr w:rsidR="00044C04" w:rsidRPr="001010E7" w14:paraId="2BD123FA" w14:textId="77777777" w:rsidTr="00101B5A">
        <w:trPr>
          <w:trHeight w:val="773"/>
          <w:jc w:val="center"/>
        </w:trPr>
        <w:tc>
          <w:tcPr>
            <w:tcW w:w="1864" w:type="dxa"/>
          </w:tcPr>
          <w:p w14:paraId="25396805"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Reporte Final</w:t>
            </w:r>
          </w:p>
        </w:tc>
        <w:tc>
          <w:tcPr>
            <w:tcW w:w="360" w:type="dxa"/>
          </w:tcPr>
          <w:p w14:paraId="26583D04" w14:textId="77777777" w:rsidR="00062D0D" w:rsidRPr="00B23134" w:rsidRDefault="00062D0D" w:rsidP="00D13924">
            <w:pPr>
              <w:jc w:val="center"/>
              <w:rPr>
                <w:rFonts w:ascii="Arial" w:hAnsi="Arial" w:cs="Arial"/>
                <w:sz w:val="18"/>
                <w:szCs w:val="18"/>
                <w:lang w:val="es-AR"/>
              </w:rPr>
            </w:pPr>
          </w:p>
        </w:tc>
        <w:tc>
          <w:tcPr>
            <w:tcW w:w="360" w:type="dxa"/>
          </w:tcPr>
          <w:p w14:paraId="22299AF2" w14:textId="77777777" w:rsidR="00062D0D" w:rsidRPr="00B23134" w:rsidRDefault="00062D0D" w:rsidP="00D13924">
            <w:pPr>
              <w:jc w:val="center"/>
              <w:rPr>
                <w:rFonts w:ascii="Arial" w:hAnsi="Arial" w:cs="Arial"/>
                <w:sz w:val="18"/>
                <w:szCs w:val="18"/>
                <w:lang w:val="es-AR"/>
              </w:rPr>
            </w:pPr>
          </w:p>
        </w:tc>
        <w:tc>
          <w:tcPr>
            <w:tcW w:w="360" w:type="dxa"/>
          </w:tcPr>
          <w:p w14:paraId="3129FD3F" w14:textId="77777777" w:rsidR="00062D0D" w:rsidRPr="00B23134" w:rsidRDefault="00062D0D" w:rsidP="00D13924">
            <w:pPr>
              <w:jc w:val="center"/>
              <w:rPr>
                <w:rFonts w:ascii="Arial" w:hAnsi="Arial" w:cs="Arial"/>
                <w:sz w:val="18"/>
                <w:szCs w:val="18"/>
                <w:lang w:val="es-AR"/>
              </w:rPr>
            </w:pPr>
          </w:p>
        </w:tc>
        <w:tc>
          <w:tcPr>
            <w:tcW w:w="360" w:type="dxa"/>
          </w:tcPr>
          <w:p w14:paraId="32E530BB" w14:textId="77777777" w:rsidR="00062D0D" w:rsidRPr="00B23134" w:rsidRDefault="00062D0D" w:rsidP="00D13924">
            <w:pPr>
              <w:jc w:val="center"/>
              <w:rPr>
                <w:rFonts w:ascii="Arial" w:hAnsi="Arial" w:cs="Arial"/>
                <w:sz w:val="18"/>
                <w:szCs w:val="18"/>
                <w:lang w:val="es-AR"/>
              </w:rPr>
            </w:pPr>
          </w:p>
        </w:tc>
        <w:tc>
          <w:tcPr>
            <w:tcW w:w="360" w:type="dxa"/>
          </w:tcPr>
          <w:p w14:paraId="1D8B3D6B" w14:textId="77777777" w:rsidR="00062D0D" w:rsidRPr="00B23134" w:rsidRDefault="00062D0D" w:rsidP="00D13924">
            <w:pPr>
              <w:jc w:val="center"/>
              <w:rPr>
                <w:rFonts w:ascii="Arial" w:hAnsi="Arial" w:cs="Arial"/>
                <w:sz w:val="18"/>
                <w:szCs w:val="18"/>
                <w:lang w:val="es-AR"/>
              </w:rPr>
            </w:pPr>
          </w:p>
        </w:tc>
        <w:tc>
          <w:tcPr>
            <w:tcW w:w="360" w:type="dxa"/>
          </w:tcPr>
          <w:p w14:paraId="01BFF04A" w14:textId="77777777" w:rsidR="00062D0D" w:rsidRPr="00B23134" w:rsidRDefault="00910729"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3B72061F" w14:textId="77777777" w:rsidR="00062D0D" w:rsidRPr="00B23134" w:rsidRDefault="00062D0D" w:rsidP="00D13924">
            <w:pPr>
              <w:jc w:val="center"/>
              <w:rPr>
                <w:rFonts w:ascii="Arial" w:hAnsi="Arial" w:cs="Arial"/>
                <w:sz w:val="18"/>
                <w:szCs w:val="18"/>
                <w:lang w:val="es-AR"/>
              </w:rPr>
            </w:pPr>
          </w:p>
        </w:tc>
        <w:tc>
          <w:tcPr>
            <w:tcW w:w="360" w:type="dxa"/>
          </w:tcPr>
          <w:p w14:paraId="2061B8CB" w14:textId="77777777" w:rsidR="00062D0D" w:rsidRPr="00B23134" w:rsidRDefault="00062D0D" w:rsidP="00D13924">
            <w:pPr>
              <w:jc w:val="center"/>
              <w:rPr>
                <w:rFonts w:ascii="Arial" w:hAnsi="Arial" w:cs="Arial"/>
                <w:sz w:val="18"/>
                <w:szCs w:val="18"/>
                <w:lang w:val="es-AR"/>
              </w:rPr>
            </w:pPr>
          </w:p>
        </w:tc>
        <w:tc>
          <w:tcPr>
            <w:tcW w:w="360" w:type="dxa"/>
          </w:tcPr>
          <w:p w14:paraId="5FFB12F2" w14:textId="77777777" w:rsidR="00062D0D" w:rsidRPr="00B23134" w:rsidRDefault="00062D0D" w:rsidP="00D13924">
            <w:pPr>
              <w:jc w:val="center"/>
              <w:rPr>
                <w:rFonts w:ascii="Arial" w:hAnsi="Arial" w:cs="Arial"/>
                <w:sz w:val="18"/>
                <w:szCs w:val="18"/>
                <w:highlight w:val="yellow"/>
                <w:lang w:val="es-AR"/>
              </w:rPr>
            </w:pPr>
          </w:p>
        </w:tc>
        <w:tc>
          <w:tcPr>
            <w:tcW w:w="360" w:type="dxa"/>
          </w:tcPr>
          <w:p w14:paraId="3E12A787" w14:textId="77777777" w:rsidR="00062D0D" w:rsidRPr="00B23134" w:rsidRDefault="00062D0D" w:rsidP="00D13924">
            <w:pPr>
              <w:jc w:val="center"/>
              <w:rPr>
                <w:rFonts w:ascii="Arial" w:hAnsi="Arial" w:cs="Arial"/>
                <w:sz w:val="18"/>
                <w:szCs w:val="18"/>
                <w:lang w:val="es-AR"/>
              </w:rPr>
            </w:pPr>
          </w:p>
        </w:tc>
        <w:tc>
          <w:tcPr>
            <w:tcW w:w="1710" w:type="dxa"/>
          </w:tcPr>
          <w:p w14:paraId="6CB1C92C"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Imputado ejecución</w:t>
            </w:r>
          </w:p>
        </w:tc>
        <w:tc>
          <w:tcPr>
            <w:tcW w:w="1350" w:type="dxa"/>
          </w:tcPr>
          <w:p w14:paraId="7B7F82BC"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Agencia Ejecutora</w:t>
            </w:r>
          </w:p>
        </w:tc>
        <w:tc>
          <w:tcPr>
            <w:tcW w:w="1151" w:type="dxa"/>
          </w:tcPr>
          <w:p w14:paraId="65C759E9" w14:textId="77777777" w:rsidR="00062D0D" w:rsidRPr="00B23134" w:rsidRDefault="00062D0D" w:rsidP="00337DFD">
            <w:pPr>
              <w:jc w:val="center"/>
              <w:rPr>
                <w:rFonts w:ascii="Arial" w:hAnsi="Arial" w:cs="Arial"/>
                <w:sz w:val="18"/>
                <w:szCs w:val="18"/>
                <w:lang w:val="es-AR"/>
              </w:rPr>
            </w:pPr>
            <w:r w:rsidRPr="00B23134">
              <w:rPr>
                <w:rFonts w:ascii="Arial" w:hAnsi="Arial" w:cs="Arial"/>
                <w:sz w:val="18"/>
                <w:szCs w:val="18"/>
                <w:lang w:val="es-AR"/>
              </w:rPr>
              <w:t xml:space="preserve">Recursos </w:t>
            </w:r>
            <w:r w:rsidR="00337DFD" w:rsidRPr="00B23134">
              <w:rPr>
                <w:rFonts w:ascii="Arial" w:hAnsi="Arial" w:cs="Arial"/>
                <w:sz w:val="18"/>
                <w:szCs w:val="18"/>
                <w:lang w:val="es-AR"/>
              </w:rPr>
              <w:t>A</w:t>
            </w:r>
            <w:r w:rsidR="00ED2762" w:rsidRPr="00B23134">
              <w:rPr>
                <w:rFonts w:ascii="Arial" w:hAnsi="Arial" w:cs="Arial"/>
                <w:sz w:val="18"/>
                <w:szCs w:val="18"/>
                <w:lang w:val="es-AR"/>
              </w:rPr>
              <w:t xml:space="preserve">gencia </w:t>
            </w:r>
            <w:r w:rsidR="00337DFD" w:rsidRPr="00B23134">
              <w:rPr>
                <w:rFonts w:ascii="Arial" w:hAnsi="Arial" w:cs="Arial"/>
                <w:sz w:val="18"/>
                <w:szCs w:val="18"/>
                <w:lang w:val="es-AR"/>
              </w:rPr>
              <w:t>E</w:t>
            </w:r>
            <w:r w:rsidR="00ED2762" w:rsidRPr="00B23134">
              <w:rPr>
                <w:rFonts w:ascii="Arial" w:hAnsi="Arial" w:cs="Arial"/>
                <w:sz w:val="18"/>
                <w:szCs w:val="18"/>
                <w:lang w:val="es-AR"/>
              </w:rPr>
              <w:t>jecutora</w:t>
            </w:r>
          </w:p>
        </w:tc>
      </w:tr>
      <w:tr w:rsidR="00044C04" w:rsidRPr="001010E7" w14:paraId="7814683C" w14:textId="77777777" w:rsidTr="00101B5A">
        <w:trPr>
          <w:trHeight w:val="512"/>
          <w:jc w:val="center"/>
        </w:trPr>
        <w:tc>
          <w:tcPr>
            <w:tcW w:w="1864" w:type="dxa"/>
          </w:tcPr>
          <w:p w14:paraId="115DE99E"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Auditorias</w:t>
            </w:r>
          </w:p>
        </w:tc>
        <w:tc>
          <w:tcPr>
            <w:tcW w:w="360" w:type="dxa"/>
          </w:tcPr>
          <w:p w14:paraId="5AD803ED" w14:textId="77777777" w:rsidR="00062D0D" w:rsidRPr="00B23134" w:rsidRDefault="00062D0D" w:rsidP="00D13924">
            <w:pPr>
              <w:jc w:val="center"/>
              <w:rPr>
                <w:rFonts w:ascii="Arial" w:hAnsi="Arial" w:cs="Arial"/>
                <w:sz w:val="18"/>
                <w:szCs w:val="18"/>
                <w:lang w:val="es-AR"/>
              </w:rPr>
            </w:pPr>
          </w:p>
        </w:tc>
        <w:tc>
          <w:tcPr>
            <w:tcW w:w="360" w:type="dxa"/>
          </w:tcPr>
          <w:p w14:paraId="2C1B7769" w14:textId="77777777" w:rsidR="00062D0D" w:rsidRPr="00B23134" w:rsidRDefault="00193596"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34C0C898" w14:textId="77777777" w:rsidR="00062D0D" w:rsidRPr="00B23134" w:rsidRDefault="00062D0D" w:rsidP="00D13924">
            <w:pPr>
              <w:jc w:val="center"/>
              <w:rPr>
                <w:rFonts w:ascii="Arial" w:hAnsi="Arial" w:cs="Arial"/>
                <w:sz w:val="18"/>
                <w:szCs w:val="18"/>
                <w:lang w:val="es-AR"/>
              </w:rPr>
            </w:pPr>
          </w:p>
        </w:tc>
        <w:tc>
          <w:tcPr>
            <w:tcW w:w="360" w:type="dxa"/>
          </w:tcPr>
          <w:p w14:paraId="62DC33B4"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34B85AFB" w14:textId="77777777" w:rsidR="00062D0D" w:rsidRPr="00B23134" w:rsidRDefault="00062D0D" w:rsidP="00D13924">
            <w:pPr>
              <w:jc w:val="center"/>
              <w:rPr>
                <w:rFonts w:ascii="Arial" w:hAnsi="Arial" w:cs="Arial"/>
                <w:sz w:val="18"/>
                <w:szCs w:val="18"/>
                <w:lang w:val="es-AR"/>
              </w:rPr>
            </w:pPr>
          </w:p>
        </w:tc>
        <w:tc>
          <w:tcPr>
            <w:tcW w:w="360" w:type="dxa"/>
          </w:tcPr>
          <w:p w14:paraId="1F8719D1"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X</w:t>
            </w:r>
          </w:p>
        </w:tc>
        <w:tc>
          <w:tcPr>
            <w:tcW w:w="360" w:type="dxa"/>
          </w:tcPr>
          <w:p w14:paraId="1CF6171B" w14:textId="77777777" w:rsidR="00062D0D" w:rsidRPr="00B23134" w:rsidRDefault="00062D0D" w:rsidP="00D13924">
            <w:pPr>
              <w:jc w:val="center"/>
              <w:rPr>
                <w:rFonts w:ascii="Arial" w:hAnsi="Arial" w:cs="Arial"/>
                <w:sz w:val="18"/>
                <w:szCs w:val="18"/>
                <w:lang w:val="es-AR"/>
              </w:rPr>
            </w:pPr>
          </w:p>
        </w:tc>
        <w:tc>
          <w:tcPr>
            <w:tcW w:w="360" w:type="dxa"/>
          </w:tcPr>
          <w:p w14:paraId="27E138C8" w14:textId="77777777" w:rsidR="00062D0D" w:rsidRPr="00B23134" w:rsidRDefault="00062D0D" w:rsidP="00D13924">
            <w:pPr>
              <w:jc w:val="center"/>
              <w:rPr>
                <w:rFonts w:ascii="Arial" w:hAnsi="Arial" w:cs="Arial"/>
                <w:sz w:val="18"/>
                <w:szCs w:val="18"/>
                <w:lang w:val="es-AR"/>
              </w:rPr>
            </w:pPr>
          </w:p>
        </w:tc>
        <w:tc>
          <w:tcPr>
            <w:tcW w:w="360" w:type="dxa"/>
          </w:tcPr>
          <w:p w14:paraId="064C1F8F" w14:textId="77777777" w:rsidR="00062D0D" w:rsidRPr="00B23134" w:rsidRDefault="00062D0D" w:rsidP="00D13924">
            <w:pPr>
              <w:jc w:val="center"/>
              <w:rPr>
                <w:rFonts w:ascii="Arial" w:hAnsi="Arial" w:cs="Arial"/>
                <w:sz w:val="18"/>
                <w:szCs w:val="18"/>
                <w:lang w:val="es-AR"/>
              </w:rPr>
            </w:pPr>
          </w:p>
        </w:tc>
        <w:tc>
          <w:tcPr>
            <w:tcW w:w="360" w:type="dxa"/>
          </w:tcPr>
          <w:p w14:paraId="31636EB1" w14:textId="77777777" w:rsidR="00062D0D" w:rsidRPr="00B23134" w:rsidRDefault="00062D0D" w:rsidP="00D13924">
            <w:pPr>
              <w:jc w:val="center"/>
              <w:rPr>
                <w:rFonts w:ascii="Arial" w:hAnsi="Arial" w:cs="Arial"/>
                <w:sz w:val="18"/>
                <w:szCs w:val="18"/>
                <w:lang w:val="es-AR"/>
              </w:rPr>
            </w:pPr>
          </w:p>
        </w:tc>
        <w:tc>
          <w:tcPr>
            <w:tcW w:w="1710" w:type="dxa"/>
          </w:tcPr>
          <w:p w14:paraId="4E9A498D" w14:textId="77777777" w:rsidR="00062D0D" w:rsidRPr="00B23134" w:rsidRDefault="00062D0D" w:rsidP="001010E7">
            <w:pPr>
              <w:rPr>
                <w:rFonts w:ascii="Arial" w:hAnsi="Arial" w:cs="Arial"/>
                <w:sz w:val="18"/>
                <w:szCs w:val="18"/>
                <w:lang w:val="es-AR"/>
              </w:rPr>
            </w:pPr>
            <w:r w:rsidRPr="00B23134">
              <w:rPr>
                <w:rFonts w:ascii="Arial" w:hAnsi="Arial" w:cs="Arial"/>
                <w:sz w:val="18"/>
                <w:szCs w:val="18"/>
                <w:lang w:val="es-AR"/>
              </w:rPr>
              <w:t>US$</w:t>
            </w:r>
            <w:r w:rsidR="00193596" w:rsidRPr="00B23134">
              <w:rPr>
                <w:rFonts w:ascii="Arial" w:hAnsi="Arial" w:cs="Arial"/>
                <w:sz w:val="18"/>
                <w:szCs w:val="18"/>
                <w:lang w:val="es-AR"/>
              </w:rPr>
              <w:t>2</w:t>
            </w:r>
            <w:r w:rsidRPr="00B23134">
              <w:rPr>
                <w:rFonts w:ascii="Arial" w:hAnsi="Arial" w:cs="Arial"/>
                <w:sz w:val="18"/>
                <w:szCs w:val="18"/>
                <w:lang w:val="es-AR"/>
              </w:rPr>
              <w:t xml:space="preserve">0,000/año </w:t>
            </w:r>
          </w:p>
        </w:tc>
        <w:tc>
          <w:tcPr>
            <w:tcW w:w="1350" w:type="dxa"/>
          </w:tcPr>
          <w:p w14:paraId="10048A7B" w14:textId="77777777" w:rsidR="00062D0D" w:rsidRPr="00B23134" w:rsidRDefault="00062D0D" w:rsidP="00D13924">
            <w:pPr>
              <w:jc w:val="center"/>
              <w:rPr>
                <w:rFonts w:ascii="Arial" w:hAnsi="Arial" w:cs="Arial"/>
                <w:sz w:val="18"/>
                <w:szCs w:val="18"/>
                <w:lang w:val="es-AR"/>
              </w:rPr>
            </w:pPr>
            <w:r w:rsidRPr="00B23134">
              <w:rPr>
                <w:rFonts w:ascii="Arial" w:hAnsi="Arial" w:cs="Arial"/>
                <w:sz w:val="18"/>
                <w:szCs w:val="18"/>
                <w:lang w:val="es-AR"/>
              </w:rPr>
              <w:t>Agencia Ejecutora</w:t>
            </w:r>
          </w:p>
        </w:tc>
        <w:tc>
          <w:tcPr>
            <w:tcW w:w="1151" w:type="dxa"/>
          </w:tcPr>
          <w:p w14:paraId="19414583" w14:textId="77777777" w:rsidR="00062D0D" w:rsidRPr="00B23134" w:rsidRDefault="00062D0D" w:rsidP="00337DFD">
            <w:pPr>
              <w:jc w:val="center"/>
              <w:rPr>
                <w:rFonts w:ascii="Arial" w:hAnsi="Arial" w:cs="Arial"/>
                <w:sz w:val="18"/>
                <w:szCs w:val="18"/>
                <w:lang w:val="es-AR"/>
              </w:rPr>
            </w:pPr>
            <w:r w:rsidRPr="00B23134">
              <w:rPr>
                <w:rFonts w:ascii="Arial" w:hAnsi="Arial" w:cs="Arial"/>
                <w:sz w:val="18"/>
                <w:szCs w:val="18"/>
                <w:lang w:val="es-AR"/>
              </w:rPr>
              <w:t xml:space="preserve">Recursos </w:t>
            </w:r>
            <w:r w:rsidR="00337DFD" w:rsidRPr="00B23134">
              <w:rPr>
                <w:rFonts w:ascii="Arial" w:hAnsi="Arial" w:cs="Arial"/>
                <w:sz w:val="18"/>
                <w:szCs w:val="18"/>
                <w:lang w:val="es-AR"/>
              </w:rPr>
              <w:t>A</w:t>
            </w:r>
            <w:r w:rsidR="00ED2762" w:rsidRPr="00B23134">
              <w:rPr>
                <w:rFonts w:ascii="Arial" w:hAnsi="Arial" w:cs="Arial"/>
                <w:sz w:val="18"/>
                <w:szCs w:val="18"/>
                <w:lang w:val="es-AR"/>
              </w:rPr>
              <w:t xml:space="preserve">gencia </w:t>
            </w:r>
            <w:r w:rsidR="00337DFD" w:rsidRPr="00B23134">
              <w:rPr>
                <w:rFonts w:ascii="Arial" w:hAnsi="Arial" w:cs="Arial"/>
                <w:sz w:val="18"/>
                <w:szCs w:val="18"/>
                <w:lang w:val="es-AR"/>
              </w:rPr>
              <w:t>E</w:t>
            </w:r>
            <w:r w:rsidR="00ED2762" w:rsidRPr="00B23134">
              <w:rPr>
                <w:rFonts w:ascii="Arial" w:hAnsi="Arial" w:cs="Arial"/>
                <w:sz w:val="18"/>
                <w:szCs w:val="18"/>
                <w:lang w:val="es-AR"/>
              </w:rPr>
              <w:t>jecutora</w:t>
            </w:r>
          </w:p>
        </w:tc>
      </w:tr>
      <w:tr w:rsidR="00044C04" w:rsidRPr="00D47E65" w14:paraId="038E6BC2" w14:textId="77777777" w:rsidTr="00344FA5">
        <w:trPr>
          <w:trHeight w:val="1178"/>
          <w:jc w:val="center"/>
        </w:trPr>
        <w:tc>
          <w:tcPr>
            <w:tcW w:w="5464" w:type="dxa"/>
            <w:gridSpan w:val="11"/>
          </w:tcPr>
          <w:p w14:paraId="41EFC819" w14:textId="77777777" w:rsidR="00062D0D" w:rsidRPr="00B23134" w:rsidRDefault="00062D0D" w:rsidP="00D13924">
            <w:pPr>
              <w:rPr>
                <w:rFonts w:ascii="Arial" w:hAnsi="Arial" w:cs="Arial"/>
                <w:sz w:val="18"/>
                <w:szCs w:val="18"/>
                <w:lang w:val="es-AR"/>
              </w:rPr>
            </w:pPr>
          </w:p>
          <w:p w14:paraId="26DC3C21" w14:textId="77777777" w:rsidR="00062D0D" w:rsidRPr="00B23134" w:rsidRDefault="00062D0D" w:rsidP="00D13924">
            <w:pPr>
              <w:rPr>
                <w:rFonts w:ascii="Arial" w:hAnsi="Arial" w:cs="Arial"/>
                <w:sz w:val="18"/>
                <w:szCs w:val="18"/>
                <w:lang w:val="es-AR"/>
              </w:rPr>
            </w:pPr>
            <w:r w:rsidRPr="00B23134">
              <w:rPr>
                <w:rFonts w:ascii="Arial" w:hAnsi="Arial" w:cs="Arial"/>
                <w:sz w:val="18"/>
                <w:szCs w:val="18"/>
                <w:lang w:val="es-AR"/>
              </w:rPr>
              <w:t>Costo Total</w:t>
            </w:r>
          </w:p>
        </w:tc>
        <w:tc>
          <w:tcPr>
            <w:tcW w:w="1710" w:type="dxa"/>
          </w:tcPr>
          <w:p w14:paraId="69FB77AE" w14:textId="77777777" w:rsidR="00062D0D" w:rsidRPr="00B23134" w:rsidRDefault="00062D0D" w:rsidP="00337DFD">
            <w:pPr>
              <w:rPr>
                <w:rFonts w:ascii="Arial" w:hAnsi="Arial" w:cs="Arial"/>
                <w:sz w:val="18"/>
                <w:szCs w:val="18"/>
                <w:lang w:val="es-AR"/>
              </w:rPr>
            </w:pPr>
            <w:r w:rsidRPr="00B23134">
              <w:rPr>
                <w:rFonts w:ascii="Arial" w:hAnsi="Arial" w:cs="Arial"/>
                <w:sz w:val="18"/>
                <w:szCs w:val="18"/>
                <w:lang w:val="es-AR"/>
              </w:rPr>
              <w:t>US$</w:t>
            </w:r>
            <w:r w:rsidR="00193596" w:rsidRPr="00B23134">
              <w:rPr>
                <w:rFonts w:ascii="Arial" w:hAnsi="Arial" w:cs="Arial"/>
                <w:sz w:val="18"/>
                <w:szCs w:val="18"/>
                <w:lang w:val="es-AR"/>
              </w:rPr>
              <w:t>6</w:t>
            </w:r>
            <w:r w:rsidR="00D73106" w:rsidRPr="00B23134">
              <w:rPr>
                <w:rFonts w:ascii="Arial" w:hAnsi="Arial" w:cs="Arial"/>
                <w:sz w:val="18"/>
                <w:szCs w:val="18"/>
                <w:lang w:val="es-AR"/>
              </w:rPr>
              <w:t>0</w:t>
            </w:r>
            <w:r w:rsidRPr="00B23134">
              <w:rPr>
                <w:rFonts w:ascii="Arial" w:hAnsi="Arial" w:cs="Arial"/>
                <w:sz w:val="18"/>
                <w:szCs w:val="18"/>
                <w:lang w:val="es-AR"/>
              </w:rPr>
              <w:t xml:space="preserve">,000 en auditorias más costos imputados a otras </w:t>
            </w:r>
            <w:r w:rsidR="00337DFD" w:rsidRPr="00B23134">
              <w:rPr>
                <w:rFonts w:ascii="Arial" w:hAnsi="Arial" w:cs="Arial"/>
                <w:sz w:val="18"/>
                <w:szCs w:val="18"/>
                <w:lang w:val="es-AR"/>
              </w:rPr>
              <w:t>2</w:t>
            </w:r>
            <w:r w:rsidRPr="00B23134">
              <w:rPr>
                <w:rFonts w:ascii="Arial" w:hAnsi="Arial" w:cs="Arial"/>
                <w:sz w:val="18"/>
                <w:szCs w:val="18"/>
                <w:lang w:val="es-AR"/>
              </w:rPr>
              <w:t xml:space="preserve"> actividades </w:t>
            </w:r>
          </w:p>
        </w:tc>
        <w:tc>
          <w:tcPr>
            <w:tcW w:w="1350" w:type="dxa"/>
          </w:tcPr>
          <w:p w14:paraId="6F2B492A" w14:textId="77777777" w:rsidR="00062D0D" w:rsidRPr="00B23134" w:rsidRDefault="00062D0D" w:rsidP="00D13924">
            <w:pPr>
              <w:jc w:val="center"/>
              <w:rPr>
                <w:rFonts w:ascii="Arial" w:hAnsi="Arial" w:cs="Arial"/>
                <w:sz w:val="18"/>
                <w:szCs w:val="18"/>
                <w:lang w:val="es-AR"/>
              </w:rPr>
            </w:pPr>
          </w:p>
        </w:tc>
        <w:tc>
          <w:tcPr>
            <w:tcW w:w="1151" w:type="dxa"/>
          </w:tcPr>
          <w:p w14:paraId="6AA2D33B" w14:textId="77777777" w:rsidR="00062D0D" w:rsidRPr="00B23134" w:rsidRDefault="00062D0D" w:rsidP="00D13924">
            <w:pPr>
              <w:jc w:val="center"/>
              <w:rPr>
                <w:rFonts w:ascii="Arial" w:hAnsi="Arial" w:cs="Arial"/>
                <w:sz w:val="18"/>
                <w:szCs w:val="18"/>
                <w:lang w:val="es-AR"/>
              </w:rPr>
            </w:pPr>
          </w:p>
        </w:tc>
      </w:tr>
    </w:tbl>
    <w:p w14:paraId="71811568" w14:textId="77777777" w:rsidR="008F39CA" w:rsidRPr="001010E7" w:rsidRDefault="008F39CA" w:rsidP="00B23134">
      <w:pPr>
        <w:pStyle w:val="SecHeading"/>
        <w:spacing w:before="240"/>
        <w:rPr>
          <w:rFonts w:ascii="Arial" w:hAnsi="Arial" w:cs="Arial"/>
          <w:color w:val="auto"/>
          <w:sz w:val="22"/>
          <w:szCs w:val="22"/>
        </w:rPr>
      </w:pPr>
      <w:bookmarkStart w:id="18" w:name="_Toc346643520"/>
      <w:bookmarkStart w:id="19" w:name="_Toc352755941"/>
      <w:bookmarkStart w:id="20" w:name="_Toc352756757"/>
      <w:r w:rsidRPr="001010E7">
        <w:rPr>
          <w:rFonts w:ascii="Arial" w:hAnsi="Arial" w:cs="Arial"/>
          <w:color w:val="auto"/>
          <w:sz w:val="22"/>
          <w:szCs w:val="22"/>
        </w:rPr>
        <w:t>Análisis de Atribución</w:t>
      </w:r>
      <w:r w:rsidR="00F93623" w:rsidRPr="001010E7">
        <w:rPr>
          <w:rFonts w:ascii="Arial" w:hAnsi="Arial" w:cs="Arial"/>
          <w:color w:val="auto"/>
          <w:sz w:val="22"/>
          <w:szCs w:val="22"/>
        </w:rPr>
        <w:t xml:space="preserve"> al Cierre del CLIPP</w:t>
      </w:r>
      <w:r w:rsidRPr="001010E7">
        <w:rPr>
          <w:rFonts w:ascii="Arial" w:hAnsi="Arial" w:cs="Arial"/>
          <w:color w:val="auto"/>
          <w:sz w:val="22"/>
          <w:szCs w:val="22"/>
        </w:rPr>
        <w:t xml:space="preserve"> </w:t>
      </w:r>
    </w:p>
    <w:p w14:paraId="001F19B1" w14:textId="77777777" w:rsidR="007262AF" w:rsidRPr="001010E7" w:rsidRDefault="00F93623" w:rsidP="0099774C">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Al cierre del</w:t>
      </w:r>
      <w:r w:rsidR="007262AF" w:rsidRPr="001010E7">
        <w:rPr>
          <w:rFonts w:ascii="Arial" w:hAnsi="Arial" w:cs="Arial"/>
          <w:sz w:val="22"/>
          <w:szCs w:val="22"/>
          <w:lang w:val="es-ES_tradnl"/>
        </w:rPr>
        <w:t xml:space="preserve"> CLIPP, se espera contar con evidencia rigurosa de su efectividad.  Con el fin de lograr dicho objetivo, el cuadro siguiente </w:t>
      </w:r>
      <w:r w:rsidR="003133C8" w:rsidRPr="001010E7">
        <w:rPr>
          <w:rFonts w:ascii="Arial" w:hAnsi="Arial" w:cs="Arial"/>
          <w:sz w:val="22"/>
          <w:szCs w:val="22"/>
          <w:lang w:val="es-ES_tradnl"/>
        </w:rPr>
        <w:t>menciona como se espera llevar adelante un</w:t>
      </w:r>
      <w:r w:rsidR="007262AF" w:rsidRPr="001010E7">
        <w:rPr>
          <w:rFonts w:ascii="Arial" w:hAnsi="Arial" w:cs="Arial"/>
          <w:sz w:val="22"/>
          <w:szCs w:val="22"/>
          <w:lang w:val="es-ES_tradnl"/>
        </w:rPr>
        <w:t xml:space="preserve"> análisis de atribución para todos y cada uno de los indicadores </w:t>
      </w:r>
      <w:r w:rsidR="003133C8" w:rsidRPr="001010E7">
        <w:rPr>
          <w:rFonts w:ascii="Arial" w:hAnsi="Arial" w:cs="Arial"/>
          <w:sz w:val="22"/>
          <w:szCs w:val="22"/>
          <w:lang w:val="es-ES_tradnl"/>
        </w:rPr>
        <w:t>de resultado de la M</w:t>
      </w:r>
      <w:r w:rsidR="007262AF" w:rsidRPr="001010E7">
        <w:rPr>
          <w:rFonts w:ascii="Arial" w:hAnsi="Arial" w:cs="Arial"/>
          <w:sz w:val="22"/>
          <w:szCs w:val="22"/>
          <w:lang w:val="es-ES_tradnl"/>
        </w:rPr>
        <w:t>atriz</w:t>
      </w:r>
      <w:r w:rsidR="00E8327B" w:rsidRPr="001010E7">
        <w:rPr>
          <w:rFonts w:ascii="Arial" w:hAnsi="Arial" w:cs="Arial"/>
          <w:sz w:val="22"/>
          <w:szCs w:val="22"/>
          <w:lang w:val="es-ES_tradnl"/>
        </w:rPr>
        <w:t xml:space="preserve"> </w:t>
      </w:r>
      <w:r w:rsidR="003133C8" w:rsidRPr="001010E7">
        <w:rPr>
          <w:rFonts w:ascii="Arial" w:hAnsi="Arial" w:cs="Arial"/>
          <w:sz w:val="22"/>
          <w:szCs w:val="22"/>
          <w:lang w:val="es-ES_tradnl"/>
        </w:rPr>
        <w:t>de R</w:t>
      </w:r>
      <w:r w:rsidR="00E8327B" w:rsidRPr="001010E7">
        <w:rPr>
          <w:rFonts w:ascii="Arial" w:hAnsi="Arial" w:cs="Arial"/>
          <w:sz w:val="22"/>
          <w:szCs w:val="22"/>
          <w:lang w:val="es-ES_tradnl"/>
        </w:rPr>
        <w:t xml:space="preserve">esultados </w:t>
      </w:r>
      <w:r w:rsidR="007262AF" w:rsidRPr="001010E7">
        <w:rPr>
          <w:rFonts w:ascii="Arial" w:hAnsi="Arial" w:cs="Arial"/>
          <w:sz w:val="22"/>
          <w:szCs w:val="22"/>
          <w:lang w:val="es-ES_tradnl"/>
        </w:rPr>
        <w:t xml:space="preserve">de esta operación. </w:t>
      </w:r>
    </w:p>
    <w:tbl>
      <w:tblPr>
        <w:tblStyle w:val="TableGrid"/>
        <w:tblW w:w="8910" w:type="dxa"/>
        <w:jc w:val="center"/>
        <w:tblLook w:val="04A0" w:firstRow="1" w:lastRow="0" w:firstColumn="1" w:lastColumn="0" w:noHBand="0" w:noVBand="1"/>
      </w:tblPr>
      <w:tblGrid>
        <w:gridCol w:w="3365"/>
        <w:gridCol w:w="5545"/>
      </w:tblGrid>
      <w:tr w:rsidR="007262AF" w:rsidRPr="001010E7" w14:paraId="7E67097B" w14:textId="77777777" w:rsidTr="009F0EE9">
        <w:trPr>
          <w:trHeight w:val="350"/>
          <w:jc w:val="center"/>
        </w:trPr>
        <w:tc>
          <w:tcPr>
            <w:tcW w:w="8910" w:type="dxa"/>
            <w:gridSpan w:val="2"/>
          </w:tcPr>
          <w:p w14:paraId="442945C9" w14:textId="77777777" w:rsidR="007262AF" w:rsidRPr="00B23134" w:rsidRDefault="007262AF" w:rsidP="009F0EE9">
            <w:pPr>
              <w:pStyle w:val="Default"/>
              <w:jc w:val="center"/>
              <w:rPr>
                <w:rFonts w:ascii="Arial" w:hAnsi="Arial" w:cs="Arial"/>
                <w:b/>
                <w:color w:val="auto"/>
                <w:sz w:val="18"/>
                <w:szCs w:val="18"/>
                <w:lang w:val="es-AR"/>
              </w:rPr>
            </w:pPr>
            <w:r w:rsidRPr="00B23134">
              <w:rPr>
                <w:rFonts w:ascii="Arial" w:hAnsi="Arial" w:cs="Arial"/>
                <w:b/>
                <w:color w:val="auto"/>
                <w:sz w:val="18"/>
                <w:szCs w:val="18"/>
                <w:lang w:val="es-AR"/>
              </w:rPr>
              <w:t>Indicadores de Resultados</w:t>
            </w:r>
          </w:p>
        </w:tc>
      </w:tr>
      <w:tr w:rsidR="008F52DE" w:rsidRPr="001010E7" w14:paraId="628D06C2" w14:textId="77777777" w:rsidTr="0099774C">
        <w:trPr>
          <w:trHeight w:val="197"/>
          <w:jc w:val="center"/>
        </w:trPr>
        <w:tc>
          <w:tcPr>
            <w:tcW w:w="3365" w:type="dxa"/>
            <w:shd w:val="clear" w:color="auto" w:fill="D9D9D9" w:themeFill="background1" w:themeFillShade="D9"/>
          </w:tcPr>
          <w:p w14:paraId="51E3BDA0" w14:textId="77777777" w:rsidR="008F52DE" w:rsidRPr="00B23134" w:rsidRDefault="008F52DE" w:rsidP="0099774C">
            <w:pPr>
              <w:jc w:val="center"/>
              <w:rPr>
                <w:rFonts w:ascii="Arial" w:eastAsia="Arial Unicode MS" w:hAnsi="Arial" w:cs="Arial"/>
                <w:b/>
                <w:sz w:val="18"/>
                <w:szCs w:val="18"/>
                <w:lang w:val="es-ES_tradnl"/>
              </w:rPr>
            </w:pPr>
            <w:r w:rsidRPr="00B23134">
              <w:rPr>
                <w:rFonts w:ascii="Arial" w:eastAsia="Arial Unicode MS" w:hAnsi="Arial" w:cs="Arial"/>
                <w:b/>
                <w:sz w:val="18"/>
                <w:szCs w:val="18"/>
                <w:lang w:val="es-ES_tradnl"/>
              </w:rPr>
              <w:t>Indicador</w:t>
            </w:r>
          </w:p>
        </w:tc>
        <w:tc>
          <w:tcPr>
            <w:tcW w:w="5545" w:type="dxa"/>
            <w:shd w:val="clear" w:color="auto" w:fill="D9D9D9" w:themeFill="background1" w:themeFillShade="D9"/>
          </w:tcPr>
          <w:p w14:paraId="28EE8C67" w14:textId="77777777" w:rsidR="008F52DE" w:rsidRPr="00B23134" w:rsidRDefault="008F52DE" w:rsidP="0099774C">
            <w:pPr>
              <w:pStyle w:val="Default"/>
              <w:jc w:val="center"/>
              <w:rPr>
                <w:rFonts w:ascii="Arial" w:hAnsi="Arial" w:cs="Arial"/>
                <w:b/>
                <w:color w:val="auto"/>
                <w:sz w:val="18"/>
                <w:szCs w:val="18"/>
                <w:lang w:val="es-ES_tradnl"/>
              </w:rPr>
            </w:pPr>
            <w:r w:rsidRPr="00B23134">
              <w:rPr>
                <w:rFonts w:ascii="Arial" w:hAnsi="Arial" w:cs="Arial"/>
                <w:b/>
                <w:color w:val="auto"/>
                <w:sz w:val="18"/>
                <w:szCs w:val="18"/>
                <w:lang w:val="es-ES_tradnl"/>
              </w:rPr>
              <w:t>Análisis de atribución</w:t>
            </w:r>
          </w:p>
        </w:tc>
      </w:tr>
      <w:tr w:rsidR="008F52DE" w:rsidRPr="00D47E65" w14:paraId="4F16E066" w14:textId="77777777" w:rsidTr="009F0EE9">
        <w:trPr>
          <w:trHeight w:val="1160"/>
          <w:jc w:val="center"/>
        </w:trPr>
        <w:tc>
          <w:tcPr>
            <w:tcW w:w="3365" w:type="dxa"/>
          </w:tcPr>
          <w:p w14:paraId="57493B48" w14:textId="77777777" w:rsidR="008F52DE" w:rsidRPr="00B23134" w:rsidRDefault="008F52DE" w:rsidP="009F0EE9">
            <w:pPr>
              <w:rPr>
                <w:rFonts w:ascii="Arial" w:eastAsia="Arial Unicode MS" w:hAnsi="Arial" w:cs="Arial"/>
                <w:sz w:val="18"/>
                <w:szCs w:val="18"/>
                <w:lang w:val="es-ES_tradnl"/>
              </w:rPr>
            </w:pPr>
            <w:r w:rsidRPr="00B23134">
              <w:rPr>
                <w:rFonts w:ascii="Arial" w:eastAsia="Arial Unicode MS" w:hAnsi="Arial" w:cs="Arial"/>
                <w:sz w:val="18"/>
                <w:szCs w:val="18"/>
                <w:lang w:val="es-ES_tradnl"/>
              </w:rPr>
              <w:t>Inversiones productivas de las UER del sector primario, realizadas con el programa (Unidad de Medición: Millones de US$)</w:t>
            </w:r>
          </w:p>
        </w:tc>
        <w:tc>
          <w:tcPr>
            <w:tcW w:w="5545" w:type="dxa"/>
            <w:vMerge w:val="restart"/>
          </w:tcPr>
          <w:p w14:paraId="2F742E32" w14:textId="77777777" w:rsidR="00E8327B" w:rsidRPr="00B23134" w:rsidRDefault="008F52DE" w:rsidP="009F0EE9">
            <w:pPr>
              <w:pStyle w:val="Default"/>
              <w:rPr>
                <w:rFonts w:ascii="Arial" w:hAnsi="Arial" w:cs="Arial"/>
                <w:color w:val="auto"/>
                <w:sz w:val="18"/>
                <w:szCs w:val="18"/>
                <w:lang w:val="es-ES_tradnl"/>
              </w:rPr>
            </w:pPr>
            <w:r w:rsidRPr="00B23134">
              <w:rPr>
                <w:rFonts w:ascii="Arial" w:hAnsi="Arial" w:cs="Arial"/>
                <w:b/>
                <w:i/>
                <w:color w:val="auto"/>
                <w:sz w:val="18"/>
                <w:szCs w:val="18"/>
                <w:lang w:val="es-ES_tradnl"/>
              </w:rPr>
              <w:t xml:space="preserve">Evaluación de </w:t>
            </w:r>
            <w:r w:rsidR="00E8327B" w:rsidRPr="00B23134">
              <w:rPr>
                <w:rFonts w:ascii="Arial" w:hAnsi="Arial" w:cs="Arial"/>
                <w:b/>
                <w:i/>
                <w:color w:val="auto"/>
                <w:sz w:val="18"/>
                <w:szCs w:val="18"/>
                <w:lang w:val="es-ES_tradnl"/>
              </w:rPr>
              <w:t xml:space="preserve">impacto #1 </w:t>
            </w:r>
            <w:r w:rsidRPr="00B23134">
              <w:rPr>
                <w:rFonts w:ascii="Arial" w:hAnsi="Arial" w:cs="Arial"/>
                <w:color w:val="auto"/>
                <w:sz w:val="18"/>
                <w:szCs w:val="18"/>
                <w:lang w:val="es-ES_tradnl"/>
              </w:rPr>
              <w:t xml:space="preserve"> </w:t>
            </w:r>
          </w:p>
          <w:p w14:paraId="171D035E" w14:textId="23BC264C" w:rsidR="008F52DE" w:rsidRPr="00B23134" w:rsidRDefault="003133C8" w:rsidP="009F0EE9">
            <w:pPr>
              <w:pStyle w:val="Default"/>
              <w:rPr>
                <w:rFonts w:ascii="Arial" w:hAnsi="Arial" w:cs="Arial"/>
                <w:color w:val="auto"/>
                <w:sz w:val="18"/>
                <w:szCs w:val="18"/>
                <w:lang w:val="es-ES_tradnl"/>
              </w:rPr>
            </w:pPr>
            <w:r w:rsidRPr="00B23134">
              <w:rPr>
                <w:rFonts w:ascii="Arial" w:eastAsia="Arial Unicode MS" w:hAnsi="Arial" w:cs="Arial"/>
                <w:color w:val="auto"/>
                <w:sz w:val="18"/>
                <w:szCs w:val="18"/>
                <w:lang w:val="es-ES_tradnl"/>
              </w:rPr>
              <w:t>Esta evaluación p</w:t>
            </w:r>
            <w:r w:rsidR="008F52DE" w:rsidRPr="00B23134">
              <w:rPr>
                <w:rFonts w:ascii="Arial" w:eastAsia="Arial Unicode MS" w:hAnsi="Arial" w:cs="Arial"/>
                <w:color w:val="auto"/>
                <w:sz w:val="18"/>
                <w:szCs w:val="18"/>
                <w:lang w:val="es-ES_tradnl"/>
              </w:rPr>
              <w:t>ermitirá comparar un proxy de inversión</w:t>
            </w:r>
            <w:r w:rsidRPr="00B23134">
              <w:rPr>
                <w:rFonts w:ascii="Arial" w:eastAsia="Arial Unicode MS" w:hAnsi="Arial" w:cs="Arial"/>
                <w:color w:val="auto"/>
                <w:sz w:val="18"/>
                <w:szCs w:val="18"/>
                <w:lang w:val="es-ES_tradnl"/>
              </w:rPr>
              <w:t xml:space="preserve"> </w:t>
            </w:r>
            <w:r w:rsidR="00E8327B" w:rsidRPr="00B23134">
              <w:rPr>
                <w:rFonts w:ascii="Arial" w:eastAsia="Arial Unicode MS" w:hAnsi="Arial" w:cs="Arial"/>
                <w:color w:val="auto"/>
                <w:sz w:val="18"/>
                <w:szCs w:val="18"/>
                <w:lang w:val="es-ES_tradnl"/>
              </w:rPr>
              <w:t>para</w:t>
            </w:r>
            <w:r w:rsidR="008F52DE" w:rsidRPr="00B23134">
              <w:rPr>
                <w:rFonts w:ascii="Arial" w:eastAsia="Arial Unicode MS" w:hAnsi="Arial" w:cs="Arial"/>
                <w:color w:val="auto"/>
                <w:sz w:val="18"/>
                <w:szCs w:val="18"/>
                <w:lang w:val="es-ES_tradnl"/>
              </w:rPr>
              <w:t xml:space="preserve"> las UER tratadas </w:t>
            </w:r>
            <w:r w:rsidR="00E8327B" w:rsidRPr="00B23134">
              <w:rPr>
                <w:rFonts w:ascii="Arial" w:eastAsia="Arial Unicode MS" w:hAnsi="Arial" w:cs="Arial"/>
                <w:color w:val="auto"/>
                <w:sz w:val="18"/>
                <w:szCs w:val="18"/>
                <w:lang w:val="es-ES_tradnl"/>
              </w:rPr>
              <w:t xml:space="preserve">contra </w:t>
            </w:r>
            <w:r w:rsidR="008F52DE" w:rsidRPr="00B23134">
              <w:rPr>
                <w:rFonts w:ascii="Arial" w:eastAsia="Arial Unicode MS" w:hAnsi="Arial" w:cs="Arial"/>
                <w:color w:val="auto"/>
                <w:sz w:val="18"/>
                <w:szCs w:val="18"/>
                <w:lang w:val="es-ES_tradnl"/>
              </w:rPr>
              <w:t xml:space="preserve">un grupo de control válido, </w:t>
            </w:r>
            <w:r w:rsidRPr="00B23134">
              <w:rPr>
                <w:rFonts w:ascii="Arial" w:eastAsia="Arial Unicode MS" w:hAnsi="Arial" w:cs="Arial"/>
                <w:color w:val="auto"/>
                <w:sz w:val="18"/>
                <w:szCs w:val="18"/>
                <w:lang w:val="es-ES_tradnl"/>
              </w:rPr>
              <w:t>utilizando la</w:t>
            </w:r>
            <w:r w:rsidR="008F52DE" w:rsidRPr="00B23134">
              <w:rPr>
                <w:rFonts w:ascii="Arial" w:eastAsia="Arial Unicode MS" w:hAnsi="Arial" w:cs="Arial"/>
                <w:color w:val="auto"/>
                <w:sz w:val="18"/>
                <w:szCs w:val="18"/>
                <w:lang w:val="es-ES_tradnl"/>
              </w:rPr>
              <w:t xml:space="preserve"> </w:t>
            </w:r>
            <w:r w:rsidRPr="00B23134">
              <w:rPr>
                <w:rFonts w:ascii="Arial" w:eastAsia="Arial Unicode MS" w:hAnsi="Arial" w:cs="Arial"/>
                <w:color w:val="auto"/>
                <w:sz w:val="18"/>
                <w:szCs w:val="18"/>
                <w:lang w:val="es-ES_tradnl"/>
              </w:rPr>
              <w:t xml:space="preserve">metodología de </w:t>
            </w:r>
            <w:r w:rsidR="008F52DE" w:rsidRPr="00B23134">
              <w:rPr>
                <w:rFonts w:ascii="Arial" w:eastAsia="Arial Unicode MS" w:hAnsi="Arial" w:cs="Arial"/>
                <w:color w:val="auto"/>
                <w:sz w:val="18"/>
                <w:szCs w:val="18"/>
                <w:lang w:val="es-ES_tradnl"/>
              </w:rPr>
              <w:t>regresión discontinua.</w:t>
            </w:r>
            <w:r w:rsidRPr="00B23134">
              <w:rPr>
                <w:rStyle w:val="FootnoteReference"/>
                <w:rFonts w:ascii="Arial" w:eastAsia="Arial Unicode MS" w:hAnsi="Arial" w:cs="Arial"/>
                <w:color w:val="auto"/>
                <w:sz w:val="18"/>
                <w:szCs w:val="18"/>
                <w:lang w:val="es-ES_tradnl"/>
              </w:rPr>
              <w:footnoteReference w:id="5"/>
            </w:r>
            <w:r w:rsidRPr="00B23134">
              <w:rPr>
                <w:rFonts w:ascii="Arial" w:eastAsia="Arial Unicode MS" w:hAnsi="Arial" w:cs="Arial"/>
                <w:color w:val="auto"/>
                <w:sz w:val="18"/>
                <w:szCs w:val="18"/>
                <w:lang w:val="es-ES_tradnl"/>
              </w:rPr>
              <w:t xml:space="preserve"> </w:t>
            </w:r>
            <w:r w:rsidR="008F52DE" w:rsidRPr="00B23134">
              <w:rPr>
                <w:rFonts w:ascii="Arial" w:eastAsia="Arial Unicode MS" w:hAnsi="Arial" w:cs="Arial"/>
                <w:color w:val="auto"/>
                <w:sz w:val="18"/>
                <w:szCs w:val="18"/>
                <w:lang w:val="es-ES_tradnl"/>
              </w:rPr>
              <w:t xml:space="preserve">Si la muestra lo permite, se estimarán los efectos por separado para el sector primario y </w:t>
            </w:r>
            <w:r w:rsidR="00E8327B" w:rsidRPr="00B23134">
              <w:rPr>
                <w:rFonts w:ascii="Arial" w:eastAsia="Arial Unicode MS" w:hAnsi="Arial" w:cs="Arial"/>
                <w:color w:val="auto"/>
                <w:sz w:val="18"/>
                <w:szCs w:val="18"/>
                <w:lang w:val="es-ES_tradnl"/>
              </w:rPr>
              <w:t xml:space="preserve">el sector </w:t>
            </w:r>
            <w:r w:rsidR="008F52DE" w:rsidRPr="00B23134">
              <w:rPr>
                <w:rFonts w:ascii="Arial" w:eastAsia="Arial Unicode MS" w:hAnsi="Arial" w:cs="Arial"/>
                <w:color w:val="auto"/>
                <w:sz w:val="18"/>
                <w:szCs w:val="18"/>
                <w:lang w:val="es-ES_tradnl"/>
              </w:rPr>
              <w:t>secundario</w:t>
            </w:r>
            <w:r w:rsidR="008F52DE" w:rsidRPr="00B23134">
              <w:rPr>
                <w:rFonts w:ascii="Arial" w:hAnsi="Arial" w:cs="Arial"/>
                <w:color w:val="auto"/>
                <w:sz w:val="18"/>
                <w:szCs w:val="18"/>
                <w:lang w:val="es-ES_tradnl"/>
              </w:rPr>
              <w:t>.</w:t>
            </w:r>
            <w:r w:rsidR="008F52DE" w:rsidRPr="00B23134">
              <w:rPr>
                <w:rStyle w:val="FootnoteReference"/>
                <w:rFonts w:ascii="Arial" w:hAnsi="Arial" w:cs="Arial"/>
                <w:color w:val="auto"/>
                <w:sz w:val="18"/>
                <w:szCs w:val="18"/>
                <w:lang w:val="es-ES_tradnl"/>
              </w:rPr>
              <w:footnoteReference w:id="6"/>
            </w:r>
            <w:r w:rsidR="008F52DE" w:rsidRPr="00B23134">
              <w:rPr>
                <w:rFonts w:ascii="Arial" w:hAnsi="Arial" w:cs="Arial"/>
                <w:color w:val="auto"/>
                <w:sz w:val="18"/>
                <w:szCs w:val="18"/>
                <w:lang w:val="es-ES_tradnl"/>
              </w:rPr>
              <w:t xml:space="preserve"> </w:t>
            </w:r>
            <w:r w:rsidRPr="00B23134">
              <w:rPr>
                <w:rFonts w:ascii="Arial" w:hAnsi="Arial" w:cs="Arial"/>
                <w:color w:val="auto"/>
                <w:sz w:val="18"/>
                <w:szCs w:val="18"/>
                <w:lang w:val="es-ES_tradnl"/>
              </w:rPr>
              <w:t xml:space="preserve">Para más detalles acerca de esta evaluación ver Sección </w:t>
            </w:r>
            <w:r w:rsidR="00CE00D7" w:rsidRPr="00B23134">
              <w:rPr>
                <w:rFonts w:ascii="Arial" w:hAnsi="Arial" w:cs="Arial"/>
                <w:color w:val="auto"/>
                <w:sz w:val="18"/>
                <w:szCs w:val="18"/>
                <w:lang w:val="es-ES_tradnl"/>
              </w:rPr>
              <w:t>III</w:t>
            </w:r>
            <w:r w:rsidRPr="00B23134">
              <w:rPr>
                <w:rFonts w:ascii="Arial" w:hAnsi="Arial" w:cs="Arial"/>
                <w:color w:val="auto"/>
                <w:sz w:val="18"/>
                <w:szCs w:val="18"/>
                <w:lang w:val="es-ES_tradnl"/>
              </w:rPr>
              <w:t>.</w:t>
            </w:r>
          </w:p>
        </w:tc>
      </w:tr>
      <w:tr w:rsidR="008F52DE" w:rsidRPr="00D47E65" w14:paraId="5B17AE1E" w14:textId="77777777" w:rsidTr="0099774C">
        <w:trPr>
          <w:trHeight w:val="530"/>
          <w:jc w:val="center"/>
        </w:trPr>
        <w:tc>
          <w:tcPr>
            <w:tcW w:w="3365" w:type="dxa"/>
          </w:tcPr>
          <w:p w14:paraId="3BAB8C2F" w14:textId="77777777" w:rsidR="008F52DE" w:rsidRPr="00B23134" w:rsidRDefault="008F52DE" w:rsidP="009F0EE9">
            <w:pPr>
              <w:rPr>
                <w:rFonts w:ascii="Arial" w:eastAsia="Arial Unicode MS" w:hAnsi="Arial" w:cs="Arial"/>
                <w:sz w:val="18"/>
                <w:szCs w:val="18"/>
                <w:lang w:val="es-ES_tradnl"/>
              </w:rPr>
            </w:pPr>
            <w:r w:rsidRPr="00B23134">
              <w:rPr>
                <w:rFonts w:ascii="Arial" w:eastAsia="Arial Unicode MS" w:hAnsi="Arial" w:cs="Arial"/>
                <w:sz w:val="18"/>
                <w:szCs w:val="18"/>
                <w:lang w:val="es-ES_tradnl"/>
              </w:rPr>
              <w:t>Inversiones productivas de las UER de los sectores secundario y terciario en localidades rurales realizadas con el programa (Unidad de Medición: Millones de US$)</w:t>
            </w:r>
          </w:p>
        </w:tc>
        <w:tc>
          <w:tcPr>
            <w:tcW w:w="5545" w:type="dxa"/>
            <w:vMerge/>
          </w:tcPr>
          <w:p w14:paraId="3F2DCCD4" w14:textId="77777777" w:rsidR="008F52DE" w:rsidRPr="00B23134" w:rsidRDefault="008F52DE" w:rsidP="009F0EE9">
            <w:pPr>
              <w:pStyle w:val="Default"/>
              <w:rPr>
                <w:rFonts w:ascii="Arial" w:hAnsi="Arial" w:cs="Arial"/>
                <w:color w:val="auto"/>
                <w:sz w:val="18"/>
                <w:szCs w:val="18"/>
                <w:lang w:val="es-AR"/>
              </w:rPr>
            </w:pPr>
          </w:p>
        </w:tc>
      </w:tr>
      <w:tr w:rsidR="008F52DE" w:rsidRPr="00D47E65" w14:paraId="277E57A8" w14:textId="77777777" w:rsidTr="0099774C">
        <w:trPr>
          <w:trHeight w:val="656"/>
          <w:jc w:val="center"/>
        </w:trPr>
        <w:tc>
          <w:tcPr>
            <w:tcW w:w="3365" w:type="dxa"/>
          </w:tcPr>
          <w:p w14:paraId="367F8B37" w14:textId="77777777" w:rsidR="008F52DE" w:rsidRPr="00B23134" w:rsidRDefault="008F52DE" w:rsidP="009F0EE9">
            <w:pPr>
              <w:rPr>
                <w:rFonts w:ascii="Arial" w:eastAsia="Arial Unicode MS" w:hAnsi="Arial" w:cs="Arial"/>
                <w:sz w:val="18"/>
                <w:szCs w:val="18"/>
                <w:lang w:val="es-ES_tradnl"/>
              </w:rPr>
            </w:pPr>
            <w:r w:rsidRPr="00B23134">
              <w:rPr>
                <w:rFonts w:ascii="Arial" w:eastAsia="Arial Unicode MS" w:hAnsi="Arial" w:cs="Arial"/>
                <w:sz w:val="18"/>
                <w:szCs w:val="18"/>
                <w:lang w:val="es-ES_tradnl"/>
              </w:rPr>
              <w:lastRenderedPageBreak/>
              <w:t>Nuevos acreditados del sector productivo rural en</w:t>
            </w:r>
            <w:r w:rsidR="00E8327B" w:rsidRPr="00B23134">
              <w:rPr>
                <w:rFonts w:ascii="Arial" w:eastAsia="Arial Unicode MS" w:hAnsi="Arial" w:cs="Arial"/>
                <w:sz w:val="18"/>
                <w:szCs w:val="18"/>
                <w:lang w:val="es-ES_tradnl"/>
              </w:rPr>
              <w:t xml:space="preserve"> el sector financiero formal</w:t>
            </w:r>
          </w:p>
        </w:tc>
        <w:tc>
          <w:tcPr>
            <w:tcW w:w="5545" w:type="dxa"/>
          </w:tcPr>
          <w:p w14:paraId="560CA069" w14:textId="77777777" w:rsidR="003133C8" w:rsidRPr="00B23134" w:rsidRDefault="00E8327B" w:rsidP="009F0EE9">
            <w:pPr>
              <w:pStyle w:val="Default"/>
              <w:rPr>
                <w:rFonts w:ascii="Arial" w:hAnsi="Arial" w:cs="Arial"/>
                <w:b/>
                <w:i/>
                <w:color w:val="auto"/>
                <w:sz w:val="18"/>
                <w:szCs w:val="18"/>
                <w:lang w:val="es-ES_tradnl"/>
              </w:rPr>
            </w:pPr>
            <w:r w:rsidRPr="00B23134">
              <w:rPr>
                <w:rFonts w:ascii="Arial" w:hAnsi="Arial" w:cs="Arial"/>
                <w:b/>
                <w:i/>
                <w:color w:val="auto"/>
                <w:sz w:val="18"/>
                <w:szCs w:val="18"/>
                <w:lang w:val="es-ES_tradnl"/>
              </w:rPr>
              <w:t xml:space="preserve">Evaluación de impacto #3 (tentativa) </w:t>
            </w:r>
          </w:p>
          <w:p w14:paraId="3D72B768" w14:textId="77777777" w:rsidR="008F52DE" w:rsidRPr="00B23134" w:rsidRDefault="003133C8" w:rsidP="009F0EE9">
            <w:pPr>
              <w:pStyle w:val="Default"/>
              <w:rPr>
                <w:rFonts w:ascii="Arial" w:hAnsi="Arial" w:cs="Arial"/>
                <w:color w:val="auto"/>
                <w:sz w:val="18"/>
                <w:szCs w:val="18"/>
                <w:lang w:val="es-ES_tradnl"/>
              </w:rPr>
            </w:pPr>
            <w:r w:rsidRPr="00B23134">
              <w:rPr>
                <w:rFonts w:ascii="Arial" w:hAnsi="Arial" w:cs="Arial"/>
                <w:color w:val="auto"/>
                <w:sz w:val="18"/>
                <w:szCs w:val="18"/>
                <w:lang w:val="es-ES_tradnl"/>
              </w:rPr>
              <w:t>P</w:t>
            </w:r>
            <w:r w:rsidR="00E8327B" w:rsidRPr="00B23134">
              <w:rPr>
                <w:rFonts w:ascii="Arial" w:hAnsi="Arial" w:cs="Arial"/>
                <w:color w:val="auto"/>
                <w:sz w:val="18"/>
                <w:szCs w:val="18"/>
                <w:lang w:val="es-ES_tradnl"/>
              </w:rPr>
              <w:t xml:space="preserve">ara más detalles acerca de esta evaluación ver Sección </w:t>
            </w:r>
            <w:r w:rsidRPr="00B23134">
              <w:rPr>
                <w:rFonts w:ascii="Arial" w:hAnsi="Arial" w:cs="Arial"/>
                <w:color w:val="auto"/>
                <w:sz w:val="18"/>
                <w:szCs w:val="18"/>
                <w:lang w:val="es-ES_tradnl"/>
              </w:rPr>
              <w:t>I</w:t>
            </w:r>
            <w:r w:rsidR="00CE00D7" w:rsidRPr="00B23134">
              <w:rPr>
                <w:rFonts w:ascii="Arial" w:hAnsi="Arial" w:cs="Arial"/>
                <w:color w:val="auto"/>
                <w:sz w:val="18"/>
                <w:szCs w:val="18"/>
                <w:lang w:val="es-ES_tradnl"/>
              </w:rPr>
              <w:t>II</w:t>
            </w:r>
            <w:r w:rsidRPr="00B23134">
              <w:rPr>
                <w:rFonts w:ascii="Arial" w:hAnsi="Arial" w:cs="Arial"/>
                <w:color w:val="auto"/>
                <w:sz w:val="18"/>
                <w:szCs w:val="18"/>
                <w:lang w:val="es-ES_tradnl"/>
              </w:rPr>
              <w:t>.</w:t>
            </w:r>
          </w:p>
          <w:p w14:paraId="74F2F3C2" w14:textId="77777777" w:rsidR="00E8327B" w:rsidRPr="00B23134" w:rsidRDefault="00E8327B" w:rsidP="009F0EE9">
            <w:pPr>
              <w:pStyle w:val="Default"/>
              <w:rPr>
                <w:rFonts w:ascii="Arial" w:hAnsi="Arial" w:cs="Arial"/>
                <w:color w:val="auto"/>
                <w:sz w:val="18"/>
                <w:szCs w:val="18"/>
                <w:lang w:val="es-AR"/>
              </w:rPr>
            </w:pPr>
          </w:p>
        </w:tc>
      </w:tr>
      <w:tr w:rsidR="008F52DE" w:rsidRPr="00D47E65" w14:paraId="5E59D0CA" w14:textId="77777777" w:rsidTr="0099774C">
        <w:trPr>
          <w:trHeight w:val="863"/>
          <w:jc w:val="center"/>
        </w:trPr>
        <w:tc>
          <w:tcPr>
            <w:tcW w:w="3365" w:type="dxa"/>
          </w:tcPr>
          <w:p w14:paraId="34F59D60" w14:textId="77777777" w:rsidR="008F52DE" w:rsidRPr="00B23134" w:rsidRDefault="008F52DE" w:rsidP="009F0EE9">
            <w:pPr>
              <w:rPr>
                <w:rFonts w:ascii="Arial" w:eastAsia="Arial Unicode MS" w:hAnsi="Arial" w:cs="Arial"/>
                <w:sz w:val="18"/>
                <w:szCs w:val="18"/>
                <w:lang w:val="es-ES_tradnl"/>
              </w:rPr>
            </w:pPr>
            <w:r w:rsidRPr="00B23134">
              <w:rPr>
                <w:rFonts w:ascii="Arial" w:eastAsia="Arial Unicode MS" w:hAnsi="Arial" w:cs="Arial"/>
                <w:sz w:val="18"/>
                <w:szCs w:val="18"/>
                <w:lang w:val="es-ES_tradnl"/>
              </w:rPr>
              <w:t>Valor medio de las exportaciones de las UER beneficiarias por el programa Agroexportación en relación a las UER comparables, no beneficiarias para 2019</w:t>
            </w:r>
          </w:p>
        </w:tc>
        <w:tc>
          <w:tcPr>
            <w:tcW w:w="5545" w:type="dxa"/>
          </w:tcPr>
          <w:p w14:paraId="4DA34171" w14:textId="77777777" w:rsidR="00E8327B" w:rsidRPr="00B23134" w:rsidRDefault="00E8327B" w:rsidP="00E8327B">
            <w:pPr>
              <w:pStyle w:val="Default"/>
              <w:rPr>
                <w:rFonts w:ascii="Arial" w:hAnsi="Arial" w:cs="Arial"/>
                <w:color w:val="auto"/>
                <w:sz w:val="18"/>
                <w:szCs w:val="18"/>
                <w:lang w:val="es-ES_tradnl"/>
              </w:rPr>
            </w:pPr>
            <w:r w:rsidRPr="00B23134">
              <w:rPr>
                <w:rFonts w:ascii="Arial" w:hAnsi="Arial" w:cs="Arial"/>
                <w:b/>
                <w:i/>
                <w:color w:val="auto"/>
                <w:sz w:val="18"/>
                <w:szCs w:val="18"/>
                <w:lang w:val="es-ES_tradnl"/>
              </w:rPr>
              <w:t xml:space="preserve">Evaluación de impacto #1 </w:t>
            </w:r>
          </w:p>
          <w:p w14:paraId="0B127687" w14:textId="77777777" w:rsidR="008F52DE" w:rsidRPr="00B23134" w:rsidRDefault="003133C8" w:rsidP="00E8327B">
            <w:pPr>
              <w:pStyle w:val="Default"/>
              <w:rPr>
                <w:rFonts w:ascii="Arial" w:hAnsi="Arial" w:cs="Arial"/>
                <w:color w:val="auto"/>
                <w:sz w:val="18"/>
                <w:szCs w:val="18"/>
                <w:lang w:val="es-AR"/>
              </w:rPr>
            </w:pPr>
            <w:r w:rsidRPr="00B23134">
              <w:rPr>
                <w:rFonts w:ascii="Arial" w:eastAsia="Arial Unicode MS" w:hAnsi="Arial" w:cs="Arial"/>
                <w:color w:val="auto"/>
                <w:sz w:val="18"/>
                <w:szCs w:val="18"/>
                <w:lang w:val="es-ES_tradnl"/>
              </w:rPr>
              <w:t>Esta evaluación p</w:t>
            </w:r>
            <w:r w:rsidR="00E8327B" w:rsidRPr="00B23134">
              <w:rPr>
                <w:rFonts w:ascii="Arial" w:eastAsia="Arial Unicode MS" w:hAnsi="Arial" w:cs="Arial"/>
                <w:color w:val="auto"/>
                <w:sz w:val="18"/>
                <w:szCs w:val="18"/>
                <w:lang w:val="es-ES_tradnl"/>
              </w:rPr>
              <w:t xml:space="preserve">ermitirá comparar las exportaciones para las UER tratadas contra un grupo de control válido, </w:t>
            </w:r>
            <w:r w:rsidRPr="00B23134">
              <w:rPr>
                <w:rFonts w:ascii="Arial" w:eastAsia="Arial Unicode MS" w:hAnsi="Arial" w:cs="Arial"/>
                <w:color w:val="auto"/>
                <w:sz w:val="18"/>
                <w:szCs w:val="18"/>
                <w:lang w:val="es-ES_tradnl"/>
              </w:rPr>
              <w:t>utilizando la metodología de</w:t>
            </w:r>
            <w:r w:rsidR="00E8327B" w:rsidRPr="00B23134">
              <w:rPr>
                <w:rFonts w:ascii="Arial" w:eastAsia="Arial Unicode MS" w:hAnsi="Arial" w:cs="Arial"/>
                <w:color w:val="auto"/>
                <w:sz w:val="18"/>
                <w:szCs w:val="18"/>
                <w:lang w:val="es-ES_tradnl"/>
              </w:rPr>
              <w:t xml:space="preserve"> regresión discontinua. </w:t>
            </w:r>
            <w:r w:rsidRPr="00B23134">
              <w:rPr>
                <w:rFonts w:ascii="Arial" w:hAnsi="Arial" w:cs="Arial"/>
                <w:color w:val="auto"/>
                <w:sz w:val="18"/>
                <w:szCs w:val="18"/>
                <w:lang w:val="es-ES_tradnl"/>
              </w:rPr>
              <w:t>Para más detalles acerca de esta evaluación ver Sección I</w:t>
            </w:r>
            <w:r w:rsidR="00CE00D7" w:rsidRPr="00B23134">
              <w:rPr>
                <w:rFonts w:ascii="Arial" w:hAnsi="Arial" w:cs="Arial"/>
                <w:color w:val="auto"/>
                <w:sz w:val="18"/>
                <w:szCs w:val="18"/>
                <w:lang w:val="es-ES_tradnl"/>
              </w:rPr>
              <w:t>III</w:t>
            </w:r>
            <w:r w:rsidRPr="00B23134">
              <w:rPr>
                <w:rFonts w:ascii="Arial" w:hAnsi="Arial" w:cs="Arial"/>
                <w:color w:val="auto"/>
                <w:sz w:val="18"/>
                <w:szCs w:val="18"/>
                <w:lang w:val="es-ES_tradnl"/>
              </w:rPr>
              <w:t>.</w:t>
            </w:r>
          </w:p>
        </w:tc>
      </w:tr>
    </w:tbl>
    <w:p w14:paraId="36ABB49E" w14:textId="77777777" w:rsidR="008F39CA" w:rsidRPr="001010E7" w:rsidRDefault="008F39CA" w:rsidP="0099774C">
      <w:pPr>
        <w:pStyle w:val="Paragraph"/>
        <w:numPr>
          <w:ilvl w:val="0"/>
          <w:numId w:val="0"/>
        </w:numPr>
        <w:ind w:left="720"/>
        <w:rPr>
          <w:rFonts w:ascii="Arial" w:hAnsi="Arial" w:cs="Arial"/>
          <w:sz w:val="22"/>
          <w:szCs w:val="22"/>
          <w:lang w:val="es-ES_tradnl"/>
        </w:rPr>
      </w:pPr>
    </w:p>
    <w:p w14:paraId="743CE611" w14:textId="77777777" w:rsidR="008F39CA" w:rsidRPr="001010E7" w:rsidRDefault="008F39CA" w:rsidP="0099774C">
      <w:pPr>
        <w:pStyle w:val="Paragraph"/>
        <w:tabs>
          <w:tab w:val="clear" w:pos="2736"/>
        </w:tabs>
        <w:ind w:left="720" w:hanging="720"/>
        <w:rPr>
          <w:rFonts w:ascii="Arial" w:hAnsi="Arial" w:cs="Arial"/>
          <w:b/>
          <w:sz w:val="22"/>
          <w:szCs w:val="22"/>
          <w:lang w:val="es-AR"/>
        </w:rPr>
      </w:pPr>
      <w:r w:rsidRPr="001010E7">
        <w:rPr>
          <w:rFonts w:ascii="Arial" w:hAnsi="Arial" w:cs="Arial"/>
          <w:sz w:val="22"/>
          <w:szCs w:val="22"/>
          <w:lang w:val="es-ES_tradnl"/>
        </w:rPr>
        <w:br w:type="page"/>
      </w:r>
    </w:p>
    <w:p w14:paraId="5F52FDC1" w14:textId="77777777" w:rsidR="00062D0D" w:rsidRPr="001010E7" w:rsidRDefault="00062D0D" w:rsidP="009544B3">
      <w:pPr>
        <w:pStyle w:val="Chapter"/>
        <w:tabs>
          <w:tab w:val="clear" w:pos="2088"/>
          <w:tab w:val="num" w:pos="648"/>
        </w:tabs>
        <w:spacing w:before="0"/>
        <w:ind w:left="0"/>
        <w:rPr>
          <w:rFonts w:ascii="Arial" w:hAnsi="Arial" w:cs="Arial"/>
          <w:sz w:val="22"/>
          <w:szCs w:val="22"/>
        </w:rPr>
      </w:pPr>
      <w:bookmarkStart w:id="21" w:name="_Toc415826270"/>
      <w:r w:rsidRPr="001010E7">
        <w:rPr>
          <w:rFonts w:ascii="Arial" w:hAnsi="Arial" w:cs="Arial"/>
          <w:sz w:val="22"/>
          <w:szCs w:val="22"/>
        </w:rPr>
        <w:lastRenderedPageBreak/>
        <w:t>Evaluación</w:t>
      </w:r>
      <w:bookmarkEnd w:id="18"/>
      <w:bookmarkEnd w:id="19"/>
      <w:bookmarkEnd w:id="20"/>
      <w:bookmarkEnd w:id="21"/>
    </w:p>
    <w:p w14:paraId="0DDDBE64" w14:textId="77777777" w:rsidR="00FC138B" w:rsidRPr="001010E7" w:rsidRDefault="009B2B00" w:rsidP="009544B3">
      <w:pPr>
        <w:pStyle w:val="Paragraph"/>
        <w:tabs>
          <w:tab w:val="clear" w:pos="2736"/>
        </w:tabs>
        <w:ind w:left="720" w:hanging="720"/>
        <w:rPr>
          <w:rFonts w:ascii="Arial" w:eastAsiaTheme="minorHAnsi" w:hAnsi="Arial" w:cs="Arial"/>
          <w:sz w:val="22"/>
          <w:szCs w:val="22"/>
          <w:lang w:val="es-ES_tradnl" w:eastAsia="en-US"/>
        </w:rPr>
      </w:pPr>
      <w:r w:rsidRPr="001010E7">
        <w:rPr>
          <w:rFonts w:ascii="Arial" w:hAnsi="Arial" w:cs="Arial"/>
          <w:sz w:val="22"/>
          <w:szCs w:val="22"/>
          <w:lang w:val="es-ES_tradnl"/>
        </w:rPr>
        <w:t>El objetivo de esta sección es actualizar la información sobre la implementación de la evaluación de impacto de la línea CCLIP ME-X1024 “Línea de Crédito Condicional para el Financiamiento Rural Productivo e Inclusivo”.</w:t>
      </w:r>
      <w:r w:rsidR="00062D0D" w:rsidRPr="001010E7">
        <w:rPr>
          <w:rFonts w:ascii="Arial" w:hAnsi="Arial" w:cs="Arial"/>
          <w:sz w:val="22"/>
          <w:szCs w:val="22"/>
          <w:lang w:val="es-ES_tradnl"/>
        </w:rPr>
        <w:t xml:space="preserve"> </w:t>
      </w:r>
    </w:p>
    <w:p w14:paraId="0EDDBDAD" w14:textId="1293A201" w:rsidR="00CE00D7" w:rsidRPr="001010E7" w:rsidRDefault="00CE00D7" w:rsidP="00FC138B">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La presente operación es la tercera de dicha CLIPP. </w:t>
      </w:r>
      <w:r w:rsidR="00FC138B" w:rsidRPr="001010E7">
        <w:rPr>
          <w:rFonts w:ascii="Arial" w:hAnsi="Arial" w:cs="Arial"/>
          <w:sz w:val="22"/>
          <w:szCs w:val="22"/>
          <w:lang w:val="es-ES_tradnl"/>
        </w:rPr>
        <w:t xml:space="preserve">El objetivo específico de la </w:t>
      </w:r>
      <w:r w:rsidR="00FC138B" w:rsidRPr="001010E7">
        <w:rPr>
          <w:rFonts w:ascii="Arial" w:hAnsi="Arial" w:cs="Arial"/>
          <w:i/>
          <w:sz w:val="22"/>
          <w:szCs w:val="22"/>
          <w:lang w:val="es-ES_tradnl"/>
        </w:rPr>
        <w:t>primera operación</w:t>
      </w:r>
      <w:r w:rsidR="00624440" w:rsidRPr="001010E7">
        <w:rPr>
          <w:rFonts w:ascii="Arial" w:hAnsi="Arial" w:cs="Arial"/>
          <w:i/>
          <w:sz w:val="22"/>
          <w:szCs w:val="22"/>
          <w:lang w:val="es-ES_tradnl"/>
        </w:rPr>
        <w:t xml:space="preserve"> </w:t>
      </w:r>
      <w:r w:rsidR="00624440" w:rsidRPr="001010E7">
        <w:rPr>
          <w:rFonts w:ascii="Arial" w:hAnsi="Arial" w:cs="Arial"/>
          <w:sz w:val="22"/>
          <w:szCs w:val="22"/>
          <w:lang w:val="es-ES_tradnl"/>
        </w:rPr>
        <w:t xml:space="preserve">(ME-L1161) </w:t>
      </w:r>
      <w:r w:rsidR="00FC138B" w:rsidRPr="001010E7">
        <w:rPr>
          <w:rFonts w:ascii="Arial" w:hAnsi="Arial" w:cs="Arial"/>
          <w:sz w:val="22"/>
          <w:szCs w:val="22"/>
          <w:lang w:val="es-ES_tradnl"/>
        </w:rPr>
        <w:t xml:space="preserve">era contribuir a elevar la productividad del sector primario, mediante mayor acceso a financiamiento por parte de las UER para realizar inversiones en activos productivos y para la adopción de tecnologías y modelos técnicos agropecuarios. </w:t>
      </w:r>
      <w:r w:rsidRPr="001010E7">
        <w:rPr>
          <w:rFonts w:ascii="Arial" w:hAnsi="Arial" w:cs="Arial"/>
          <w:sz w:val="22"/>
          <w:szCs w:val="22"/>
          <w:lang w:val="es-ES_tradnl"/>
        </w:rPr>
        <w:t xml:space="preserve">La </w:t>
      </w:r>
      <w:r w:rsidRPr="001010E7">
        <w:rPr>
          <w:rFonts w:ascii="Arial" w:hAnsi="Arial" w:cs="Arial"/>
          <w:i/>
          <w:sz w:val="22"/>
          <w:szCs w:val="22"/>
          <w:lang w:val="es-ES_tradnl"/>
        </w:rPr>
        <w:t>segunda operación</w:t>
      </w:r>
      <w:r w:rsidR="00624440" w:rsidRPr="001010E7">
        <w:rPr>
          <w:rFonts w:ascii="Arial" w:hAnsi="Arial" w:cs="Arial"/>
          <w:i/>
          <w:sz w:val="22"/>
          <w:szCs w:val="22"/>
          <w:lang w:val="es-ES_tradnl"/>
        </w:rPr>
        <w:t xml:space="preserve"> (</w:t>
      </w:r>
      <w:r w:rsidR="00624440" w:rsidRPr="001010E7">
        <w:rPr>
          <w:rFonts w:ascii="Arial" w:hAnsi="Arial" w:cs="Arial"/>
          <w:sz w:val="22"/>
          <w:szCs w:val="22"/>
          <w:lang w:val="es-ES_tradnl"/>
        </w:rPr>
        <w:t xml:space="preserve">ME-L1170) </w:t>
      </w:r>
      <w:r w:rsidR="00FC138B" w:rsidRPr="001010E7">
        <w:rPr>
          <w:rFonts w:ascii="Arial" w:hAnsi="Arial" w:cs="Arial"/>
          <w:sz w:val="22"/>
          <w:szCs w:val="22"/>
          <w:lang w:val="es-ES_tradnl"/>
        </w:rPr>
        <w:t>mantiene el objetivo de produ</w:t>
      </w:r>
      <w:r w:rsidRPr="001010E7">
        <w:rPr>
          <w:rFonts w:ascii="Arial" w:hAnsi="Arial" w:cs="Arial"/>
          <w:sz w:val="22"/>
          <w:szCs w:val="22"/>
          <w:lang w:val="es-ES_tradnl"/>
        </w:rPr>
        <w:t>ctividad, pero a diferencia de la primera</w:t>
      </w:r>
      <w:r w:rsidR="00FC138B" w:rsidRPr="001010E7">
        <w:rPr>
          <w:rFonts w:ascii="Arial" w:hAnsi="Arial" w:cs="Arial"/>
          <w:sz w:val="22"/>
          <w:szCs w:val="22"/>
          <w:lang w:val="es-ES_tradnl"/>
        </w:rPr>
        <w:t>, la población objetivo se enfoca</w:t>
      </w:r>
      <w:r w:rsidRPr="001010E7">
        <w:rPr>
          <w:rFonts w:ascii="Arial" w:hAnsi="Arial" w:cs="Arial"/>
          <w:sz w:val="22"/>
          <w:szCs w:val="22"/>
          <w:lang w:val="es-ES_tradnl"/>
        </w:rPr>
        <w:t>, en cierta medida,</w:t>
      </w:r>
      <w:r w:rsidR="00FC138B" w:rsidRPr="001010E7">
        <w:rPr>
          <w:rFonts w:ascii="Arial" w:hAnsi="Arial" w:cs="Arial"/>
          <w:sz w:val="22"/>
          <w:szCs w:val="22"/>
          <w:lang w:val="es-ES_tradnl"/>
        </w:rPr>
        <w:t xml:space="preserve"> en segmentos mayormente excluidos</w:t>
      </w:r>
      <w:r w:rsidRPr="001010E7">
        <w:rPr>
          <w:rFonts w:ascii="Arial" w:hAnsi="Arial" w:cs="Arial"/>
          <w:sz w:val="22"/>
          <w:szCs w:val="22"/>
          <w:lang w:val="es-ES_tradnl"/>
        </w:rPr>
        <w:t>,</w:t>
      </w:r>
      <w:r w:rsidR="00FC138B" w:rsidRPr="001010E7">
        <w:rPr>
          <w:rFonts w:ascii="Arial" w:hAnsi="Arial" w:cs="Arial"/>
          <w:sz w:val="22"/>
          <w:szCs w:val="22"/>
          <w:lang w:val="es-ES_tradnl"/>
        </w:rPr>
        <w:t xml:space="preserve"> con lo cual se da cabida al segundo objetivo de la CCLIP de promover la inclusión financiera; en específico, apoya a unidades de bajos ingresos, aquellas ubicadas en municipios de alta y muy alta marginación y las administradas por mujeres. Est</w:t>
      </w:r>
      <w:r w:rsidRPr="001010E7">
        <w:rPr>
          <w:rFonts w:ascii="Arial" w:hAnsi="Arial" w:cs="Arial"/>
          <w:sz w:val="22"/>
          <w:szCs w:val="22"/>
          <w:lang w:val="es-ES_tradnl"/>
        </w:rPr>
        <w:t>a</w:t>
      </w:r>
      <w:r w:rsidR="00FC138B" w:rsidRPr="001010E7">
        <w:rPr>
          <w:rFonts w:ascii="Arial" w:hAnsi="Arial" w:cs="Arial"/>
          <w:sz w:val="22"/>
          <w:szCs w:val="22"/>
          <w:lang w:val="es-ES_tradnl"/>
        </w:rPr>
        <w:t xml:space="preserve"> </w:t>
      </w:r>
      <w:r w:rsidR="00FC138B" w:rsidRPr="001010E7">
        <w:rPr>
          <w:rFonts w:ascii="Arial" w:hAnsi="Arial" w:cs="Arial"/>
          <w:i/>
          <w:sz w:val="22"/>
          <w:szCs w:val="22"/>
          <w:lang w:val="es-ES_tradnl"/>
        </w:rPr>
        <w:t>tercer</w:t>
      </w:r>
      <w:r w:rsidRPr="001010E7">
        <w:rPr>
          <w:rFonts w:ascii="Arial" w:hAnsi="Arial" w:cs="Arial"/>
          <w:i/>
          <w:sz w:val="22"/>
          <w:szCs w:val="22"/>
          <w:lang w:val="es-ES_tradnl"/>
        </w:rPr>
        <w:t>a</w:t>
      </w:r>
      <w:r w:rsidR="00FC138B" w:rsidRPr="001010E7">
        <w:rPr>
          <w:rFonts w:ascii="Arial" w:hAnsi="Arial" w:cs="Arial"/>
          <w:i/>
          <w:sz w:val="22"/>
          <w:szCs w:val="22"/>
          <w:lang w:val="es-ES_tradnl"/>
        </w:rPr>
        <w:t xml:space="preserve"> </w:t>
      </w:r>
      <w:r w:rsidRPr="001010E7">
        <w:rPr>
          <w:rFonts w:ascii="Arial" w:hAnsi="Arial" w:cs="Arial"/>
          <w:i/>
          <w:sz w:val="22"/>
          <w:szCs w:val="22"/>
          <w:lang w:val="es-ES_tradnl"/>
        </w:rPr>
        <w:t>operación</w:t>
      </w:r>
      <w:r w:rsidR="00667D9B" w:rsidRPr="001010E7">
        <w:rPr>
          <w:rStyle w:val="FootnoteReference"/>
          <w:rFonts w:ascii="Arial" w:hAnsi="Arial" w:cs="Arial"/>
          <w:i/>
          <w:sz w:val="22"/>
          <w:szCs w:val="22"/>
          <w:lang w:val="es-ES_tradnl"/>
        </w:rPr>
        <w:footnoteReference w:id="7"/>
      </w:r>
      <w:r w:rsidRPr="001010E7">
        <w:rPr>
          <w:rFonts w:ascii="Arial" w:hAnsi="Arial" w:cs="Arial"/>
          <w:sz w:val="22"/>
          <w:szCs w:val="22"/>
          <w:lang w:val="es-ES_tradnl"/>
        </w:rPr>
        <w:t>,</w:t>
      </w:r>
      <w:r w:rsidR="00FC138B" w:rsidRPr="001010E7">
        <w:rPr>
          <w:rFonts w:ascii="Arial" w:hAnsi="Arial" w:cs="Arial"/>
          <w:sz w:val="22"/>
          <w:szCs w:val="22"/>
          <w:lang w:val="es-ES_tradnl"/>
        </w:rPr>
        <w:t xml:space="preserve"> </w:t>
      </w:r>
      <w:r w:rsidRPr="001010E7">
        <w:rPr>
          <w:rFonts w:ascii="Arial" w:hAnsi="Arial" w:cs="Arial"/>
          <w:sz w:val="22"/>
          <w:szCs w:val="22"/>
          <w:lang w:val="es-ES_tradnl"/>
        </w:rPr>
        <w:t>tiene en común con la</w:t>
      </w:r>
      <w:r w:rsidR="00FC138B" w:rsidRPr="001010E7">
        <w:rPr>
          <w:rFonts w:ascii="Arial" w:hAnsi="Arial" w:cs="Arial"/>
          <w:sz w:val="22"/>
          <w:szCs w:val="22"/>
          <w:lang w:val="es-ES_tradnl"/>
        </w:rPr>
        <w:t>s anteriores su objetivo de productividad, vía inversiones en activos productivos y para la adopción de tecnologías y modelos técnicos agropecuarios. Además, al igual que en la segunda operación, tiene una focalización en segmentos con menor inclusión financiera, entre las que se incluirán las actividades económicas en el medio rural directamente vinculadas al sector primario (ya sea en los sectores secundario o terciario)</w:t>
      </w:r>
      <w:r w:rsidR="00FC138B" w:rsidRPr="001010E7">
        <w:rPr>
          <w:rFonts w:ascii="Arial" w:hAnsi="Arial" w:cs="Arial"/>
          <w:sz w:val="22"/>
          <w:szCs w:val="22"/>
          <w:vertAlign w:val="superscript"/>
          <w:lang w:val="en-GB"/>
        </w:rPr>
        <w:footnoteReference w:id="8"/>
      </w:r>
      <w:r w:rsidRPr="001010E7">
        <w:rPr>
          <w:rFonts w:ascii="Arial" w:hAnsi="Arial" w:cs="Arial"/>
          <w:sz w:val="22"/>
          <w:szCs w:val="22"/>
          <w:lang w:val="es-ES_tradnl"/>
        </w:rPr>
        <w:t>.</w:t>
      </w:r>
      <w:r w:rsidR="00FC138B" w:rsidRPr="001010E7">
        <w:rPr>
          <w:rFonts w:ascii="Arial" w:hAnsi="Arial" w:cs="Arial"/>
          <w:sz w:val="22"/>
          <w:szCs w:val="22"/>
          <w:lang w:val="es-ES_tradnl"/>
        </w:rPr>
        <w:t xml:space="preserve"> Por tanto, la población beneficiaria elegible será las UER pequeñas y medianas que desarrollan actividades productivas relacionadas con el sector primario (al igual que en las operaciones primera y segunda), y UER pequeñas y medianas vinculadas al sector primario en los sectores secundario y terciario en el ámbito rural. Mediante la evaluación se estudiará en qué medida se alcanzaron los objetivos del programa a través de sus indicadores de resultados. Específicamente, la </w:t>
      </w:r>
      <w:r w:rsidR="00A31487" w:rsidRPr="001010E7">
        <w:rPr>
          <w:rFonts w:ascii="Arial" w:hAnsi="Arial" w:cs="Arial"/>
          <w:sz w:val="22"/>
          <w:szCs w:val="22"/>
          <w:lang w:val="es-ES_tradnl"/>
        </w:rPr>
        <w:t>evaluación</w:t>
      </w:r>
      <w:r w:rsidR="00FC138B" w:rsidRPr="001010E7">
        <w:rPr>
          <w:rFonts w:ascii="Arial" w:hAnsi="Arial" w:cs="Arial"/>
          <w:sz w:val="22"/>
          <w:szCs w:val="22"/>
          <w:lang w:val="es-ES_tradnl"/>
        </w:rPr>
        <w:t xml:space="preserve"> se centrará en la medición del impacto en productividad del sector primario, como principal objetivo. </w:t>
      </w:r>
    </w:p>
    <w:p w14:paraId="6BC243ED" w14:textId="414226FA" w:rsidR="00FC138B" w:rsidRPr="001010E7" w:rsidRDefault="00E06EBE" w:rsidP="009544B3">
      <w:pPr>
        <w:pStyle w:val="Paragraph"/>
        <w:tabs>
          <w:tab w:val="clear" w:pos="2736"/>
        </w:tabs>
        <w:ind w:left="720" w:hanging="720"/>
        <w:rPr>
          <w:rFonts w:ascii="Arial" w:eastAsiaTheme="minorHAnsi" w:hAnsi="Arial" w:cs="Arial"/>
          <w:sz w:val="22"/>
          <w:szCs w:val="22"/>
          <w:lang w:val="es-ES_tradnl" w:eastAsia="en-US"/>
        </w:rPr>
      </w:pPr>
      <w:r w:rsidRPr="001010E7">
        <w:rPr>
          <w:rFonts w:ascii="Arial" w:hAnsi="Arial" w:cs="Arial"/>
          <w:sz w:val="22"/>
          <w:szCs w:val="22"/>
          <w:lang w:val="es-ES_tradnl"/>
        </w:rPr>
        <w:t>S</w:t>
      </w:r>
      <w:r w:rsidR="003133C8" w:rsidRPr="001010E7">
        <w:rPr>
          <w:rFonts w:ascii="Arial" w:hAnsi="Arial" w:cs="Arial"/>
          <w:sz w:val="22"/>
          <w:szCs w:val="22"/>
          <w:lang w:val="es-ES_tradnl"/>
        </w:rPr>
        <w:t xml:space="preserve">e </w:t>
      </w:r>
      <w:r w:rsidR="00FC138B" w:rsidRPr="001010E7">
        <w:rPr>
          <w:rFonts w:ascii="Arial" w:hAnsi="Arial" w:cs="Arial"/>
          <w:sz w:val="22"/>
          <w:szCs w:val="22"/>
          <w:lang w:val="es-ES_tradnl"/>
        </w:rPr>
        <w:t>evaluará</w:t>
      </w:r>
      <w:r w:rsidR="003133C8" w:rsidRPr="001010E7">
        <w:rPr>
          <w:rFonts w:ascii="Arial" w:hAnsi="Arial" w:cs="Arial"/>
          <w:sz w:val="22"/>
          <w:szCs w:val="22"/>
          <w:lang w:val="es-ES_tradnl"/>
        </w:rPr>
        <w:t xml:space="preserve"> la CLIPP en su conjunto debido a que las tres op</w:t>
      </w:r>
      <w:r w:rsidR="00FC138B" w:rsidRPr="001010E7">
        <w:rPr>
          <w:rFonts w:ascii="Arial" w:hAnsi="Arial" w:cs="Arial"/>
          <w:sz w:val="22"/>
          <w:szCs w:val="22"/>
          <w:lang w:val="es-ES_tradnl"/>
        </w:rPr>
        <w:t xml:space="preserve">eraciones de la CLIPP presentan importantes similitudes entre sí. Por ejemplo, para todas las operaciones: (a) uno de los objetivos centrales es la mejora de la productividad; (b) </w:t>
      </w:r>
      <w:r w:rsidR="00CE00D7" w:rsidRPr="001010E7">
        <w:rPr>
          <w:rFonts w:ascii="Arial" w:hAnsi="Arial" w:cs="Arial"/>
          <w:sz w:val="22"/>
          <w:szCs w:val="22"/>
          <w:lang w:val="es-ES_tradnl"/>
        </w:rPr>
        <w:t>se ofrecen los mismos in</w:t>
      </w:r>
      <w:r w:rsidRPr="001010E7">
        <w:rPr>
          <w:rFonts w:ascii="Arial" w:hAnsi="Arial" w:cs="Arial"/>
          <w:sz w:val="22"/>
          <w:szCs w:val="22"/>
          <w:lang w:val="es-ES_tradnl"/>
        </w:rPr>
        <w:t xml:space="preserve">strumentos crediticios; </w:t>
      </w:r>
      <w:r w:rsidR="001010E7" w:rsidRPr="001010E7">
        <w:rPr>
          <w:rFonts w:ascii="Arial" w:hAnsi="Arial" w:cs="Arial"/>
          <w:sz w:val="22"/>
          <w:szCs w:val="22"/>
          <w:lang w:val="es-ES_tradnl"/>
        </w:rPr>
        <w:t xml:space="preserve">y </w:t>
      </w:r>
      <w:r w:rsidRPr="001010E7">
        <w:rPr>
          <w:rFonts w:ascii="Arial" w:hAnsi="Arial" w:cs="Arial"/>
          <w:sz w:val="22"/>
          <w:szCs w:val="22"/>
          <w:lang w:val="es-ES_tradnl"/>
        </w:rPr>
        <w:t>(c) un porcentaje importante de los recursos cuentan con las mismas reglas de e</w:t>
      </w:r>
      <w:r w:rsidR="001010E7" w:rsidRPr="001010E7">
        <w:rPr>
          <w:rFonts w:ascii="Arial" w:hAnsi="Arial" w:cs="Arial"/>
          <w:sz w:val="22"/>
          <w:szCs w:val="22"/>
          <w:lang w:val="es-ES_tradnl"/>
        </w:rPr>
        <w:t>legibilidad de beneficiarios (y </w:t>
      </w:r>
      <w:r w:rsidRPr="001010E7">
        <w:rPr>
          <w:rFonts w:ascii="Arial" w:hAnsi="Arial" w:cs="Arial"/>
          <w:sz w:val="22"/>
          <w:szCs w:val="22"/>
          <w:lang w:val="es-ES_tradnl"/>
        </w:rPr>
        <w:t>solo un porcentaje menor se destina a poblaciones meta diversas)</w:t>
      </w:r>
      <w:r w:rsidR="00CE00D7" w:rsidRPr="001010E7">
        <w:rPr>
          <w:rFonts w:ascii="Arial" w:hAnsi="Arial" w:cs="Arial"/>
          <w:sz w:val="22"/>
          <w:szCs w:val="22"/>
          <w:lang w:val="es-ES_tradnl"/>
        </w:rPr>
        <w:t xml:space="preserve">. </w:t>
      </w:r>
      <w:r w:rsidR="00FC138B" w:rsidRPr="001010E7">
        <w:rPr>
          <w:rFonts w:ascii="Arial" w:hAnsi="Arial" w:cs="Arial"/>
          <w:sz w:val="22"/>
          <w:szCs w:val="22"/>
          <w:lang w:val="es-ES_tradnl"/>
        </w:rPr>
        <w:t xml:space="preserve"> </w:t>
      </w:r>
    </w:p>
    <w:p w14:paraId="16B4D023" w14:textId="77777777" w:rsidR="00A31487" w:rsidRPr="001010E7" w:rsidRDefault="00A31487" w:rsidP="009F0EE9">
      <w:pPr>
        <w:pStyle w:val="Paragraph"/>
        <w:tabs>
          <w:tab w:val="clear" w:pos="2736"/>
        </w:tabs>
        <w:ind w:left="720" w:hanging="720"/>
        <w:rPr>
          <w:rFonts w:ascii="Arial" w:eastAsiaTheme="minorHAnsi" w:hAnsi="Arial" w:cs="Arial"/>
          <w:sz w:val="22"/>
          <w:szCs w:val="22"/>
          <w:lang w:val="es-ES_tradnl" w:eastAsia="en-US"/>
        </w:rPr>
      </w:pPr>
      <w:r w:rsidRPr="001010E7">
        <w:rPr>
          <w:rFonts w:ascii="Arial" w:eastAsiaTheme="minorHAnsi" w:hAnsi="Arial" w:cs="Arial"/>
          <w:sz w:val="22"/>
          <w:szCs w:val="22"/>
          <w:lang w:val="es-ES_tradnl" w:eastAsia="en-US"/>
        </w:rPr>
        <w:lastRenderedPageBreak/>
        <w:t>La CLIPP contará</w:t>
      </w:r>
      <w:r w:rsidR="00667D9B" w:rsidRPr="001010E7">
        <w:rPr>
          <w:rFonts w:ascii="Arial" w:eastAsiaTheme="minorHAnsi" w:hAnsi="Arial" w:cs="Arial"/>
          <w:sz w:val="22"/>
          <w:szCs w:val="22"/>
          <w:lang w:val="es-ES_tradnl" w:eastAsia="en-US"/>
        </w:rPr>
        <w:t xml:space="preserve"> con 3 evaluaciones de impacto.</w:t>
      </w:r>
      <w:r w:rsidRPr="001010E7">
        <w:rPr>
          <w:rFonts w:ascii="Arial" w:eastAsiaTheme="minorHAnsi" w:hAnsi="Arial" w:cs="Arial"/>
          <w:sz w:val="22"/>
          <w:szCs w:val="22"/>
          <w:lang w:val="es-ES_tradnl" w:eastAsia="en-US"/>
        </w:rPr>
        <w:t xml:space="preserve"> </w:t>
      </w:r>
      <w:r w:rsidR="00667D9B" w:rsidRPr="001010E7">
        <w:rPr>
          <w:rFonts w:ascii="Arial" w:eastAsiaTheme="minorHAnsi" w:hAnsi="Arial" w:cs="Arial"/>
          <w:sz w:val="22"/>
          <w:szCs w:val="22"/>
          <w:lang w:val="es-ES_tradnl" w:eastAsia="en-US"/>
        </w:rPr>
        <w:t>Las cuales se detallan a continuación.</w:t>
      </w:r>
    </w:p>
    <w:p w14:paraId="31A19E11" w14:textId="77777777" w:rsidR="00667D9B" w:rsidRPr="001010E7" w:rsidRDefault="00667D9B" w:rsidP="0099774C">
      <w:pPr>
        <w:pStyle w:val="Chapter"/>
        <w:numPr>
          <w:ilvl w:val="0"/>
          <w:numId w:val="101"/>
        </w:numPr>
        <w:tabs>
          <w:tab w:val="clear" w:pos="1440"/>
        </w:tabs>
        <w:rPr>
          <w:rFonts w:ascii="Arial" w:eastAsiaTheme="minorHAnsi" w:hAnsi="Arial" w:cs="Arial"/>
          <w:sz w:val="22"/>
          <w:szCs w:val="22"/>
          <w:lang w:val="es-ES_tradnl" w:eastAsia="en-US"/>
        </w:rPr>
      </w:pPr>
      <w:r w:rsidRPr="001010E7">
        <w:rPr>
          <w:rFonts w:ascii="Arial" w:eastAsiaTheme="minorHAnsi" w:hAnsi="Arial" w:cs="Arial"/>
          <w:sz w:val="22"/>
          <w:szCs w:val="22"/>
          <w:lang w:val="es-ES_tradnl" w:eastAsia="en-US"/>
        </w:rPr>
        <w:t>Evaluación De Impacto #1</w:t>
      </w:r>
    </w:p>
    <w:p w14:paraId="2039B35E" w14:textId="3E8B64AC" w:rsidR="00417FCD" w:rsidRPr="001010E7" w:rsidRDefault="00624440" w:rsidP="009F0EE9">
      <w:pPr>
        <w:pStyle w:val="Paragraph"/>
        <w:tabs>
          <w:tab w:val="clear" w:pos="2736"/>
        </w:tabs>
        <w:ind w:left="720" w:hanging="720"/>
        <w:rPr>
          <w:rFonts w:ascii="Arial" w:eastAsiaTheme="minorHAnsi" w:hAnsi="Arial" w:cs="Arial"/>
          <w:sz w:val="22"/>
          <w:szCs w:val="22"/>
          <w:lang w:val="es-ES_tradnl" w:eastAsia="en-US"/>
        </w:rPr>
      </w:pPr>
      <w:r w:rsidRPr="001010E7">
        <w:rPr>
          <w:rFonts w:ascii="Arial" w:hAnsi="Arial" w:cs="Arial"/>
          <w:sz w:val="22"/>
          <w:szCs w:val="22"/>
          <w:lang w:val="es-ES_tradnl"/>
        </w:rPr>
        <w:t>E</w:t>
      </w:r>
      <w:r w:rsidR="00667D9B" w:rsidRPr="001010E7">
        <w:rPr>
          <w:rFonts w:ascii="Arial" w:hAnsi="Arial" w:cs="Arial"/>
          <w:sz w:val="22"/>
          <w:szCs w:val="22"/>
          <w:lang w:val="es-ES_tradnl"/>
        </w:rPr>
        <w:t xml:space="preserve">l aumento en productividad es el principal objetivo de la CLIPP, y </w:t>
      </w:r>
      <w:r w:rsidRPr="001010E7">
        <w:rPr>
          <w:rFonts w:ascii="Arial" w:hAnsi="Arial" w:cs="Arial"/>
          <w:sz w:val="22"/>
          <w:szCs w:val="22"/>
          <w:lang w:val="es-ES_tradnl"/>
        </w:rPr>
        <w:t xml:space="preserve">es también </w:t>
      </w:r>
      <w:r w:rsidR="00667D9B" w:rsidRPr="001010E7">
        <w:rPr>
          <w:rFonts w:ascii="Arial" w:hAnsi="Arial" w:cs="Arial"/>
          <w:sz w:val="22"/>
          <w:szCs w:val="22"/>
          <w:lang w:val="es-ES_tradnl"/>
        </w:rPr>
        <w:t>el hilo conductor entre las tres operaciones</w:t>
      </w:r>
      <w:r w:rsidRPr="001010E7">
        <w:rPr>
          <w:rFonts w:ascii="Arial" w:hAnsi="Arial" w:cs="Arial"/>
          <w:sz w:val="22"/>
          <w:szCs w:val="22"/>
          <w:lang w:val="es-ES_tradnl"/>
        </w:rPr>
        <w:t xml:space="preserve">. Por lo </w:t>
      </w:r>
      <w:r w:rsidR="001010E7" w:rsidRPr="001010E7">
        <w:rPr>
          <w:rFonts w:ascii="Arial" w:hAnsi="Arial" w:cs="Arial"/>
          <w:sz w:val="22"/>
          <w:szCs w:val="22"/>
          <w:lang w:val="es-ES_tradnl"/>
        </w:rPr>
        <w:t>tanto,</w:t>
      </w:r>
      <w:r w:rsidRPr="001010E7">
        <w:rPr>
          <w:rFonts w:ascii="Arial" w:hAnsi="Arial" w:cs="Arial"/>
          <w:sz w:val="22"/>
          <w:szCs w:val="22"/>
          <w:lang w:val="es-ES_tradnl"/>
        </w:rPr>
        <w:t xml:space="preserve"> </w:t>
      </w:r>
      <w:r w:rsidR="00E53203" w:rsidRPr="001010E7">
        <w:rPr>
          <w:rFonts w:ascii="Arial" w:hAnsi="Arial" w:cs="Arial"/>
          <w:sz w:val="22"/>
          <w:szCs w:val="22"/>
          <w:lang w:val="es-ES_tradnl"/>
        </w:rPr>
        <w:t xml:space="preserve">el foco de la </w:t>
      </w:r>
      <w:r w:rsidR="00667D9B" w:rsidRPr="001010E7">
        <w:rPr>
          <w:rFonts w:ascii="Arial" w:hAnsi="Arial" w:cs="Arial"/>
          <w:sz w:val="22"/>
          <w:szCs w:val="22"/>
          <w:lang w:val="es-ES_tradnl"/>
        </w:rPr>
        <w:t>evaluación</w:t>
      </w:r>
      <w:r w:rsidR="00A31487" w:rsidRPr="001010E7">
        <w:rPr>
          <w:rFonts w:ascii="Arial" w:hAnsi="Arial" w:cs="Arial"/>
          <w:sz w:val="22"/>
          <w:szCs w:val="22"/>
          <w:lang w:val="es-ES_tradnl"/>
        </w:rPr>
        <w:t xml:space="preserve"> de impacto #1 </w:t>
      </w:r>
      <w:r w:rsidR="00E53203" w:rsidRPr="001010E7">
        <w:rPr>
          <w:rFonts w:ascii="Arial" w:hAnsi="Arial" w:cs="Arial"/>
          <w:sz w:val="22"/>
          <w:szCs w:val="22"/>
          <w:lang w:val="es-ES_tradnl"/>
        </w:rPr>
        <w:t>es la medición de</w:t>
      </w:r>
      <w:r w:rsidR="00667D9B" w:rsidRPr="001010E7">
        <w:rPr>
          <w:rFonts w:ascii="Arial" w:hAnsi="Arial" w:cs="Arial"/>
          <w:sz w:val="22"/>
          <w:szCs w:val="22"/>
          <w:lang w:val="es-ES_tradnl"/>
        </w:rPr>
        <w:t xml:space="preserve">l impacto del crédito productivo </w:t>
      </w:r>
      <w:r w:rsidRPr="001010E7">
        <w:rPr>
          <w:rFonts w:ascii="Arial" w:hAnsi="Arial" w:cs="Arial"/>
          <w:sz w:val="22"/>
          <w:szCs w:val="22"/>
          <w:lang w:val="es-ES_tradnl"/>
        </w:rPr>
        <w:t xml:space="preserve">ofrecido por los programas de la CLIPP </w:t>
      </w:r>
      <w:r w:rsidR="00667D9B" w:rsidRPr="001010E7">
        <w:rPr>
          <w:rFonts w:ascii="Arial" w:hAnsi="Arial" w:cs="Arial"/>
          <w:sz w:val="22"/>
          <w:szCs w:val="22"/>
          <w:lang w:val="es-ES_tradnl"/>
        </w:rPr>
        <w:t xml:space="preserve">en </w:t>
      </w:r>
      <w:r w:rsidR="00E53203" w:rsidRPr="001010E7">
        <w:rPr>
          <w:rFonts w:ascii="Arial" w:hAnsi="Arial" w:cs="Arial"/>
          <w:sz w:val="22"/>
          <w:szCs w:val="22"/>
          <w:lang w:val="es-ES_tradnl"/>
        </w:rPr>
        <w:t xml:space="preserve">la productividad </w:t>
      </w:r>
      <w:r w:rsidR="00FB56A2" w:rsidRPr="001010E7">
        <w:rPr>
          <w:rFonts w:ascii="Arial" w:hAnsi="Arial" w:cs="Arial"/>
          <w:sz w:val="22"/>
          <w:szCs w:val="22"/>
          <w:lang w:val="es-ES_tradnl"/>
        </w:rPr>
        <w:t>de las UER</w:t>
      </w:r>
      <w:r w:rsidR="00E53203" w:rsidRPr="001010E7">
        <w:rPr>
          <w:rFonts w:ascii="Arial" w:hAnsi="Arial" w:cs="Arial"/>
          <w:sz w:val="22"/>
          <w:szCs w:val="22"/>
          <w:lang w:val="es-ES_tradnl"/>
        </w:rPr>
        <w:t xml:space="preserve">. </w:t>
      </w:r>
    </w:p>
    <w:p w14:paraId="60A2D1AC" w14:textId="4B1D3D5E" w:rsidR="00F646AE" w:rsidRPr="001010E7" w:rsidRDefault="00804753" w:rsidP="001010E7">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En este </w:t>
      </w:r>
      <w:r w:rsidR="00624440" w:rsidRPr="001010E7">
        <w:rPr>
          <w:rFonts w:ascii="Arial" w:hAnsi="Arial" w:cs="Arial"/>
          <w:sz w:val="22"/>
          <w:szCs w:val="22"/>
          <w:lang w:val="es-ES_tradnl"/>
        </w:rPr>
        <w:t>p</w:t>
      </w:r>
      <w:r w:rsidRPr="001010E7">
        <w:rPr>
          <w:rFonts w:ascii="Arial" w:hAnsi="Arial" w:cs="Arial"/>
          <w:sz w:val="22"/>
          <w:szCs w:val="22"/>
          <w:lang w:val="es-ES_tradnl"/>
        </w:rPr>
        <w:t>lan de evaluación</w:t>
      </w:r>
      <w:r w:rsidR="00624440" w:rsidRPr="001010E7">
        <w:rPr>
          <w:rFonts w:ascii="Arial" w:hAnsi="Arial" w:cs="Arial"/>
          <w:sz w:val="22"/>
          <w:szCs w:val="22"/>
          <w:lang w:val="es-ES_tradnl"/>
        </w:rPr>
        <w:t>,</w:t>
      </w:r>
      <w:r w:rsidRPr="001010E7">
        <w:rPr>
          <w:rFonts w:ascii="Arial" w:hAnsi="Arial" w:cs="Arial"/>
          <w:sz w:val="22"/>
          <w:szCs w:val="22"/>
          <w:lang w:val="es-ES_tradnl"/>
        </w:rPr>
        <w:t xml:space="preserve"> se resumen </w:t>
      </w:r>
      <w:r w:rsidR="009B2B00" w:rsidRPr="001010E7">
        <w:rPr>
          <w:rFonts w:ascii="Arial" w:hAnsi="Arial" w:cs="Arial"/>
          <w:sz w:val="22"/>
          <w:szCs w:val="22"/>
          <w:lang w:val="es-ES_tradnl"/>
        </w:rPr>
        <w:t>l</w:t>
      </w:r>
      <w:r w:rsidR="00190A9B" w:rsidRPr="001010E7">
        <w:rPr>
          <w:rFonts w:ascii="Arial" w:hAnsi="Arial" w:cs="Arial"/>
          <w:sz w:val="22"/>
          <w:szCs w:val="22"/>
          <w:lang w:val="es-ES_tradnl"/>
        </w:rPr>
        <w:t>os avances en la evaluación de impacto</w:t>
      </w:r>
      <w:r w:rsidR="00624440" w:rsidRPr="001010E7">
        <w:rPr>
          <w:rFonts w:ascii="Arial" w:hAnsi="Arial" w:cs="Arial"/>
          <w:sz w:val="22"/>
          <w:szCs w:val="22"/>
          <w:lang w:val="es-ES_tradnl"/>
        </w:rPr>
        <w:t xml:space="preserve"> #1</w:t>
      </w:r>
      <w:r w:rsidR="00190A9B" w:rsidRPr="001010E7">
        <w:rPr>
          <w:rFonts w:ascii="Arial" w:hAnsi="Arial" w:cs="Arial"/>
          <w:sz w:val="22"/>
          <w:szCs w:val="22"/>
          <w:lang w:val="es-ES_tradnl"/>
        </w:rPr>
        <w:t xml:space="preserve"> </w:t>
      </w:r>
      <w:r w:rsidR="00624440" w:rsidRPr="001010E7">
        <w:rPr>
          <w:rFonts w:ascii="Arial" w:hAnsi="Arial" w:cs="Arial"/>
          <w:sz w:val="22"/>
          <w:szCs w:val="22"/>
          <w:lang w:val="es-ES_tradnl"/>
        </w:rPr>
        <w:t>de la CLIPP</w:t>
      </w:r>
      <w:r w:rsidR="009B2B00" w:rsidRPr="001010E7">
        <w:rPr>
          <w:rFonts w:ascii="Arial" w:hAnsi="Arial" w:cs="Arial"/>
          <w:sz w:val="22"/>
          <w:szCs w:val="22"/>
          <w:lang w:val="es-ES_tradnl"/>
        </w:rPr>
        <w:t>,</w:t>
      </w:r>
      <w:r w:rsidRPr="001010E7">
        <w:rPr>
          <w:rFonts w:ascii="Arial" w:hAnsi="Arial" w:cs="Arial"/>
          <w:sz w:val="22"/>
          <w:szCs w:val="22"/>
          <w:lang w:val="es-ES_tradnl"/>
        </w:rPr>
        <w:t xml:space="preserve"> </w:t>
      </w:r>
      <w:r w:rsidR="00624440" w:rsidRPr="001010E7">
        <w:rPr>
          <w:rFonts w:ascii="Arial" w:hAnsi="Arial" w:cs="Arial"/>
          <w:sz w:val="22"/>
          <w:szCs w:val="22"/>
          <w:lang w:val="es-ES_tradnl"/>
        </w:rPr>
        <w:t xml:space="preserve">y </w:t>
      </w:r>
      <w:r w:rsidRPr="001010E7">
        <w:rPr>
          <w:rFonts w:ascii="Arial" w:hAnsi="Arial" w:cs="Arial"/>
          <w:sz w:val="22"/>
          <w:szCs w:val="22"/>
          <w:lang w:val="es-ES_tradnl"/>
        </w:rPr>
        <w:t xml:space="preserve">se consideran las lecciones aprendidas en la implementación de </w:t>
      </w:r>
      <w:r w:rsidR="00624440" w:rsidRPr="001010E7">
        <w:rPr>
          <w:rFonts w:ascii="Arial" w:hAnsi="Arial" w:cs="Arial"/>
          <w:sz w:val="22"/>
          <w:szCs w:val="22"/>
          <w:lang w:val="es-ES_tradnl"/>
        </w:rPr>
        <w:t>esta</w:t>
      </w:r>
      <w:r w:rsidRPr="001010E7">
        <w:rPr>
          <w:rFonts w:ascii="Arial" w:hAnsi="Arial" w:cs="Arial"/>
          <w:sz w:val="22"/>
          <w:szCs w:val="22"/>
          <w:lang w:val="es-ES_tradnl"/>
        </w:rPr>
        <w:t xml:space="preserve"> evaluación</w:t>
      </w:r>
      <w:r w:rsidR="00624440" w:rsidRPr="001010E7">
        <w:rPr>
          <w:rFonts w:ascii="Arial" w:hAnsi="Arial" w:cs="Arial"/>
          <w:sz w:val="22"/>
          <w:szCs w:val="22"/>
          <w:lang w:val="es-ES_tradnl"/>
        </w:rPr>
        <w:t>.</w:t>
      </w:r>
      <w:r w:rsidR="00F646AE" w:rsidRPr="001010E7">
        <w:rPr>
          <w:rFonts w:ascii="Arial" w:hAnsi="Arial" w:cs="Arial"/>
          <w:sz w:val="22"/>
          <w:szCs w:val="22"/>
          <w:lang w:val="es-ES_tradnl"/>
        </w:rPr>
        <w:t xml:space="preserve"> El enfoque metodológico propuesto se ha beneficiado del trabajo de equipo del Producto de Conocimiento (ESW) del BID en 2016 y 2017, RG-K1445, para el diseño y la implementación de la metodología. </w:t>
      </w:r>
    </w:p>
    <w:p w14:paraId="615299FC" w14:textId="1849E569" w:rsidR="00207A71" w:rsidRPr="001010E7" w:rsidRDefault="00F2139A" w:rsidP="001010E7">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 xml:space="preserve">Para dar cumplimiento a lo establecido en el documento Plan de Monitoreo y Evaluación del </w:t>
      </w:r>
      <w:r w:rsidR="00395533" w:rsidRPr="001010E7">
        <w:rPr>
          <w:rFonts w:ascii="Arial" w:hAnsi="Arial" w:cs="Arial"/>
          <w:sz w:val="22"/>
          <w:szCs w:val="22"/>
          <w:lang w:val="es-ES_tradnl"/>
        </w:rPr>
        <w:t xml:space="preserve">primer </w:t>
      </w:r>
      <w:r w:rsidR="00D51C5F" w:rsidRPr="001010E7">
        <w:rPr>
          <w:rFonts w:ascii="Arial" w:hAnsi="Arial" w:cs="Arial"/>
          <w:sz w:val="22"/>
          <w:szCs w:val="22"/>
          <w:lang w:val="es-ES_tradnl"/>
        </w:rPr>
        <w:t xml:space="preserve">y segundo </w:t>
      </w:r>
      <w:r w:rsidR="00395533" w:rsidRPr="001010E7">
        <w:rPr>
          <w:rFonts w:ascii="Arial" w:hAnsi="Arial" w:cs="Arial"/>
          <w:sz w:val="22"/>
          <w:szCs w:val="22"/>
          <w:lang w:val="es-ES_tradnl"/>
        </w:rPr>
        <w:t>p</w:t>
      </w:r>
      <w:r w:rsidRPr="001010E7">
        <w:rPr>
          <w:rFonts w:ascii="Arial" w:hAnsi="Arial" w:cs="Arial"/>
          <w:sz w:val="22"/>
          <w:szCs w:val="22"/>
          <w:lang w:val="es-ES_tradnl"/>
        </w:rPr>
        <w:t>rograma</w:t>
      </w:r>
      <w:r w:rsidR="00D51C5F" w:rsidRPr="001010E7">
        <w:rPr>
          <w:rFonts w:ascii="Arial" w:hAnsi="Arial" w:cs="Arial"/>
          <w:sz w:val="22"/>
          <w:szCs w:val="22"/>
          <w:lang w:val="es-ES_tradnl"/>
        </w:rPr>
        <w:t>s</w:t>
      </w:r>
      <w:r w:rsidR="00FB56A2" w:rsidRPr="001010E7">
        <w:rPr>
          <w:rFonts w:ascii="Arial" w:hAnsi="Arial" w:cs="Arial"/>
          <w:sz w:val="22"/>
          <w:szCs w:val="22"/>
          <w:lang w:val="es-ES_tradnl"/>
        </w:rPr>
        <w:t xml:space="preserve"> </w:t>
      </w:r>
      <w:r w:rsidR="00D51C5F" w:rsidRPr="001010E7">
        <w:rPr>
          <w:rFonts w:ascii="Arial" w:hAnsi="Arial" w:cs="Arial"/>
          <w:sz w:val="22"/>
          <w:szCs w:val="22"/>
          <w:lang w:val="es-ES_tradnl"/>
        </w:rPr>
        <w:t xml:space="preserve">se </w:t>
      </w:r>
      <w:r w:rsidR="00E53203" w:rsidRPr="001010E7">
        <w:rPr>
          <w:rFonts w:ascii="Arial" w:hAnsi="Arial" w:cs="Arial"/>
          <w:sz w:val="22"/>
          <w:szCs w:val="22"/>
          <w:lang w:val="es-ES_tradnl"/>
        </w:rPr>
        <w:t xml:space="preserve">diseñó una evaluación de impacto basa en la metodología de Regresión Discontinua (RD) que descansa en dos fuentes de datos: </w:t>
      </w:r>
      <w:r w:rsidR="0099774C" w:rsidRPr="001010E7">
        <w:rPr>
          <w:rFonts w:ascii="Arial" w:hAnsi="Arial" w:cs="Arial"/>
          <w:sz w:val="22"/>
          <w:szCs w:val="22"/>
          <w:lang w:val="es-ES_tradnl"/>
        </w:rPr>
        <w:t>(i</w:t>
      </w:r>
      <w:r w:rsidR="00E53203" w:rsidRPr="001010E7">
        <w:rPr>
          <w:rFonts w:ascii="Arial" w:hAnsi="Arial" w:cs="Arial"/>
          <w:sz w:val="22"/>
          <w:szCs w:val="22"/>
          <w:lang w:val="es-ES_tradnl"/>
        </w:rPr>
        <w:t xml:space="preserve">) Datos administrativos de la FN recopilados al momento de la solicitud para el puntaje del scoring crediticio; y </w:t>
      </w:r>
      <w:r w:rsidR="0099774C" w:rsidRPr="001010E7">
        <w:rPr>
          <w:rFonts w:ascii="Arial" w:hAnsi="Arial" w:cs="Arial"/>
          <w:sz w:val="22"/>
          <w:szCs w:val="22"/>
          <w:lang w:val="es-ES_tradnl"/>
        </w:rPr>
        <w:t>(ii</w:t>
      </w:r>
      <w:r w:rsidR="00E53203" w:rsidRPr="001010E7">
        <w:rPr>
          <w:rFonts w:ascii="Arial" w:hAnsi="Arial" w:cs="Arial"/>
          <w:sz w:val="22"/>
          <w:szCs w:val="22"/>
          <w:lang w:val="es-ES_tradnl"/>
        </w:rPr>
        <w:t xml:space="preserve">) el </w:t>
      </w:r>
      <w:r w:rsidR="00D51C5F" w:rsidRPr="001010E7">
        <w:rPr>
          <w:rFonts w:ascii="Arial" w:hAnsi="Arial" w:cs="Arial"/>
          <w:sz w:val="22"/>
          <w:szCs w:val="22"/>
          <w:lang w:val="es-ES_tradnl"/>
        </w:rPr>
        <w:t xml:space="preserve">levantamiento de una encuesta primaria </w:t>
      </w:r>
      <w:r w:rsidR="0091237A" w:rsidRPr="001010E7">
        <w:rPr>
          <w:rFonts w:ascii="Arial" w:hAnsi="Arial" w:cs="Arial"/>
          <w:sz w:val="22"/>
          <w:szCs w:val="22"/>
          <w:lang w:val="es-ES_tradnl"/>
        </w:rPr>
        <w:t xml:space="preserve">de seguimiento </w:t>
      </w:r>
      <w:r w:rsidR="00D51C5F" w:rsidRPr="001010E7">
        <w:rPr>
          <w:rFonts w:ascii="Arial" w:hAnsi="Arial" w:cs="Arial"/>
          <w:sz w:val="22"/>
          <w:szCs w:val="22"/>
          <w:lang w:val="es-ES_tradnl"/>
        </w:rPr>
        <w:t>a productores/empresas rurales</w:t>
      </w:r>
      <w:r w:rsidR="00207A71" w:rsidRPr="001010E7">
        <w:rPr>
          <w:rFonts w:ascii="Arial" w:hAnsi="Arial" w:cs="Arial"/>
          <w:sz w:val="22"/>
          <w:szCs w:val="22"/>
          <w:lang w:val="es-ES_tradnl"/>
        </w:rPr>
        <w:t xml:space="preserve"> que comenzó a levantarse en 2016. </w:t>
      </w:r>
    </w:p>
    <w:p w14:paraId="38EA44F8" w14:textId="380E0CA9" w:rsidR="00062D0D" w:rsidRPr="001010E7" w:rsidRDefault="00207A71" w:rsidP="001010E7">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En</w:t>
      </w:r>
      <w:r w:rsidR="00C431C7" w:rsidRPr="001010E7">
        <w:rPr>
          <w:rFonts w:ascii="Arial" w:hAnsi="Arial" w:cs="Arial"/>
          <w:sz w:val="22"/>
          <w:szCs w:val="22"/>
          <w:lang w:val="es-ES_tradnl"/>
        </w:rPr>
        <w:t xml:space="preserve"> la actualidad, </w:t>
      </w:r>
      <w:r w:rsidR="003C6096" w:rsidRPr="001010E7">
        <w:rPr>
          <w:rFonts w:ascii="Arial" w:hAnsi="Arial" w:cs="Arial"/>
          <w:sz w:val="22"/>
          <w:szCs w:val="22"/>
          <w:lang w:val="es-ES_tradnl"/>
        </w:rPr>
        <w:t xml:space="preserve">se </w:t>
      </w:r>
      <w:r w:rsidR="00C431C7" w:rsidRPr="001010E7">
        <w:rPr>
          <w:rFonts w:ascii="Arial" w:hAnsi="Arial" w:cs="Arial"/>
          <w:sz w:val="22"/>
          <w:szCs w:val="22"/>
          <w:lang w:val="es-ES_tradnl"/>
        </w:rPr>
        <w:t>contin</w:t>
      </w:r>
      <w:r w:rsidR="003C6096" w:rsidRPr="001010E7">
        <w:rPr>
          <w:rFonts w:ascii="Arial" w:hAnsi="Arial" w:cs="Arial"/>
          <w:sz w:val="22"/>
          <w:szCs w:val="22"/>
          <w:lang w:val="es-ES_tradnl"/>
        </w:rPr>
        <w:t>ú</w:t>
      </w:r>
      <w:r w:rsidR="00C431C7" w:rsidRPr="001010E7">
        <w:rPr>
          <w:rFonts w:ascii="Arial" w:hAnsi="Arial" w:cs="Arial"/>
          <w:sz w:val="22"/>
          <w:szCs w:val="22"/>
          <w:lang w:val="es-ES_tradnl"/>
        </w:rPr>
        <w:t>a el proceso</w:t>
      </w:r>
      <w:r w:rsidR="00D51C5F" w:rsidRPr="001010E7">
        <w:rPr>
          <w:rFonts w:ascii="Arial" w:hAnsi="Arial" w:cs="Arial"/>
          <w:sz w:val="22"/>
          <w:szCs w:val="22"/>
          <w:lang w:val="es-ES_tradnl"/>
        </w:rPr>
        <w:t xml:space="preserve"> de levantamiento </w:t>
      </w:r>
      <w:r w:rsidR="00C431C7" w:rsidRPr="001010E7">
        <w:rPr>
          <w:rFonts w:ascii="Arial" w:hAnsi="Arial" w:cs="Arial"/>
          <w:sz w:val="22"/>
          <w:szCs w:val="22"/>
          <w:lang w:val="es-ES_tradnl"/>
        </w:rPr>
        <w:t>de la</w:t>
      </w:r>
      <w:r w:rsidR="00D51C5F" w:rsidRPr="001010E7">
        <w:rPr>
          <w:rFonts w:ascii="Arial" w:hAnsi="Arial" w:cs="Arial"/>
          <w:sz w:val="22"/>
          <w:szCs w:val="22"/>
          <w:lang w:val="es-ES_tradnl"/>
        </w:rPr>
        <w:t xml:space="preserve"> encuesta primaria a productores/empresas rurales. Se espera </w:t>
      </w:r>
      <w:r w:rsidR="00C431C7" w:rsidRPr="001010E7">
        <w:rPr>
          <w:rFonts w:ascii="Arial" w:hAnsi="Arial" w:cs="Arial"/>
          <w:sz w:val="22"/>
          <w:szCs w:val="22"/>
          <w:lang w:val="es-ES_tradnl"/>
        </w:rPr>
        <w:t>contar con una muestra de</w:t>
      </w:r>
      <w:r w:rsidR="00D51C5F" w:rsidRPr="001010E7">
        <w:rPr>
          <w:rFonts w:ascii="Arial" w:hAnsi="Arial" w:cs="Arial"/>
          <w:sz w:val="22"/>
          <w:szCs w:val="22"/>
          <w:lang w:val="es-ES_tradnl"/>
        </w:rPr>
        <w:t xml:space="preserve"> al menos 3,</w:t>
      </w:r>
      <w:r w:rsidR="00E53203" w:rsidRPr="001010E7">
        <w:rPr>
          <w:rFonts w:ascii="Arial" w:hAnsi="Arial" w:cs="Arial"/>
          <w:sz w:val="22"/>
          <w:szCs w:val="22"/>
          <w:lang w:val="es-ES_tradnl"/>
        </w:rPr>
        <w:t>0</w:t>
      </w:r>
      <w:r w:rsidR="00D51C5F" w:rsidRPr="001010E7">
        <w:rPr>
          <w:rFonts w:ascii="Arial" w:hAnsi="Arial" w:cs="Arial"/>
          <w:sz w:val="22"/>
          <w:szCs w:val="22"/>
          <w:lang w:val="es-ES_tradnl"/>
        </w:rPr>
        <w:t>00 productores/empresas (determinado</w:t>
      </w:r>
      <w:r w:rsidR="009E7DA1" w:rsidRPr="001010E7">
        <w:rPr>
          <w:rFonts w:ascii="Arial" w:hAnsi="Arial" w:cs="Arial"/>
          <w:sz w:val="22"/>
          <w:szCs w:val="22"/>
          <w:lang w:val="es-ES_tradnl"/>
        </w:rPr>
        <w:t xml:space="preserve"> co</w:t>
      </w:r>
      <w:r w:rsidR="00D51C5F" w:rsidRPr="001010E7">
        <w:rPr>
          <w:rFonts w:ascii="Arial" w:hAnsi="Arial" w:cs="Arial"/>
          <w:sz w:val="22"/>
          <w:szCs w:val="22"/>
          <w:lang w:val="es-ES_tradnl"/>
        </w:rPr>
        <w:t xml:space="preserve">n base </w:t>
      </w:r>
      <w:r w:rsidR="009E7DA1" w:rsidRPr="001010E7">
        <w:rPr>
          <w:rFonts w:ascii="Arial" w:hAnsi="Arial" w:cs="Arial"/>
          <w:sz w:val="22"/>
          <w:szCs w:val="22"/>
          <w:lang w:val="es-ES_tradnl"/>
        </w:rPr>
        <w:t>en e</w:t>
      </w:r>
      <w:r w:rsidR="00D51C5F" w:rsidRPr="001010E7">
        <w:rPr>
          <w:rFonts w:ascii="Arial" w:hAnsi="Arial" w:cs="Arial"/>
          <w:sz w:val="22"/>
          <w:szCs w:val="22"/>
          <w:lang w:val="es-ES_tradnl"/>
        </w:rPr>
        <w:t xml:space="preserve">l presupuesto disponible y la tasa de efectividad de las encuestas). El muestreo para la encuesta </w:t>
      </w:r>
      <w:r w:rsidR="009E7DA1" w:rsidRPr="001010E7">
        <w:rPr>
          <w:rFonts w:ascii="Arial" w:hAnsi="Arial" w:cs="Arial"/>
          <w:sz w:val="22"/>
          <w:szCs w:val="22"/>
          <w:lang w:val="es-ES_tradnl"/>
        </w:rPr>
        <w:t xml:space="preserve">ha sido </w:t>
      </w:r>
      <w:r w:rsidR="00D51C5F" w:rsidRPr="001010E7">
        <w:rPr>
          <w:rFonts w:ascii="Arial" w:hAnsi="Arial" w:cs="Arial"/>
          <w:sz w:val="22"/>
          <w:szCs w:val="22"/>
          <w:lang w:val="es-ES_tradnl"/>
        </w:rPr>
        <w:t>complejo. Primeramente, se buscó que la encuesta sea representativa de los solicitantes a crédito de FN en las regiones Norte y Noroeste de México entre 2012 y 2014.</w:t>
      </w:r>
      <w:r w:rsidRPr="001010E7">
        <w:rPr>
          <w:rStyle w:val="FootnoteReference"/>
          <w:rFonts w:ascii="Arial" w:hAnsi="Arial" w:cs="Arial"/>
          <w:sz w:val="22"/>
          <w:szCs w:val="22"/>
          <w:lang w:val="es-ES_tradnl"/>
        </w:rPr>
        <w:t xml:space="preserve"> </w:t>
      </w:r>
      <w:r w:rsidRPr="001010E7">
        <w:rPr>
          <w:rStyle w:val="FootnoteReference"/>
          <w:rFonts w:ascii="Arial" w:hAnsi="Arial" w:cs="Arial"/>
          <w:sz w:val="22"/>
          <w:szCs w:val="22"/>
          <w:lang w:val="es-ES_tradnl"/>
        </w:rPr>
        <w:footnoteReference w:id="9"/>
      </w:r>
      <w:r w:rsidR="00D51C5F" w:rsidRPr="001010E7">
        <w:rPr>
          <w:rFonts w:ascii="Arial" w:hAnsi="Arial" w:cs="Arial"/>
          <w:sz w:val="22"/>
          <w:szCs w:val="22"/>
          <w:lang w:val="es-ES_tradnl"/>
        </w:rPr>
        <w:t xml:space="preserve"> </w:t>
      </w:r>
      <w:r w:rsidR="00C431C7" w:rsidRPr="001010E7">
        <w:rPr>
          <w:rFonts w:ascii="Arial" w:hAnsi="Arial" w:cs="Arial"/>
          <w:sz w:val="22"/>
          <w:szCs w:val="22"/>
          <w:lang w:val="es-ES_tradnl"/>
        </w:rPr>
        <w:t>El</w:t>
      </w:r>
      <w:r w:rsidR="00D51C5F" w:rsidRPr="001010E7">
        <w:rPr>
          <w:rFonts w:ascii="Arial" w:hAnsi="Arial" w:cs="Arial"/>
          <w:sz w:val="22"/>
          <w:szCs w:val="22"/>
          <w:lang w:val="es-ES_tradnl"/>
        </w:rPr>
        <w:t xml:space="preserve"> diseño muestral de la encuesta </w:t>
      </w:r>
      <w:r w:rsidR="00E53203" w:rsidRPr="001010E7">
        <w:rPr>
          <w:rFonts w:ascii="Arial" w:hAnsi="Arial" w:cs="Arial"/>
          <w:sz w:val="22"/>
          <w:szCs w:val="22"/>
          <w:lang w:val="es-ES_tradnl"/>
        </w:rPr>
        <w:t xml:space="preserve">consideró </w:t>
      </w:r>
      <w:r w:rsidR="00D51C5F" w:rsidRPr="001010E7">
        <w:rPr>
          <w:rFonts w:ascii="Arial" w:hAnsi="Arial" w:cs="Arial"/>
          <w:sz w:val="22"/>
          <w:szCs w:val="22"/>
          <w:lang w:val="es-ES_tradnl"/>
        </w:rPr>
        <w:t xml:space="preserve">que la base de datos permita llevar adelante los estudios </w:t>
      </w:r>
      <w:r w:rsidR="00C431C7" w:rsidRPr="001010E7">
        <w:rPr>
          <w:rFonts w:ascii="Arial" w:hAnsi="Arial" w:cs="Arial"/>
          <w:sz w:val="22"/>
          <w:szCs w:val="22"/>
          <w:lang w:val="es-ES_tradnl"/>
        </w:rPr>
        <w:t>de impacto planteados</w:t>
      </w:r>
      <w:r w:rsidR="00D51C5F" w:rsidRPr="001010E7">
        <w:rPr>
          <w:rFonts w:ascii="Arial" w:hAnsi="Arial" w:cs="Arial"/>
          <w:sz w:val="22"/>
          <w:szCs w:val="22"/>
          <w:lang w:val="es-ES_tradnl"/>
        </w:rPr>
        <w:t xml:space="preserve">. Por dificultades de la empresa encuestadora en la localización de parte de la muestra y los reemplazos, en la que la efectividad era del 30%, se sugirió ampliar </w:t>
      </w:r>
      <w:r w:rsidR="009E7DA1" w:rsidRPr="001010E7">
        <w:rPr>
          <w:rFonts w:ascii="Arial" w:hAnsi="Arial" w:cs="Arial"/>
          <w:sz w:val="22"/>
          <w:szCs w:val="22"/>
          <w:lang w:val="es-ES_tradnl"/>
        </w:rPr>
        <w:t xml:space="preserve">la recogida de la muestra </w:t>
      </w:r>
      <w:r w:rsidR="00D51C5F" w:rsidRPr="001010E7">
        <w:rPr>
          <w:rFonts w:ascii="Arial" w:hAnsi="Arial" w:cs="Arial"/>
          <w:sz w:val="22"/>
          <w:szCs w:val="22"/>
          <w:lang w:val="es-ES_tradnl"/>
        </w:rPr>
        <w:t xml:space="preserve">a las agencias de la región </w:t>
      </w:r>
      <w:r w:rsidR="009E7DA1" w:rsidRPr="001010E7">
        <w:rPr>
          <w:rFonts w:ascii="Arial" w:hAnsi="Arial" w:cs="Arial"/>
          <w:sz w:val="22"/>
          <w:szCs w:val="22"/>
          <w:lang w:val="es-ES_tradnl"/>
        </w:rPr>
        <w:t>C</w:t>
      </w:r>
      <w:r w:rsidR="00D51C5F" w:rsidRPr="001010E7">
        <w:rPr>
          <w:rFonts w:ascii="Arial" w:hAnsi="Arial" w:cs="Arial"/>
          <w:sz w:val="22"/>
          <w:szCs w:val="22"/>
          <w:lang w:val="es-ES_tradnl"/>
        </w:rPr>
        <w:t>entro-</w:t>
      </w:r>
      <w:r w:rsidR="009E7DA1" w:rsidRPr="001010E7">
        <w:rPr>
          <w:rFonts w:ascii="Arial" w:hAnsi="Arial" w:cs="Arial"/>
          <w:sz w:val="22"/>
          <w:szCs w:val="22"/>
          <w:lang w:val="es-ES_tradnl"/>
        </w:rPr>
        <w:t>O</w:t>
      </w:r>
      <w:r w:rsidR="00D51C5F" w:rsidRPr="001010E7">
        <w:rPr>
          <w:rFonts w:ascii="Arial" w:hAnsi="Arial" w:cs="Arial"/>
          <w:sz w:val="22"/>
          <w:szCs w:val="22"/>
          <w:lang w:val="es-ES_tradnl"/>
        </w:rPr>
        <w:t>ccidental, de manera que sea posible llegar al tamaño requerido de al menos 3.</w:t>
      </w:r>
      <w:r w:rsidR="00E53203" w:rsidRPr="001010E7">
        <w:rPr>
          <w:rFonts w:ascii="Arial" w:hAnsi="Arial" w:cs="Arial"/>
          <w:sz w:val="22"/>
          <w:szCs w:val="22"/>
          <w:lang w:val="es-ES_tradnl"/>
        </w:rPr>
        <w:t>0</w:t>
      </w:r>
      <w:r w:rsidR="00D51C5F" w:rsidRPr="001010E7">
        <w:rPr>
          <w:rFonts w:ascii="Arial" w:hAnsi="Arial" w:cs="Arial"/>
          <w:sz w:val="22"/>
          <w:szCs w:val="22"/>
          <w:lang w:val="es-ES_tradnl"/>
        </w:rPr>
        <w:t>00 productores.</w:t>
      </w:r>
    </w:p>
    <w:p w14:paraId="0E64B191" w14:textId="77A27EAF" w:rsidR="00E4468A" w:rsidRPr="001010E7" w:rsidRDefault="00D93A56" w:rsidP="001010E7">
      <w:pPr>
        <w:pStyle w:val="Paragraph"/>
        <w:tabs>
          <w:tab w:val="clear" w:pos="2736"/>
        </w:tabs>
        <w:ind w:left="720" w:hanging="720"/>
        <w:rPr>
          <w:rFonts w:ascii="Arial" w:hAnsi="Arial" w:cs="Arial"/>
          <w:sz w:val="22"/>
          <w:szCs w:val="22"/>
          <w:lang w:val="es-ES_tradnl"/>
        </w:rPr>
      </w:pPr>
      <w:r w:rsidRPr="001010E7">
        <w:rPr>
          <w:rFonts w:ascii="Arial" w:hAnsi="Arial" w:cs="Arial"/>
          <w:sz w:val="22"/>
          <w:szCs w:val="22"/>
          <w:lang w:val="es-ES_tradnl"/>
        </w:rPr>
        <w:t>A continuación, l</w:t>
      </w:r>
      <w:r w:rsidR="00A03279" w:rsidRPr="001010E7">
        <w:rPr>
          <w:rFonts w:ascii="Arial" w:hAnsi="Arial" w:cs="Arial"/>
          <w:sz w:val="22"/>
          <w:szCs w:val="22"/>
          <w:lang w:val="es-ES_tradnl"/>
        </w:rPr>
        <w:t xml:space="preserve">a </w:t>
      </w:r>
      <w:r w:rsidR="00A559F8" w:rsidRPr="001010E7">
        <w:rPr>
          <w:rFonts w:ascii="Arial" w:hAnsi="Arial" w:cs="Arial"/>
          <w:sz w:val="22"/>
          <w:szCs w:val="22"/>
          <w:lang w:val="es-ES_tradnl"/>
        </w:rPr>
        <w:t>Sección 1 describe los programas de crédito utilizados para responder a las preguntas de investigación. La Sección 2 describe el conocimiento existente. La Sección 3 de</w:t>
      </w:r>
      <w:r w:rsidR="00A03279" w:rsidRPr="001010E7">
        <w:rPr>
          <w:rFonts w:ascii="Arial" w:hAnsi="Arial" w:cs="Arial"/>
          <w:sz w:val="22"/>
          <w:szCs w:val="22"/>
          <w:lang w:val="es-ES_tradnl"/>
        </w:rPr>
        <w:t xml:space="preserve">scribe </w:t>
      </w:r>
      <w:r w:rsidR="00C02292" w:rsidRPr="001010E7">
        <w:rPr>
          <w:rFonts w:ascii="Arial" w:hAnsi="Arial" w:cs="Arial"/>
          <w:sz w:val="22"/>
          <w:szCs w:val="22"/>
          <w:lang w:val="es-ES_tradnl"/>
        </w:rPr>
        <w:t>la</w:t>
      </w:r>
      <w:r w:rsidR="00923FA7" w:rsidRPr="001010E7">
        <w:rPr>
          <w:rFonts w:ascii="Arial" w:hAnsi="Arial" w:cs="Arial"/>
          <w:sz w:val="22"/>
          <w:szCs w:val="22"/>
          <w:lang w:val="es-ES_tradnl"/>
        </w:rPr>
        <w:t>s fuentes de datos. La sección 4 describe la</w:t>
      </w:r>
      <w:r w:rsidR="00C02292" w:rsidRPr="001010E7">
        <w:rPr>
          <w:rFonts w:ascii="Arial" w:hAnsi="Arial" w:cs="Arial"/>
          <w:sz w:val="22"/>
          <w:szCs w:val="22"/>
          <w:lang w:val="es-ES_tradnl"/>
        </w:rPr>
        <w:t xml:space="preserve"> metodología de evaluación, incluyendo la definición del grupo de tratamiento y control, y el plan de trabajo y presupuesto</w:t>
      </w:r>
      <w:r w:rsidR="00A559F8" w:rsidRPr="001010E7">
        <w:rPr>
          <w:rFonts w:ascii="Arial" w:eastAsiaTheme="minorHAnsi" w:hAnsi="Arial" w:cs="Arial"/>
          <w:sz w:val="22"/>
          <w:szCs w:val="22"/>
          <w:lang w:val="es-ES_tradnl" w:eastAsia="en-US"/>
        </w:rPr>
        <w:t>.</w:t>
      </w:r>
      <w:bookmarkStart w:id="22" w:name="_Toc346643521"/>
      <w:bookmarkStart w:id="23" w:name="_Toc352755942"/>
      <w:bookmarkStart w:id="24" w:name="_Toc352756758"/>
    </w:p>
    <w:p w14:paraId="47FCC87D" w14:textId="77777777" w:rsidR="00062D0D" w:rsidRPr="001010E7" w:rsidRDefault="00062D0D" w:rsidP="008629D4">
      <w:pPr>
        <w:pStyle w:val="SecHeading"/>
        <w:numPr>
          <w:ilvl w:val="1"/>
          <w:numId w:val="12"/>
        </w:numPr>
        <w:tabs>
          <w:tab w:val="clear" w:pos="5400"/>
          <w:tab w:val="num" w:pos="1260"/>
        </w:tabs>
        <w:ind w:hanging="4680"/>
        <w:rPr>
          <w:rFonts w:ascii="Arial" w:hAnsi="Arial" w:cs="Arial"/>
          <w:color w:val="auto"/>
          <w:sz w:val="22"/>
          <w:szCs w:val="22"/>
        </w:rPr>
      </w:pPr>
      <w:bookmarkStart w:id="25" w:name="_Toc415826271"/>
      <w:r w:rsidRPr="001010E7">
        <w:rPr>
          <w:rFonts w:ascii="Arial" w:hAnsi="Arial" w:cs="Arial"/>
          <w:color w:val="auto"/>
          <w:sz w:val="22"/>
          <w:szCs w:val="22"/>
        </w:rPr>
        <w:lastRenderedPageBreak/>
        <w:t>Preguntas de evaluación</w:t>
      </w:r>
      <w:bookmarkEnd w:id="22"/>
      <w:bookmarkEnd w:id="23"/>
      <w:bookmarkEnd w:id="24"/>
      <w:bookmarkEnd w:id="25"/>
    </w:p>
    <w:p w14:paraId="47A441D2" w14:textId="2FE2EB9F" w:rsidR="000163C0" w:rsidRPr="001010E7" w:rsidRDefault="00A03279" w:rsidP="001010E7">
      <w:pPr>
        <w:pStyle w:val="Paragraph"/>
        <w:tabs>
          <w:tab w:val="clear" w:pos="2736"/>
        </w:tabs>
        <w:ind w:left="720" w:hanging="720"/>
        <w:rPr>
          <w:rFonts w:ascii="Arial" w:hAnsi="Arial" w:cs="Arial"/>
          <w:sz w:val="22"/>
          <w:szCs w:val="22"/>
          <w:lang w:val="es-AR"/>
        </w:rPr>
      </w:pPr>
      <w:r w:rsidRPr="001010E7">
        <w:rPr>
          <w:rFonts w:ascii="Arial" w:hAnsi="Arial" w:cs="Arial"/>
          <w:sz w:val="22"/>
          <w:szCs w:val="22"/>
          <w:lang w:val="es-ES_tradnl"/>
        </w:rPr>
        <w:t>Las preguntas de evaluación que plantea el estudio de impacto para la línea CCLIP, y que es extensible a dicho programa</w:t>
      </w:r>
      <w:r w:rsidR="00C02292" w:rsidRPr="001010E7">
        <w:rPr>
          <w:rFonts w:ascii="Arial" w:hAnsi="Arial" w:cs="Arial"/>
          <w:sz w:val="22"/>
          <w:szCs w:val="22"/>
          <w:lang w:val="es-ES_tradnl"/>
        </w:rPr>
        <w:t>,</w:t>
      </w:r>
      <w:r w:rsidRPr="001010E7">
        <w:rPr>
          <w:rFonts w:ascii="Arial" w:hAnsi="Arial" w:cs="Arial"/>
          <w:sz w:val="22"/>
          <w:szCs w:val="22"/>
          <w:lang w:val="es-ES_tradnl"/>
        </w:rPr>
        <w:t xml:space="preserve"> están relacionados con el objetivo de impacto en productividad de la línea. </w:t>
      </w:r>
      <w:r w:rsidR="00DF67C5" w:rsidRPr="001010E7">
        <w:rPr>
          <w:rFonts w:ascii="Arial" w:hAnsi="Arial" w:cs="Arial"/>
          <w:sz w:val="22"/>
          <w:szCs w:val="22"/>
          <w:lang w:val="es-ES_tradnl"/>
        </w:rPr>
        <w:t>De manera general, s</w:t>
      </w:r>
      <w:r w:rsidR="00062D0D" w:rsidRPr="001010E7">
        <w:rPr>
          <w:rFonts w:ascii="Arial" w:hAnsi="Arial" w:cs="Arial"/>
          <w:sz w:val="22"/>
          <w:szCs w:val="22"/>
          <w:lang w:val="es-ES_tradnl"/>
        </w:rPr>
        <w:t xml:space="preserve">e busca determinar cómo el acceso a créditos fondeados por </w:t>
      </w:r>
      <w:r w:rsidR="0064741B" w:rsidRPr="001010E7">
        <w:rPr>
          <w:rFonts w:ascii="Arial" w:hAnsi="Arial" w:cs="Arial"/>
          <w:sz w:val="22"/>
          <w:szCs w:val="22"/>
          <w:lang w:val="es-ES_tradnl"/>
        </w:rPr>
        <w:t xml:space="preserve">Financiera Nacional </w:t>
      </w:r>
      <w:r w:rsidR="00062D0D" w:rsidRPr="001010E7">
        <w:rPr>
          <w:rFonts w:ascii="Arial" w:hAnsi="Arial" w:cs="Arial"/>
          <w:sz w:val="22"/>
          <w:szCs w:val="22"/>
          <w:lang w:val="es-ES_tradnl"/>
        </w:rPr>
        <w:t>con recursos de</w:t>
      </w:r>
      <w:r w:rsidRPr="001010E7">
        <w:rPr>
          <w:rFonts w:ascii="Arial" w:hAnsi="Arial" w:cs="Arial"/>
          <w:sz w:val="22"/>
          <w:szCs w:val="22"/>
          <w:lang w:val="es-ES_tradnl"/>
        </w:rPr>
        <w:t xml:space="preserve"> </w:t>
      </w:r>
      <w:r w:rsidR="00062D0D" w:rsidRPr="001010E7">
        <w:rPr>
          <w:rFonts w:ascii="Arial" w:hAnsi="Arial" w:cs="Arial"/>
          <w:sz w:val="22"/>
          <w:szCs w:val="22"/>
          <w:lang w:val="es-ES_tradnl"/>
        </w:rPr>
        <w:t>l</w:t>
      </w:r>
      <w:r w:rsidRPr="001010E7">
        <w:rPr>
          <w:rFonts w:ascii="Arial" w:hAnsi="Arial" w:cs="Arial"/>
          <w:sz w:val="22"/>
          <w:szCs w:val="22"/>
          <w:lang w:val="es-ES_tradnl"/>
        </w:rPr>
        <w:t xml:space="preserve">a línea </w:t>
      </w:r>
      <w:r w:rsidR="00062D0D" w:rsidRPr="001010E7">
        <w:rPr>
          <w:rFonts w:ascii="Arial" w:hAnsi="Arial" w:cs="Arial"/>
          <w:sz w:val="22"/>
          <w:szCs w:val="22"/>
          <w:lang w:val="es-ES_tradnl"/>
        </w:rPr>
        <w:t>afecta</w:t>
      </w:r>
      <w:r w:rsidR="00B62F58" w:rsidRPr="001010E7">
        <w:rPr>
          <w:rFonts w:ascii="Arial" w:hAnsi="Arial" w:cs="Arial"/>
          <w:sz w:val="22"/>
          <w:szCs w:val="22"/>
          <w:lang w:val="es-ES_tradnl"/>
        </w:rPr>
        <w:t xml:space="preserve"> a la productividad, medida a través de </w:t>
      </w:r>
      <w:r w:rsidR="00062D0D" w:rsidRPr="001010E7">
        <w:rPr>
          <w:rFonts w:ascii="Arial" w:hAnsi="Arial" w:cs="Arial"/>
          <w:sz w:val="22"/>
          <w:szCs w:val="22"/>
          <w:lang w:val="es-ES_tradnl"/>
        </w:rPr>
        <w:t xml:space="preserve">ventas por </w:t>
      </w:r>
      <w:r w:rsidR="0064741B" w:rsidRPr="001010E7">
        <w:rPr>
          <w:rFonts w:ascii="Arial" w:hAnsi="Arial" w:cs="Arial"/>
          <w:sz w:val="22"/>
          <w:szCs w:val="22"/>
          <w:lang w:val="es-AR"/>
        </w:rPr>
        <w:t>hectárea</w:t>
      </w:r>
      <w:r w:rsidR="00062D0D" w:rsidRPr="001010E7">
        <w:rPr>
          <w:rStyle w:val="FootnoteReference"/>
          <w:rFonts w:ascii="Arial" w:hAnsi="Arial" w:cs="Arial"/>
          <w:sz w:val="22"/>
          <w:szCs w:val="22"/>
          <w:lang w:val="es-AR"/>
        </w:rPr>
        <w:footnoteReference w:id="10"/>
      </w:r>
      <w:r w:rsidR="00062D0D" w:rsidRPr="001010E7">
        <w:rPr>
          <w:rFonts w:ascii="Arial" w:hAnsi="Arial" w:cs="Arial"/>
          <w:sz w:val="22"/>
          <w:szCs w:val="22"/>
          <w:lang w:val="es-AR"/>
        </w:rPr>
        <w:t xml:space="preserve"> de los beneficiarios en relación a </w:t>
      </w:r>
      <w:r w:rsidR="00C02292" w:rsidRPr="001010E7">
        <w:rPr>
          <w:rFonts w:ascii="Arial" w:hAnsi="Arial" w:cs="Arial"/>
          <w:sz w:val="22"/>
          <w:szCs w:val="22"/>
          <w:lang w:val="es-AR"/>
        </w:rPr>
        <w:t xml:space="preserve">UER </w:t>
      </w:r>
      <w:r w:rsidR="00062D0D" w:rsidRPr="001010E7">
        <w:rPr>
          <w:rFonts w:ascii="Arial" w:hAnsi="Arial" w:cs="Arial"/>
          <w:sz w:val="22"/>
          <w:szCs w:val="22"/>
          <w:lang w:val="es-AR"/>
        </w:rPr>
        <w:t>altamente comparables que no fueron benefic</w:t>
      </w:r>
      <w:r w:rsidR="00312F42" w:rsidRPr="001010E7">
        <w:rPr>
          <w:rFonts w:ascii="Arial" w:hAnsi="Arial" w:cs="Arial"/>
          <w:sz w:val="22"/>
          <w:szCs w:val="22"/>
          <w:lang w:val="es-AR"/>
        </w:rPr>
        <w:t>iadas con recursos del programa.</w:t>
      </w:r>
      <w:r w:rsidR="00062D0D" w:rsidRPr="001010E7">
        <w:rPr>
          <w:rFonts w:ascii="Arial" w:hAnsi="Arial" w:cs="Arial"/>
          <w:sz w:val="22"/>
          <w:szCs w:val="22"/>
          <w:lang w:val="es-AR"/>
        </w:rPr>
        <w:t xml:space="preserve"> </w:t>
      </w:r>
      <w:r w:rsidR="003A3AAB" w:rsidRPr="001010E7">
        <w:rPr>
          <w:rFonts w:ascii="Arial" w:hAnsi="Arial" w:cs="Arial"/>
          <w:sz w:val="22"/>
          <w:szCs w:val="22"/>
          <w:lang w:val="es-AR"/>
        </w:rPr>
        <w:t xml:space="preserve">Asimismo, se </w:t>
      </w:r>
      <w:r w:rsidR="000F7898" w:rsidRPr="001010E7">
        <w:rPr>
          <w:rFonts w:ascii="Arial" w:hAnsi="Arial" w:cs="Arial"/>
          <w:sz w:val="22"/>
          <w:szCs w:val="22"/>
          <w:lang w:val="es-AR"/>
        </w:rPr>
        <w:t>analizarán los canales a través de los cuales se generan estos incrementos en productividad, como la inversión.</w:t>
      </w:r>
    </w:p>
    <w:p w14:paraId="037DEA09" w14:textId="5E66C645" w:rsidR="000163C0" w:rsidRPr="001010E7" w:rsidRDefault="000163C0" w:rsidP="001010E7">
      <w:pPr>
        <w:pStyle w:val="Paragraph"/>
        <w:tabs>
          <w:tab w:val="clear" w:pos="2736"/>
        </w:tabs>
        <w:ind w:left="720" w:hanging="720"/>
        <w:rPr>
          <w:rFonts w:ascii="Arial" w:hAnsi="Arial" w:cs="Arial"/>
          <w:sz w:val="22"/>
          <w:szCs w:val="22"/>
          <w:lang w:val="es-AR"/>
        </w:rPr>
      </w:pPr>
      <w:r w:rsidRPr="001010E7">
        <w:rPr>
          <w:rFonts w:ascii="Arial" w:hAnsi="Arial" w:cs="Arial"/>
          <w:sz w:val="22"/>
          <w:szCs w:val="22"/>
          <w:lang w:val="es-AR"/>
        </w:rPr>
        <w:t xml:space="preserve">Con este fin el plan de evaluación pretende responder a la </w:t>
      </w:r>
      <w:r w:rsidRPr="001010E7">
        <w:rPr>
          <w:rFonts w:ascii="Arial" w:hAnsi="Arial" w:cs="Arial"/>
          <w:sz w:val="22"/>
          <w:szCs w:val="22"/>
          <w:lang w:val="es-ES_tradnl"/>
        </w:rPr>
        <w:t>pregunta</w:t>
      </w:r>
      <w:r w:rsidRPr="001010E7">
        <w:rPr>
          <w:rFonts w:ascii="Arial" w:hAnsi="Arial" w:cs="Arial"/>
          <w:sz w:val="22"/>
          <w:szCs w:val="22"/>
          <w:lang w:val="es-AR"/>
        </w:rPr>
        <w:t xml:space="preserve">: ¿Cuál es la diferencia en las ventas por hectárea en los productores beneficiarios del programa respecto al grupo de control </w:t>
      </w:r>
      <w:r w:rsidR="00DD763A" w:rsidRPr="001010E7">
        <w:rPr>
          <w:rFonts w:ascii="Arial" w:hAnsi="Arial" w:cs="Arial"/>
          <w:sz w:val="22"/>
          <w:szCs w:val="22"/>
          <w:lang w:val="es-AR"/>
        </w:rPr>
        <w:t>seleccionado?</w:t>
      </w:r>
    </w:p>
    <w:p w14:paraId="10881F75" w14:textId="77777777" w:rsidR="00062D0D" w:rsidRPr="001010E7" w:rsidRDefault="00062D0D" w:rsidP="001010E7">
      <w:pPr>
        <w:pStyle w:val="Paragraph"/>
        <w:tabs>
          <w:tab w:val="clear" w:pos="2736"/>
        </w:tabs>
        <w:ind w:left="720" w:hanging="720"/>
        <w:rPr>
          <w:rFonts w:ascii="Arial" w:hAnsi="Arial" w:cs="Arial"/>
          <w:sz w:val="22"/>
          <w:szCs w:val="22"/>
          <w:lang w:val="es-AR"/>
        </w:rPr>
      </w:pPr>
      <w:r w:rsidRPr="001010E7">
        <w:rPr>
          <w:rFonts w:ascii="Arial" w:hAnsi="Arial" w:cs="Arial"/>
          <w:sz w:val="22"/>
          <w:szCs w:val="22"/>
          <w:lang w:val="es-AR"/>
        </w:rPr>
        <w:t xml:space="preserve">La hipótesis subyacente es que la relajación de las </w:t>
      </w:r>
      <w:r w:rsidRPr="001010E7">
        <w:rPr>
          <w:rFonts w:ascii="Arial" w:hAnsi="Arial" w:cs="Arial"/>
          <w:sz w:val="22"/>
          <w:szCs w:val="22"/>
          <w:lang w:val="es-ES_tradnl"/>
        </w:rPr>
        <w:t>restricciones</w:t>
      </w:r>
      <w:r w:rsidRPr="001010E7">
        <w:rPr>
          <w:rFonts w:ascii="Arial" w:hAnsi="Arial" w:cs="Arial"/>
          <w:sz w:val="22"/>
          <w:szCs w:val="22"/>
          <w:lang w:val="es-AR"/>
        </w:rPr>
        <w:t xml:space="preserve"> crediticias como resultado del fondeo provisto por </w:t>
      </w:r>
      <w:r w:rsidR="00312F42" w:rsidRPr="001010E7">
        <w:rPr>
          <w:rFonts w:ascii="Arial" w:hAnsi="Arial" w:cs="Arial"/>
          <w:sz w:val="22"/>
          <w:szCs w:val="22"/>
          <w:lang w:val="es-AR"/>
        </w:rPr>
        <w:t>Financiera Nacional</w:t>
      </w:r>
      <w:r w:rsidRPr="001010E7">
        <w:rPr>
          <w:rFonts w:ascii="Arial" w:hAnsi="Arial" w:cs="Arial"/>
          <w:sz w:val="22"/>
          <w:szCs w:val="22"/>
          <w:lang w:val="es-AR"/>
        </w:rPr>
        <w:t xml:space="preserve"> con recursos del programa resultará en un incremento de la productividad medida como valor de ventas por</w:t>
      </w:r>
      <w:r w:rsidR="00312F42" w:rsidRPr="001010E7">
        <w:rPr>
          <w:rFonts w:ascii="Arial" w:hAnsi="Arial" w:cs="Arial"/>
          <w:sz w:val="22"/>
          <w:szCs w:val="22"/>
          <w:lang w:val="es-AR"/>
        </w:rPr>
        <w:t xml:space="preserve"> hectárea.</w:t>
      </w:r>
    </w:p>
    <w:p w14:paraId="512B8A38" w14:textId="40684524" w:rsidR="00DF67C5" w:rsidRPr="001010E7" w:rsidRDefault="00207A71" w:rsidP="001010E7">
      <w:pPr>
        <w:pStyle w:val="Paragraph"/>
        <w:tabs>
          <w:tab w:val="clear" w:pos="2736"/>
        </w:tabs>
        <w:ind w:left="720" w:hanging="720"/>
        <w:rPr>
          <w:rFonts w:ascii="Arial" w:hAnsi="Arial" w:cs="Arial"/>
          <w:sz w:val="22"/>
          <w:szCs w:val="22"/>
          <w:lang w:val="es-AR"/>
        </w:rPr>
      </w:pPr>
      <w:r w:rsidRPr="001010E7">
        <w:rPr>
          <w:rFonts w:ascii="Arial" w:hAnsi="Arial" w:cs="Arial"/>
          <w:sz w:val="22"/>
          <w:szCs w:val="22"/>
          <w:lang w:val="es-AR"/>
        </w:rPr>
        <w:t>Adicionalmente</w:t>
      </w:r>
      <w:r w:rsidR="00DF67C5" w:rsidRPr="001010E7">
        <w:rPr>
          <w:rFonts w:ascii="Arial" w:hAnsi="Arial" w:cs="Arial"/>
          <w:sz w:val="22"/>
          <w:szCs w:val="22"/>
          <w:lang w:val="es-AR"/>
        </w:rPr>
        <w:t xml:space="preserve">, se estudiarán los efectos de crédito de FND sobre </w:t>
      </w:r>
      <w:r w:rsidRPr="001010E7">
        <w:rPr>
          <w:rFonts w:ascii="Arial" w:hAnsi="Arial" w:cs="Arial"/>
          <w:sz w:val="22"/>
          <w:szCs w:val="22"/>
          <w:lang w:val="es-AR"/>
        </w:rPr>
        <w:t>otros indicadores d</w:t>
      </w:r>
      <w:r w:rsidR="00DF67C5" w:rsidRPr="001010E7">
        <w:rPr>
          <w:rFonts w:ascii="Arial" w:hAnsi="Arial" w:cs="Arial"/>
          <w:sz w:val="22"/>
          <w:szCs w:val="22"/>
          <w:lang w:val="es-AR"/>
        </w:rPr>
        <w:t xml:space="preserve">el desempeño productivo de los productores o empresas (producción, inversión, estructura productiva, absorción de </w:t>
      </w:r>
      <w:r w:rsidR="00DF67C5" w:rsidRPr="001010E7">
        <w:rPr>
          <w:rFonts w:ascii="Arial" w:hAnsi="Arial" w:cs="Arial"/>
          <w:sz w:val="22"/>
          <w:szCs w:val="22"/>
          <w:lang w:val="es-ES_tradnl"/>
        </w:rPr>
        <w:t>nuevas</w:t>
      </w:r>
      <w:r w:rsidR="00DF67C5" w:rsidRPr="001010E7">
        <w:rPr>
          <w:rFonts w:ascii="Arial" w:hAnsi="Arial" w:cs="Arial"/>
          <w:sz w:val="22"/>
          <w:szCs w:val="22"/>
          <w:lang w:val="es-AR"/>
        </w:rPr>
        <w:t xml:space="preserve"> tecnologías y desarrollo de nuevos productos</w:t>
      </w:r>
      <w:r w:rsidRPr="001010E7">
        <w:rPr>
          <w:rFonts w:ascii="Arial" w:hAnsi="Arial" w:cs="Arial"/>
          <w:sz w:val="22"/>
          <w:szCs w:val="22"/>
          <w:lang w:val="es-AR"/>
        </w:rPr>
        <w:t>, y</w:t>
      </w:r>
      <w:r w:rsidR="00DF67C5" w:rsidRPr="001010E7">
        <w:rPr>
          <w:rFonts w:ascii="Arial" w:hAnsi="Arial" w:cs="Arial"/>
          <w:sz w:val="22"/>
          <w:szCs w:val="22"/>
          <w:lang w:val="es-AR"/>
        </w:rPr>
        <w:t xml:space="preserve"> adopción de buenas prácticas de negocio, entre otras) y también sobre su perfil financiero </w:t>
      </w:r>
      <w:r w:rsidR="0015413C" w:rsidRPr="001010E7">
        <w:rPr>
          <w:rFonts w:ascii="Arial" w:hAnsi="Arial" w:cs="Arial"/>
          <w:sz w:val="22"/>
          <w:szCs w:val="22"/>
          <w:lang w:val="es-AR"/>
        </w:rPr>
        <w:t xml:space="preserve">como son </w:t>
      </w:r>
      <w:r w:rsidR="00DF67C5" w:rsidRPr="001010E7">
        <w:rPr>
          <w:rFonts w:ascii="Arial" w:hAnsi="Arial" w:cs="Arial"/>
          <w:sz w:val="22"/>
          <w:szCs w:val="22"/>
          <w:lang w:val="es-AR"/>
        </w:rPr>
        <w:t xml:space="preserve">condiciones de los créditos (montos, plazos, tasas), apalancamiento, </w:t>
      </w:r>
      <w:r w:rsidR="00114A7C" w:rsidRPr="001010E7">
        <w:rPr>
          <w:rFonts w:ascii="Arial" w:hAnsi="Arial" w:cs="Arial"/>
          <w:sz w:val="22"/>
          <w:szCs w:val="22"/>
          <w:lang w:val="es-AR"/>
        </w:rPr>
        <w:t>e</w:t>
      </w:r>
      <w:r w:rsidR="00DF67C5" w:rsidRPr="001010E7">
        <w:rPr>
          <w:rFonts w:ascii="Arial" w:hAnsi="Arial" w:cs="Arial"/>
          <w:sz w:val="22"/>
          <w:szCs w:val="22"/>
          <w:lang w:val="es-AR"/>
        </w:rPr>
        <w:t xml:space="preserve"> </w:t>
      </w:r>
      <w:r w:rsidR="005F6DEB" w:rsidRPr="001010E7">
        <w:rPr>
          <w:rFonts w:ascii="Arial" w:hAnsi="Arial" w:cs="Arial"/>
          <w:sz w:val="22"/>
          <w:szCs w:val="22"/>
          <w:lang w:val="es-AR"/>
        </w:rPr>
        <w:t xml:space="preserve">inclusión financiera y </w:t>
      </w:r>
      <w:r w:rsidR="00DF67C5" w:rsidRPr="001010E7">
        <w:rPr>
          <w:rFonts w:ascii="Arial" w:hAnsi="Arial" w:cs="Arial"/>
          <w:sz w:val="22"/>
          <w:szCs w:val="22"/>
          <w:lang w:val="es-AR"/>
        </w:rPr>
        <w:t>acceso al crédito hacia otras fuentes formales de financiamiento (la banca privada), una vez que logran historial crediticio.</w:t>
      </w:r>
      <w:r w:rsidR="00C02292" w:rsidRPr="001010E7">
        <w:rPr>
          <w:rFonts w:ascii="Arial" w:hAnsi="Arial" w:cs="Arial"/>
          <w:sz w:val="22"/>
          <w:szCs w:val="22"/>
          <w:lang w:val="es-AR"/>
        </w:rPr>
        <w:t xml:space="preserve"> Se analizará no sólo si el crédito tiene impacto sino también los mecanismos operantes</w:t>
      </w:r>
      <w:r w:rsidR="00FB56A2" w:rsidRPr="001010E7">
        <w:rPr>
          <w:rFonts w:ascii="Arial" w:hAnsi="Arial" w:cs="Arial"/>
          <w:sz w:val="22"/>
          <w:szCs w:val="22"/>
          <w:lang w:val="es-AR"/>
        </w:rPr>
        <w:t>.</w:t>
      </w:r>
    </w:p>
    <w:p w14:paraId="0E626176" w14:textId="77777777" w:rsidR="00062D0D" w:rsidRPr="001010E7" w:rsidRDefault="00062D0D" w:rsidP="008629D4">
      <w:pPr>
        <w:pStyle w:val="SecHeading"/>
        <w:rPr>
          <w:rFonts w:ascii="Arial" w:hAnsi="Arial" w:cs="Arial"/>
          <w:color w:val="auto"/>
          <w:sz w:val="22"/>
          <w:szCs w:val="22"/>
        </w:rPr>
      </w:pPr>
      <w:bookmarkStart w:id="26" w:name="_Toc346643522"/>
      <w:bookmarkStart w:id="27" w:name="_Toc352755943"/>
      <w:bookmarkStart w:id="28" w:name="_Toc352756759"/>
      <w:bookmarkStart w:id="29" w:name="_Toc415826272"/>
      <w:r w:rsidRPr="001010E7">
        <w:rPr>
          <w:rFonts w:ascii="Arial" w:hAnsi="Arial" w:cs="Arial"/>
          <w:color w:val="auto"/>
          <w:sz w:val="22"/>
          <w:szCs w:val="22"/>
        </w:rPr>
        <w:t>Conocimiento existente</w:t>
      </w:r>
      <w:bookmarkEnd w:id="26"/>
      <w:bookmarkEnd w:id="27"/>
      <w:bookmarkEnd w:id="28"/>
      <w:bookmarkEnd w:id="29"/>
    </w:p>
    <w:p w14:paraId="6F419A8C" w14:textId="02DE73F3" w:rsidR="00062D0D" w:rsidRPr="001010E7" w:rsidRDefault="00062D0D" w:rsidP="001010E7">
      <w:pPr>
        <w:pStyle w:val="Paragraph"/>
        <w:tabs>
          <w:tab w:val="clear" w:pos="2736"/>
        </w:tabs>
        <w:ind w:left="720" w:hanging="720"/>
        <w:rPr>
          <w:rFonts w:ascii="Arial" w:eastAsia="Calibri" w:hAnsi="Arial" w:cs="Arial"/>
          <w:sz w:val="22"/>
          <w:szCs w:val="22"/>
          <w:lang w:val="es-ES_tradnl"/>
        </w:rPr>
      </w:pPr>
      <w:r w:rsidRPr="001010E7">
        <w:rPr>
          <w:rFonts w:ascii="Arial" w:eastAsia="Calibri" w:hAnsi="Arial" w:cs="Arial"/>
          <w:sz w:val="22"/>
          <w:szCs w:val="22"/>
          <w:lang w:val="es-ES_tradnl"/>
        </w:rPr>
        <w:t>El presente programa presenta similitudes</w:t>
      </w:r>
      <w:r w:rsidR="00ED74FF" w:rsidRPr="001010E7">
        <w:rPr>
          <w:rFonts w:ascii="Arial" w:eastAsia="Calibri" w:hAnsi="Arial" w:cs="Arial"/>
          <w:sz w:val="22"/>
          <w:szCs w:val="22"/>
          <w:lang w:val="es-ES_tradnl"/>
        </w:rPr>
        <w:t xml:space="preserve"> conceptuales</w:t>
      </w:r>
      <w:r w:rsidRPr="001010E7">
        <w:rPr>
          <w:rFonts w:ascii="Arial" w:eastAsia="Calibri" w:hAnsi="Arial" w:cs="Arial"/>
          <w:sz w:val="22"/>
          <w:szCs w:val="22"/>
          <w:lang w:val="es-ES_tradnl"/>
        </w:rPr>
        <w:t xml:space="preserve"> con las actividades realizadas bajo la línea CCLIP CO-X1007, cuya contraparte era Bancóldex. El impacto de Bancóldex sobre el acceso a crédito y el desempeño de sus beneficiarios ha sido estudiado por Eslava, Maffioli &amp; Meléndez (2011, 2012). Los autores evalúan los impactos de Bancóldex (Banco de </w:t>
      </w:r>
      <w:r w:rsidRPr="001010E7">
        <w:rPr>
          <w:rFonts w:ascii="Arial" w:hAnsi="Arial" w:cs="Arial"/>
          <w:sz w:val="22"/>
          <w:szCs w:val="22"/>
          <w:lang w:val="es-ES_tradnl"/>
        </w:rPr>
        <w:t>Comercio</w:t>
      </w:r>
      <w:r w:rsidRPr="001010E7">
        <w:rPr>
          <w:rFonts w:ascii="Arial" w:eastAsia="Calibri" w:hAnsi="Arial" w:cs="Arial"/>
          <w:sz w:val="22"/>
          <w:szCs w:val="22"/>
          <w:lang w:val="es-ES_tradnl"/>
        </w:rPr>
        <w:t xml:space="preserve"> Exterior), el banco de segundo piso de Colombia, sobre el desempeño de las empresas beneficiarias de sus líneas de crédito así como sobre las condiciones y estructura de préstamo, y ofrecen la primera evidencia empírica que se tenga al respecto. En un primer estudio, Eslava y otros (2012) estudian los efectos diferenciales de distintas líneas de crédito respaldas por Bancóldex sobre la producción, el empleo, </w:t>
      </w:r>
      <w:r w:rsidRPr="001010E7">
        <w:rPr>
          <w:rFonts w:ascii="Arial" w:eastAsia="Calibri" w:hAnsi="Arial" w:cs="Arial"/>
          <w:sz w:val="22"/>
          <w:szCs w:val="22"/>
          <w:lang w:val="es-ES_tradnl"/>
        </w:rPr>
        <w:lastRenderedPageBreak/>
        <w:t>la inversión y la productividad, entre otras variables, de las empresas. Asimismo, en un segundo estudio, Eslava y otros (2011) comparan los créditos con y sin apoyo de Bancóldex en características relevantes como tasa de interés, plazo y monto, y exploran los impactos de Bancóldex sobre el historial c</w:t>
      </w:r>
      <w:r w:rsidR="0099774C" w:rsidRPr="001010E7">
        <w:rPr>
          <w:rFonts w:ascii="Arial" w:eastAsia="Calibri" w:hAnsi="Arial" w:cs="Arial"/>
          <w:sz w:val="22"/>
          <w:szCs w:val="22"/>
          <w:lang w:val="es-ES_tradnl"/>
        </w:rPr>
        <w:t>rediticio de las firmas.</w:t>
      </w:r>
    </w:p>
    <w:p w14:paraId="42D2CCEB" w14:textId="77777777" w:rsidR="00062D0D" w:rsidRPr="001010E7" w:rsidRDefault="00062D0D" w:rsidP="001010E7">
      <w:pPr>
        <w:pStyle w:val="Paragraph"/>
        <w:tabs>
          <w:tab w:val="clear" w:pos="2736"/>
        </w:tabs>
        <w:ind w:left="720" w:hanging="720"/>
        <w:rPr>
          <w:rFonts w:ascii="Arial" w:eastAsia="Calibri" w:hAnsi="Arial" w:cs="Arial"/>
          <w:sz w:val="22"/>
          <w:szCs w:val="22"/>
          <w:lang w:val="es-ES_tradnl"/>
        </w:rPr>
      </w:pPr>
      <w:r w:rsidRPr="001010E7">
        <w:rPr>
          <w:rFonts w:ascii="Arial" w:eastAsia="Calibri" w:hAnsi="Arial" w:cs="Arial"/>
          <w:sz w:val="22"/>
          <w:szCs w:val="22"/>
          <w:lang w:val="es-ES_tradnl"/>
        </w:rPr>
        <w:t xml:space="preserve">Los resultados de las dos investigaciones parecen soportar la conveniencia de este tipo de iniciativas públicas. En el primer estudio, que es el más directamente relacionado con el tema de interés, los autores encontraron que Bancóldex tiene efectos </w:t>
      </w:r>
      <w:r w:rsidRPr="001010E7">
        <w:rPr>
          <w:rFonts w:ascii="Arial" w:hAnsi="Arial" w:cs="Arial"/>
          <w:sz w:val="22"/>
          <w:szCs w:val="22"/>
          <w:lang w:val="es-ES_tradnl"/>
        </w:rPr>
        <w:t>positivos</w:t>
      </w:r>
      <w:r w:rsidRPr="001010E7">
        <w:rPr>
          <w:rFonts w:ascii="Arial" w:eastAsia="Calibri" w:hAnsi="Arial" w:cs="Arial"/>
          <w:sz w:val="22"/>
          <w:szCs w:val="22"/>
          <w:lang w:val="es-ES_tradnl"/>
        </w:rPr>
        <w:t xml:space="preserve"> considerables sobre el desempeño de las firmas beneficiarias en términos de su producción, empleo, inversión y productividad, aun cuando se restringe la muestra a las empresas que pertenecen al soporte común. Los beneficiarios de algún tipo de crédito de Bancóldex experimentaron en promedio incrementos de 24% en producción, 11% en empleo, 70% en inversión y 12% en productividad laboral. Si bien no se encontraron efectos sobre los niveles de exportación si se ven efectos positivos sobre el número de productos exportados. Estos efectos pueden reflejar esfuerzos por diversificar la oferta exportadora con impactos positivos futuros en los montos exportados, aunque las estimaciones de los autores no lo pueden demostrar. Los resultados son robustos a la inclusión de variables de control adicionales y diferentes tipos de especificación econométrica. Los autores también estudiaron la variación de los impactos en el tiempo. Los efectos positivos de haber recibido crédito de Bancóldex perduran incluso hasta 4 años después de haber recibido el préstamo. La única excepción parece ser en inversión donde los impactos son inmediatos, pero no perduran. Estos resultados pueden indicar que algunas firmas que utilizan Bancóldex lo hacen para invertir en capital y que la capacidad de producción añadida tiene efectos persistentes en la producción, la productividad y la demanda por factores complementarios. También existen diferencias interesantes si se separan los efectos de los créditos de Bancóldex de largo y corto plazo. Aunque no se muestran los datos por sencillez, los préstamos dirigidos a financiar proyectos de largo plazo incrementan no sólo la inversión sino también la producción y la productividad. En cambio, para créditos de corto plazo no se aprecian efectos evidentes ni sobre la inversión, ni sobre la producción y se tiene un efecto menor sobre la productividad en comparación con los préstamos de largo plazo (Eslava y otros, 2012). </w:t>
      </w:r>
    </w:p>
    <w:p w14:paraId="2C0C281E" w14:textId="77777777" w:rsidR="00365D8E" w:rsidRPr="001010E7" w:rsidRDefault="001E3195" w:rsidP="00344FA5">
      <w:pPr>
        <w:pStyle w:val="Paragraph"/>
        <w:tabs>
          <w:tab w:val="clear" w:pos="2736"/>
        </w:tabs>
        <w:ind w:left="810" w:hanging="810"/>
        <w:rPr>
          <w:rFonts w:ascii="Arial" w:eastAsia="Calibri" w:hAnsi="Arial" w:cs="Arial"/>
          <w:sz w:val="22"/>
          <w:szCs w:val="22"/>
          <w:lang w:val="es-ES_tradnl"/>
        </w:rPr>
      </w:pPr>
      <w:r w:rsidRPr="001010E7">
        <w:rPr>
          <w:rFonts w:ascii="Arial" w:eastAsia="Calibri" w:hAnsi="Arial" w:cs="Arial"/>
          <w:sz w:val="22"/>
          <w:szCs w:val="22"/>
          <w:lang w:val="es-ES_tradnl"/>
        </w:rPr>
        <w:t>En el ámbito del sector agropecuario, el acceso al financiamiento puede proveer recursos oportunos para la adquisición de insumos, tecnologías, modelos de gestión y producción, entre otros (</w:t>
      </w:r>
      <w:r w:rsidRPr="001010E7">
        <w:rPr>
          <w:rFonts w:ascii="Arial" w:eastAsia="Calibri" w:hAnsi="Arial" w:cs="Arial"/>
          <w:i/>
          <w:sz w:val="22"/>
          <w:szCs w:val="22"/>
          <w:lang w:val="es-ES_tradnl"/>
        </w:rPr>
        <w:t>International Finance Corporation, 2012, Innovative agricultural SME Finance Models</w:t>
      </w:r>
      <w:r w:rsidRPr="001010E7">
        <w:rPr>
          <w:rFonts w:ascii="Arial" w:eastAsia="Calibri" w:hAnsi="Arial" w:cs="Arial"/>
          <w:sz w:val="22"/>
          <w:szCs w:val="22"/>
          <w:lang w:val="es-ES_tradnl"/>
        </w:rPr>
        <w:t>). Uaiene et al. (2009) analizan empíricamente la relación entre crédito agrícola y tecnología y muestran que los productores con acceso a crédito poseen mayor probabilidad de adoptar tecnología. Foster y Rosenzweig (2010) evidencian que la restricción de crédito juega un rol preponderante en el retraso en la adopción de tecn</w:t>
      </w:r>
      <w:r w:rsidRPr="001010E7">
        <w:rPr>
          <w:rFonts w:ascii="Arial" w:hAnsi="Arial" w:cs="Arial"/>
          <w:sz w:val="22"/>
          <w:szCs w:val="22"/>
          <w:lang w:val="es-ES_tradnl"/>
        </w:rPr>
        <w:t xml:space="preserve">ología. Esto se traduce en mejoras en la rentabilidad y la productividad de las unidades productivas, por </w:t>
      </w:r>
      <w:r w:rsidR="00114A7C" w:rsidRPr="001010E7">
        <w:rPr>
          <w:rFonts w:ascii="Arial" w:hAnsi="Arial" w:cs="Arial"/>
          <w:sz w:val="22"/>
          <w:szCs w:val="22"/>
          <w:lang w:val="es-ES_tradnl"/>
        </w:rPr>
        <w:t>ejemplo,</w:t>
      </w:r>
      <w:r w:rsidRPr="001010E7">
        <w:rPr>
          <w:rFonts w:ascii="Arial" w:hAnsi="Arial" w:cs="Arial"/>
          <w:sz w:val="22"/>
          <w:szCs w:val="22"/>
          <w:lang w:val="es-ES_tradnl"/>
        </w:rPr>
        <w:t xml:space="preserve"> Guirkinger y Boucher, 2008, en el Perú, demuestran que el acceso al crédito podría aumentar la productividad agrícola en 26%. Estudios de impacto p</w:t>
      </w:r>
      <w:r w:rsidR="00114A7C" w:rsidRPr="001010E7">
        <w:rPr>
          <w:rFonts w:ascii="Arial" w:hAnsi="Arial" w:cs="Arial"/>
          <w:sz w:val="22"/>
          <w:szCs w:val="22"/>
          <w:lang w:val="es-ES_tradnl"/>
        </w:rPr>
        <w:t xml:space="preserve">ara China, (Dong et al., 2010) </w:t>
      </w:r>
      <w:r w:rsidRPr="001010E7">
        <w:rPr>
          <w:rFonts w:ascii="Arial" w:hAnsi="Arial" w:cs="Arial"/>
          <w:sz w:val="22"/>
          <w:szCs w:val="22"/>
          <w:lang w:val="es-ES_tradnl"/>
        </w:rPr>
        <w:t>indican que esta cifra podría llegar hasta el 31,6% El estudio de Sidhu et al. (2008) evidencia la relación positiva entre crédito, inversión y productividad en India (</w:t>
      </w:r>
      <w:r w:rsidRPr="001010E7">
        <w:rPr>
          <w:rFonts w:ascii="Arial" w:hAnsi="Arial" w:cs="Arial"/>
          <w:i/>
          <w:sz w:val="22"/>
          <w:szCs w:val="22"/>
          <w:lang w:val="es-ES_tradnl"/>
        </w:rPr>
        <w:t>Dynamics of Institutional Agricultural Credit and Growth in Punjab: Contribution and Demand-Supply Gap)</w:t>
      </w:r>
      <w:r w:rsidRPr="001010E7">
        <w:rPr>
          <w:rFonts w:ascii="Arial" w:hAnsi="Arial" w:cs="Arial"/>
          <w:sz w:val="22"/>
          <w:szCs w:val="22"/>
          <w:lang w:val="es-ES_tradnl"/>
        </w:rPr>
        <w:t>.</w:t>
      </w:r>
    </w:p>
    <w:p w14:paraId="696BCB15" w14:textId="77777777" w:rsidR="001030F1" w:rsidRPr="001010E7" w:rsidRDefault="00A03279" w:rsidP="00344FA5">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lastRenderedPageBreak/>
        <w:t>Los programas de financiamiento productivo, buscan corregir entre otros la falla del mercado relacionada a la falta de acceso al crédito por una falta de historial crediticio y por ende un requerimiento elevado de garantías. Aunque, la evidencia acerca del rol de las garantías y del historial de crédito es limitada, la poca evidencia disp</w:t>
      </w:r>
      <w:r w:rsidR="006B1793" w:rsidRPr="001010E7">
        <w:rPr>
          <w:rFonts w:ascii="Arial" w:hAnsi="Arial" w:cs="Arial"/>
          <w:sz w:val="22"/>
          <w:szCs w:val="22"/>
          <w:lang w:val="es-ES_tradnl"/>
        </w:rPr>
        <w:t>onible sugiere que relajar estas</w:t>
      </w:r>
      <w:r w:rsidRPr="001010E7">
        <w:rPr>
          <w:rFonts w:ascii="Arial" w:hAnsi="Arial" w:cs="Arial"/>
          <w:sz w:val="22"/>
          <w:szCs w:val="22"/>
          <w:lang w:val="es-ES_tradnl"/>
        </w:rPr>
        <w:t xml:space="preserve"> restricciones podría aumentar el acceso a créditos de mejores condiciones. </w:t>
      </w:r>
      <w:r w:rsidR="001030F1" w:rsidRPr="001010E7">
        <w:rPr>
          <w:rFonts w:ascii="Arial" w:hAnsi="Arial" w:cs="Arial"/>
          <w:sz w:val="22"/>
          <w:szCs w:val="22"/>
          <w:lang w:val="es-ES_tradnl"/>
        </w:rPr>
        <w:t>Dado la banca pública tiende a tener menores requerimientos de historial crediticio que la banca privada, el crédito público podría permitir a las empresas crear un historial de crédito con la banca pública, y formar parte de los sistemas de información (bureau de crédito), para posteriormente poder acceder a crédito de la banca privada con condiciones favorables</w:t>
      </w:r>
      <w:r w:rsidR="00365D8E" w:rsidRPr="001010E7">
        <w:rPr>
          <w:rFonts w:ascii="Arial" w:hAnsi="Arial" w:cs="Arial"/>
          <w:sz w:val="22"/>
          <w:szCs w:val="22"/>
          <w:lang w:val="es-ES_tradnl"/>
        </w:rPr>
        <w:t>.</w:t>
      </w:r>
    </w:p>
    <w:p w14:paraId="675AC9B5" w14:textId="77777777" w:rsidR="00923FA7" w:rsidRPr="001010E7" w:rsidRDefault="00923FA7" w:rsidP="00942F6C">
      <w:pPr>
        <w:pStyle w:val="SecHeading"/>
        <w:rPr>
          <w:rFonts w:ascii="Arial" w:hAnsi="Arial" w:cs="Arial"/>
          <w:color w:val="auto"/>
          <w:sz w:val="22"/>
          <w:szCs w:val="22"/>
        </w:rPr>
      </w:pPr>
      <w:bookmarkStart w:id="30" w:name="_Toc346643524"/>
      <w:bookmarkStart w:id="31" w:name="_Toc352755945"/>
      <w:bookmarkStart w:id="32" w:name="_Toc352756761"/>
      <w:bookmarkStart w:id="33" w:name="_Toc415826274"/>
      <w:r w:rsidRPr="001010E7">
        <w:rPr>
          <w:rFonts w:ascii="Arial" w:hAnsi="Arial" w:cs="Arial"/>
          <w:color w:val="auto"/>
          <w:sz w:val="22"/>
          <w:szCs w:val="22"/>
        </w:rPr>
        <w:t>Fuentes de datos</w:t>
      </w:r>
    </w:p>
    <w:p w14:paraId="20F8FFDE" w14:textId="77777777" w:rsidR="00923FA7" w:rsidRPr="001010E7" w:rsidRDefault="00923FA7" w:rsidP="00923FA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Se cuenta con dos fuentes de datos principales. La primera de ellas corresponde a los </w:t>
      </w:r>
      <w:r w:rsidRPr="001010E7">
        <w:rPr>
          <w:rFonts w:ascii="Arial" w:hAnsi="Arial" w:cs="Arial"/>
          <w:b/>
          <w:sz w:val="22"/>
          <w:szCs w:val="22"/>
          <w:lang w:val="es-ES_tradnl"/>
        </w:rPr>
        <w:t>Datos administrativos</w:t>
      </w:r>
      <w:r w:rsidRPr="001010E7">
        <w:rPr>
          <w:rFonts w:ascii="Arial" w:hAnsi="Arial" w:cs="Arial"/>
          <w:sz w:val="22"/>
          <w:szCs w:val="22"/>
          <w:lang w:val="es-ES_tradnl"/>
        </w:rPr>
        <w:t xml:space="preserve"> que se obtiene durante el proceso de postulación de los créditos y que sirven como línea de base. La segunda fuente de información es la </w:t>
      </w:r>
      <w:r w:rsidRPr="001010E7">
        <w:rPr>
          <w:rFonts w:ascii="Arial" w:hAnsi="Arial" w:cs="Arial"/>
          <w:b/>
          <w:sz w:val="22"/>
          <w:szCs w:val="22"/>
          <w:lang w:val="es-ES_tradnl"/>
        </w:rPr>
        <w:t>Encuesta de seguimiento 2016-17</w:t>
      </w:r>
      <w:r w:rsidRPr="001010E7">
        <w:rPr>
          <w:rFonts w:ascii="Arial" w:hAnsi="Arial" w:cs="Arial"/>
          <w:sz w:val="22"/>
          <w:szCs w:val="22"/>
          <w:lang w:val="es-ES_tradnl"/>
        </w:rPr>
        <w:t>.</w:t>
      </w:r>
    </w:p>
    <w:p w14:paraId="0B7CBCB2" w14:textId="77777777" w:rsidR="00923FA7" w:rsidRPr="001010E7" w:rsidRDefault="00923FA7" w:rsidP="001010E7">
      <w:pPr>
        <w:pStyle w:val="Paragraph"/>
        <w:tabs>
          <w:tab w:val="clear" w:pos="2736"/>
          <w:tab w:val="num" w:pos="720"/>
        </w:tabs>
        <w:ind w:left="720" w:hanging="720"/>
        <w:rPr>
          <w:rFonts w:ascii="Arial" w:hAnsi="Arial" w:cs="Arial"/>
          <w:b/>
          <w:sz w:val="22"/>
          <w:szCs w:val="22"/>
          <w:lang w:val="es-ES_tradnl"/>
        </w:rPr>
      </w:pPr>
      <w:r w:rsidRPr="001010E7">
        <w:rPr>
          <w:rFonts w:ascii="Arial" w:hAnsi="Arial" w:cs="Arial"/>
          <w:sz w:val="22"/>
          <w:szCs w:val="22"/>
          <w:lang w:val="es-ES_tradnl"/>
        </w:rPr>
        <w:t xml:space="preserve">En relación a los </w:t>
      </w:r>
      <w:r w:rsidRPr="001010E7">
        <w:rPr>
          <w:rFonts w:ascii="Arial" w:hAnsi="Arial" w:cs="Arial"/>
          <w:b/>
          <w:sz w:val="22"/>
          <w:szCs w:val="22"/>
          <w:lang w:val="es-ES_tradnl"/>
        </w:rPr>
        <w:t>Datos administrativos</w:t>
      </w:r>
      <w:r w:rsidRPr="001010E7">
        <w:rPr>
          <w:rFonts w:ascii="Arial" w:hAnsi="Arial" w:cs="Arial"/>
          <w:sz w:val="22"/>
          <w:szCs w:val="22"/>
          <w:lang w:val="es-ES_tradnl"/>
        </w:rPr>
        <w:t>, Las agencias locales de FND recogen información muy rica, pero sólo una parte menor de esta es digitalizada</w:t>
      </w:r>
      <w:r w:rsidRPr="001010E7">
        <w:rPr>
          <w:rStyle w:val="FootnoteReference"/>
          <w:rFonts w:ascii="Arial" w:hAnsi="Arial" w:cs="Arial"/>
          <w:b/>
          <w:sz w:val="22"/>
          <w:szCs w:val="22"/>
        </w:rPr>
        <w:footnoteReference w:id="11"/>
      </w:r>
      <w:r w:rsidRPr="001010E7">
        <w:rPr>
          <w:rFonts w:ascii="Arial" w:hAnsi="Arial" w:cs="Arial"/>
          <w:sz w:val="22"/>
          <w:szCs w:val="22"/>
          <w:lang w:val="es-ES_tradnl"/>
        </w:rPr>
        <w:t>. La información que se digitaliza incluye principalmente las variables que requiere el departamento de riesgos para aplicar sus metodologías de aprobación o rechazo de solicitudes de crédito. La base de datos recibida de parte de FND contiene información acerca de todas las solicitudes de crédito evaluados con la metodología de probabilidades de incumplimiento (</w:t>
      </w:r>
      <w:r w:rsidRPr="001010E7">
        <w:rPr>
          <w:rFonts w:ascii="Arial" w:hAnsi="Arial" w:cs="Arial"/>
          <w:i/>
          <w:sz w:val="22"/>
          <w:szCs w:val="22"/>
          <w:lang w:val="es-ES_tradnl"/>
        </w:rPr>
        <w:t>credit scoring</w:t>
      </w:r>
      <w:r w:rsidRPr="001010E7">
        <w:rPr>
          <w:rFonts w:ascii="Arial" w:hAnsi="Arial" w:cs="Arial"/>
          <w:sz w:val="22"/>
          <w:szCs w:val="22"/>
          <w:lang w:val="es-ES_tradnl"/>
        </w:rPr>
        <w:t>) entre 2012 y 2014. La base de datos cuenta aproximadamente 40,000 observaciones a nivel nacional. Se obtuvo información únicamente a partir de 2012 porque en este año hubo cambios importantes en las metodologías de aprobación de créditos (y los modelos anteriores son poco comparables). Se consideraron solamente créditos hasta 2014, pues los principales resultados de interés son de mediano a largo plazo y se consideró necesario esperar al menos 2 años para que los resultados se materialicen.</w:t>
      </w:r>
    </w:p>
    <w:p w14:paraId="4B5FB25C" w14:textId="77777777" w:rsidR="00923FA7" w:rsidRPr="001010E7" w:rsidRDefault="00923FA7" w:rsidP="001010E7">
      <w:pPr>
        <w:pStyle w:val="Paragraph"/>
        <w:tabs>
          <w:tab w:val="clear" w:pos="2736"/>
          <w:tab w:val="num" w:pos="720"/>
        </w:tabs>
        <w:ind w:left="720" w:hanging="720"/>
        <w:rPr>
          <w:rFonts w:ascii="Arial" w:hAnsi="Arial" w:cs="Arial"/>
          <w:b/>
          <w:sz w:val="22"/>
          <w:szCs w:val="22"/>
          <w:lang w:val="es-ES_tradnl"/>
        </w:rPr>
      </w:pPr>
      <w:r w:rsidRPr="001010E7">
        <w:rPr>
          <w:rFonts w:ascii="Arial" w:hAnsi="Arial" w:cs="Arial"/>
          <w:sz w:val="22"/>
          <w:szCs w:val="22"/>
          <w:lang w:val="es-ES_tradnl"/>
        </w:rPr>
        <w:t>Cada una de las observaciones de la base de datos de FND corresponde a una única solicitud de crédito. Entre 2012 y 2014 un número importante de productores solicitaron más de un crédito de FND, y por lo tanto aparecen más de una vez en la base de datos. La base cuenta con un identificador único de solicitud de crédito, y un identificador único a nivel de cliente (individuo o empresa). El indicador único de cliente, podría permitir reconstruir la historia crediticia con FND para cada productor/empresa.</w:t>
      </w:r>
    </w:p>
    <w:p w14:paraId="314A4804" w14:textId="77777777" w:rsidR="00923FA7" w:rsidRPr="001010E7" w:rsidRDefault="00923FA7" w:rsidP="00923FA7">
      <w:pPr>
        <w:pStyle w:val="SecHeading"/>
        <w:numPr>
          <w:ilvl w:val="0"/>
          <w:numId w:val="0"/>
        </w:numPr>
        <w:rPr>
          <w:rFonts w:ascii="Arial" w:hAnsi="Arial" w:cs="Arial"/>
          <w:b w:val="0"/>
          <w:color w:val="auto"/>
          <w:sz w:val="22"/>
          <w:szCs w:val="22"/>
        </w:rPr>
      </w:pPr>
      <w:r w:rsidRPr="001010E7">
        <w:rPr>
          <w:rFonts w:ascii="Arial" w:hAnsi="Arial" w:cs="Arial"/>
          <w:b w:val="0"/>
          <w:color w:val="auto"/>
          <w:sz w:val="22"/>
          <w:szCs w:val="22"/>
        </w:rPr>
        <w:lastRenderedPageBreak/>
        <w:t>Las principales variables de la base de datos administrativos son las siguientes:</w:t>
      </w:r>
    </w:p>
    <w:p w14:paraId="09B99E11" w14:textId="77777777" w:rsidR="00923FA7" w:rsidRPr="001010E7" w:rsidRDefault="00923FA7" w:rsidP="00923FA7">
      <w:pPr>
        <w:pStyle w:val="SecHeading"/>
        <w:numPr>
          <w:ilvl w:val="0"/>
          <w:numId w:val="21"/>
        </w:numPr>
        <w:spacing w:after="0"/>
        <w:jc w:val="both"/>
        <w:rPr>
          <w:rFonts w:ascii="Arial" w:hAnsi="Arial" w:cs="Arial"/>
          <w:b w:val="0"/>
          <w:color w:val="auto"/>
          <w:sz w:val="22"/>
          <w:szCs w:val="22"/>
        </w:rPr>
      </w:pPr>
      <w:r w:rsidRPr="001010E7">
        <w:rPr>
          <w:rFonts w:ascii="Arial" w:hAnsi="Arial" w:cs="Arial"/>
          <w:b w:val="0"/>
          <w:color w:val="auto"/>
          <w:sz w:val="22"/>
          <w:szCs w:val="22"/>
        </w:rPr>
        <w:t>Probabilidad de incumplimiento asignada, fecha en que se asignó, y umbrales o puntos de corte</w:t>
      </w:r>
    </w:p>
    <w:p w14:paraId="30F1B922" w14:textId="77777777" w:rsidR="00923FA7" w:rsidRPr="001010E7" w:rsidRDefault="00923FA7" w:rsidP="00923FA7">
      <w:pPr>
        <w:pStyle w:val="SecHeading"/>
        <w:numPr>
          <w:ilvl w:val="0"/>
          <w:numId w:val="21"/>
        </w:numPr>
        <w:spacing w:before="0" w:after="0"/>
        <w:jc w:val="both"/>
        <w:rPr>
          <w:rFonts w:ascii="Arial" w:hAnsi="Arial" w:cs="Arial"/>
          <w:b w:val="0"/>
          <w:color w:val="auto"/>
          <w:sz w:val="22"/>
          <w:szCs w:val="22"/>
        </w:rPr>
      </w:pPr>
      <w:r w:rsidRPr="001010E7">
        <w:rPr>
          <w:rFonts w:ascii="Arial" w:hAnsi="Arial" w:cs="Arial"/>
          <w:b w:val="0"/>
          <w:color w:val="auto"/>
          <w:sz w:val="22"/>
          <w:szCs w:val="22"/>
        </w:rPr>
        <w:t xml:space="preserve">Una variable categórica que indica el modelo de </w:t>
      </w:r>
      <w:r w:rsidRPr="001010E7">
        <w:rPr>
          <w:rFonts w:ascii="Arial" w:hAnsi="Arial" w:cs="Arial"/>
          <w:b w:val="0"/>
          <w:i/>
          <w:color w:val="auto"/>
          <w:sz w:val="22"/>
          <w:szCs w:val="22"/>
        </w:rPr>
        <w:t>scoring</w:t>
      </w:r>
      <w:r w:rsidRPr="001010E7">
        <w:rPr>
          <w:rFonts w:ascii="Arial" w:hAnsi="Arial" w:cs="Arial"/>
          <w:b w:val="0"/>
          <w:color w:val="auto"/>
          <w:sz w:val="22"/>
          <w:szCs w:val="22"/>
        </w:rPr>
        <w:t xml:space="preserve"> aplicado</w:t>
      </w:r>
    </w:p>
    <w:p w14:paraId="445827B7"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Tipo de crédito solicitado</w:t>
      </w:r>
    </w:p>
    <w:p w14:paraId="04F87392"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Variables dicotómicas que indican si se otorgó el crédito, y si se otorgó un paquete tecnológico</w:t>
      </w:r>
    </w:p>
    <w:p w14:paraId="4A766495"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Decisión o resolución (aprobado, pasa a sub-comité, requiere paquete, etc.)</w:t>
      </w:r>
    </w:p>
    <w:p w14:paraId="3AFD78FA"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Agencia donde se presentó la solicitud, y el estado y la región donde se encuentra esta agencia</w:t>
      </w:r>
    </w:p>
    <w:p w14:paraId="2916E849"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Monto solicitado y monto otorgado</w:t>
      </w:r>
    </w:p>
    <w:p w14:paraId="6EDA0DB6" w14:textId="77777777" w:rsidR="00923FA7" w:rsidRPr="001010E7" w:rsidRDefault="00923FA7" w:rsidP="00923FA7">
      <w:pPr>
        <w:pStyle w:val="ListParagraph"/>
        <w:numPr>
          <w:ilvl w:val="0"/>
          <w:numId w:val="21"/>
        </w:numPr>
        <w:autoSpaceDE w:val="0"/>
        <w:autoSpaceDN w:val="0"/>
        <w:adjustRightInd w:val="0"/>
        <w:jc w:val="both"/>
        <w:rPr>
          <w:rFonts w:ascii="Arial" w:eastAsiaTheme="minorEastAsia" w:hAnsi="Arial" w:cs="Arial"/>
          <w:bCs/>
          <w:sz w:val="22"/>
          <w:szCs w:val="22"/>
          <w:lang w:val="es-ES_tradnl" w:eastAsia="en-GB"/>
        </w:rPr>
      </w:pPr>
      <w:r w:rsidRPr="001010E7">
        <w:rPr>
          <w:rFonts w:ascii="Arial" w:eastAsiaTheme="minorEastAsia" w:hAnsi="Arial" w:cs="Arial"/>
          <w:bCs/>
          <w:sz w:val="22"/>
          <w:szCs w:val="22"/>
          <w:lang w:val="es-ES_tradnl" w:eastAsia="en-GB"/>
        </w:rPr>
        <w:t>Características del solicitante, como ser: clasificación entre persona física (individuo) o persona moral (empresa), edad para personas físicas, años que es cliente de FND, y la antigüedad de la actividad productiva.</w:t>
      </w:r>
    </w:p>
    <w:p w14:paraId="3E4CED1D" w14:textId="77777777" w:rsidR="00923FA7" w:rsidRPr="001010E7" w:rsidRDefault="00923FA7" w:rsidP="00923FA7">
      <w:pPr>
        <w:pStyle w:val="ListParagraph"/>
        <w:numPr>
          <w:ilvl w:val="0"/>
          <w:numId w:val="21"/>
        </w:numPr>
        <w:autoSpaceDE w:val="0"/>
        <w:autoSpaceDN w:val="0"/>
        <w:adjustRightInd w:val="0"/>
        <w:jc w:val="both"/>
        <w:rPr>
          <w:rFonts w:ascii="Arial" w:hAnsi="Arial" w:cs="Arial"/>
          <w:sz w:val="22"/>
          <w:szCs w:val="22"/>
          <w:lang w:val="es-ES_tradnl"/>
        </w:rPr>
      </w:pPr>
      <w:r w:rsidRPr="001010E7">
        <w:rPr>
          <w:rFonts w:ascii="Arial" w:eastAsiaTheme="minorEastAsia" w:hAnsi="Arial" w:cs="Arial"/>
          <w:bCs/>
          <w:sz w:val="22"/>
          <w:szCs w:val="22"/>
          <w:lang w:val="es-ES_tradnl" w:eastAsia="en-GB"/>
        </w:rPr>
        <w:t>Información no verificada por FND, obtenida de solicitudes de crédito. Se incluye información como del destino final del crédito, el monto de aportación del cliente, el valor de la garantía, la superficie de terreno, el valor y el volumen de producción al momento de aplicación, entre otros.</w:t>
      </w:r>
    </w:p>
    <w:p w14:paraId="28313DE4" w14:textId="77777777" w:rsidR="00923FA7" w:rsidRPr="001010E7" w:rsidRDefault="00923FA7" w:rsidP="00923FA7">
      <w:pPr>
        <w:pStyle w:val="ListParagraph"/>
        <w:autoSpaceDE w:val="0"/>
        <w:autoSpaceDN w:val="0"/>
        <w:adjustRightInd w:val="0"/>
        <w:rPr>
          <w:rFonts w:ascii="Arial" w:hAnsi="Arial" w:cs="Arial"/>
          <w:sz w:val="22"/>
          <w:szCs w:val="22"/>
          <w:lang w:val="es-ES_tradnl"/>
        </w:rPr>
      </w:pPr>
    </w:p>
    <w:p w14:paraId="04200AD4" w14:textId="77777777" w:rsidR="00923FA7" w:rsidRPr="001010E7" w:rsidRDefault="00923FA7" w:rsidP="00923FA7">
      <w:pPr>
        <w:pStyle w:val="Paragraph"/>
        <w:tabs>
          <w:tab w:val="clear" w:pos="2736"/>
          <w:tab w:val="num" w:pos="720"/>
        </w:tabs>
        <w:ind w:left="720" w:hanging="720"/>
        <w:rPr>
          <w:rFonts w:ascii="Arial" w:hAnsi="Arial" w:cs="Arial"/>
          <w:sz w:val="22"/>
          <w:szCs w:val="22"/>
          <w:lang w:val="es-ES_tradnl"/>
        </w:rPr>
      </w:pPr>
      <w:r w:rsidRPr="001010E7">
        <w:rPr>
          <w:rFonts w:ascii="Arial" w:eastAsiaTheme="minorEastAsia" w:hAnsi="Arial" w:cs="Arial"/>
          <w:bCs/>
          <w:sz w:val="22"/>
          <w:szCs w:val="22"/>
          <w:lang w:val="es-ES_tradnl"/>
        </w:rPr>
        <w:t xml:space="preserve">En relación a la segunda fuente de información, la </w:t>
      </w:r>
      <w:r w:rsidRPr="001010E7">
        <w:rPr>
          <w:rFonts w:ascii="Arial" w:eastAsiaTheme="minorEastAsia" w:hAnsi="Arial" w:cs="Arial"/>
          <w:b/>
          <w:bCs/>
          <w:sz w:val="22"/>
          <w:szCs w:val="22"/>
          <w:lang w:val="es-ES_tradnl"/>
        </w:rPr>
        <w:t xml:space="preserve">Encuesta de seguimiento, </w:t>
      </w:r>
      <w:r w:rsidRPr="001010E7">
        <w:rPr>
          <w:rFonts w:ascii="Arial" w:eastAsiaTheme="minorEastAsia" w:hAnsi="Arial" w:cs="Arial"/>
          <w:bCs/>
          <w:sz w:val="22"/>
          <w:szCs w:val="22"/>
          <w:lang w:val="es-ES_tradnl"/>
        </w:rPr>
        <w:t>en la actualidad está en proceso de levantamiento una encuesta primaria a productores/empresas rurales. Como indicado, se espera encuestar a 3,000 productores/empresas (</w:t>
      </w:r>
      <w:r w:rsidRPr="001010E7">
        <w:rPr>
          <w:rFonts w:ascii="Arial" w:hAnsi="Arial" w:cs="Arial"/>
          <w:b/>
          <w:sz w:val="22"/>
          <w:szCs w:val="22"/>
          <w:lang w:val="es-ES_tradnl"/>
        </w:rPr>
        <w:t>determinado</w:t>
      </w:r>
      <w:r w:rsidRPr="001010E7">
        <w:rPr>
          <w:rFonts w:ascii="Arial" w:eastAsiaTheme="minorEastAsia" w:hAnsi="Arial" w:cs="Arial"/>
          <w:bCs/>
          <w:sz w:val="22"/>
          <w:szCs w:val="22"/>
          <w:lang w:val="es-ES_tradnl"/>
        </w:rPr>
        <w:t xml:space="preserve"> con base al presupuesto disponible y a la estrategia de identificación y acceso a los productores). </w:t>
      </w:r>
    </w:p>
    <w:p w14:paraId="707E4FF9" w14:textId="77777777" w:rsidR="00923FA7" w:rsidRPr="001010E7" w:rsidRDefault="00923FA7"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El diseño de la boleta tomó como punto de partida las encuestas agropecuarias levantadas regularmente por el INEGI. Estos incluyen preguntas que permiten medir la productividad total de factores y el producto medio (como el volumen de cosecha por hectárea). Las </w:t>
      </w:r>
      <w:r w:rsidRPr="001010E7">
        <w:rPr>
          <w:rFonts w:ascii="Arial" w:hAnsi="Arial" w:cs="Arial"/>
          <w:b/>
          <w:sz w:val="22"/>
          <w:szCs w:val="22"/>
          <w:lang w:val="es-ES_tradnl"/>
        </w:rPr>
        <w:t>principales</w:t>
      </w:r>
      <w:r w:rsidRPr="001010E7">
        <w:rPr>
          <w:rFonts w:ascii="Arial" w:hAnsi="Arial" w:cs="Arial"/>
          <w:sz w:val="22"/>
          <w:szCs w:val="22"/>
          <w:lang w:val="es-ES_tradnl"/>
        </w:rPr>
        <w:t xml:space="preserve"> modificaciones fueron, la introducción de un módulo más completo acerca de servicios financieros, y la inclusión de preguntas retrospectivas que puedan </w:t>
      </w:r>
      <w:r w:rsidR="00973C44" w:rsidRPr="001010E7">
        <w:rPr>
          <w:rFonts w:ascii="Arial" w:hAnsi="Arial" w:cs="Arial"/>
          <w:bCs/>
          <w:sz w:val="22"/>
          <w:szCs w:val="22"/>
          <w:lang w:val="es-ES_tradnl" w:eastAsia="en-US"/>
        </w:rPr>
        <w:t xml:space="preserve">enriquecer la información administrativa que sirve de </w:t>
      </w:r>
      <w:r w:rsidRPr="001010E7">
        <w:rPr>
          <w:rFonts w:ascii="Arial" w:hAnsi="Arial" w:cs="Arial"/>
          <w:bCs/>
          <w:sz w:val="22"/>
          <w:szCs w:val="22"/>
          <w:lang w:val="es-ES_tradnl" w:eastAsia="en-US"/>
        </w:rPr>
        <w:t>línea de base.</w:t>
      </w:r>
      <w:r w:rsidRPr="001010E7">
        <w:rPr>
          <w:rFonts w:ascii="Arial" w:hAnsi="Arial" w:cs="Arial"/>
          <w:sz w:val="22"/>
          <w:szCs w:val="22"/>
          <w:lang w:val="es-ES_tradnl"/>
        </w:rPr>
        <w:t xml:space="preserve"> El uso de dispositivos electrónicos para el levantamiento de información requirió un trabajo intenso de revisión de la programación, pero se espera disminuir el potencial de errores durante el levantamiento.</w:t>
      </w:r>
    </w:p>
    <w:p w14:paraId="38CF09A8" w14:textId="77777777" w:rsidR="00923FA7" w:rsidRPr="001010E7" w:rsidRDefault="00923FA7" w:rsidP="001010E7">
      <w:pPr>
        <w:pStyle w:val="Paragraph"/>
        <w:tabs>
          <w:tab w:val="clear" w:pos="2736"/>
          <w:tab w:val="num" w:pos="720"/>
        </w:tabs>
        <w:ind w:left="720" w:hanging="720"/>
        <w:rPr>
          <w:rFonts w:ascii="Arial" w:eastAsiaTheme="minorEastAsia" w:hAnsi="Arial" w:cs="Arial"/>
          <w:bCs/>
          <w:sz w:val="22"/>
          <w:szCs w:val="22"/>
          <w:lang w:val="es-ES_tradnl" w:eastAsia="en-US"/>
        </w:rPr>
      </w:pPr>
      <w:r w:rsidRPr="001010E7">
        <w:rPr>
          <w:rFonts w:ascii="Arial" w:eastAsiaTheme="minorEastAsia" w:hAnsi="Arial" w:cs="Arial"/>
          <w:bCs/>
          <w:sz w:val="22"/>
          <w:szCs w:val="22"/>
          <w:lang w:val="es-ES_tradnl" w:eastAsia="en-US"/>
        </w:rPr>
        <w:t xml:space="preserve">La encuesta se ha estratificado para que sea representativa por activo fijo y capital de trabajo por lo que las conclusiones </w:t>
      </w:r>
      <w:r w:rsidRPr="001010E7">
        <w:rPr>
          <w:rFonts w:ascii="Arial" w:hAnsi="Arial" w:cs="Arial"/>
          <w:sz w:val="22"/>
          <w:szCs w:val="22"/>
          <w:lang w:val="es-ES_tradnl"/>
        </w:rPr>
        <w:t>que</w:t>
      </w:r>
      <w:r w:rsidRPr="001010E7">
        <w:rPr>
          <w:rFonts w:ascii="Arial" w:eastAsiaTheme="minorEastAsia" w:hAnsi="Arial" w:cs="Arial"/>
          <w:bCs/>
          <w:sz w:val="22"/>
          <w:szCs w:val="22"/>
          <w:lang w:val="es-ES_tradnl" w:eastAsia="en-US"/>
        </w:rPr>
        <w:t xml:space="preserve"> se obtengan del análisis de los datos serán relevantes para toda la línea CCLIP, incluida la tercera operación. El propósito inicial de la evaluación se centra en buscar medir la productividad en el sector primario. No obstante, dado el tamaño elevado de la muestra, va a ser posible tener información descriptiva de los beneficiarios considerados en el objetivo de inclusión.</w:t>
      </w:r>
      <w:r w:rsidRPr="001010E7">
        <w:rPr>
          <w:rStyle w:val="FootnoteReference"/>
          <w:rFonts w:ascii="Arial" w:eastAsiaTheme="minorEastAsia" w:hAnsi="Arial" w:cs="Arial"/>
          <w:bCs/>
          <w:sz w:val="22"/>
          <w:szCs w:val="22"/>
          <w:lang w:val="es-ES_tradnl" w:eastAsia="en-US"/>
        </w:rPr>
        <w:footnoteReference w:id="12"/>
      </w:r>
      <w:r w:rsidRPr="001010E7">
        <w:rPr>
          <w:rFonts w:ascii="Arial" w:eastAsiaTheme="minorEastAsia" w:hAnsi="Arial" w:cs="Arial"/>
          <w:bCs/>
          <w:sz w:val="22"/>
          <w:szCs w:val="22"/>
          <w:lang w:val="es-ES_tradnl" w:eastAsia="en-US"/>
        </w:rPr>
        <w:t xml:space="preserve"> </w:t>
      </w:r>
    </w:p>
    <w:p w14:paraId="79B231CB" w14:textId="77777777" w:rsidR="00A23EBA" w:rsidRPr="001010E7" w:rsidRDefault="00A23EBA" w:rsidP="0099774C">
      <w:pPr>
        <w:pStyle w:val="Paragraph"/>
        <w:numPr>
          <w:ilvl w:val="0"/>
          <w:numId w:val="0"/>
        </w:numPr>
        <w:ind w:left="720"/>
        <w:rPr>
          <w:rFonts w:ascii="Arial" w:eastAsiaTheme="minorEastAsia" w:hAnsi="Arial" w:cs="Arial"/>
          <w:b/>
          <w:bCs/>
          <w:sz w:val="22"/>
          <w:szCs w:val="22"/>
          <w:lang w:val="es-ES_tradnl" w:eastAsia="en-US"/>
        </w:rPr>
      </w:pPr>
      <w:r w:rsidRPr="001010E7">
        <w:rPr>
          <w:rFonts w:ascii="Arial" w:eastAsiaTheme="minorEastAsia" w:hAnsi="Arial" w:cs="Arial"/>
          <w:b/>
          <w:bCs/>
          <w:sz w:val="22"/>
          <w:szCs w:val="22"/>
          <w:lang w:val="es-ES_tradnl" w:eastAsia="en-US"/>
        </w:rPr>
        <w:lastRenderedPageBreak/>
        <w:t>Cálculos de Poder</w:t>
      </w:r>
    </w:p>
    <w:p w14:paraId="442D28B0" w14:textId="33B45915" w:rsidR="00A23EBA" w:rsidRPr="001010E7" w:rsidRDefault="00DF0B46" w:rsidP="00923FA7">
      <w:pPr>
        <w:pStyle w:val="Paragraph"/>
        <w:tabs>
          <w:tab w:val="clear" w:pos="2736"/>
          <w:tab w:val="num" w:pos="720"/>
        </w:tabs>
        <w:ind w:left="720" w:hanging="720"/>
        <w:rPr>
          <w:rFonts w:ascii="Arial" w:eastAsiaTheme="minorEastAsia" w:hAnsi="Arial" w:cs="Arial"/>
          <w:b/>
          <w:bCs/>
          <w:sz w:val="22"/>
          <w:szCs w:val="22"/>
          <w:lang w:val="es-ES_tradnl" w:eastAsia="en-US"/>
        </w:rPr>
      </w:pPr>
      <w:r w:rsidRPr="001010E7">
        <w:rPr>
          <w:rFonts w:ascii="Arial" w:eastAsiaTheme="minorEastAsia" w:hAnsi="Arial" w:cs="Arial"/>
          <w:bCs/>
          <w:sz w:val="22"/>
          <w:szCs w:val="22"/>
          <w:lang w:val="es-ES_tradnl" w:eastAsia="en-US"/>
        </w:rPr>
        <w:t>Los cálculos de poder se llevar</w:t>
      </w:r>
      <w:r w:rsidR="00784A42" w:rsidRPr="001010E7">
        <w:rPr>
          <w:rFonts w:ascii="Arial" w:eastAsiaTheme="minorEastAsia" w:hAnsi="Arial" w:cs="Arial"/>
          <w:bCs/>
          <w:sz w:val="22"/>
          <w:szCs w:val="22"/>
          <w:lang w:val="es-ES_tradnl" w:eastAsia="en-US"/>
        </w:rPr>
        <w:t>on</w:t>
      </w:r>
      <w:r w:rsidRPr="001010E7">
        <w:rPr>
          <w:rFonts w:ascii="Arial" w:eastAsiaTheme="minorEastAsia" w:hAnsi="Arial" w:cs="Arial"/>
          <w:bCs/>
          <w:sz w:val="22"/>
          <w:szCs w:val="22"/>
          <w:lang w:val="es-ES_tradnl" w:eastAsia="en-US"/>
        </w:rPr>
        <w:t xml:space="preserve"> adelante utilizando el comando </w:t>
      </w:r>
      <w:r w:rsidRPr="001010E7">
        <w:rPr>
          <w:rFonts w:ascii="Arial" w:eastAsiaTheme="minorEastAsia" w:hAnsi="Arial" w:cs="Arial"/>
          <w:bCs/>
          <w:i/>
          <w:sz w:val="22"/>
          <w:szCs w:val="22"/>
          <w:lang w:val="es-ES_tradnl" w:eastAsia="en-US"/>
        </w:rPr>
        <w:t>rdpower</w:t>
      </w:r>
      <w:r w:rsidRPr="001010E7">
        <w:rPr>
          <w:rFonts w:ascii="Arial" w:eastAsiaTheme="minorEastAsia" w:hAnsi="Arial" w:cs="Arial"/>
          <w:bCs/>
          <w:sz w:val="22"/>
          <w:szCs w:val="22"/>
          <w:lang w:val="es-ES_tradnl" w:eastAsia="en-US"/>
        </w:rPr>
        <w:t xml:space="preserve"> de STATA para regresión discontinua</w:t>
      </w:r>
      <w:r w:rsidR="001950C9" w:rsidRPr="001010E7">
        <w:rPr>
          <w:rFonts w:ascii="Arial" w:eastAsiaTheme="minorEastAsia" w:hAnsi="Arial" w:cs="Arial"/>
          <w:bCs/>
          <w:sz w:val="22"/>
          <w:szCs w:val="22"/>
          <w:lang w:val="es-ES_tradnl" w:eastAsia="en-US"/>
        </w:rPr>
        <w:t xml:space="preserve">. Se utilizaron los datos administrativos de FND al momento de la solicitud de crédito. </w:t>
      </w:r>
      <w:r w:rsidR="00784A42" w:rsidRPr="001010E7">
        <w:rPr>
          <w:rFonts w:ascii="Arial" w:eastAsiaTheme="minorEastAsia" w:hAnsi="Arial" w:cs="Arial"/>
          <w:bCs/>
          <w:sz w:val="22"/>
          <w:szCs w:val="22"/>
          <w:lang w:val="es-ES_tradnl" w:eastAsia="en-US"/>
        </w:rPr>
        <w:t xml:space="preserve">A modo de exposición se presentan algunos de los resultados de los cálculos de poder. Se considera una muestra de 3,000 observaciones, asumiendo 500 controles y 2,500 tratados (dadas las dificultades observadas en campo para encontrar a controles en el seguimiento). Para esta muestra, se tiene un poder mayor a 0.8 (estándar en la literatura) para </w:t>
      </w:r>
      <w:r w:rsidR="001010E7" w:rsidRPr="001010E7">
        <w:rPr>
          <w:rFonts w:ascii="Arial" w:eastAsiaTheme="minorEastAsia" w:hAnsi="Arial" w:cs="Arial"/>
          <w:bCs/>
          <w:sz w:val="22"/>
          <w:szCs w:val="22"/>
          <w:lang w:val="es-ES_tradnl" w:eastAsia="en-US"/>
        </w:rPr>
        <w:t>detectar un E</w:t>
      </w:r>
      <w:r w:rsidR="00784A42" w:rsidRPr="001010E7">
        <w:rPr>
          <w:rFonts w:ascii="Arial" w:eastAsiaTheme="minorEastAsia" w:hAnsi="Arial" w:cs="Arial"/>
          <w:bCs/>
          <w:sz w:val="22"/>
          <w:szCs w:val="22"/>
          <w:lang w:val="es-ES_tradnl" w:eastAsia="en-US"/>
        </w:rPr>
        <w:t xml:space="preserve">fecto </w:t>
      </w:r>
      <w:r w:rsidR="001010E7" w:rsidRPr="001010E7">
        <w:rPr>
          <w:rFonts w:ascii="Arial" w:eastAsiaTheme="minorEastAsia" w:hAnsi="Arial" w:cs="Arial"/>
          <w:bCs/>
          <w:sz w:val="22"/>
          <w:szCs w:val="22"/>
          <w:lang w:val="es-ES_tradnl" w:eastAsia="en-US"/>
        </w:rPr>
        <w:t>M</w:t>
      </w:r>
      <w:r w:rsidR="00784A42" w:rsidRPr="001010E7">
        <w:rPr>
          <w:rFonts w:ascii="Arial" w:eastAsiaTheme="minorEastAsia" w:hAnsi="Arial" w:cs="Arial"/>
          <w:bCs/>
          <w:sz w:val="22"/>
          <w:szCs w:val="22"/>
          <w:lang w:val="es-ES_tradnl" w:eastAsia="en-US"/>
        </w:rPr>
        <w:t xml:space="preserve">ínimo </w:t>
      </w:r>
      <w:r w:rsidR="001010E7" w:rsidRPr="001010E7">
        <w:rPr>
          <w:rFonts w:ascii="Arial" w:eastAsiaTheme="minorEastAsia" w:hAnsi="Arial" w:cs="Arial"/>
          <w:bCs/>
          <w:sz w:val="22"/>
          <w:szCs w:val="22"/>
          <w:lang w:val="es-ES_tradnl" w:eastAsia="en-US"/>
        </w:rPr>
        <w:t>D</w:t>
      </w:r>
      <w:r w:rsidR="00784A42" w:rsidRPr="001010E7">
        <w:rPr>
          <w:rFonts w:ascii="Arial" w:eastAsiaTheme="minorEastAsia" w:hAnsi="Arial" w:cs="Arial"/>
          <w:bCs/>
          <w:sz w:val="22"/>
          <w:szCs w:val="22"/>
          <w:lang w:val="es-ES_tradnl" w:eastAsia="en-US"/>
        </w:rPr>
        <w:t>etectable (EMD) de entre 0.1 y 0.25 veces la desviación estándar del resultado de interés (para este ejercicio se utilizó producción). La literatura considera has 0.2 veces la desviación estándar como un EMD aceptable.</w:t>
      </w:r>
    </w:p>
    <w:tbl>
      <w:tblPr>
        <w:tblW w:w="6925" w:type="dxa"/>
        <w:tblInd w:w="855" w:type="dxa"/>
        <w:tblCellMar>
          <w:top w:w="15" w:type="dxa"/>
          <w:bottom w:w="15" w:type="dxa"/>
        </w:tblCellMar>
        <w:tblLook w:val="04A0" w:firstRow="1" w:lastRow="0" w:firstColumn="1" w:lastColumn="0" w:noHBand="0" w:noVBand="1"/>
      </w:tblPr>
      <w:tblGrid>
        <w:gridCol w:w="2245"/>
        <w:gridCol w:w="940"/>
        <w:gridCol w:w="980"/>
        <w:gridCol w:w="980"/>
        <w:gridCol w:w="980"/>
        <w:gridCol w:w="800"/>
      </w:tblGrid>
      <w:tr w:rsidR="00784A42" w:rsidRPr="001010E7" w14:paraId="13E85B38" w14:textId="77777777" w:rsidTr="001010E7">
        <w:trPr>
          <w:trHeight w:val="285"/>
        </w:trPr>
        <w:tc>
          <w:tcPr>
            <w:tcW w:w="2245"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37ED02A" w14:textId="77777777" w:rsidR="00784A42" w:rsidRPr="00B23134" w:rsidRDefault="00784A42" w:rsidP="00784A42">
            <w:pPr>
              <w:spacing w:after="0" w:line="240" w:lineRule="auto"/>
              <w:rPr>
                <w:rFonts w:ascii="Arial" w:eastAsia="Times New Roman" w:hAnsi="Arial" w:cs="Arial"/>
                <w:color w:val="000000"/>
                <w:sz w:val="18"/>
                <w:szCs w:val="18"/>
                <w:lang w:val="es-ES_tradnl" w:eastAsia="en-US"/>
              </w:rPr>
            </w:pPr>
            <w:r w:rsidRPr="00B23134">
              <w:rPr>
                <w:rFonts w:ascii="Arial" w:eastAsia="Times New Roman" w:hAnsi="Arial" w:cs="Arial"/>
                <w:color w:val="000000"/>
                <w:sz w:val="18"/>
                <w:szCs w:val="18"/>
                <w:lang w:val="es-ES_tradnl" w:eastAsia="en-US"/>
              </w:rPr>
              <w:t xml:space="preserve">EMD </w:t>
            </w:r>
          </w:p>
          <w:p w14:paraId="0304A823" w14:textId="77777777" w:rsidR="00784A42" w:rsidRPr="00B23134" w:rsidRDefault="00784A42" w:rsidP="00784A42">
            <w:pPr>
              <w:spacing w:after="0" w:line="240" w:lineRule="auto"/>
              <w:rPr>
                <w:rFonts w:ascii="Arial" w:eastAsia="Times New Roman" w:hAnsi="Arial" w:cs="Arial"/>
                <w:color w:val="000000"/>
                <w:sz w:val="18"/>
                <w:szCs w:val="18"/>
                <w:lang w:val="es-ES_tradnl" w:eastAsia="en-US"/>
              </w:rPr>
            </w:pPr>
            <w:r w:rsidRPr="00B23134">
              <w:rPr>
                <w:rFonts w:ascii="Arial" w:eastAsia="Times New Roman" w:hAnsi="Arial" w:cs="Arial"/>
                <w:color w:val="000000"/>
                <w:sz w:val="18"/>
                <w:szCs w:val="18"/>
                <w:lang w:val="es-ES_tradnl" w:eastAsia="en-US"/>
              </w:rPr>
              <w:t>(número de veces la DS)</w:t>
            </w:r>
          </w:p>
        </w:tc>
        <w:tc>
          <w:tcPr>
            <w:tcW w:w="94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64B30820"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0.05</w:t>
            </w:r>
          </w:p>
        </w:tc>
        <w:tc>
          <w:tcPr>
            <w:tcW w:w="98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434BA36C"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0.1</w:t>
            </w:r>
          </w:p>
        </w:tc>
        <w:tc>
          <w:tcPr>
            <w:tcW w:w="98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47C93103"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0.25</w:t>
            </w:r>
          </w:p>
        </w:tc>
        <w:tc>
          <w:tcPr>
            <w:tcW w:w="98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C6A2492"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0.4</w:t>
            </w:r>
          </w:p>
        </w:tc>
        <w:tc>
          <w:tcPr>
            <w:tcW w:w="8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5F09BEC4"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0.5</w:t>
            </w:r>
          </w:p>
        </w:tc>
      </w:tr>
      <w:tr w:rsidR="00784A42" w:rsidRPr="001010E7" w14:paraId="1D410329" w14:textId="77777777" w:rsidTr="001010E7">
        <w:trPr>
          <w:trHeight w:val="285"/>
        </w:trPr>
        <w:tc>
          <w:tcPr>
            <w:tcW w:w="2245" w:type="dxa"/>
            <w:tcBorders>
              <w:top w:val="nil"/>
              <w:left w:val="single" w:sz="4" w:space="0" w:color="000000"/>
              <w:bottom w:val="single" w:sz="4" w:space="0" w:color="000000"/>
              <w:right w:val="single" w:sz="4" w:space="0" w:color="000000"/>
            </w:tcBorders>
            <w:vAlign w:val="bottom"/>
            <w:hideMark/>
          </w:tcPr>
          <w:p w14:paraId="54002A0A" w14:textId="77777777" w:rsidR="00784A42" w:rsidRPr="00B23134" w:rsidRDefault="00784A42" w:rsidP="00784A42">
            <w:pPr>
              <w:spacing w:after="0" w:line="240" w:lineRule="auto"/>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Conventional</w:t>
            </w:r>
          </w:p>
        </w:tc>
        <w:tc>
          <w:tcPr>
            <w:tcW w:w="940" w:type="dxa"/>
            <w:tcBorders>
              <w:top w:val="nil"/>
              <w:left w:val="single" w:sz="4" w:space="0" w:color="000000"/>
              <w:bottom w:val="single" w:sz="4" w:space="0" w:color="000000"/>
              <w:right w:val="single" w:sz="4" w:space="0" w:color="000000"/>
            </w:tcBorders>
            <w:vAlign w:val="bottom"/>
            <w:hideMark/>
          </w:tcPr>
          <w:p w14:paraId="2559B267"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0.109</w:t>
            </w:r>
          </w:p>
        </w:tc>
        <w:tc>
          <w:tcPr>
            <w:tcW w:w="980" w:type="dxa"/>
            <w:tcBorders>
              <w:top w:val="nil"/>
              <w:left w:val="single" w:sz="4" w:space="0" w:color="000000"/>
              <w:bottom w:val="single" w:sz="4" w:space="0" w:color="000000"/>
              <w:right w:val="single" w:sz="4" w:space="0" w:color="000000"/>
            </w:tcBorders>
            <w:vAlign w:val="bottom"/>
            <w:hideMark/>
          </w:tcPr>
          <w:p w14:paraId="7D1DDB0D"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0.294</w:t>
            </w:r>
          </w:p>
        </w:tc>
        <w:tc>
          <w:tcPr>
            <w:tcW w:w="980" w:type="dxa"/>
            <w:tcBorders>
              <w:top w:val="nil"/>
              <w:left w:val="single" w:sz="4" w:space="0" w:color="000000"/>
              <w:bottom w:val="single" w:sz="4" w:space="0" w:color="000000"/>
              <w:right w:val="single" w:sz="4" w:space="0" w:color="000000"/>
            </w:tcBorders>
            <w:shd w:val="clear" w:color="000000" w:fill="FFFFFF"/>
            <w:vAlign w:val="bottom"/>
            <w:hideMark/>
          </w:tcPr>
          <w:p w14:paraId="7D69866B"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0.943</w:t>
            </w:r>
          </w:p>
        </w:tc>
        <w:tc>
          <w:tcPr>
            <w:tcW w:w="980" w:type="dxa"/>
            <w:tcBorders>
              <w:top w:val="nil"/>
              <w:left w:val="single" w:sz="4" w:space="0" w:color="000000"/>
              <w:bottom w:val="single" w:sz="4" w:space="0" w:color="000000"/>
              <w:right w:val="single" w:sz="4" w:space="0" w:color="000000"/>
            </w:tcBorders>
            <w:shd w:val="clear" w:color="000000" w:fill="FFFFFF"/>
            <w:vAlign w:val="bottom"/>
            <w:hideMark/>
          </w:tcPr>
          <w:p w14:paraId="5456AB15"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1</w:t>
            </w:r>
          </w:p>
        </w:tc>
        <w:tc>
          <w:tcPr>
            <w:tcW w:w="800" w:type="dxa"/>
            <w:tcBorders>
              <w:top w:val="nil"/>
              <w:left w:val="single" w:sz="4" w:space="0" w:color="000000"/>
              <w:bottom w:val="single" w:sz="4" w:space="0" w:color="000000"/>
              <w:right w:val="single" w:sz="4" w:space="0" w:color="000000"/>
            </w:tcBorders>
            <w:shd w:val="clear" w:color="000000" w:fill="FFFFFF"/>
            <w:vAlign w:val="bottom"/>
            <w:hideMark/>
          </w:tcPr>
          <w:p w14:paraId="1BEE3A58"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1</w:t>
            </w:r>
          </w:p>
        </w:tc>
      </w:tr>
      <w:tr w:rsidR="00784A42" w:rsidRPr="001010E7" w14:paraId="72892AA0" w14:textId="77777777" w:rsidTr="001010E7">
        <w:trPr>
          <w:trHeight w:val="285"/>
        </w:trPr>
        <w:tc>
          <w:tcPr>
            <w:tcW w:w="2245" w:type="dxa"/>
            <w:tcBorders>
              <w:top w:val="single" w:sz="4" w:space="0" w:color="000000"/>
              <w:left w:val="single" w:sz="4" w:space="0" w:color="000000"/>
              <w:bottom w:val="single" w:sz="4" w:space="0" w:color="000000"/>
              <w:right w:val="single" w:sz="4" w:space="0" w:color="000000"/>
            </w:tcBorders>
            <w:vAlign w:val="bottom"/>
            <w:hideMark/>
          </w:tcPr>
          <w:p w14:paraId="6222F06B" w14:textId="77777777" w:rsidR="00784A42" w:rsidRPr="00B23134" w:rsidRDefault="00784A42" w:rsidP="00784A42">
            <w:pPr>
              <w:spacing w:after="0" w:line="240" w:lineRule="auto"/>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Robust bias-corrected</w:t>
            </w:r>
          </w:p>
        </w:tc>
        <w:tc>
          <w:tcPr>
            <w:tcW w:w="940" w:type="dxa"/>
            <w:tcBorders>
              <w:top w:val="single" w:sz="4" w:space="0" w:color="000000"/>
              <w:left w:val="single" w:sz="4" w:space="0" w:color="000000"/>
              <w:bottom w:val="single" w:sz="4" w:space="0" w:color="000000"/>
              <w:right w:val="single" w:sz="4" w:space="0" w:color="000000"/>
            </w:tcBorders>
            <w:vAlign w:val="bottom"/>
            <w:hideMark/>
          </w:tcPr>
          <w:p w14:paraId="716E1F5F"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0.1</w:t>
            </w:r>
          </w:p>
        </w:tc>
        <w:tc>
          <w:tcPr>
            <w:tcW w:w="980" w:type="dxa"/>
            <w:tcBorders>
              <w:top w:val="single" w:sz="4" w:space="0" w:color="000000"/>
              <w:left w:val="single" w:sz="4" w:space="0" w:color="000000"/>
              <w:bottom w:val="single" w:sz="4" w:space="0" w:color="000000"/>
              <w:right w:val="single" w:sz="4" w:space="0" w:color="000000"/>
            </w:tcBorders>
            <w:vAlign w:val="bottom"/>
            <w:hideMark/>
          </w:tcPr>
          <w:p w14:paraId="28B66BEF" w14:textId="77777777" w:rsidR="00784A42" w:rsidRPr="00B23134" w:rsidRDefault="00784A42" w:rsidP="00784A42">
            <w:pPr>
              <w:spacing w:after="0" w:line="240" w:lineRule="auto"/>
              <w:jc w:val="right"/>
              <w:rPr>
                <w:rFonts w:ascii="Arial" w:eastAsia="Times New Roman" w:hAnsi="Arial" w:cs="Arial"/>
                <w:color w:val="000000"/>
                <w:sz w:val="18"/>
                <w:szCs w:val="18"/>
                <w:lang w:val="en-US" w:eastAsia="en-US"/>
              </w:rPr>
            </w:pPr>
            <w:r w:rsidRPr="00B23134">
              <w:rPr>
                <w:rFonts w:ascii="Arial" w:eastAsia="Times New Roman" w:hAnsi="Arial" w:cs="Arial"/>
                <w:color w:val="000000"/>
                <w:sz w:val="18"/>
                <w:szCs w:val="18"/>
                <w:lang w:val="en-US" w:eastAsia="en-US"/>
              </w:rPr>
              <w:t>0.258</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7957835E"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0.906</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2D579B4B"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0.999</w:t>
            </w:r>
          </w:p>
        </w:tc>
        <w:tc>
          <w:tcPr>
            <w:tcW w:w="800"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14ED66B0" w14:textId="77777777" w:rsidR="00784A42" w:rsidRPr="00B23134" w:rsidRDefault="00784A42" w:rsidP="00784A42">
            <w:pPr>
              <w:spacing w:after="0" w:line="240" w:lineRule="auto"/>
              <w:jc w:val="right"/>
              <w:rPr>
                <w:rFonts w:ascii="Arial" w:eastAsia="Times New Roman" w:hAnsi="Arial" w:cs="Arial"/>
                <w:b/>
                <w:bCs/>
                <w:i/>
                <w:iCs/>
                <w:color w:val="000000"/>
                <w:sz w:val="18"/>
                <w:szCs w:val="18"/>
                <w:u w:val="single"/>
                <w:lang w:val="en-US" w:eastAsia="en-US"/>
              </w:rPr>
            </w:pPr>
            <w:r w:rsidRPr="00B23134">
              <w:rPr>
                <w:rFonts w:ascii="Arial" w:eastAsia="Times New Roman" w:hAnsi="Arial" w:cs="Arial"/>
                <w:b/>
                <w:bCs/>
                <w:i/>
                <w:iCs/>
                <w:color w:val="000000"/>
                <w:sz w:val="18"/>
                <w:szCs w:val="18"/>
                <w:u w:val="single"/>
                <w:lang w:val="en-US" w:eastAsia="en-US"/>
              </w:rPr>
              <w:t>1</w:t>
            </w:r>
          </w:p>
        </w:tc>
      </w:tr>
    </w:tbl>
    <w:p w14:paraId="13354147" w14:textId="77777777" w:rsidR="00062D0D" w:rsidRPr="001010E7" w:rsidRDefault="00062D0D" w:rsidP="001010E7">
      <w:pPr>
        <w:pStyle w:val="SecHeading"/>
        <w:spacing w:before="240"/>
        <w:rPr>
          <w:rFonts w:ascii="Arial" w:hAnsi="Arial" w:cs="Arial"/>
          <w:color w:val="auto"/>
          <w:sz w:val="22"/>
          <w:szCs w:val="22"/>
        </w:rPr>
      </w:pPr>
      <w:r w:rsidRPr="001010E7">
        <w:rPr>
          <w:rFonts w:ascii="Arial" w:hAnsi="Arial" w:cs="Arial"/>
          <w:color w:val="auto"/>
          <w:sz w:val="22"/>
          <w:szCs w:val="22"/>
        </w:rPr>
        <w:t>Metodología de evaluación</w:t>
      </w:r>
      <w:bookmarkEnd w:id="30"/>
      <w:bookmarkEnd w:id="31"/>
      <w:bookmarkEnd w:id="32"/>
      <w:bookmarkEnd w:id="33"/>
    </w:p>
    <w:p w14:paraId="7D15EBB9" w14:textId="697D5086" w:rsidR="00D86531" w:rsidRPr="001010E7" w:rsidRDefault="00062D0D" w:rsidP="001010E7">
      <w:pPr>
        <w:pStyle w:val="Paragraph"/>
        <w:tabs>
          <w:tab w:val="clear" w:pos="2736"/>
          <w:tab w:val="num" w:pos="720"/>
        </w:tabs>
        <w:ind w:left="720" w:hanging="720"/>
        <w:rPr>
          <w:rFonts w:ascii="Arial" w:eastAsia="Calibri" w:hAnsi="Arial" w:cs="Arial"/>
          <w:sz w:val="22"/>
          <w:szCs w:val="22"/>
          <w:lang w:val="es-ES_tradnl"/>
        </w:rPr>
      </w:pPr>
      <w:r w:rsidRPr="001010E7">
        <w:rPr>
          <w:rFonts w:ascii="Arial" w:eastAsia="Calibri" w:hAnsi="Arial" w:cs="Arial"/>
          <w:sz w:val="22"/>
          <w:szCs w:val="22"/>
          <w:lang w:val="es-ES_tradnl"/>
        </w:rPr>
        <w:t>Se describe a continuación la estrategia de evaluación de impacto del programa</w:t>
      </w:r>
      <w:r w:rsidR="00804753" w:rsidRPr="001010E7">
        <w:rPr>
          <w:rFonts w:ascii="Arial" w:eastAsia="Calibri" w:hAnsi="Arial" w:cs="Arial"/>
          <w:sz w:val="22"/>
          <w:szCs w:val="22"/>
          <w:lang w:val="es-ES_tradnl"/>
        </w:rPr>
        <w:t xml:space="preserve"> diseñada para la línea</w:t>
      </w:r>
      <w:r w:rsidRPr="001010E7">
        <w:rPr>
          <w:rFonts w:ascii="Arial" w:eastAsia="Calibri" w:hAnsi="Arial" w:cs="Arial"/>
          <w:sz w:val="22"/>
          <w:szCs w:val="22"/>
          <w:lang w:val="es-ES_tradnl"/>
        </w:rPr>
        <w:t>. En primera instancia, se discute la metodología para construir un grupo de control relevante</w:t>
      </w:r>
      <w:r w:rsidR="00C34D04" w:rsidRPr="001010E7">
        <w:rPr>
          <w:rFonts w:ascii="Arial" w:eastAsia="Calibri" w:hAnsi="Arial" w:cs="Arial"/>
          <w:sz w:val="22"/>
          <w:szCs w:val="22"/>
          <w:lang w:val="es-ES_tradnl"/>
        </w:rPr>
        <w:t>.</w:t>
      </w:r>
      <w:r w:rsidRPr="001010E7">
        <w:rPr>
          <w:rFonts w:ascii="Arial" w:eastAsia="Calibri" w:hAnsi="Arial" w:cs="Arial"/>
          <w:sz w:val="22"/>
          <w:szCs w:val="22"/>
          <w:lang w:val="es-ES_tradnl"/>
        </w:rPr>
        <w:t xml:space="preserve"> </w:t>
      </w:r>
    </w:p>
    <w:p w14:paraId="4D011B7B" w14:textId="77777777" w:rsidR="00062D0D" w:rsidRPr="001010E7" w:rsidRDefault="00062D0D" w:rsidP="001010E7">
      <w:pPr>
        <w:pStyle w:val="SubSubPar"/>
        <w:numPr>
          <w:ilvl w:val="0"/>
          <w:numId w:val="84"/>
        </w:numPr>
        <w:rPr>
          <w:rFonts w:ascii="Arial" w:hAnsi="Arial" w:cs="Arial"/>
          <w:b/>
          <w:sz w:val="22"/>
          <w:szCs w:val="22"/>
          <w:lang w:val="es-ES_tradnl"/>
        </w:rPr>
      </w:pPr>
      <w:r w:rsidRPr="001010E7">
        <w:rPr>
          <w:rFonts w:ascii="Arial" w:hAnsi="Arial" w:cs="Arial"/>
          <w:b/>
          <w:sz w:val="22"/>
          <w:szCs w:val="22"/>
          <w:lang w:val="es-ES_tradnl"/>
        </w:rPr>
        <w:t>Definición de grupos de tratamiento y control</w:t>
      </w:r>
    </w:p>
    <w:p w14:paraId="3E882084" w14:textId="77777777" w:rsidR="00062D0D" w:rsidRPr="001010E7" w:rsidRDefault="00062D0D"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El objetivo de la evaluación es medir el impacto de contar con un crédito otorgado por </w:t>
      </w:r>
      <w:r w:rsidR="00EF6629" w:rsidRPr="001010E7">
        <w:rPr>
          <w:rFonts w:ascii="Arial" w:hAnsi="Arial" w:cs="Arial"/>
          <w:sz w:val="22"/>
          <w:szCs w:val="22"/>
          <w:lang w:val="es-ES_tradnl"/>
        </w:rPr>
        <w:t>Financiera Nacional</w:t>
      </w:r>
      <w:r w:rsidRPr="001010E7">
        <w:rPr>
          <w:rFonts w:ascii="Arial" w:hAnsi="Arial" w:cs="Arial"/>
          <w:sz w:val="22"/>
          <w:szCs w:val="22"/>
          <w:lang w:val="es-ES_tradnl"/>
        </w:rPr>
        <w:t xml:space="preserve"> correspondiente al programa en consideración sobre variables económicas relevantes. En este caso, la variable de interés primordial son las ventas por </w:t>
      </w:r>
      <w:r w:rsidR="00B15056" w:rsidRPr="001010E7">
        <w:rPr>
          <w:rFonts w:ascii="Arial" w:hAnsi="Arial" w:cs="Arial"/>
          <w:sz w:val="22"/>
          <w:szCs w:val="22"/>
          <w:lang w:val="es-ES_tradnl"/>
        </w:rPr>
        <w:t xml:space="preserve">hectárea </w:t>
      </w:r>
      <w:r w:rsidRPr="001010E7">
        <w:rPr>
          <w:rFonts w:ascii="Arial" w:hAnsi="Arial" w:cs="Arial"/>
          <w:sz w:val="22"/>
          <w:szCs w:val="22"/>
          <w:lang w:val="es-ES_tradnl"/>
        </w:rPr>
        <w:t xml:space="preserve">en términos reales, que es considerada aquí como una </w:t>
      </w:r>
      <w:r w:rsidRPr="001010E7">
        <w:rPr>
          <w:rFonts w:ascii="Arial" w:hAnsi="Arial" w:cs="Arial"/>
          <w:i/>
          <w:sz w:val="22"/>
          <w:szCs w:val="22"/>
          <w:lang w:val="es-ES_tradnl"/>
        </w:rPr>
        <w:t>proxy</w:t>
      </w:r>
      <w:r w:rsidRPr="001010E7">
        <w:rPr>
          <w:rFonts w:ascii="Arial" w:hAnsi="Arial" w:cs="Arial"/>
          <w:sz w:val="22"/>
          <w:szCs w:val="22"/>
          <w:lang w:val="es-ES_tradnl"/>
        </w:rPr>
        <w:t xml:space="preserve"> de productividad.</w:t>
      </w:r>
    </w:p>
    <w:p w14:paraId="075431D6" w14:textId="77777777" w:rsidR="00062D0D" w:rsidRPr="001010E7" w:rsidRDefault="00062D0D"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La noción de impacto de interés es la diferencia entre los resultados observados cuando las empresas reciben crédito intermediado por </w:t>
      </w:r>
      <w:r w:rsidR="00EF6629" w:rsidRPr="001010E7">
        <w:rPr>
          <w:rFonts w:ascii="Arial" w:hAnsi="Arial" w:cs="Arial"/>
          <w:sz w:val="22"/>
          <w:szCs w:val="22"/>
          <w:lang w:val="es-ES_tradnl"/>
        </w:rPr>
        <w:t>Financiera Nacional</w:t>
      </w:r>
      <w:r w:rsidRPr="001010E7">
        <w:rPr>
          <w:rFonts w:ascii="Arial" w:hAnsi="Arial" w:cs="Arial"/>
          <w:sz w:val="22"/>
          <w:szCs w:val="22"/>
          <w:lang w:val="es-ES_tradnl"/>
        </w:rPr>
        <w:t xml:space="preserve"> y los resultados que se hubiesen observado en una situación </w:t>
      </w:r>
      <w:r w:rsidR="00114A7C" w:rsidRPr="001010E7">
        <w:rPr>
          <w:rFonts w:ascii="Arial" w:hAnsi="Arial" w:cs="Arial"/>
          <w:sz w:val="22"/>
          <w:szCs w:val="22"/>
          <w:lang w:val="es-ES_tradnl"/>
        </w:rPr>
        <w:t>contra fáctica</w:t>
      </w:r>
      <w:r w:rsidRPr="001010E7">
        <w:rPr>
          <w:rFonts w:ascii="Arial" w:hAnsi="Arial" w:cs="Arial"/>
          <w:sz w:val="22"/>
          <w:szCs w:val="22"/>
          <w:lang w:val="es-ES_tradnl"/>
        </w:rPr>
        <w:t xml:space="preserve"> en la que la única diferencia consiste en la ausencia de dicho crédito. El </w:t>
      </w:r>
      <w:r w:rsidR="00114A7C" w:rsidRPr="001010E7">
        <w:rPr>
          <w:rFonts w:ascii="Arial" w:hAnsi="Arial" w:cs="Arial"/>
          <w:sz w:val="22"/>
          <w:szCs w:val="22"/>
          <w:lang w:val="es-ES_tradnl"/>
        </w:rPr>
        <w:t>contra fáctico</w:t>
      </w:r>
      <w:r w:rsidRPr="001010E7">
        <w:rPr>
          <w:rFonts w:ascii="Arial" w:hAnsi="Arial" w:cs="Arial"/>
          <w:sz w:val="22"/>
          <w:szCs w:val="22"/>
          <w:lang w:val="es-ES_tradnl"/>
        </w:rPr>
        <w:t xml:space="preserve"> así descrito es, naturalmente, no observable. Algo más formalmente, si ese contrafactual fuera observable, se quisiera conocer la siguiente diferencia: Yi(Di =1) - Yi(Di =0), donde Yi es la variable de resultado de interés para la unidad i (en el presente caso, ventas reales por </w:t>
      </w:r>
      <w:r w:rsidR="00E819FA" w:rsidRPr="001010E7">
        <w:rPr>
          <w:rFonts w:ascii="Arial" w:hAnsi="Arial" w:cs="Arial"/>
          <w:sz w:val="22"/>
          <w:szCs w:val="22"/>
          <w:lang w:val="es-ES_tradnl"/>
        </w:rPr>
        <w:t>hectárea</w:t>
      </w:r>
      <w:r w:rsidRPr="001010E7">
        <w:rPr>
          <w:rFonts w:ascii="Arial" w:hAnsi="Arial" w:cs="Arial"/>
          <w:sz w:val="22"/>
          <w:szCs w:val="22"/>
          <w:lang w:val="es-ES_tradnl"/>
        </w:rPr>
        <w:t xml:space="preserve">), dónde Di indica la presencia de crédito de </w:t>
      </w:r>
      <w:r w:rsidR="00EF6629" w:rsidRPr="001010E7">
        <w:rPr>
          <w:rFonts w:ascii="Arial" w:hAnsi="Arial" w:cs="Arial"/>
          <w:sz w:val="22"/>
          <w:szCs w:val="22"/>
          <w:lang w:val="es-ES_tradnl"/>
        </w:rPr>
        <w:t>Financiera Nacional</w:t>
      </w:r>
      <w:r w:rsidRPr="001010E7">
        <w:rPr>
          <w:rFonts w:ascii="Arial" w:hAnsi="Arial" w:cs="Arial"/>
          <w:sz w:val="22"/>
          <w:szCs w:val="22"/>
          <w:lang w:val="es-ES_tradnl"/>
        </w:rPr>
        <w:t xml:space="preserve"> (tratamiento,  Di = 1) o no (situación de control, Di = 0). Así, Yi (1) es la variable de resultado si la unidad i recibe crédito (tratamiento) e Yi (0) es la variable de resultado si la unidad i no recibe tratamiento (situación de control). Si ambos resultados fuesen observables, podría computare el efecto promedio del tratamiento (ATE por sus siglas en inglés), para el conjunto de unidades relevantes. Nuevamente, más formalmente, esto puede expresarse como: </w:t>
      </w:r>
      <m:oMath>
        <m:sSub>
          <m:sSubPr>
            <m:ctrlPr>
              <w:rPr>
                <w:rFonts w:ascii="Cambria Math" w:hAnsi="Cambria Math" w:cs="Arial"/>
                <w:i/>
                <w:sz w:val="22"/>
                <w:szCs w:val="22"/>
              </w:rPr>
            </m:ctrlPr>
          </m:sSubPr>
          <m:e>
            <m:r>
              <w:rPr>
                <w:rFonts w:ascii="Cambria Math" w:hAnsi="Cambria Math" w:cs="Arial"/>
                <w:sz w:val="22"/>
                <w:szCs w:val="22"/>
              </w:rPr>
              <m:t>τ</m:t>
            </m:r>
          </m:e>
          <m:sub>
            <m:r>
              <w:rPr>
                <w:rFonts w:ascii="Cambria Math" w:hAnsi="Cambria Math" w:cs="Arial"/>
                <w:sz w:val="22"/>
                <w:szCs w:val="22"/>
              </w:rPr>
              <m:t>ATE</m:t>
            </m:r>
          </m:sub>
        </m:sSub>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i</m:t>
                    </m:r>
                  </m:sub>
                </m:sSub>
                <m:r>
                  <w:rPr>
                    <w:rFonts w:ascii="Cambria Math" w:hAnsi="Cambria Math" w:cs="Arial"/>
                    <w:sz w:val="22"/>
                    <w:szCs w:val="22"/>
                    <w:lang w:val="es-ES_tradnl"/>
                  </w:rPr>
                  <m:t>=1</m:t>
                </m:r>
              </m:e>
            </m:d>
            <m:r>
              <w:rPr>
                <w:rFonts w:ascii="Cambria Math" w:hAnsi="Cambria Math" w:cs="Arial"/>
                <w:sz w:val="22"/>
                <w:szCs w:val="22"/>
                <w:lang w:val="es-ES_tradnl"/>
              </w:rPr>
              <m:t xml:space="preserve">- </m:t>
            </m:r>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i</m:t>
                    </m:r>
                  </m:sub>
                </m:sSub>
                <m:r>
                  <w:rPr>
                    <w:rFonts w:ascii="Cambria Math" w:hAnsi="Cambria Math" w:cs="Arial"/>
                    <w:sz w:val="22"/>
                    <w:szCs w:val="22"/>
                    <w:lang w:val="es-ES_tradnl"/>
                  </w:rPr>
                  <m:t>=0</m:t>
                </m:r>
              </m:e>
            </m:d>
          </m:e>
        </m:d>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r>
                  <w:rPr>
                    <w:rFonts w:ascii="Cambria Math" w:hAnsi="Cambria Math" w:cs="Arial"/>
                    <w:sz w:val="22"/>
                    <w:szCs w:val="22"/>
                    <w:lang w:val="es-ES_tradnl"/>
                  </w:rPr>
                  <m:t>1</m:t>
                </m:r>
              </m:e>
            </m:d>
            <m:r>
              <w:rPr>
                <w:rFonts w:ascii="Cambria Math" w:hAnsi="Cambria Math" w:cs="Arial"/>
                <w:sz w:val="22"/>
                <w:szCs w:val="22"/>
                <w:lang w:val="es-ES_tradnl"/>
              </w:rPr>
              <m:t xml:space="preserve">- </m:t>
            </m:r>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r>
                  <w:rPr>
                    <w:rFonts w:ascii="Cambria Math" w:hAnsi="Cambria Math" w:cs="Arial"/>
                    <w:sz w:val="22"/>
                    <w:szCs w:val="22"/>
                    <w:lang w:val="es-ES_tradnl"/>
                  </w:rPr>
                  <m:t>0</m:t>
                </m:r>
              </m:e>
            </m:d>
          </m:e>
        </m:d>
      </m:oMath>
      <w:r w:rsidRPr="001010E7">
        <w:rPr>
          <w:rFonts w:ascii="Arial" w:hAnsi="Arial" w:cs="Arial"/>
          <w:sz w:val="22"/>
          <w:szCs w:val="22"/>
          <w:lang w:val="es-ES_tradnl"/>
        </w:rPr>
        <w:t>.</w:t>
      </w:r>
    </w:p>
    <w:p w14:paraId="440895F7" w14:textId="77777777" w:rsidR="00062D0D" w:rsidRPr="001010E7" w:rsidRDefault="00062D0D"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De mayor interés resulta calcular el efecto promedio del programa sobre los tratados (</w:t>
      </w:r>
      <w:r w:rsidRPr="001010E7">
        <w:rPr>
          <w:rFonts w:ascii="Arial" w:hAnsi="Arial" w:cs="Arial"/>
          <w:i/>
          <w:iCs/>
          <w:sz w:val="22"/>
          <w:szCs w:val="22"/>
          <w:lang w:val="es-ES_tradnl"/>
        </w:rPr>
        <w:t xml:space="preserve">ATT </w:t>
      </w:r>
      <w:r w:rsidRPr="001010E7">
        <w:rPr>
          <w:rFonts w:ascii="Arial" w:hAnsi="Arial" w:cs="Arial"/>
          <w:sz w:val="22"/>
          <w:szCs w:val="22"/>
          <w:lang w:val="es-ES_tradnl"/>
        </w:rPr>
        <w:t xml:space="preserve">por sus siglas en ingles). El ATT es el efecto promedio del tratamiento en el subconjunto de unidades que fueron efectivamente tratadas, y </w:t>
      </w:r>
      <w:r w:rsidRPr="001010E7">
        <w:rPr>
          <w:rFonts w:ascii="Arial" w:hAnsi="Arial" w:cs="Arial"/>
          <w:sz w:val="22"/>
          <w:szCs w:val="22"/>
          <w:lang w:val="es-ES_tradnl"/>
        </w:rPr>
        <w:lastRenderedPageBreak/>
        <w:t xml:space="preserve">corresponde a la diferencia entre la media de la variable de resultado en el grupo de los participantes y la media que hubieran obtenido los participantes si el programa no hubiera existido: </w:t>
      </w:r>
      <m:oMath>
        <m:sSub>
          <m:sSubPr>
            <m:ctrlPr>
              <w:rPr>
                <w:rFonts w:ascii="Cambria Math" w:hAnsi="Cambria Math" w:cs="Arial"/>
                <w:i/>
                <w:sz w:val="22"/>
                <w:szCs w:val="22"/>
              </w:rPr>
            </m:ctrlPr>
          </m:sSubPr>
          <m:e>
            <m:r>
              <w:rPr>
                <w:rFonts w:ascii="Cambria Math" w:hAnsi="Cambria Math" w:cs="Arial"/>
                <w:sz w:val="22"/>
                <w:szCs w:val="22"/>
              </w:rPr>
              <m:t>τ</m:t>
            </m:r>
          </m:e>
          <m:sub>
            <m:r>
              <w:rPr>
                <w:rFonts w:ascii="Cambria Math" w:hAnsi="Cambria Math" w:cs="Arial"/>
                <w:sz w:val="22"/>
                <w:szCs w:val="22"/>
              </w:rPr>
              <m:t>ATT</m:t>
            </m:r>
          </m:sub>
        </m:sSub>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τ</m:t>
            </m:r>
          </m:e>
          <m:e>
            <m:r>
              <w:rPr>
                <w:rFonts w:ascii="Cambria Math" w:hAnsi="Cambria Math" w:cs="Arial"/>
                <w:sz w:val="22"/>
                <w:szCs w:val="22"/>
              </w:rPr>
              <m:t>D</m:t>
            </m:r>
            <m:r>
              <w:rPr>
                <w:rFonts w:ascii="Cambria Math" w:hAnsi="Cambria Math" w:cs="Arial"/>
                <w:sz w:val="22"/>
                <w:szCs w:val="22"/>
                <w:lang w:val="es-ES_tradnl"/>
              </w:rPr>
              <m:t>=1</m:t>
            </m:r>
          </m:e>
        </m:d>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1</m:t>
                </m:r>
              </m:e>
            </m:d>
          </m:e>
          <m:e>
            <m:r>
              <w:rPr>
                <w:rFonts w:ascii="Cambria Math" w:hAnsi="Cambria Math" w:cs="Arial"/>
                <w:sz w:val="22"/>
                <w:szCs w:val="22"/>
              </w:rPr>
              <m:t>D</m:t>
            </m:r>
            <m:r>
              <w:rPr>
                <w:rFonts w:ascii="Cambria Math" w:hAnsi="Cambria Math" w:cs="Arial"/>
                <w:sz w:val="22"/>
                <w:szCs w:val="22"/>
                <w:lang w:val="es-ES_tradnl"/>
              </w:rPr>
              <m:t>=1</m:t>
            </m:r>
          </m:e>
        </m:d>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oMath>
      <w:r w:rsidRPr="001010E7">
        <w:rPr>
          <w:rFonts w:ascii="Arial" w:hAnsi="Arial" w:cs="Arial"/>
          <w:sz w:val="22"/>
          <w:szCs w:val="22"/>
          <w:lang w:val="es-ES_tradnl"/>
        </w:rPr>
        <w:t xml:space="preserve">. En este caso,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1</m:t>
                    </m:r>
                  </m:e>
                </m:d>
              </m:e>
              <m:e>
                <m:r>
                  <w:rPr>
                    <w:rFonts w:ascii="Cambria Math" w:hAnsi="Cambria Math" w:cs="Arial"/>
                    <w:sz w:val="22"/>
                    <w:szCs w:val="22"/>
                  </w:rPr>
                  <m:t>D</m:t>
                </m:r>
                <m:r>
                  <w:rPr>
                    <w:rFonts w:ascii="Cambria Math" w:hAnsi="Cambria Math" w:cs="Arial"/>
                    <w:sz w:val="22"/>
                    <w:szCs w:val="22"/>
                    <w:lang w:val="es-ES_tradnl"/>
                  </w:rPr>
                  <m:t>=1</m:t>
                </m:r>
              </m:e>
            </m:d>
          </m:e>
        </m:d>
      </m:oMath>
      <w:r w:rsidRPr="001010E7">
        <w:rPr>
          <w:rFonts w:ascii="Arial" w:hAnsi="Arial" w:cs="Arial"/>
          <w:sz w:val="22"/>
          <w:szCs w:val="22"/>
          <w:lang w:val="es-ES_tradnl"/>
        </w:rPr>
        <w:t xml:space="preserve"> es el valor esperado de la variable de resultado en el grupo de tratamiento en </w:t>
      </w:r>
      <w:r w:rsidRPr="001010E7">
        <w:rPr>
          <w:rFonts w:ascii="Arial" w:hAnsi="Arial" w:cs="Arial"/>
          <w:bCs/>
          <w:sz w:val="22"/>
          <w:szCs w:val="22"/>
          <w:lang w:val="es-ES_tradnl"/>
        </w:rPr>
        <w:t>presencia</w:t>
      </w:r>
      <w:r w:rsidRPr="001010E7">
        <w:rPr>
          <w:rFonts w:ascii="Arial" w:hAnsi="Arial" w:cs="Arial"/>
          <w:b/>
          <w:bCs/>
          <w:sz w:val="22"/>
          <w:szCs w:val="22"/>
          <w:lang w:val="es-ES_tradnl"/>
        </w:rPr>
        <w:t xml:space="preserve"> </w:t>
      </w:r>
      <w:r w:rsidRPr="001010E7">
        <w:rPr>
          <w:rFonts w:ascii="Arial" w:hAnsi="Arial" w:cs="Arial"/>
          <w:sz w:val="22"/>
          <w:szCs w:val="22"/>
          <w:lang w:val="es-ES_tradnl"/>
        </w:rPr>
        <w:t xml:space="preserve">del tratamiento y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1010E7">
        <w:rPr>
          <w:rFonts w:ascii="Arial" w:hAnsi="Arial" w:cs="Arial"/>
          <w:sz w:val="22"/>
          <w:szCs w:val="22"/>
          <w:lang w:val="es-ES_tradnl"/>
        </w:rPr>
        <w:t xml:space="preserve">,  que se conoce como el resultado </w:t>
      </w:r>
      <w:r w:rsidRPr="001010E7">
        <w:rPr>
          <w:rFonts w:ascii="Arial" w:hAnsi="Arial" w:cs="Arial"/>
          <w:i/>
          <w:iCs/>
          <w:sz w:val="22"/>
          <w:szCs w:val="22"/>
          <w:lang w:val="es-ES_tradnl"/>
        </w:rPr>
        <w:t>contrafactual</w:t>
      </w:r>
      <w:r w:rsidRPr="001010E7">
        <w:rPr>
          <w:rFonts w:ascii="Arial" w:hAnsi="Arial" w:cs="Arial"/>
          <w:iCs/>
          <w:sz w:val="22"/>
          <w:szCs w:val="22"/>
          <w:lang w:val="es-ES_tradnl"/>
        </w:rPr>
        <w:t>,</w:t>
      </w:r>
      <w:r w:rsidRPr="001010E7">
        <w:rPr>
          <w:rFonts w:ascii="Arial" w:hAnsi="Arial" w:cs="Arial"/>
          <w:i/>
          <w:iCs/>
          <w:sz w:val="22"/>
          <w:szCs w:val="22"/>
          <w:lang w:val="es-ES_tradnl"/>
        </w:rPr>
        <w:t xml:space="preserve"> </w:t>
      </w:r>
      <w:r w:rsidRPr="001010E7">
        <w:rPr>
          <w:rFonts w:ascii="Arial" w:hAnsi="Arial" w:cs="Arial"/>
          <w:sz w:val="22"/>
          <w:szCs w:val="22"/>
          <w:lang w:val="es-ES_tradnl"/>
        </w:rPr>
        <w:t>es el valor esperado de la variable de resultado en el grupo de tratamiento si el programa no hubiera existido. Nuevamente, como ya se indicó, los resultados hipotéticos no son observables.</w:t>
      </w:r>
    </w:p>
    <w:p w14:paraId="186DF98D" w14:textId="77777777" w:rsidR="00062D0D" w:rsidRPr="001010E7" w:rsidRDefault="00062D0D"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Ante esta situación, se recurre en general a una teoría que postula que, en principio, puede utilizarse el promedio de la variable de resultado entre los negocios no participantes pero elegibles para el programa (denominado generalmente el grupo de control) como una aproximación de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1010E7">
        <w:rPr>
          <w:rFonts w:ascii="Arial" w:hAnsi="Arial" w:cs="Arial"/>
          <w:sz w:val="22"/>
          <w:szCs w:val="22"/>
          <w:lang w:val="es-ES_tradnl"/>
        </w:rPr>
        <w:t xml:space="preserve">. Es decir,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=0</m:t>
                </m:r>
              </m:e>
            </m:d>
          </m:e>
        </m:d>
      </m:oMath>
      <w:r w:rsidRPr="001010E7">
        <w:rPr>
          <w:rFonts w:ascii="Arial" w:hAnsi="Arial" w:cs="Arial"/>
          <w:sz w:val="22"/>
          <w:szCs w:val="22"/>
          <w:lang w:val="es-ES_tradnl"/>
        </w:rPr>
        <w:t xml:space="preserve"> podría utilizarse en vez de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1010E7">
        <w:rPr>
          <w:rFonts w:ascii="Arial" w:hAnsi="Arial" w:cs="Arial"/>
          <w:sz w:val="22"/>
          <w:szCs w:val="22"/>
          <w:lang w:val="es-ES_tradnl"/>
        </w:rPr>
        <w:t xml:space="preserve"> para calcular el </w:t>
      </w:r>
      <w:r w:rsidRPr="001010E7">
        <w:rPr>
          <w:rFonts w:ascii="Arial" w:hAnsi="Arial" w:cs="Arial"/>
          <w:i/>
          <w:iCs/>
          <w:sz w:val="22"/>
          <w:szCs w:val="22"/>
          <w:lang w:val="es-ES_tradnl"/>
        </w:rPr>
        <w:t xml:space="preserve">ATT </w:t>
      </w:r>
      <w:r w:rsidRPr="001010E7">
        <w:rPr>
          <w:rFonts w:ascii="Arial" w:hAnsi="Arial" w:cs="Arial"/>
          <w:sz w:val="22"/>
          <w:szCs w:val="22"/>
          <w:lang w:val="es-ES_tradnl"/>
        </w:rPr>
        <w:t xml:space="preserve">en la segunda ecuación. Esto requeriría que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=0</m:t>
                </m:r>
              </m:e>
            </m:d>
          </m:e>
        </m:d>
        <m:r>
          <w:rPr>
            <w:rFonts w:ascii="Cambria Math" w:hAnsi="Cambria Math" w:cs="Arial"/>
            <w:sz w:val="22"/>
            <w:szCs w:val="22"/>
            <w:lang w:val="es-ES_tradnl"/>
          </w:rPr>
          <m:t>=0</m:t>
        </m:r>
      </m:oMath>
      <w:r w:rsidRPr="001010E7">
        <w:rPr>
          <w:rFonts w:ascii="Arial" w:hAnsi="Arial" w:cs="Arial"/>
          <w:sz w:val="22"/>
          <w:szCs w:val="22"/>
          <w:lang w:val="es-ES_tradnl"/>
        </w:rPr>
        <w:t xml:space="preserve">. La idea subyacente es que la variable de resultado en ausencia del programa debería ser idéntica para el grupo de negocios tratados (D=1) que para el grupo de negocios no participantes (D=0). Esta estrategia generalmente se confronta con lo que se conoce como el problema de autoselección. Es decir, el problema de que en general esta condición no se cumple porque al estar involucradas decisiones de participación en la definición de los grupos participante y no participantes, es posible esperar que las unidades que participan sean diferentes de las no participantes de una manera no ortogonal a las variables de interés. Este problema de “sesgo de selección” hace entonces referencia al hecho de que las unidades participantes y no participantes (en este caso, que reciben y no reciben crédito de </w:t>
      </w:r>
      <w:r w:rsidR="00EF6629" w:rsidRPr="001010E7">
        <w:rPr>
          <w:rFonts w:ascii="Arial" w:hAnsi="Arial" w:cs="Arial"/>
          <w:sz w:val="22"/>
          <w:szCs w:val="22"/>
          <w:lang w:val="es-ES_tradnl"/>
        </w:rPr>
        <w:t>Financiera Nacional</w:t>
      </w:r>
      <w:r w:rsidRPr="001010E7">
        <w:rPr>
          <w:rFonts w:ascii="Arial" w:hAnsi="Arial" w:cs="Arial"/>
          <w:sz w:val="22"/>
          <w:szCs w:val="22"/>
          <w:lang w:val="es-ES_tradnl"/>
        </w:rPr>
        <w:t xml:space="preserve"> con fondeo del presente programa) difieren en características relevantes a la manifestación del resultado de interés. Este problema de selección limita la validez del estimador alternativo ya indicado, ya que las unidades son potencialmente distintas en características (observables y/o no observables) relevantes a la variable de resultado.</w:t>
      </w:r>
    </w:p>
    <w:p w14:paraId="4E0B6160" w14:textId="4BDFC50D" w:rsidR="007A2934" w:rsidRPr="001010E7" w:rsidRDefault="00062D0D"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La estrategia que generalmente se postula para rescatar el estimador es la de asignar unidades a los grupos de tratamiento y control en forma aleatoria, lo que en principio restaura las condiciones necesarias para obtener un estimador no sesgado. </w:t>
      </w:r>
      <w:r w:rsidR="00C02292" w:rsidRPr="001010E7">
        <w:rPr>
          <w:rFonts w:ascii="Arial" w:hAnsi="Arial" w:cs="Arial"/>
          <w:sz w:val="22"/>
          <w:szCs w:val="22"/>
          <w:lang w:val="es-ES_tradnl"/>
        </w:rPr>
        <w:t xml:space="preserve">Dicha estrategia de aleatorización, por razones exógenas al programa, no es posible implementarla. </w:t>
      </w:r>
      <w:r w:rsidR="00DD763A" w:rsidRPr="001010E7">
        <w:rPr>
          <w:rFonts w:ascii="Arial" w:hAnsi="Arial" w:cs="Arial"/>
          <w:sz w:val="22"/>
          <w:szCs w:val="22"/>
          <w:lang w:val="es-ES_tradnl"/>
        </w:rPr>
        <w:t>Sin</w:t>
      </w:r>
      <w:r w:rsidR="00C02292" w:rsidRPr="001010E7">
        <w:rPr>
          <w:rFonts w:ascii="Arial" w:hAnsi="Arial" w:cs="Arial"/>
          <w:sz w:val="22"/>
          <w:szCs w:val="22"/>
          <w:lang w:val="es-ES_tradnl"/>
        </w:rPr>
        <w:t xml:space="preserve"> embargo, a</w:t>
      </w:r>
      <w:r w:rsidRPr="001010E7">
        <w:rPr>
          <w:rFonts w:ascii="Arial" w:hAnsi="Arial" w:cs="Arial"/>
          <w:sz w:val="22"/>
          <w:szCs w:val="22"/>
          <w:lang w:val="es-ES_tradnl"/>
        </w:rPr>
        <w:t xml:space="preserve"> partir de la información sobre las características de las empresas que se vean beneficiadas con las líneas de </w:t>
      </w:r>
      <w:r w:rsidR="00EF6629" w:rsidRPr="001010E7">
        <w:rPr>
          <w:rFonts w:ascii="Arial" w:hAnsi="Arial" w:cs="Arial"/>
          <w:sz w:val="22"/>
          <w:szCs w:val="22"/>
          <w:lang w:val="es-ES_tradnl"/>
        </w:rPr>
        <w:t>Financiera Nacional</w:t>
      </w:r>
      <w:r w:rsidRPr="001010E7">
        <w:rPr>
          <w:rFonts w:ascii="Arial" w:hAnsi="Arial" w:cs="Arial"/>
          <w:sz w:val="22"/>
          <w:szCs w:val="22"/>
          <w:lang w:val="es-ES_tradnl"/>
        </w:rPr>
        <w:t xml:space="preserve"> es posible crear un grupo de empresas comparables </w:t>
      </w:r>
      <w:r w:rsidR="00890EB8" w:rsidRPr="001010E7">
        <w:rPr>
          <w:rFonts w:ascii="Arial" w:hAnsi="Arial" w:cs="Arial"/>
          <w:sz w:val="22"/>
          <w:szCs w:val="22"/>
          <w:lang w:val="es-ES_tradnl"/>
        </w:rPr>
        <w:t>y</w:t>
      </w:r>
      <w:r w:rsidRPr="001010E7">
        <w:rPr>
          <w:rFonts w:ascii="Arial" w:hAnsi="Arial" w:cs="Arial"/>
          <w:sz w:val="22"/>
          <w:szCs w:val="22"/>
          <w:lang w:val="es-ES_tradnl"/>
        </w:rPr>
        <w:t xml:space="preserve"> definir un grupo de control que tenga características similares a las de los beneficiarios del programa</w:t>
      </w:r>
      <w:r w:rsidR="00C02292" w:rsidRPr="001010E7">
        <w:rPr>
          <w:rFonts w:ascii="Arial" w:hAnsi="Arial" w:cs="Arial"/>
          <w:sz w:val="22"/>
          <w:szCs w:val="22"/>
          <w:lang w:val="es-ES_tradnl"/>
        </w:rPr>
        <w:t xml:space="preserve"> y aplicar metodologías cuasi</w:t>
      </w:r>
      <w:r w:rsidR="00C34D04" w:rsidRPr="001010E7">
        <w:rPr>
          <w:rFonts w:ascii="Arial" w:hAnsi="Arial" w:cs="Arial"/>
          <w:sz w:val="22"/>
          <w:szCs w:val="22"/>
          <w:lang w:val="es-ES_tradnl"/>
        </w:rPr>
        <w:t>-</w:t>
      </w:r>
      <w:r w:rsidR="00C02292" w:rsidRPr="001010E7">
        <w:rPr>
          <w:rFonts w:ascii="Arial" w:hAnsi="Arial" w:cs="Arial"/>
          <w:sz w:val="22"/>
          <w:szCs w:val="22"/>
          <w:lang w:val="es-ES_tradnl"/>
        </w:rPr>
        <w:t>experimentales</w:t>
      </w:r>
      <w:r w:rsidR="00C34D04" w:rsidRPr="001010E7">
        <w:rPr>
          <w:rFonts w:ascii="Arial" w:hAnsi="Arial" w:cs="Arial"/>
          <w:sz w:val="22"/>
          <w:szCs w:val="22"/>
          <w:lang w:val="es-ES_tradnl"/>
        </w:rPr>
        <w:t>, descritas a continuación</w:t>
      </w:r>
      <w:r w:rsidRPr="001010E7">
        <w:rPr>
          <w:rFonts w:ascii="Arial" w:hAnsi="Arial" w:cs="Arial"/>
          <w:sz w:val="22"/>
          <w:szCs w:val="22"/>
          <w:lang w:val="es-ES_tradnl"/>
        </w:rPr>
        <w:t xml:space="preserve">. </w:t>
      </w:r>
    </w:p>
    <w:p w14:paraId="25A380D6" w14:textId="6D0B2A4F" w:rsidR="00C02292" w:rsidRPr="001010E7" w:rsidRDefault="00C02292" w:rsidP="009544B3">
      <w:pPr>
        <w:pStyle w:val="SubSubPar"/>
        <w:numPr>
          <w:ilvl w:val="0"/>
          <w:numId w:val="84"/>
        </w:numPr>
        <w:rPr>
          <w:rFonts w:ascii="Arial" w:hAnsi="Arial" w:cs="Arial"/>
          <w:b/>
          <w:sz w:val="22"/>
          <w:szCs w:val="22"/>
          <w:lang w:val="es-ES_tradnl"/>
        </w:rPr>
      </w:pPr>
      <w:r w:rsidRPr="001010E7">
        <w:rPr>
          <w:rFonts w:ascii="Arial" w:hAnsi="Arial" w:cs="Arial"/>
          <w:b/>
          <w:sz w:val="22"/>
          <w:szCs w:val="22"/>
          <w:lang w:val="es-ES_tradnl"/>
        </w:rPr>
        <w:t xml:space="preserve">Metodología sugerida </w:t>
      </w:r>
    </w:p>
    <w:p w14:paraId="0C9246DF" w14:textId="77777777" w:rsidR="005754B7" w:rsidRPr="001010E7" w:rsidRDefault="005754B7"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Aprovechando que FND utiliza un modelo de </w:t>
      </w:r>
      <w:r w:rsidRPr="001010E7">
        <w:rPr>
          <w:rFonts w:ascii="Arial" w:hAnsi="Arial" w:cs="Arial"/>
          <w:i/>
          <w:sz w:val="22"/>
          <w:szCs w:val="22"/>
          <w:lang w:val="es-ES_tradnl"/>
        </w:rPr>
        <w:t>scoring</w:t>
      </w:r>
      <w:r w:rsidRPr="001010E7">
        <w:rPr>
          <w:rFonts w:ascii="Arial" w:hAnsi="Arial" w:cs="Arial"/>
          <w:sz w:val="22"/>
          <w:szCs w:val="22"/>
          <w:lang w:val="es-ES_tradnl"/>
        </w:rPr>
        <w:t xml:space="preserve"> (donde se asigna una probabilidad de incumplimiento, R, a cada solicitante) para otorgar los créditos, se estimará el efecto de la intención a tratar (ITT, en inglés) en base a la metodología de regresión discontinua. La regresión discontinua es una estrategia de identificación atractiva en este caso, ya que se aprovechan los criterios de </w:t>
      </w:r>
      <w:r w:rsidRPr="001010E7">
        <w:rPr>
          <w:rFonts w:ascii="Arial" w:hAnsi="Arial" w:cs="Arial"/>
          <w:sz w:val="22"/>
          <w:szCs w:val="22"/>
          <w:lang w:val="es-ES_tradnl"/>
        </w:rPr>
        <w:lastRenderedPageBreak/>
        <w:t>aprobación de solicitudes de crédito por parte de FND. Esta metodología permite comparar cerca al umbral de corte aquellos productores/empresas que reciben crédito con los que no lo hacen. Esto, en principio, disminuye el riesgo de sesgo selección, ya que se asume que aquellos productores/</w:t>
      </w:r>
      <w:r w:rsidR="00114A7C" w:rsidRPr="001010E7">
        <w:rPr>
          <w:rFonts w:ascii="Arial" w:hAnsi="Arial" w:cs="Arial"/>
          <w:sz w:val="22"/>
          <w:szCs w:val="22"/>
          <w:lang w:val="es-ES_tradnl"/>
        </w:rPr>
        <w:t>empresas cercanas</w:t>
      </w:r>
      <w:r w:rsidRPr="001010E7">
        <w:rPr>
          <w:rFonts w:ascii="Arial" w:hAnsi="Arial" w:cs="Arial"/>
          <w:sz w:val="22"/>
          <w:szCs w:val="22"/>
          <w:lang w:val="es-ES_tradnl"/>
        </w:rPr>
        <w:t xml:space="preserve"> a un lado o al otro del umbral son muy comparables en términos de las características observables y no observables, aunque tiene la desventaja de identificar efectos “locales” (cerca de los puntos de corte) que pueden ser diferentes a los efectos globales, si existe alta heterogeneidad en los efectos tratamiento.</w:t>
      </w:r>
    </w:p>
    <w:p w14:paraId="62B5842B" w14:textId="4488FDE5" w:rsidR="00923FA7" w:rsidRPr="001010E7" w:rsidRDefault="00923FA7"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Es importante resaltar que no se podrá aplicar una metodología de regresión discontinua marcada (Sharp RD). Se deberá: (a) aplicar una metodología de regresión discontinua difusa (Fuzzy RD), o (b) estudiar </w:t>
      </w:r>
      <w:r w:rsidR="005754B7" w:rsidRPr="001010E7">
        <w:rPr>
          <w:rFonts w:ascii="Arial" w:hAnsi="Arial" w:cs="Arial"/>
          <w:sz w:val="22"/>
          <w:szCs w:val="22"/>
          <w:lang w:val="es-ES_tradnl"/>
        </w:rPr>
        <w:t>el efecto de la intención a tratar (ITT)</w:t>
      </w:r>
      <w:r w:rsidRPr="001010E7">
        <w:rPr>
          <w:rFonts w:ascii="Arial" w:hAnsi="Arial" w:cs="Arial"/>
          <w:sz w:val="22"/>
          <w:szCs w:val="22"/>
          <w:lang w:val="es-ES_tradnl"/>
        </w:rPr>
        <w:t>. Esto se debe a</w:t>
      </w:r>
      <w:r w:rsidR="005754B7" w:rsidRPr="001010E7">
        <w:rPr>
          <w:rFonts w:ascii="Arial" w:hAnsi="Arial" w:cs="Arial"/>
          <w:sz w:val="22"/>
          <w:szCs w:val="22"/>
          <w:lang w:val="es-ES_tradnl"/>
        </w:rPr>
        <w:t xml:space="preserve"> dos motivos: (i) </w:t>
      </w:r>
      <w:r w:rsidR="00C34D04" w:rsidRPr="001010E7">
        <w:rPr>
          <w:rFonts w:ascii="Arial" w:hAnsi="Arial" w:cs="Arial"/>
          <w:sz w:val="22"/>
          <w:szCs w:val="22"/>
          <w:lang w:val="es-ES_tradnl"/>
        </w:rPr>
        <w:t xml:space="preserve">productores que no deberían recibir crédito según su score, pueden apelar a un subcomité y en algunos casos el comité les otorga el </w:t>
      </w:r>
      <w:r w:rsidR="007A3A3A" w:rsidRPr="001010E7">
        <w:rPr>
          <w:rFonts w:ascii="Arial" w:hAnsi="Arial" w:cs="Arial"/>
          <w:sz w:val="22"/>
          <w:szCs w:val="22"/>
          <w:lang w:val="es-ES_tradnl"/>
        </w:rPr>
        <w:t>crédito;</w:t>
      </w:r>
      <w:r w:rsidR="005754B7" w:rsidRPr="001010E7">
        <w:rPr>
          <w:rFonts w:ascii="Arial" w:hAnsi="Arial" w:cs="Arial"/>
          <w:sz w:val="22"/>
          <w:szCs w:val="22"/>
          <w:lang w:val="es-ES_tradnl"/>
        </w:rPr>
        <w:t xml:space="preserve"> y (ii) productores a quienes se les aprueba el crédito pueden decidir no tomarlo. Es importante notar que para los programas de FND se tiene una regresión discontinua donde los umbrales de cada modelo de crédito toman valores distintos. </w:t>
      </w:r>
    </w:p>
    <w:p w14:paraId="689C576F" w14:textId="7892CB85" w:rsidR="00EA09C7" w:rsidRPr="001010E7" w:rsidRDefault="00EA09C7"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Una vez que se haya</w:t>
      </w:r>
      <w:r w:rsidR="00756145" w:rsidRPr="001010E7">
        <w:rPr>
          <w:rFonts w:ascii="Arial" w:hAnsi="Arial" w:cs="Arial"/>
          <w:sz w:val="22"/>
          <w:szCs w:val="22"/>
          <w:lang w:val="es-ES_tradnl"/>
        </w:rPr>
        <w:t xml:space="preserve"> </w:t>
      </w:r>
      <w:r w:rsidR="001D5F8A" w:rsidRPr="001010E7">
        <w:rPr>
          <w:rFonts w:ascii="Arial" w:hAnsi="Arial" w:cs="Arial"/>
          <w:sz w:val="22"/>
          <w:szCs w:val="22"/>
          <w:lang w:val="es-ES_tradnl"/>
        </w:rPr>
        <w:t>terminado</w:t>
      </w:r>
      <w:r w:rsidR="00756145" w:rsidRPr="001010E7">
        <w:rPr>
          <w:rFonts w:ascii="Arial" w:hAnsi="Arial" w:cs="Arial"/>
          <w:sz w:val="22"/>
          <w:szCs w:val="22"/>
          <w:lang w:val="es-ES_tradnl"/>
        </w:rPr>
        <w:t xml:space="preserve"> de</w:t>
      </w:r>
      <w:r w:rsidRPr="001010E7">
        <w:rPr>
          <w:rFonts w:ascii="Arial" w:hAnsi="Arial" w:cs="Arial"/>
          <w:sz w:val="22"/>
          <w:szCs w:val="22"/>
          <w:lang w:val="es-ES_tradnl"/>
        </w:rPr>
        <w:t xml:space="preserve"> levanta</w:t>
      </w:r>
      <w:r w:rsidR="00756145" w:rsidRPr="001010E7">
        <w:rPr>
          <w:rFonts w:ascii="Arial" w:hAnsi="Arial" w:cs="Arial"/>
          <w:sz w:val="22"/>
          <w:szCs w:val="22"/>
          <w:lang w:val="es-ES_tradnl"/>
        </w:rPr>
        <w:t>r</w:t>
      </w:r>
      <w:r w:rsidRPr="001010E7">
        <w:rPr>
          <w:rFonts w:ascii="Arial" w:hAnsi="Arial" w:cs="Arial"/>
          <w:sz w:val="22"/>
          <w:szCs w:val="22"/>
          <w:lang w:val="es-ES_tradnl"/>
        </w:rPr>
        <w:t xml:space="preserve"> las encuestas, como parte del análisis se verificará, utilizando sólo la muestra efectiva, el cumplimiento de los supuestos necesarios para la validez de la regresión discontinua (no discontinuidades de las características pre-intervención y no manipulación alrededor del umbral).</w:t>
      </w:r>
      <w:r w:rsidR="00756145" w:rsidRPr="001010E7">
        <w:rPr>
          <w:rFonts w:ascii="Arial" w:hAnsi="Arial" w:cs="Arial"/>
          <w:sz w:val="22"/>
          <w:szCs w:val="22"/>
          <w:lang w:val="es-ES_tradnl"/>
        </w:rPr>
        <w:t xml:space="preserve"> Con los datos muestrales hasta el momento, se esperaría que se verificasen los supuestos de aplicación exitosa de la RD.</w:t>
      </w:r>
    </w:p>
    <w:p w14:paraId="50D33A27" w14:textId="562D3FDC" w:rsidR="00973C44" w:rsidRPr="001010E7" w:rsidRDefault="00973C44" w:rsidP="009F0EE9">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Una descripción más técnica de la metodología de regresión discontinua, a ser utilizada en la evaluación de la CLIPP, se describen en el anexo 1. </w:t>
      </w:r>
    </w:p>
    <w:p w14:paraId="526ADB89" w14:textId="77777777" w:rsidR="00973C44" w:rsidRPr="001010E7" w:rsidRDefault="00973C44" w:rsidP="0099774C">
      <w:pPr>
        <w:pStyle w:val="Chapter"/>
        <w:numPr>
          <w:ilvl w:val="0"/>
          <w:numId w:val="0"/>
        </w:numPr>
        <w:tabs>
          <w:tab w:val="clear" w:pos="1440"/>
        </w:tabs>
        <w:ind w:left="288"/>
        <w:rPr>
          <w:rFonts w:ascii="Arial" w:eastAsiaTheme="minorHAnsi" w:hAnsi="Arial" w:cs="Arial"/>
          <w:sz w:val="22"/>
          <w:szCs w:val="22"/>
          <w:lang w:val="es-ES_tradnl" w:eastAsia="en-US"/>
        </w:rPr>
      </w:pPr>
      <w:r w:rsidRPr="001010E7">
        <w:rPr>
          <w:rFonts w:ascii="Arial" w:eastAsiaTheme="minorHAnsi" w:hAnsi="Arial" w:cs="Arial"/>
          <w:sz w:val="22"/>
          <w:szCs w:val="22"/>
          <w:lang w:val="es-ES_tradnl" w:eastAsia="en-US"/>
        </w:rPr>
        <w:t xml:space="preserve">B. </w:t>
      </w:r>
      <w:r w:rsidRPr="001010E7">
        <w:rPr>
          <w:rFonts w:ascii="Arial" w:eastAsiaTheme="minorHAnsi" w:hAnsi="Arial" w:cs="Arial"/>
          <w:sz w:val="22"/>
          <w:szCs w:val="22"/>
          <w:lang w:val="es-ES_tradnl" w:eastAsia="en-US"/>
        </w:rPr>
        <w:tab/>
        <w:t>Evaluación De Impacto #2</w:t>
      </w:r>
    </w:p>
    <w:p w14:paraId="6874E9CA" w14:textId="77777777" w:rsidR="009A4830" w:rsidRPr="001010E7" w:rsidRDefault="00756145" w:rsidP="009544B3">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Como parte de los estudios de evaluación propuestos con el ESW, RG-K1445, se complementará el análisis anterior </w:t>
      </w:r>
      <w:r w:rsidR="009A4830" w:rsidRPr="001010E7">
        <w:rPr>
          <w:rFonts w:ascii="Arial" w:hAnsi="Arial" w:cs="Arial"/>
          <w:sz w:val="22"/>
          <w:szCs w:val="22"/>
          <w:lang w:val="es-ES_tradnl"/>
        </w:rPr>
        <w:t xml:space="preserve">de la </w:t>
      </w:r>
      <w:r w:rsidR="009A4830" w:rsidRPr="001010E7">
        <w:rPr>
          <w:rFonts w:ascii="Arial" w:eastAsiaTheme="minorEastAsia" w:hAnsi="Arial" w:cs="Arial"/>
          <w:bCs/>
          <w:sz w:val="22"/>
          <w:szCs w:val="22"/>
          <w:lang w:val="es-ES_tradnl" w:eastAsia="en-US"/>
        </w:rPr>
        <w:t>evaluación</w:t>
      </w:r>
      <w:r w:rsidR="009A4830" w:rsidRPr="001010E7">
        <w:rPr>
          <w:rFonts w:ascii="Arial" w:hAnsi="Arial" w:cs="Arial"/>
          <w:sz w:val="22"/>
          <w:szCs w:val="22"/>
          <w:lang w:val="es-ES_tradnl"/>
        </w:rPr>
        <w:t xml:space="preserve"> de impacto de la CLIPP </w:t>
      </w:r>
      <w:r w:rsidRPr="001010E7">
        <w:rPr>
          <w:rFonts w:ascii="Arial" w:hAnsi="Arial" w:cs="Arial"/>
          <w:sz w:val="22"/>
          <w:szCs w:val="22"/>
          <w:lang w:val="es-ES_tradnl"/>
        </w:rPr>
        <w:t>con otras metodologías que darán adicionalidad a la propuesta de evaluaci</w:t>
      </w:r>
      <w:r w:rsidR="009A4830" w:rsidRPr="001010E7">
        <w:rPr>
          <w:rFonts w:ascii="Arial" w:hAnsi="Arial" w:cs="Arial"/>
          <w:sz w:val="22"/>
          <w:szCs w:val="22"/>
          <w:lang w:val="es-ES_tradnl"/>
        </w:rPr>
        <w:t xml:space="preserve">ón. En particular: </w:t>
      </w:r>
    </w:p>
    <w:p w14:paraId="6839CE1C" w14:textId="510EB0B1" w:rsidR="009A4830" w:rsidRPr="001010E7" w:rsidRDefault="009A4830"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b/>
          <w:i/>
          <w:sz w:val="22"/>
          <w:szCs w:val="22"/>
        </w:rPr>
        <w:t>Metodología de</w:t>
      </w:r>
      <w:r w:rsidR="00756145" w:rsidRPr="001010E7">
        <w:rPr>
          <w:rFonts w:ascii="Arial" w:hAnsi="Arial" w:cs="Arial"/>
          <w:sz w:val="22"/>
          <w:szCs w:val="22"/>
        </w:rPr>
        <w:t xml:space="preserve"> </w:t>
      </w:r>
      <w:r w:rsidR="00756145" w:rsidRPr="001010E7">
        <w:rPr>
          <w:rFonts w:ascii="Arial" w:hAnsi="Arial" w:cs="Arial"/>
          <w:b/>
          <w:i/>
          <w:sz w:val="22"/>
          <w:szCs w:val="22"/>
        </w:rPr>
        <w:t>propensity score matching</w:t>
      </w:r>
      <w:r w:rsidR="00756145" w:rsidRPr="001010E7">
        <w:rPr>
          <w:rFonts w:ascii="Arial" w:hAnsi="Arial" w:cs="Arial"/>
          <w:sz w:val="22"/>
          <w:szCs w:val="22"/>
        </w:rPr>
        <w:t xml:space="preserve">. </w:t>
      </w:r>
      <w:r w:rsidR="00973C44" w:rsidRPr="001010E7">
        <w:rPr>
          <w:rFonts w:ascii="Arial" w:hAnsi="Arial" w:cs="Arial"/>
          <w:sz w:val="22"/>
          <w:szCs w:val="22"/>
          <w:lang w:val="es-ES_tradnl"/>
        </w:rPr>
        <w:t>M</w:t>
      </w:r>
      <w:r w:rsidR="00756145" w:rsidRPr="001010E7">
        <w:rPr>
          <w:rFonts w:ascii="Arial" w:hAnsi="Arial" w:cs="Arial"/>
          <w:sz w:val="22"/>
          <w:szCs w:val="22"/>
          <w:lang w:val="es-ES_tradnl"/>
        </w:rPr>
        <w:t xml:space="preserve">ediante la metodología de PSM se analizarán los efectos de los diferentes tipos de crédito en las variables de interés, mediante la </w:t>
      </w:r>
      <w:r w:rsidR="00756145" w:rsidRPr="001010E7">
        <w:rPr>
          <w:rFonts w:ascii="Arial" w:eastAsiaTheme="minorEastAsia" w:hAnsi="Arial" w:cs="Arial"/>
          <w:bCs/>
          <w:sz w:val="22"/>
          <w:szCs w:val="22"/>
          <w:lang w:val="es-ES_tradnl" w:eastAsia="en-US"/>
        </w:rPr>
        <w:t>comparación</w:t>
      </w:r>
      <w:r w:rsidR="00756145" w:rsidRPr="001010E7">
        <w:rPr>
          <w:rFonts w:ascii="Arial" w:hAnsi="Arial" w:cs="Arial"/>
          <w:sz w:val="22"/>
          <w:szCs w:val="22"/>
          <w:lang w:val="es-ES_tradnl"/>
        </w:rPr>
        <w:t xml:space="preserve"> de (1) créditos de activo fijo,</w:t>
      </w:r>
      <w:r w:rsidR="00973C44" w:rsidRPr="001010E7">
        <w:rPr>
          <w:rFonts w:ascii="Arial" w:hAnsi="Arial" w:cs="Arial"/>
          <w:sz w:val="22"/>
          <w:szCs w:val="22"/>
          <w:lang w:val="es-ES_tradnl"/>
        </w:rPr>
        <w:t xml:space="preserve"> versus</w:t>
      </w:r>
      <w:r w:rsidR="00756145" w:rsidRPr="001010E7">
        <w:rPr>
          <w:rFonts w:ascii="Arial" w:hAnsi="Arial" w:cs="Arial"/>
          <w:sz w:val="22"/>
          <w:szCs w:val="22"/>
          <w:lang w:val="es-ES_tradnl"/>
        </w:rPr>
        <w:t xml:space="preserve"> (2) créditos de capital de trabajo, y </w:t>
      </w:r>
      <w:r w:rsidR="00973C44" w:rsidRPr="001010E7">
        <w:rPr>
          <w:rFonts w:ascii="Arial" w:hAnsi="Arial" w:cs="Arial"/>
          <w:sz w:val="22"/>
          <w:szCs w:val="22"/>
          <w:lang w:val="es-ES_tradnl"/>
        </w:rPr>
        <w:t xml:space="preserve">en la medida de lo posible </w:t>
      </w:r>
      <w:r w:rsidR="00756145" w:rsidRPr="001010E7">
        <w:rPr>
          <w:rFonts w:ascii="Arial" w:hAnsi="Arial" w:cs="Arial"/>
          <w:sz w:val="22"/>
          <w:szCs w:val="22"/>
          <w:lang w:val="es-ES_tradnl"/>
        </w:rPr>
        <w:t xml:space="preserve">(3) créditos que vienen acompañados de paquete tecnológico. Dado que se requiere comparar programas de crédito que se otorgaron con modelos de </w:t>
      </w:r>
      <w:r w:rsidR="00756145" w:rsidRPr="001010E7">
        <w:rPr>
          <w:rFonts w:ascii="Arial" w:hAnsi="Arial" w:cs="Arial"/>
          <w:i/>
          <w:sz w:val="22"/>
          <w:szCs w:val="22"/>
          <w:lang w:val="es-ES_tradnl"/>
        </w:rPr>
        <w:t>scoring</w:t>
      </w:r>
      <w:r w:rsidR="00756145" w:rsidRPr="001010E7">
        <w:rPr>
          <w:rFonts w:ascii="Arial" w:hAnsi="Arial" w:cs="Arial"/>
          <w:sz w:val="22"/>
          <w:szCs w:val="22"/>
          <w:lang w:val="es-ES_tradnl"/>
        </w:rPr>
        <w:t xml:space="preserve"> distintos para cada tipo, no </w:t>
      </w:r>
      <w:r w:rsidRPr="001010E7">
        <w:rPr>
          <w:rFonts w:ascii="Arial" w:hAnsi="Arial" w:cs="Arial"/>
          <w:sz w:val="22"/>
          <w:szCs w:val="22"/>
          <w:lang w:val="es-ES_tradnl"/>
        </w:rPr>
        <w:t>sería factible compararlos</w:t>
      </w:r>
      <w:r w:rsidR="00756145" w:rsidRPr="001010E7">
        <w:rPr>
          <w:rFonts w:ascii="Arial" w:hAnsi="Arial" w:cs="Arial"/>
          <w:sz w:val="22"/>
          <w:szCs w:val="22"/>
          <w:lang w:val="es-ES_tradnl"/>
        </w:rPr>
        <w:t xml:space="preserve"> entre sí usando una metodología de RD. </w:t>
      </w:r>
      <w:r w:rsidRPr="001010E7">
        <w:rPr>
          <w:rFonts w:ascii="Arial" w:hAnsi="Arial" w:cs="Arial"/>
          <w:sz w:val="22"/>
          <w:szCs w:val="22"/>
          <w:lang w:val="es-ES_tradnl"/>
        </w:rPr>
        <w:t>Las fuentes de información para esta metodología incluyen además del levantamiento de la encuesta de seguimiento otras fuentes adicionales. Así</w:t>
      </w:r>
      <w:r w:rsidR="00756145" w:rsidRPr="001010E7">
        <w:rPr>
          <w:rFonts w:ascii="Arial" w:hAnsi="Arial" w:cs="Arial"/>
          <w:sz w:val="22"/>
          <w:szCs w:val="22"/>
          <w:lang w:val="es-ES_tradnl"/>
        </w:rPr>
        <w:t>, para que la metodología de emparejamiento sea creíble se requiere una gran cantidad de datos, se planea complementar los datos de información administrativa de la FN con los datos del Censo Agrícola, Ganadero y Forestal de 2007.El méto</w:t>
      </w:r>
      <w:r w:rsidR="001010E7" w:rsidRPr="001010E7">
        <w:rPr>
          <w:rFonts w:ascii="Arial" w:hAnsi="Arial" w:cs="Arial"/>
          <w:sz w:val="22"/>
          <w:szCs w:val="22"/>
          <w:lang w:val="es-ES_tradnl"/>
        </w:rPr>
        <w:t>do de PSM permite construir un G</w:t>
      </w:r>
      <w:r w:rsidR="00756145" w:rsidRPr="001010E7">
        <w:rPr>
          <w:rFonts w:ascii="Arial" w:hAnsi="Arial" w:cs="Arial"/>
          <w:sz w:val="22"/>
          <w:szCs w:val="22"/>
          <w:lang w:val="es-ES_tradnl"/>
        </w:rPr>
        <w:t xml:space="preserve">rupo de </w:t>
      </w:r>
      <w:r w:rsidR="001010E7" w:rsidRPr="001010E7">
        <w:rPr>
          <w:rFonts w:ascii="Arial" w:hAnsi="Arial" w:cs="Arial"/>
          <w:sz w:val="22"/>
          <w:szCs w:val="22"/>
          <w:lang w:val="es-ES_tradnl"/>
        </w:rPr>
        <w:t>C</w:t>
      </w:r>
      <w:r w:rsidR="00756145" w:rsidRPr="001010E7">
        <w:rPr>
          <w:rFonts w:ascii="Arial" w:hAnsi="Arial" w:cs="Arial"/>
          <w:sz w:val="22"/>
          <w:szCs w:val="22"/>
          <w:lang w:val="es-ES_tradnl"/>
        </w:rPr>
        <w:t xml:space="preserve">ontrol (GC) que es similar al grupo que está recibiendo el crédito generado por el programa (grupo de tratamiento o GT, a partir </w:t>
      </w:r>
      <w:r w:rsidR="00756145" w:rsidRPr="001010E7">
        <w:rPr>
          <w:rFonts w:ascii="Arial" w:hAnsi="Arial" w:cs="Arial"/>
          <w:sz w:val="22"/>
          <w:szCs w:val="22"/>
          <w:lang w:val="es-ES_tradnl"/>
        </w:rPr>
        <w:lastRenderedPageBreak/>
        <w:t>de lo cual se computaría un estimador de diferencias en diferenc</w:t>
      </w:r>
      <w:r w:rsidRPr="001010E7">
        <w:rPr>
          <w:rFonts w:ascii="Arial" w:hAnsi="Arial" w:cs="Arial"/>
          <w:sz w:val="22"/>
          <w:szCs w:val="22"/>
          <w:lang w:val="es-ES_tradnl"/>
        </w:rPr>
        <w:t>ias para cuantificar el impacto</w:t>
      </w:r>
      <w:r w:rsidR="00756145" w:rsidRPr="001010E7">
        <w:rPr>
          <w:rFonts w:ascii="Arial" w:hAnsi="Arial" w:cs="Arial"/>
          <w:sz w:val="22"/>
          <w:szCs w:val="22"/>
          <w:lang w:val="es-ES_tradnl"/>
        </w:rPr>
        <w:t>).</w:t>
      </w:r>
    </w:p>
    <w:p w14:paraId="0CA4FF50" w14:textId="77777777" w:rsidR="00973C44" w:rsidRPr="001010E7" w:rsidRDefault="00973C44" w:rsidP="0099774C">
      <w:pPr>
        <w:pStyle w:val="Chapter"/>
        <w:numPr>
          <w:ilvl w:val="0"/>
          <w:numId w:val="0"/>
        </w:numPr>
        <w:tabs>
          <w:tab w:val="clear" w:pos="1440"/>
        </w:tabs>
        <w:ind w:left="288"/>
        <w:rPr>
          <w:rFonts w:ascii="Arial" w:eastAsiaTheme="minorHAnsi" w:hAnsi="Arial" w:cs="Arial"/>
          <w:sz w:val="22"/>
          <w:szCs w:val="22"/>
          <w:lang w:eastAsia="en-US"/>
        </w:rPr>
      </w:pPr>
      <w:r w:rsidRPr="001010E7">
        <w:rPr>
          <w:rFonts w:ascii="Arial" w:eastAsiaTheme="minorHAnsi" w:hAnsi="Arial" w:cs="Arial"/>
          <w:sz w:val="22"/>
          <w:szCs w:val="22"/>
          <w:lang w:eastAsia="en-US"/>
        </w:rPr>
        <w:t xml:space="preserve">C. </w:t>
      </w:r>
      <w:r w:rsidRPr="001010E7">
        <w:rPr>
          <w:rFonts w:ascii="Arial" w:eastAsiaTheme="minorHAnsi" w:hAnsi="Arial" w:cs="Arial"/>
          <w:sz w:val="22"/>
          <w:szCs w:val="22"/>
          <w:lang w:eastAsia="en-US"/>
        </w:rPr>
        <w:tab/>
        <w:t>Evaluación De Impacto #3</w:t>
      </w:r>
    </w:p>
    <w:p w14:paraId="30E34C32" w14:textId="77777777" w:rsidR="00C43EAF" w:rsidRPr="001010E7" w:rsidRDefault="00F849F6" w:rsidP="009F0EE9">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Se está explorando con FND la posibilidad de llevar adelante </w:t>
      </w:r>
      <w:r w:rsidR="00C43EAF" w:rsidRPr="001010E7">
        <w:rPr>
          <w:rFonts w:ascii="Arial" w:hAnsi="Arial" w:cs="Arial"/>
          <w:sz w:val="22"/>
          <w:szCs w:val="22"/>
          <w:lang w:val="es-ES_tradnl"/>
        </w:rPr>
        <w:t xml:space="preserve">las siguientes acciones: </w:t>
      </w:r>
      <w:r w:rsidR="008428FF" w:rsidRPr="001010E7">
        <w:rPr>
          <w:rFonts w:ascii="Arial" w:hAnsi="Arial" w:cs="Arial"/>
          <w:sz w:val="22"/>
          <w:szCs w:val="22"/>
          <w:lang w:val="es-ES_tradnl"/>
        </w:rPr>
        <w:t>(a) el cruce de datos con buros de crédito; y (b) mejoraras en la recolección y digitación de datos en el momento de postulación.</w:t>
      </w:r>
      <w:r w:rsidR="00C43EAF" w:rsidRPr="001010E7">
        <w:rPr>
          <w:rFonts w:ascii="Arial" w:hAnsi="Arial" w:cs="Arial"/>
          <w:sz w:val="22"/>
          <w:szCs w:val="22"/>
          <w:lang w:val="es-ES_tradnl"/>
        </w:rPr>
        <w:t xml:space="preserve"> Estas acciones podrían permitir llevar adelante una evaluación adicional de la CLIPP (tentativa)</w:t>
      </w:r>
      <w:r w:rsidR="00E66EF3" w:rsidRPr="001010E7">
        <w:rPr>
          <w:rFonts w:ascii="Arial" w:hAnsi="Arial" w:cs="Arial"/>
          <w:sz w:val="22"/>
          <w:szCs w:val="22"/>
          <w:lang w:val="es-ES_tradnl"/>
        </w:rPr>
        <w:t>, así como enriquecer las dos evaluaciones descritas anteriormente</w:t>
      </w:r>
      <w:r w:rsidR="00C43EAF" w:rsidRPr="001010E7">
        <w:rPr>
          <w:rFonts w:ascii="Arial" w:hAnsi="Arial" w:cs="Arial"/>
          <w:sz w:val="22"/>
          <w:szCs w:val="22"/>
          <w:lang w:val="es-ES_tradnl"/>
        </w:rPr>
        <w:t xml:space="preserve">. </w:t>
      </w:r>
    </w:p>
    <w:p w14:paraId="1AEEF37B" w14:textId="77777777" w:rsidR="008428FF" w:rsidRPr="001010E7" w:rsidRDefault="008428FF" w:rsidP="0099774C">
      <w:pPr>
        <w:pStyle w:val="Paragraph"/>
        <w:numPr>
          <w:ilvl w:val="0"/>
          <w:numId w:val="102"/>
        </w:numPr>
        <w:rPr>
          <w:rFonts w:ascii="Arial" w:hAnsi="Arial" w:cs="Arial"/>
          <w:b/>
          <w:i/>
          <w:sz w:val="22"/>
          <w:szCs w:val="22"/>
          <w:lang w:val="es-ES_tradnl"/>
        </w:rPr>
      </w:pPr>
      <w:r w:rsidRPr="001010E7">
        <w:rPr>
          <w:rFonts w:ascii="Arial" w:hAnsi="Arial" w:cs="Arial"/>
          <w:b/>
          <w:i/>
          <w:sz w:val="22"/>
          <w:szCs w:val="22"/>
          <w:lang w:val="es-ES_tradnl"/>
        </w:rPr>
        <w:t xml:space="preserve">Cruces de datos con el Buró de Crédito.  </w:t>
      </w:r>
    </w:p>
    <w:p w14:paraId="5BFF7CF0" w14:textId="77777777" w:rsidR="00E66EF3" w:rsidRPr="001010E7" w:rsidRDefault="00E66EF3" w:rsidP="009544B3">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El acceso a datos de buros de crédito es de gran importancia por los siguientes motivos: </w:t>
      </w:r>
    </w:p>
    <w:p w14:paraId="7368F96C" w14:textId="77777777" w:rsidR="00756145" w:rsidRPr="001010E7" w:rsidRDefault="00E66EF3" w:rsidP="009F0EE9">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Primeramente, los datos de los buros sirven c</w:t>
      </w:r>
      <w:r w:rsidR="009A4830" w:rsidRPr="001010E7">
        <w:rPr>
          <w:rFonts w:ascii="Arial" w:hAnsi="Arial" w:cs="Arial"/>
          <w:sz w:val="22"/>
          <w:szCs w:val="22"/>
          <w:lang w:val="es-ES_tradnl"/>
        </w:rPr>
        <w:t>omo complemento a la información recopilada con la encuesta</w:t>
      </w:r>
      <w:r w:rsidR="008428FF" w:rsidRPr="001010E7">
        <w:rPr>
          <w:rFonts w:ascii="Arial" w:hAnsi="Arial" w:cs="Arial"/>
          <w:sz w:val="22"/>
          <w:szCs w:val="22"/>
          <w:lang w:val="es-ES_tradnl"/>
        </w:rPr>
        <w:t xml:space="preserve"> y a los datos administrativos</w:t>
      </w:r>
      <w:r w:rsidRPr="001010E7">
        <w:rPr>
          <w:rFonts w:ascii="Arial" w:hAnsi="Arial" w:cs="Arial"/>
          <w:sz w:val="22"/>
          <w:szCs w:val="22"/>
          <w:lang w:val="es-ES_tradnl"/>
        </w:rPr>
        <w:t>. S</w:t>
      </w:r>
      <w:r w:rsidR="009A4830" w:rsidRPr="001010E7">
        <w:rPr>
          <w:rFonts w:ascii="Arial" w:hAnsi="Arial" w:cs="Arial"/>
          <w:sz w:val="22"/>
          <w:szCs w:val="22"/>
          <w:lang w:val="es-ES_tradnl"/>
        </w:rPr>
        <w:t xml:space="preserve">e espera utilizar reportes del Buró de Crédito para: </w:t>
      </w:r>
      <w:r w:rsidR="007A3A3A" w:rsidRPr="001010E7">
        <w:rPr>
          <w:rFonts w:ascii="Arial" w:hAnsi="Arial" w:cs="Arial"/>
          <w:sz w:val="22"/>
          <w:szCs w:val="22"/>
          <w:lang w:val="es-ES_tradnl"/>
        </w:rPr>
        <w:t>(</w:t>
      </w:r>
      <w:r w:rsidR="009A4830" w:rsidRPr="001010E7">
        <w:rPr>
          <w:rFonts w:ascii="Arial" w:hAnsi="Arial" w:cs="Arial"/>
          <w:sz w:val="22"/>
          <w:szCs w:val="22"/>
          <w:lang w:val="es-ES_tradnl"/>
        </w:rPr>
        <w:t>a) complementar el historial crediticio de los productores y empresas</w:t>
      </w:r>
      <w:r w:rsidR="007A3A3A" w:rsidRPr="001010E7">
        <w:rPr>
          <w:rFonts w:ascii="Arial" w:hAnsi="Arial" w:cs="Arial"/>
          <w:sz w:val="22"/>
          <w:szCs w:val="22"/>
          <w:lang w:val="es-ES_tradnl"/>
        </w:rPr>
        <w:t>;</w:t>
      </w:r>
      <w:r w:rsidR="009A4830" w:rsidRPr="001010E7">
        <w:rPr>
          <w:rFonts w:ascii="Arial" w:hAnsi="Arial" w:cs="Arial"/>
          <w:sz w:val="22"/>
          <w:szCs w:val="22"/>
          <w:lang w:val="es-ES_tradnl"/>
        </w:rPr>
        <w:t xml:space="preserve"> </w:t>
      </w:r>
      <w:r w:rsidR="007A3A3A" w:rsidRPr="001010E7">
        <w:rPr>
          <w:rFonts w:ascii="Arial" w:hAnsi="Arial" w:cs="Arial"/>
          <w:sz w:val="22"/>
          <w:szCs w:val="22"/>
          <w:lang w:val="es-ES_tradnl"/>
        </w:rPr>
        <w:t>(</w:t>
      </w:r>
      <w:r w:rsidR="009A4830" w:rsidRPr="001010E7">
        <w:rPr>
          <w:rFonts w:ascii="Arial" w:hAnsi="Arial" w:cs="Arial"/>
          <w:sz w:val="22"/>
          <w:szCs w:val="22"/>
          <w:lang w:val="es-ES_tradnl"/>
        </w:rPr>
        <w:t>b) comple</w:t>
      </w:r>
      <w:r w:rsidR="008428FF" w:rsidRPr="001010E7">
        <w:rPr>
          <w:rFonts w:ascii="Arial" w:hAnsi="Arial" w:cs="Arial"/>
          <w:sz w:val="22"/>
          <w:szCs w:val="22"/>
          <w:lang w:val="es-ES_tradnl"/>
        </w:rPr>
        <w:t>men</w:t>
      </w:r>
      <w:r w:rsidR="009A4830" w:rsidRPr="001010E7">
        <w:rPr>
          <w:rFonts w:ascii="Arial" w:hAnsi="Arial" w:cs="Arial"/>
          <w:sz w:val="22"/>
          <w:szCs w:val="22"/>
          <w:lang w:val="es-ES_tradnl"/>
        </w:rPr>
        <w:t xml:space="preserve">tar el impacto del crédito en el perfil financiero como el acceso a crédito de la banca privada con condiciones favorables y permitir estudiar los créditos de distintas fuentes; y </w:t>
      </w:r>
      <w:r w:rsidR="007A3A3A" w:rsidRPr="001010E7">
        <w:rPr>
          <w:rFonts w:ascii="Arial" w:hAnsi="Arial" w:cs="Arial"/>
          <w:sz w:val="22"/>
          <w:szCs w:val="22"/>
          <w:lang w:val="es-ES_tradnl"/>
        </w:rPr>
        <w:t>(</w:t>
      </w:r>
      <w:r w:rsidR="009A4830" w:rsidRPr="001010E7">
        <w:rPr>
          <w:rFonts w:ascii="Arial" w:hAnsi="Arial" w:cs="Arial"/>
          <w:sz w:val="22"/>
          <w:szCs w:val="22"/>
          <w:lang w:val="es-ES_tradnl"/>
        </w:rPr>
        <w:t>c) estudiar características y evolución de los créditos para analizar el objetivo de inclusión financiera.</w:t>
      </w:r>
    </w:p>
    <w:p w14:paraId="1D359634" w14:textId="77777777" w:rsidR="00E66EF3" w:rsidRPr="001010E7" w:rsidRDefault="00E66EF3" w:rsidP="0099774C">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Segundo, acceso a los datos de buros de crédito permitiría subsanar algunas de las principales debilidades de las dos evaluaciones descritas anteriormente. Por ejemplo: la muestra de la encuesta no es aleatoria, sino que se basa en un grupo muy selecto. Dado que la tasa de efectividad de la encuesta es de aproximadamente el 30%, los productores que responden a la encuesta pueden ser muy distintos a aquellos que no lo hacen. </w:t>
      </w:r>
    </w:p>
    <w:p w14:paraId="2BD00702" w14:textId="77777777" w:rsidR="00E66EF3" w:rsidRPr="001010E7" w:rsidRDefault="00E66EF3" w:rsidP="0099774C">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Tercero, los datos del buro podrían usarse para mitigar el riesgo que la encuesta de seguimiento no se complete de forma satisfactoria.</w:t>
      </w:r>
      <w:r w:rsidR="00E3606D" w:rsidRPr="001010E7">
        <w:rPr>
          <w:rFonts w:ascii="Arial" w:hAnsi="Arial" w:cs="Arial"/>
          <w:sz w:val="22"/>
          <w:szCs w:val="22"/>
          <w:lang w:val="es-ES_tradnl"/>
        </w:rPr>
        <w:t xml:space="preserve"> En este caso, se podría llevar adelante una evaluación de impacto adicional que no dependa de la encuesta de seguimiento que se está levantando. Dicha evaluación de impacto no permitiría medir el efecto de los créditos productivos en productividad, pero permitiría medir el efecto de los créditos productivos en otras variables de interés (como ser inclusión financiera). </w:t>
      </w:r>
    </w:p>
    <w:p w14:paraId="66A9A174" w14:textId="77777777" w:rsidR="00A61B68" w:rsidRPr="001010E7" w:rsidRDefault="00A61B68" w:rsidP="0099774C">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Como parte de este plan de evaluación, se está explorando con FND los requerimientos legales para que se comparta los reportes del buró de crédito de los solicitantes de crédito a FND (tanto aprobados como rechazados) para fines de investigación. Se está explorando que se comparta tanta información del buró de crédito para postulaciones pasadas, así como para los postulantes a crédito futuros.</w:t>
      </w:r>
    </w:p>
    <w:p w14:paraId="14A3D528" w14:textId="77777777" w:rsidR="00C43EAF" w:rsidRPr="001010E7" w:rsidRDefault="00C43EAF" w:rsidP="0099774C">
      <w:pPr>
        <w:pStyle w:val="Paragraph"/>
        <w:numPr>
          <w:ilvl w:val="0"/>
          <w:numId w:val="102"/>
        </w:numPr>
        <w:rPr>
          <w:rFonts w:ascii="Arial" w:hAnsi="Arial" w:cs="Arial"/>
          <w:i/>
          <w:sz w:val="22"/>
          <w:szCs w:val="22"/>
          <w:lang w:val="es-ES_tradnl"/>
        </w:rPr>
      </w:pPr>
      <w:r w:rsidRPr="001010E7">
        <w:rPr>
          <w:rFonts w:ascii="Arial" w:hAnsi="Arial" w:cs="Arial"/>
          <w:b/>
          <w:i/>
          <w:sz w:val="22"/>
          <w:szCs w:val="22"/>
          <w:lang w:val="es-ES_tradnl"/>
        </w:rPr>
        <w:t>Mejoras en la recolección</w:t>
      </w:r>
      <w:r w:rsidR="00952460" w:rsidRPr="001010E7">
        <w:rPr>
          <w:rFonts w:ascii="Arial" w:hAnsi="Arial" w:cs="Arial"/>
          <w:b/>
          <w:i/>
          <w:sz w:val="22"/>
          <w:szCs w:val="22"/>
          <w:lang w:val="es-ES_tradnl"/>
        </w:rPr>
        <w:t xml:space="preserve">, </w:t>
      </w:r>
      <w:r w:rsidRPr="001010E7">
        <w:rPr>
          <w:rFonts w:ascii="Arial" w:hAnsi="Arial" w:cs="Arial"/>
          <w:b/>
          <w:i/>
          <w:sz w:val="22"/>
          <w:szCs w:val="22"/>
          <w:lang w:val="es-ES_tradnl"/>
        </w:rPr>
        <w:t>digitación</w:t>
      </w:r>
      <w:r w:rsidR="00952460" w:rsidRPr="001010E7">
        <w:rPr>
          <w:rFonts w:ascii="Arial" w:hAnsi="Arial" w:cs="Arial"/>
          <w:b/>
          <w:i/>
          <w:sz w:val="22"/>
          <w:szCs w:val="22"/>
          <w:lang w:val="es-ES_tradnl"/>
        </w:rPr>
        <w:t>, y uso</w:t>
      </w:r>
      <w:r w:rsidRPr="001010E7">
        <w:rPr>
          <w:rFonts w:ascii="Arial" w:hAnsi="Arial" w:cs="Arial"/>
          <w:b/>
          <w:i/>
          <w:sz w:val="22"/>
          <w:szCs w:val="22"/>
          <w:lang w:val="es-ES_tradnl"/>
        </w:rPr>
        <w:t xml:space="preserve"> de datos de postulación. </w:t>
      </w:r>
    </w:p>
    <w:p w14:paraId="6C35163A" w14:textId="703CE5C4" w:rsidR="00952460" w:rsidRPr="001010E7" w:rsidRDefault="00952460" w:rsidP="00952460">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lastRenderedPageBreak/>
        <w:t>Cualquier evaluación de impacto de los programas de FND que se lleve adelante a futuro, podría enriquecerse si se aprovechara mejor el momento de postulación para obtener y digitalizar información clave acerca de los solicitantes de crédito. Para que esta estrategia funcione es clave que se di</w:t>
      </w:r>
      <w:r w:rsidR="001010E7" w:rsidRPr="001010E7">
        <w:rPr>
          <w:rFonts w:ascii="Arial" w:hAnsi="Arial" w:cs="Arial"/>
          <w:sz w:val="22"/>
          <w:szCs w:val="22"/>
          <w:lang w:val="es-ES_tradnl"/>
        </w:rPr>
        <w:t xml:space="preserve">gitalice información para las </w:t>
      </w:r>
      <w:r w:rsidRPr="001010E7">
        <w:rPr>
          <w:rFonts w:ascii="Arial" w:hAnsi="Arial" w:cs="Arial"/>
          <w:sz w:val="22"/>
          <w:szCs w:val="22"/>
          <w:lang w:val="es-ES_tradnl"/>
        </w:rPr>
        <w:t xml:space="preserve">solicitudes exitosas, así como también para aquellas que son rechazadas. </w:t>
      </w:r>
      <w:r w:rsidR="00A61B68" w:rsidRPr="001010E7">
        <w:rPr>
          <w:rFonts w:ascii="Arial" w:hAnsi="Arial" w:cs="Arial"/>
          <w:sz w:val="22"/>
          <w:szCs w:val="22"/>
          <w:lang w:val="es-ES_tradnl"/>
        </w:rPr>
        <w:t xml:space="preserve">Adicionalmente debe mejorarse las políticas de acceso a estos datos para fines de investigación. </w:t>
      </w:r>
    </w:p>
    <w:p w14:paraId="4BA29FD6" w14:textId="77777777" w:rsidR="00952460" w:rsidRPr="001010E7" w:rsidRDefault="00952460"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Como parte del plan de evaluación para el presente programa, se propone una estrategia de mejora al acceso de información de los solicitantes de crédito. La FND coordinará con las agencias regionales la captura y mantenimiento de la información de los postulantes al crédito. Esta actuación, quedará reflejada en el reglamento de crédito del programa y marcará una diferencia respecto a la disponibilidad de la información con la que se contaba en los dos programas anteriores. Así, en el pasado, la FND requería a los solicitantes a los que se les concede el crédito, la firma de una carta de consentimiento para el uso de los datos de los solicitantes beneficiarios de las líneas del BID. Se plantea ahora la posibilidad de ampliar el uso de la carta de consentimiento a todos los solicitantes de crédito, lo que permitiría compartir la información con el BID de todos los postulantes, independientemente de la línea de crédito, y tanto de los beneficiarios como de los rechazados. Esta opción dependerá de la aprobación del uso de la información personal según se establezca en la política interna de la FND. Por tanto, adicionalmente a los resultados de la evaluación en marcha, se está dialogando con la FN para modificar los procesos internos que permitan tener y conservar la información de solicitantes al crédito, tanto para los beneficiarios como para los rechazados. La propuesta en estudio implicaría que la recogida de información se pueda realizar fácilmente de manera digital, por ejemplo, mediante una aplicación de móvil.</w:t>
      </w:r>
    </w:p>
    <w:p w14:paraId="38DABCD1" w14:textId="77777777" w:rsidR="00952460" w:rsidRPr="001010E7" w:rsidRDefault="00952460" w:rsidP="001010E7">
      <w:pPr>
        <w:pStyle w:val="Paragraph"/>
        <w:tabs>
          <w:tab w:val="clear" w:pos="2736"/>
          <w:tab w:val="num" w:pos="720"/>
        </w:tabs>
        <w:ind w:left="720" w:hanging="720"/>
        <w:rPr>
          <w:rFonts w:ascii="Arial" w:hAnsi="Arial" w:cs="Arial"/>
          <w:sz w:val="22"/>
          <w:szCs w:val="22"/>
          <w:lang w:val="es-ES_tradnl"/>
        </w:rPr>
      </w:pPr>
      <w:r w:rsidRPr="001010E7">
        <w:rPr>
          <w:rFonts w:ascii="Arial" w:hAnsi="Arial" w:cs="Arial"/>
          <w:sz w:val="22"/>
          <w:szCs w:val="22"/>
          <w:lang w:val="es-ES_tradnl"/>
        </w:rPr>
        <w:t xml:space="preserve">En definitiva, mediante estos acuerdos con la FND, se abre la posibilidad a utilizar información administrativa valiosa para el análisis de los impactos, eliminando trabas legales al uso restrictivo de la información sin consentimiento previo de los solicitantes. Las lecciones aprendidas del levantamiento de la línea de base para la primera y segunda operación de la CCLIP ponen de manifiesto las dificultades en la toma de información a posteriori, tales como la localización de los beneficiarios y los controles. Esta estrategia reducirá considerablemente el coste en tiempos y recursos asociado al levantamiento de la información mediante el uso de encuestas y aumenta la fiabilidad de la información en relación al historial crediticio anterior. </w:t>
      </w:r>
    </w:p>
    <w:p w14:paraId="3A8A833B" w14:textId="77777777" w:rsidR="00952460" w:rsidRPr="001010E7" w:rsidRDefault="00952460" w:rsidP="00952460">
      <w:pPr>
        <w:pStyle w:val="Paragraph"/>
        <w:numPr>
          <w:ilvl w:val="0"/>
          <w:numId w:val="0"/>
        </w:numPr>
        <w:ind w:left="720"/>
        <w:rPr>
          <w:rFonts w:ascii="Arial" w:eastAsiaTheme="minorHAnsi" w:hAnsi="Arial" w:cs="Arial"/>
          <w:sz w:val="22"/>
          <w:szCs w:val="22"/>
          <w:lang w:val="es-ES_tradnl" w:eastAsia="en-US"/>
        </w:rPr>
      </w:pPr>
    </w:p>
    <w:tbl>
      <w:tblPr>
        <w:tblW w:w="0" w:type="auto"/>
        <w:jc w:val="right"/>
        <w:tblCellMar>
          <w:left w:w="0" w:type="dxa"/>
          <w:right w:w="0" w:type="dxa"/>
        </w:tblCellMar>
        <w:tblLook w:val="04A0" w:firstRow="1" w:lastRow="0" w:firstColumn="1" w:lastColumn="0" w:noHBand="0" w:noVBand="1"/>
      </w:tblPr>
      <w:tblGrid>
        <w:gridCol w:w="1008"/>
        <w:gridCol w:w="3060"/>
        <w:gridCol w:w="3420"/>
      </w:tblGrid>
      <w:tr w:rsidR="00952460" w:rsidRPr="001010E7" w14:paraId="523668E9" w14:textId="77777777" w:rsidTr="009F0EE9">
        <w:trPr>
          <w:trHeight w:val="251"/>
          <w:jc w:val="right"/>
        </w:trPr>
        <w:tc>
          <w:tcPr>
            <w:tcW w:w="100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ED93816" w14:textId="77777777" w:rsidR="00952460" w:rsidRPr="00B23134" w:rsidRDefault="00952460" w:rsidP="009F0EE9">
            <w:pPr>
              <w:spacing w:after="0" w:line="240" w:lineRule="auto"/>
              <w:jc w:val="center"/>
              <w:rPr>
                <w:rFonts w:ascii="Arial" w:hAnsi="Arial" w:cs="Arial"/>
                <w:b/>
                <w:bCs/>
                <w:sz w:val="18"/>
                <w:szCs w:val="18"/>
                <w:lang w:val="es-ES_tradnl"/>
              </w:rPr>
            </w:pPr>
          </w:p>
        </w:tc>
        <w:tc>
          <w:tcPr>
            <w:tcW w:w="30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E49930A" w14:textId="77777777" w:rsidR="00952460" w:rsidRPr="00B23134" w:rsidRDefault="00952460" w:rsidP="009F0EE9">
            <w:pPr>
              <w:spacing w:after="0" w:line="240" w:lineRule="auto"/>
              <w:jc w:val="center"/>
              <w:rPr>
                <w:rFonts w:ascii="Arial" w:hAnsi="Arial" w:cs="Arial"/>
                <w:b/>
                <w:bCs/>
                <w:sz w:val="18"/>
                <w:szCs w:val="18"/>
                <w:lang w:val="es-ES_tradnl"/>
              </w:rPr>
            </w:pPr>
            <w:r w:rsidRPr="00B23134">
              <w:rPr>
                <w:rFonts w:ascii="Arial" w:hAnsi="Arial" w:cs="Arial"/>
                <w:b/>
                <w:bCs/>
                <w:sz w:val="18"/>
                <w:szCs w:val="18"/>
                <w:lang w:val="es-ES_tradnl"/>
              </w:rPr>
              <w:t>Créditos BID</w:t>
            </w:r>
          </w:p>
        </w:tc>
        <w:tc>
          <w:tcPr>
            <w:tcW w:w="34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79AA19B" w14:textId="77777777" w:rsidR="00952460" w:rsidRPr="00B23134" w:rsidRDefault="00952460" w:rsidP="009F0EE9">
            <w:pPr>
              <w:spacing w:after="0" w:line="240" w:lineRule="auto"/>
              <w:jc w:val="center"/>
              <w:rPr>
                <w:rFonts w:ascii="Arial" w:hAnsi="Arial" w:cs="Arial"/>
                <w:b/>
                <w:bCs/>
                <w:sz w:val="18"/>
                <w:szCs w:val="18"/>
                <w:lang w:val="es-ES_tradnl"/>
              </w:rPr>
            </w:pPr>
            <w:r w:rsidRPr="00B23134">
              <w:rPr>
                <w:rFonts w:ascii="Arial" w:hAnsi="Arial" w:cs="Arial"/>
                <w:b/>
                <w:bCs/>
                <w:sz w:val="18"/>
                <w:szCs w:val="18"/>
                <w:lang w:val="es-ES_tradnl"/>
              </w:rPr>
              <w:t xml:space="preserve">Créditos </w:t>
            </w:r>
            <w:r w:rsidRPr="00B23134">
              <w:rPr>
                <w:rFonts w:ascii="Arial" w:hAnsi="Arial" w:cs="Arial"/>
                <w:b/>
                <w:bCs/>
                <w:sz w:val="18"/>
                <w:szCs w:val="18"/>
                <w:u w:val="single"/>
                <w:lang w:val="es-ES_tradnl"/>
              </w:rPr>
              <w:t>NO</w:t>
            </w:r>
            <w:r w:rsidRPr="00B23134">
              <w:rPr>
                <w:rFonts w:ascii="Arial" w:hAnsi="Arial" w:cs="Arial"/>
                <w:b/>
                <w:bCs/>
                <w:sz w:val="18"/>
                <w:szCs w:val="18"/>
                <w:lang w:val="es-ES_tradnl"/>
              </w:rPr>
              <w:t xml:space="preserve"> BID</w:t>
            </w:r>
          </w:p>
        </w:tc>
      </w:tr>
      <w:tr w:rsidR="00952460" w:rsidRPr="001010E7" w14:paraId="7EA6311F" w14:textId="77777777" w:rsidTr="009F0EE9">
        <w:trPr>
          <w:trHeight w:val="971"/>
          <w:jc w:val="right"/>
        </w:trPr>
        <w:tc>
          <w:tcPr>
            <w:tcW w:w="100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C6395EE" w14:textId="77777777" w:rsidR="00952460" w:rsidRPr="00B23134" w:rsidRDefault="00952460" w:rsidP="009F0EE9">
            <w:pPr>
              <w:spacing w:after="0" w:line="240" w:lineRule="auto"/>
              <w:rPr>
                <w:rFonts w:ascii="Arial" w:hAnsi="Arial" w:cs="Arial"/>
                <w:b/>
                <w:bCs/>
                <w:sz w:val="18"/>
                <w:szCs w:val="18"/>
                <w:lang w:val="es-ES_tradnl"/>
              </w:rPr>
            </w:pPr>
            <w:r w:rsidRPr="00B23134">
              <w:rPr>
                <w:rFonts w:ascii="Arial" w:hAnsi="Arial" w:cs="Arial"/>
                <w:b/>
                <w:bCs/>
                <w:sz w:val="18"/>
                <w:szCs w:val="18"/>
                <w:lang w:val="es-ES_tradnl"/>
              </w:rPr>
              <w:t>Recibió crédito</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7B726C"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Solicitante a</w:t>
            </w:r>
          </w:p>
          <w:p w14:paraId="11E18476"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créditos financiados por el BID</w:t>
            </w:r>
          </w:p>
          <w:p w14:paraId="13A35393"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Y</w:t>
            </w:r>
          </w:p>
          <w:p w14:paraId="7BC9E46C"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recibió crédito</w:t>
            </w:r>
          </w:p>
        </w:tc>
        <w:tc>
          <w:tcPr>
            <w:tcW w:w="342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B4D0204"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Solicitante a</w:t>
            </w:r>
          </w:p>
          <w:p w14:paraId="245313D2"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 xml:space="preserve">créditos </w:t>
            </w:r>
            <w:r w:rsidRPr="00B23134">
              <w:rPr>
                <w:rFonts w:ascii="Arial" w:hAnsi="Arial" w:cs="Arial"/>
                <w:b/>
                <w:bCs/>
                <w:sz w:val="18"/>
                <w:szCs w:val="18"/>
                <w:u w:val="single"/>
                <w:lang w:val="es-ES_tradnl"/>
              </w:rPr>
              <w:t>NO</w:t>
            </w:r>
            <w:r w:rsidRPr="00B23134">
              <w:rPr>
                <w:rFonts w:ascii="Arial" w:hAnsi="Arial" w:cs="Arial"/>
                <w:sz w:val="18"/>
                <w:szCs w:val="18"/>
                <w:lang w:val="es-ES_tradnl"/>
              </w:rPr>
              <w:t xml:space="preserve"> financiados por el BID</w:t>
            </w:r>
          </w:p>
          <w:p w14:paraId="222C13E4"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Y</w:t>
            </w:r>
          </w:p>
          <w:p w14:paraId="1003D8F0"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recibió crédito</w:t>
            </w:r>
          </w:p>
        </w:tc>
      </w:tr>
      <w:tr w:rsidR="00952460" w:rsidRPr="001010E7" w14:paraId="42AB7067" w14:textId="77777777" w:rsidTr="009F0EE9">
        <w:trPr>
          <w:trHeight w:val="1061"/>
          <w:jc w:val="right"/>
        </w:trPr>
        <w:tc>
          <w:tcPr>
            <w:tcW w:w="100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8B76C78" w14:textId="77777777" w:rsidR="00952460" w:rsidRPr="00B23134" w:rsidRDefault="00952460" w:rsidP="009F0EE9">
            <w:pPr>
              <w:spacing w:after="0" w:line="240" w:lineRule="auto"/>
              <w:rPr>
                <w:rFonts w:ascii="Arial" w:hAnsi="Arial" w:cs="Arial"/>
                <w:b/>
                <w:bCs/>
                <w:sz w:val="18"/>
                <w:szCs w:val="18"/>
                <w:lang w:val="es-ES_tradnl"/>
              </w:rPr>
            </w:pPr>
            <w:r w:rsidRPr="00B23134">
              <w:rPr>
                <w:rFonts w:ascii="Arial" w:hAnsi="Arial" w:cs="Arial"/>
                <w:b/>
                <w:bCs/>
                <w:sz w:val="18"/>
                <w:szCs w:val="18"/>
                <w:u w:val="single"/>
                <w:lang w:val="es-ES_tradnl"/>
              </w:rPr>
              <w:t xml:space="preserve">NO </w:t>
            </w:r>
            <w:r w:rsidRPr="00B23134">
              <w:rPr>
                <w:rFonts w:ascii="Arial" w:hAnsi="Arial" w:cs="Arial"/>
                <w:b/>
                <w:bCs/>
                <w:sz w:val="18"/>
                <w:szCs w:val="18"/>
                <w:lang w:val="es-ES_tradnl"/>
              </w:rPr>
              <w:t>Recibió crédito</w:t>
            </w:r>
          </w:p>
        </w:tc>
        <w:tc>
          <w:tcPr>
            <w:tcW w:w="30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FC91B53"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Solicitante a</w:t>
            </w:r>
          </w:p>
          <w:p w14:paraId="212A0FED"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 xml:space="preserve">créditos financiados por el BID Y </w:t>
            </w:r>
          </w:p>
          <w:p w14:paraId="65B1C997"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b/>
                <w:bCs/>
                <w:sz w:val="18"/>
                <w:szCs w:val="18"/>
                <w:u w:val="single"/>
                <w:lang w:val="es-ES_tradnl"/>
              </w:rPr>
              <w:t>NO</w:t>
            </w:r>
            <w:r w:rsidRPr="00B23134">
              <w:rPr>
                <w:rFonts w:ascii="Arial" w:hAnsi="Arial" w:cs="Arial"/>
                <w:sz w:val="18"/>
                <w:szCs w:val="18"/>
                <w:lang w:val="es-ES_tradnl"/>
              </w:rPr>
              <w:t xml:space="preserve"> recibió crédito</w:t>
            </w:r>
          </w:p>
        </w:tc>
        <w:tc>
          <w:tcPr>
            <w:tcW w:w="342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08FA588"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Solicitante a</w:t>
            </w:r>
          </w:p>
          <w:p w14:paraId="51CE4007"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 xml:space="preserve">créditos </w:t>
            </w:r>
            <w:r w:rsidRPr="00B23134">
              <w:rPr>
                <w:rFonts w:ascii="Arial" w:hAnsi="Arial" w:cs="Arial"/>
                <w:b/>
                <w:bCs/>
                <w:sz w:val="18"/>
                <w:szCs w:val="18"/>
                <w:u w:val="single"/>
                <w:lang w:val="es-ES_tradnl"/>
              </w:rPr>
              <w:t>NO</w:t>
            </w:r>
            <w:r w:rsidRPr="00B23134">
              <w:rPr>
                <w:rFonts w:ascii="Arial" w:hAnsi="Arial" w:cs="Arial"/>
                <w:sz w:val="18"/>
                <w:szCs w:val="18"/>
                <w:lang w:val="es-ES_tradnl"/>
              </w:rPr>
              <w:t xml:space="preserve"> financiados por el BID</w:t>
            </w:r>
          </w:p>
          <w:p w14:paraId="707B1C7D"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sz w:val="18"/>
                <w:szCs w:val="18"/>
                <w:lang w:val="es-ES_tradnl"/>
              </w:rPr>
              <w:t>Y</w:t>
            </w:r>
          </w:p>
          <w:p w14:paraId="3E00E058" w14:textId="77777777" w:rsidR="00952460" w:rsidRPr="00B23134" w:rsidRDefault="00952460" w:rsidP="009F0EE9">
            <w:pPr>
              <w:spacing w:after="0" w:line="240" w:lineRule="auto"/>
              <w:jc w:val="center"/>
              <w:rPr>
                <w:rFonts w:ascii="Arial" w:hAnsi="Arial" w:cs="Arial"/>
                <w:sz w:val="18"/>
                <w:szCs w:val="18"/>
                <w:lang w:val="es-ES_tradnl"/>
              </w:rPr>
            </w:pPr>
            <w:r w:rsidRPr="00B23134">
              <w:rPr>
                <w:rFonts w:ascii="Arial" w:hAnsi="Arial" w:cs="Arial"/>
                <w:b/>
                <w:bCs/>
                <w:sz w:val="18"/>
                <w:szCs w:val="18"/>
                <w:u w:val="single"/>
                <w:lang w:val="es-ES_tradnl"/>
              </w:rPr>
              <w:t>NO</w:t>
            </w:r>
            <w:r w:rsidRPr="00B23134">
              <w:rPr>
                <w:rFonts w:ascii="Arial" w:hAnsi="Arial" w:cs="Arial"/>
                <w:sz w:val="18"/>
                <w:szCs w:val="18"/>
                <w:lang w:val="es-ES_tradnl"/>
              </w:rPr>
              <w:t xml:space="preserve"> recibió crédito</w:t>
            </w:r>
          </w:p>
        </w:tc>
      </w:tr>
    </w:tbl>
    <w:p w14:paraId="4603F07E" w14:textId="77777777" w:rsidR="00952460" w:rsidRPr="001010E7" w:rsidRDefault="00952460" w:rsidP="0099774C">
      <w:pPr>
        <w:pStyle w:val="Paragraph"/>
        <w:numPr>
          <w:ilvl w:val="0"/>
          <w:numId w:val="0"/>
        </w:numPr>
        <w:ind w:left="720"/>
        <w:rPr>
          <w:rFonts w:ascii="Arial" w:eastAsiaTheme="minorHAnsi" w:hAnsi="Arial" w:cs="Arial"/>
          <w:sz w:val="22"/>
          <w:szCs w:val="22"/>
          <w:lang w:val="es-ES_tradnl" w:eastAsia="en-US"/>
        </w:rPr>
      </w:pPr>
    </w:p>
    <w:p w14:paraId="202DD9C8" w14:textId="35F1585A" w:rsidR="00952460" w:rsidRPr="001010E7" w:rsidRDefault="00952460" w:rsidP="0099774C">
      <w:pPr>
        <w:pStyle w:val="Paragraph"/>
        <w:tabs>
          <w:tab w:val="clear" w:pos="2736"/>
          <w:tab w:val="num" w:pos="720"/>
        </w:tabs>
        <w:ind w:left="720" w:hanging="720"/>
        <w:rPr>
          <w:rFonts w:ascii="Arial" w:eastAsiaTheme="minorHAnsi" w:hAnsi="Arial" w:cs="Arial"/>
          <w:sz w:val="22"/>
          <w:szCs w:val="22"/>
          <w:lang w:val="es-ES_tradnl" w:eastAsia="en-US"/>
        </w:rPr>
      </w:pPr>
      <w:r w:rsidRPr="001010E7">
        <w:rPr>
          <w:rFonts w:ascii="Arial" w:eastAsiaTheme="minorHAnsi" w:hAnsi="Arial" w:cs="Arial"/>
          <w:sz w:val="22"/>
          <w:szCs w:val="22"/>
          <w:lang w:val="es-ES_tradnl" w:eastAsia="en-US"/>
        </w:rPr>
        <w:t>Se está explorando una cooperación técnica que ayude al diseño de un sistema de recolección de datos más rápido y eficiente (por ejemplo, vía tabletas o celulares)</w:t>
      </w:r>
      <w:r w:rsidR="001010E7" w:rsidRPr="001010E7">
        <w:rPr>
          <w:rFonts w:ascii="Arial" w:eastAsiaTheme="minorHAnsi" w:hAnsi="Arial" w:cs="Arial"/>
          <w:sz w:val="22"/>
          <w:szCs w:val="22"/>
          <w:lang w:val="es-ES_tradnl" w:eastAsia="en-US"/>
        </w:rPr>
        <w:t>.</w:t>
      </w:r>
    </w:p>
    <w:p w14:paraId="1A08967D" w14:textId="77777777" w:rsidR="00E3606D" w:rsidRPr="001010E7" w:rsidRDefault="00E3606D" w:rsidP="0099774C">
      <w:pPr>
        <w:pStyle w:val="Paragraph"/>
        <w:tabs>
          <w:tab w:val="clear" w:pos="2736"/>
          <w:tab w:val="num" w:pos="720"/>
        </w:tabs>
        <w:ind w:left="720" w:hanging="720"/>
        <w:rPr>
          <w:rFonts w:ascii="Arial" w:eastAsiaTheme="minorHAnsi" w:hAnsi="Arial" w:cs="Arial"/>
          <w:sz w:val="22"/>
          <w:szCs w:val="22"/>
          <w:lang w:val="es-ES_tradnl" w:eastAsia="en-US"/>
        </w:rPr>
      </w:pPr>
      <w:r w:rsidRPr="001010E7">
        <w:rPr>
          <w:rFonts w:ascii="Arial" w:eastAsiaTheme="minorHAnsi" w:hAnsi="Arial" w:cs="Arial"/>
          <w:sz w:val="22"/>
          <w:szCs w:val="22"/>
          <w:lang w:val="es-ES_tradnl" w:eastAsia="en-US"/>
        </w:rPr>
        <w:t xml:space="preserve">Una mejor recolección de información de postulación es de gran importancia para que la CLIPP pueda evaluarse de forma rigurosa, incluso si la encuesta </w:t>
      </w:r>
      <w:r w:rsidR="00952460" w:rsidRPr="001010E7">
        <w:rPr>
          <w:rFonts w:ascii="Arial" w:eastAsiaTheme="minorHAnsi" w:hAnsi="Arial" w:cs="Arial"/>
          <w:sz w:val="22"/>
          <w:szCs w:val="22"/>
          <w:lang w:val="es-ES_tradnl" w:eastAsia="en-US"/>
        </w:rPr>
        <w:t>que se está llevado adelante no llega a completarse.</w:t>
      </w:r>
    </w:p>
    <w:p w14:paraId="5682022A" w14:textId="77777777" w:rsidR="00AA1477" w:rsidRPr="001010E7" w:rsidRDefault="00AA1477" w:rsidP="001010E7">
      <w:pPr>
        <w:pStyle w:val="SubSubPar"/>
        <w:numPr>
          <w:ilvl w:val="0"/>
          <w:numId w:val="84"/>
        </w:numPr>
        <w:ind w:left="1710" w:hanging="1890"/>
        <w:jc w:val="center"/>
        <w:rPr>
          <w:rFonts w:ascii="Arial" w:hAnsi="Arial" w:cs="Arial"/>
          <w:sz w:val="22"/>
          <w:szCs w:val="22"/>
          <w:lang w:val="es-ES_tradnl"/>
        </w:rPr>
      </w:pPr>
      <w:r w:rsidRPr="001010E7">
        <w:rPr>
          <w:rFonts w:ascii="Arial" w:hAnsi="Arial" w:cs="Arial"/>
          <w:b/>
          <w:sz w:val="22"/>
          <w:szCs w:val="22"/>
          <w:lang w:val="es-ES_tradnl"/>
        </w:rPr>
        <w:t>Plan de trabajo, estrategia y presupuesto</w:t>
      </w:r>
    </w:p>
    <w:p w14:paraId="5499ED68" w14:textId="77777777" w:rsidR="00181F1E" w:rsidRPr="001010E7" w:rsidRDefault="00181F1E" w:rsidP="001010E7">
      <w:pPr>
        <w:pStyle w:val="Paragraph"/>
        <w:tabs>
          <w:tab w:val="clear" w:pos="2736"/>
          <w:tab w:val="num" w:pos="720"/>
        </w:tabs>
        <w:ind w:left="720" w:hanging="720"/>
        <w:rPr>
          <w:rFonts w:ascii="Arial" w:eastAsiaTheme="minorHAnsi" w:hAnsi="Arial" w:cs="Arial"/>
          <w:sz w:val="22"/>
          <w:szCs w:val="22"/>
          <w:lang w:val="es-ES_tradnl"/>
        </w:rPr>
      </w:pPr>
      <w:r w:rsidRPr="001010E7">
        <w:rPr>
          <w:rFonts w:ascii="Arial" w:eastAsiaTheme="minorHAnsi" w:hAnsi="Arial" w:cs="Arial"/>
          <w:sz w:val="22"/>
          <w:szCs w:val="22"/>
          <w:lang w:val="es-ES_tradnl" w:eastAsia="en-US"/>
        </w:rPr>
        <w:t>E</w:t>
      </w:r>
      <w:r w:rsidR="00B24C27" w:rsidRPr="001010E7">
        <w:rPr>
          <w:rFonts w:ascii="Arial" w:eastAsiaTheme="minorHAnsi" w:hAnsi="Arial" w:cs="Arial"/>
          <w:sz w:val="22"/>
          <w:szCs w:val="22"/>
          <w:lang w:val="es-ES_tradnl" w:eastAsia="en-US"/>
        </w:rPr>
        <w:t>l</w:t>
      </w:r>
      <w:r w:rsidRPr="001010E7">
        <w:rPr>
          <w:rFonts w:ascii="Arial" w:eastAsiaTheme="minorHAnsi" w:hAnsi="Arial" w:cs="Arial"/>
          <w:sz w:val="22"/>
          <w:szCs w:val="22"/>
          <w:lang w:val="es-ES_tradnl"/>
        </w:rPr>
        <w:t xml:space="preserve"> siguiente plan de trabajo es una continuidad del plan de trabajo diseñado para la primera</w:t>
      </w:r>
      <w:r w:rsidR="00473AEF" w:rsidRPr="001010E7">
        <w:rPr>
          <w:rFonts w:ascii="Arial" w:eastAsiaTheme="minorHAnsi" w:hAnsi="Arial" w:cs="Arial"/>
          <w:sz w:val="22"/>
          <w:szCs w:val="22"/>
          <w:lang w:val="es-ES_tradnl"/>
        </w:rPr>
        <w:t xml:space="preserve"> y segunda</w:t>
      </w:r>
      <w:r w:rsidRPr="001010E7">
        <w:rPr>
          <w:rFonts w:ascii="Arial" w:eastAsiaTheme="minorHAnsi" w:hAnsi="Arial" w:cs="Arial"/>
          <w:sz w:val="22"/>
          <w:szCs w:val="22"/>
          <w:lang w:val="es-ES_tradnl"/>
        </w:rPr>
        <w:t xml:space="preserve"> operación del CLIPP, en este sentido como se indicó previamente, se espera que la evaluación de impacto permita establecer la atribución de los resultados </w:t>
      </w:r>
      <w:r w:rsidR="00D27100" w:rsidRPr="001010E7">
        <w:rPr>
          <w:rFonts w:ascii="Arial" w:eastAsiaTheme="minorHAnsi" w:hAnsi="Arial" w:cs="Arial"/>
          <w:sz w:val="22"/>
          <w:szCs w:val="22"/>
          <w:lang w:val="es-ES_tradnl"/>
        </w:rPr>
        <w:t>para el conjunto de la CCIP</w:t>
      </w:r>
      <w:r w:rsidRPr="001010E7">
        <w:rPr>
          <w:rFonts w:ascii="Arial" w:eastAsiaTheme="minorHAnsi" w:hAnsi="Arial" w:cs="Arial"/>
          <w:sz w:val="22"/>
          <w:szCs w:val="22"/>
          <w:lang w:val="es-ES_tradnl"/>
        </w:rPr>
        <w:t xml:space="preserve">. Se han actualizado los costes incorporando la recogida de información para el </w:t>
      </w:r>
      <w:r w:rsidR="004A3D57" w:rsidRPr="001010E7">
        <w:rPr>
          <w:rFonts w:ascii="Arial" w:eastAsiaTheme="minorHAnsi" w:hAnsi="Arial" w:cs="Arial"/>
          <w:sz w:val="22"/>
          <w:szCs w:val="22"/>
          <w:lang w:val="es-ES_tradnl"/>
        </w:rPr>
        <w:t xml:space="preserve">tercer </w:t>
      </w:r>
      <w:r w:rsidRPr="001010E7">
        <w:rPr>
          <w:rFonts w:ascii="Arial" w:eastAsiaTheme="minorHAnsi" w:hAnsi="Arial" w:cs="Arial"/>
          <w:sz w:val="22"/>
          <w:szCs w:val="22"/>
          <w:lang w:val="es-ES_tradnl"/>
        </w:rPr>
        <w:t xml:space="preserve">programa y </w:t>
      </w:r>
      <w:r w:rsidR="004A3D57" w:rsidRPr="001010E7">
        <w:rPr>
          <w:rFonts w:ascii="Arial" w:eastAsiaTheme="minorHAnsi" w:hAnsi="Arial" w:cs="Arial"/>
          <w:sz w:val="22"/>
          <w:szCs w:val="22"/>
          <w:lang w:val="es-ES_tradnl"/>
        </w:rPr>
        <w:t>los análisis de la encuesta</w:t>
      </w:r>
      <w:r w:rsidRPr="001010E7">
        <w:rPr>
          <w:rFonts w:ascii="Arial" w:eastAsiaTheme="minorHAnsi" w:hAnsi="Arial" w:cs="Arial"/>
          <w:sz w:val="22"/>
          <w:szCs w:val="22"/>
          <w:lang w:val="es-ES_tradnl"/>
        </w:rPr>
        <w:t xml:space="preserve">. </w:t>
      </w:r>
    </w:p>
    <w:p w14:paraId="30359B0E" w14:textId="77777777" w:rsidR="00952460" w:rsidRPr="001010E7" w:rsidRDefault="00952460" w:rsidP="001010E7">
      <w:pPr>
        <w:pStyle w:val="Chapter"/>
        <w:keepLines/>
        <w:rPr>
          <w:rFonts w:ascii="Arial" w:hAnsi="Arial" w:cs="Arial"/>
          <w:b w:val="0"/>
          <w:sz w:val="22"/>
          <w:szCs w:val="22"/>
          <w:lang w:val="es-ES_tradnl"/>
        </w:rPr>
      </w:pPr>
      <w:r w:rsidRPr="001010E7">
        <w:rPr>
          <w:rFonts w:ascii="Arial" w:hAnsi="Arial" w:cs="Arial"/>
          <w:sz w:val="22"/>
          <w:szCs w:val="22"/>
          <w:lang w:val="es-ES_tradnl"/>
        </w:rPr>
        <w:t>Cuadro 4: Plan de trabajo y presupuesto de evaluación</w:t>
      </w:r>
    </w:p>
    <w:tbl>
      <w:tblPr>
        <w:tblStyle w:val="TableGrid"/>
        <w:tblW w:w="0" w:type="auto"/>
        <w:tblLook w:val="04A0" w:firstRow="1" w:lastRow="0" w:firstColumn="1" w:lastColumn="0" w:noHBand="0" w:noVBand="1"/>
      </w:tblPr>
      <w:tblGrid>
        <w:gridCol w:w="1470"/>
        <w:gridCol w:w="583"/>
        <w:gridCol w:w="583"/>
        <w:gridCol w:w="583"/>
        <w:gridCol w:w="683"/>
        <w:gridCol w:w="1546"/>
        <w:gridCol w:w="1657"/>
        <w:gridCol w:w="1227"/>
      </w:tblGrid>
      <w:tr w:rsidR="004A3D57" w:rsidRPr="001010E7" w14:paraId="33ABEF44" w14:textId="77777777" w:rsidTr="009544B3">
        <w:tc>
          <w:tcPr>
            <w:tcW w:w="1470" w:type="dxa"/>
          </w:tcPr>
          <w:p w14:paraId="138A2D9F" w14:textId="32E59F99"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Actividad</w:t>
            </w:r>
          </w:p>
        </w:tc>
        <w:tc>
          <w:tcPr>
            <w:tcW w:w="583" w:type="dxa"/>
          </w:tcPr>
          <w:p w14:paraId="3704F5D1"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‘17</w:t>
            </w:r>
          </w:p>
        </w:tc>
        <w:tc>
          <w:tcPr>
            <w:tcW w:w="583" w:type="dxa"/>
          </w:tcPr>
          <w:p w14:paraId="54573096"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‘18</w:t>
            </w:r>
          </w:p>
        </w:tc>
        <w:tc>
          <w:tcPr>
            <w:tcW w:w="583" w:type="dxa"/>
          </w:tcPr>
          <w:p w14:paraId="2FEFC648"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‘19</w:t>
            </w:r>
          </w:p>
        </w:tc>
        <w:tc>
          <w:tcPr>
            <w:tcW w:w="683" w:type="dxa"/>
          </w:tcPr>
          <w:p w14:paraId="1C967F31"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‘20</w:t>
            </w:r>
          </w:p>
        </w:tc>
        <w:tc>
          <w:tcPr>
            <w:tcW w:w="1546" w:type="dxa"/>
          </w:tcPr>
          <w:p w14:paraId="549A35C5"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Costo</w:t>
            </w:r>
          </w:p>
        </w:tc>
        <w:tc>
          <w:tcPr>
            <w:tcW w:w="1657" w:type="dxa"/>
          </w:tcPr>
          <w:p w14:paraId="3B0D9E88"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Responsable</w:t>
            </w:r>
          </w:p>
        </w:tc>
        <w:tc>
          <w:tcPr>
            <w:tcW w:w="1075" w:type="dxa"/>
          </w:tcPr>
          <w:p w14:paraId="1487AAB0" w14:textId="77777777" w:rsidR="004A3D57" w:rsidRPr="00B23134" w:rsidRDefault="004A3D57" w:rsidP="0099774C">
            <w:pPr>
              <w:keepNext/>
              <w:keepLines/>
              <w:spacing w:after="0"/>
              <w:jc w:val="center"/>
              <w:rPr>
                <w:rFonts w:ascii="Arial" w:hAnsi="Arial" w:cs="Arial"/>
                <w:b/>
                <w:sz w:val="18"/>
                <w:szCs w:val="18"/>
                <w:lang w:val="es-ES_tradnl"/>
              </w:rPr>
            </w:pPr>
            <w:r w:rsidRPr="00B23134">
              <w:rPr>
                <w:rFonts w:ascii="Arial" w:hAnsi="Arial" w:cs="Arial"/>
                <w:b/>
                <w:sz w:val="18"/>
                <w:szCs w:val="18"/>
                <w:lang w:val="es-ES_tradnl"/>
              </w:rPr>
              <w:t>Fondeo</w:t>
            </w:r>
          </w:p>
        </w:tc>
      </w:tr>
      <w:tr w:rsidR="004A3D57" w:rsidRPr="001010E7" w14:paraId="748DDD61" w14:textId="77777777" w:rsidTr="009544B3">
        <w:trPr>
          <w:trHeight w:val="2654"/>
        </w:trPr>
        <w:tc>
          <w:tcPr>
            <w:tcW w:w="1470" w:type="dxa"/>
          </w:tcPr>
          <w:p w14:paraId="6606C88F"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Recolección de información sobre las unidades solicitantes de crédito</w:t>
            </w:r>
          </w:p>
        </w:tc>
        <w:tc>
          <w:tcPr>
            <w:tcW w:w="583" w:type="dxa"/>
          </w:tcPr>
          <w:p w14:paraId="2D491361" w14:textId="77777777" w:rsidR="004A3D57" w:rsidRPr="00B23134" w:rsidRDefault="004A3D57" w:rsidP="009544B3">
            <w:pPr>
              <w:spacing w:after="0"/>
              <w:jc w:val="both"/>
              <w:rPr>
                <w:rFonts w:ascii="Arial" w:hAnsi="Arial" w:cs="Arial"/>
                <w:sz w:val="18"/>
                <w:szCs w:val="18"/>
              </w:rPr>
            </w:pPr>
            <w:r w:rsidRPr="00B23134">
              <w:rPr>
                <w:rFonts w:ascii="Arial" w:hAnsi="Arial" w:cs="Arial"/>
                <w:sz w:val="18"/>
                <w:szCs w:val="18"/>
              </w:rPr>
              <w:t>x</w:t>
            </w:r>
          </w:p>
        </w:tc>
        <w:tc>
          <w:tcPr>
            <w:tcW w:w="583" w:type="dxa"/>
          </w:tcPr>
          <w:p w14:paraId="67794C9F" w14:textId="77777777" w:rsidR="004A3D57" w:rsidRPr="00B23134" w:rsidRDefault="004A3D57" w:rsidP="009544B3">
            <w:pPr>
              <w:spacing w:after="0"/>
              <w:jc w:val="both"/>
              <w:rPr>
                <w:rFonts w:ascii="Arial" w:hAnsi="Arial" w:cs="Arial"/>
                <w:sz w:val="18"/>
                <w:szCs w:val="18"/>
              </w:rPr>
            </w:pPr>
            <w:r w:rsidRPr="00B23134">
              <w:rPr>
                <w:rFonts w:ascii="Arial" w:hAnsi="Arial" w:cs="Arial"/>
                <w:sz w:val="18"/>
                <w:szCs w:val="18"/>
              </w:rPr>
              <w:t>x</w:t>
            </w:r>
          </w:p>
        </w:tc>
        <w:tc>
          <w:tcPr>
            <w:tcW w:w="583" w:type="dxa"/>
          </w:tcPr>
          <w:p w14:paraId="337D6E8B" w14:textId="77777777" w:rsidR="004A3D57" w:rsidRPr="00B23134" w:rsidRDefault="004A3D57" w:rsidP="009544B3">
            <w:pPr>
              <w:spacing w:after="0"/>
              <w:jc w:val="both"/>
              <w:rPr>
                <w:rFonts w:ascii="Arial" w:hAnsi="Arial" w:cs="Arial"/>
                <w:sz w:val="18"/>
                <w:szCs w:val="18"/>
              </w:rPr>
            </w:pPr>
            <w:r w:rsidRPr="00B23134">
              <w:rPr>
                <w:rFonts w:ascii="Arial" w:hAnsi="Arial" w:cs="Arial"/>
                <w:sz w:val="18"/>
                <w:szCs w:val="18"/>
              </w:rPr>
              <w:t>x</w:t>
            </w:r>
          </w:p>
        </w:tc>
        <w:tc>
          <w:tcPr>
            <w:tcW w:w="683" w:type="dxa"/>
          </w:tcPr>
          <w:p w14:paraId="6E068ADB" w14:textId="77777777" w:rsidR="004A3D57" w:rsidRPr="00B23134" w:rsidRDefault="004A3D57" w:rsidP="009544B3">
            <w:pPr>
              <w:spacing w:after="0"/>
              <w:jc w:val="both"/>
              <w:rPr>
                <w:rFonts w:ascii="Arial" w:hAnsi="Arial" w:cs="Arial"/>
                <w:sz w:val="18"/>
                <w:szCs w:val="18"/>
              </w:rPr>
            </w:pPr>
            <w:r w:rsidRPr="00B23134">
              <w:rPr>
                <w:rFonts w:ascii="Arial" w:hAnsi="Arial" w:cs="Arial"/>
                <w:sz w:val="18"/>
                <w:szCs w:val="18"/>
              </w:rPr>
              <w:t>x</w:t>
            </w:r>
          </w:p>
        </w:tc>
        <w:tc>
          <w:tcPr>
            <w:tcW w:w="1546" w:type="dxa"/>
          </w:tcPr>
          <w:p w14:paraId="0C09F4E3"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 xml:space="preserve">La recolección de esta información ya es realizada como parte de las actividades normales de crédito, y en casos puntuales puede incorporarse a costos menores, y se considera como un costo no </w:t>
            </w:r>
            <w:r w:rsidR="004B7D01" w:rsidRPr="00B23134">
              <w:rPr>
                <w:rFonts w:ascii="Arial" w:hAnsi="Arial" w:cs="Arial"/>
                <w:sz w:val="18"/>
                <w:szCs w:val="18"/>
                <w:lang w:val="es-ES_tradnl"/>
              </w:rPr>
              <w:t>significativo.</w:t>
            </w:r>
          </w:p>
        </w:tc>
        <w:tc>
          <w:tcPr>
            <w:tcW w:w="1657" w:type="dxa"/>
          </w:tcPr>
          <w:p w14:paraId="75046FB8"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Financiera Nacional será responsable de asegurar la recolección de esta información como parte de las solicitudes de crédito que hagan las unidades.</w:t>
            </w:r>
          </w:p>
        </w:tc>
        <w:tc>
          <w:tcPr>
            <w:tcW w:w="1075" w:type="dxa"/>
          </w:tcPr>
          <w:p w14:paraId="463EDC15"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Presupuesto operativo Financiera Nacional.</w:t>
            </w:r>
          </w:p>
        </w:tc>
      </w:tr>
      <w:tr w:rsidR="004A3D57" w:rsidRPr="001010E7" w14:paraId="50C48EA8" w14:textId="77777777" w:rsidTr="009544B3">
        <w:tc>
          <w:tcPr>
            <w:tcW w:w="1470" w:type="dxa"/>
          </w:tcPr>
          <w:p w14:paraId="0172C495"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Análisis de la información de la Encuesta relevada en 2016-2017</w:t>
            </w:r>
          </w:p>
        </w:tc>
        <w:tc>
          <w:tcPr>
            <w:tcW w:w="583" w:type="dxa"/>
          </w:tcPr>
          <w:p w14:paraId="2AEC42CD" w14:textId="77777777" w:rsidR="004A3D57" w:rsidRPr="00B23134" w:rsidRDefault="004A3D57" w:rsidP="009544B3">
            <w:pPr>
              <w:spacing w:after="0"/>
              <w:jc w:val="both"/>
              <w:rPr>
                <w:rFonts w:ascii="Arial" w:hAnsi="Arial" w:cs="Arial"/>
                <w:sz w:val="18"/>
                <w:szCs w:val="18"/>
                <w:lang w:val="es-ES_tradnl"/>
              </w:rPr>
            </w:pPr>
            <w:r w:rsidRPr="00B23134">
              <w:rPr>
                <w:rFonts w:ascii="Arial" w:hAnsi="Arial" w:cs="Arial"/>
                <w:sz w:val="18"/>
                <w:szCs w:val="18"/>
                <w:lang w:val="es-ES_tradnl"/>
              </w:rPr>
              <w:t>X</w:t>
            </w:r>
          </w:p>
        </w:tc>
        <w:tc>
          <w:tcPr>
            <w:tcW w:w="583" w:type="dxa"/>
          </w:tcPr>
          <w:p w14:paraId="44CB6E91" w14:textId="77777777" w:rsidR="004A3D57" w:rsidRPr="00B23134" w:rsidRDefault="004A3D57" w:rsidP="009544B3">
            <w:pPr>
              <w:spacing w:after="0"/>
              <w:jc w:val="both"/>
              <w:rPr>
                <w:rFonts w:ascii="Arial" w:hAnsi="Arial" w:cs="Arial"/>
                <w:sz w:val="18"/>
                <w:szCs w:val="18"/>
                <w:lang w:val="es-ES_tradnl"/>
              </w:rPr>
            </w:pPr>
          </w:p>
        </w:tc>
        <w:tc>
          <w:tcPr>
            <w:tcW w:w="583" w:type="dxa"/>
          </w:tcPr>
          <w:p w14:paraId="4B5D8994" w14:textId="77777777" w:rsidR="004A3D57" w:rsidRPr="00B23134" w:rsidRDefault="004A3D57" w:rsidP="009544B3">
            <w:pPr>
              <w:spacing w:after="0"/>
              <w:jc w:val="both"/>
              <w:rPr>
                <w:rFonts w:ascii="Arial" w:hAnsi="Arial" w:cs="Arial"/>
                <w:sz w:val="18"/>
                <w:szCs w:val="18"/>
              </w:rPr>
            </w:pPr>
          </w:p>
        </w:tc>
        <w:tc>
          <w:tcPr>
            <w:tcW w:w="683" w:type="dxa"/>
          </w:tcPr>
          <w:p w14:paraId="5E73CD47" w14:textId="77777777" w:rsidR="004A3D57" w:rsidRPr="00B23134" w:rsidRDefault="004A3D57" w:rsidP="009544B3">
            <w:pPr>
              <w:spacing w:after="0"/>
              <w:jc w:val="both"/>
              <w:rPr>
                <w:rFonts w:ascii="Arial" w:hAnsi="Arial" w:cs="Arial"/>
                <w:sz w:val="18"/>
                <w:szCs w:val="18"/>
              </w:rPr>
            </w:pPr>
          </w:p>
        </w:tc>
        <w:tc>
          <w:tcPr>
            <w:tcW w:w="1546" w:type="dxa"/>
          </w:tcPr>
          <w:p w14:paraId="1B9706D2" w14:textId="77777777" w:rsidR="00473AEF" w:rsidRPr="00B23134" w:rsidRDefault="00473AEF"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Cruces</w:t>
            </w:r>
            <w:r w:rsidR="008B0A8D" w:rsidRPr="00B23134">
              <w:rPr>
                <w:rFonts w:ascii="Arial" w:hAnsi="Arial" w:cs="Arial"/>
                <w:sz w:val="18"/>
                <w:szCs w:val="18"/>
                <w:lang w:val="es-ES_tradnl"/>
              </w:rPr>
              <w:t xml:space="preserve"> d</w:t>
            </w:r>
            <w:r w:rsidRPr="00B23134">
              <w:rPr>
                <w:rFonts w:ascii="Arial" w:hAnsi="Arial" w:cs="Arial"/>
                <w:sz w:val="18"/>
                <w:szCs w:val="18"/>
                <w:lang w:val="es-ES_tradnl"/>
              </w:rPr>
              <w:t xml:space="preserve">e bases de datos y Bureau de crédito para historial crediticio </w:t>
            </w:r>
          </w:p>
          <w:p w14:paraId="0BED5A98" w14:textId="47423768" w:rsidR="004A3D57" w:rsidRPr="00B23134" w:rsidRDefault="00473AEF"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Estimado US$50,000</w:t>
            </w:r>
          </w:p>
        </w:tc>
        <w:tc>
          <w:tcPr>
            <w:tcW w:w="1657" w:type="dxa"/>
          </w:tcPr>
          <w:p w14:paraId="2BB92474"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BID fue responsable de contratar la realización de las encuestas con recursos contemplados bajo ESW 2016 y 2017</w:t>
            </w:r>
            <w:r w:rsidR="00473AEF" w:rsidRPr="00B23134">
              <w:rPr>
                <w:rFonts w:ascii="Arial" w:hAnsi="Arial" w:cs="Arial"/>
                <w:sz w:val="18"/>
                <w:szCs w:val="18"/>
                <w:lang w:val="es-ES_tradnl"/>
              </w:rPr>
              <w:t>. Se requiere FN aporte historial crediticio del Bureau de Crédito y análisis de información del INEGI</w:t>
            </w:r>
            <w:r w:rsidRPr="00B23134">
              <w:rPr>
                <w:rFonts w:ascii="Arial" w:hAnsi="Arial" w:cs="Arial"/>
                <w:sz w:val="18"/>
                <w:szCs w:val="18"/>
                <w:lang w:val="es-ES_tradnl"/>
              </w:rPr>
              <w:t xml:space="preserve"> </w:t>
            </w:r>
          </w:p>
        </w:tc>
        <w:tc>
          <w:tcPr>
            <w:tcW w:w="1075" w:type="dxa"/>
          </w:tcPr>
          <w:p w14:paraId="78B8488F" w14:textId="77777777" w:rsidR="004A3D57" w:rsidRPr="00B23134" w:rsidRDefault="00473AEF"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Presupuesto del programa</w:t>
            </w:r>
          </w:p>
        </w:tc>
      </w:tr>
      <w:tr w:rsidR="004A3D57" w:rsidRPr="00D47E65" w14:paraId="2DB0D3FA" w14:textId="77777777" w:rsidTr="009544B3">
        <w:tc>
          <w:tcPr>
            <w:tcW w:w="1470" w:type="dxa"/>
          </w:tcPr>
          <w:p w14:paraId="1FA1B4DA"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Procesamiento, análisis, y resultados de la evaluación de impacto</w:t>
            </w:r>
          </w:p>
        </w:tc>
        <w:tc>
          <w:tcPr>
            <w:tcW w:w="583" w:type="dxa"/>
          </w:tcPr>
          <w:p w14:paraId="19A3BF4D" w14:textId="77777777" w:rsidR="004A3D57" w:rsidRPr="00B23134" w:rsidRDefault="004A3D57" w:rsidP="009544B3">
            <w:pPr>
              <w:spacing w:after="0"/>
              <w:jc w:val="both"/>
              <w:rPr>
                <w:rFonts w:ascii="Arial" w:hAnsi="Arial" w:cs="Arial"/>
                <w:sz w:val="18"/>
                <w:szCs w:val="18"/>
                <w:lang w:val="es-ES_tradnl"/>
              </w:rPr>
            </w:pPr>
            <w:r w:rsidRPr="00B23134">
              <w:rPr>
                <w:rFonts w:ascii="Arial" w:hAnsi="Arial" w:cs="Arial"/>
                <w:sz w:val="18"/>
                <w:szCs w:val="18"/>
                <w:lang w:val="es-ES_tradnl"/>
              </w:rPr>
              <w:t>x</w:t>
            </w:r>
          </w:p>
        </w:tc>
        <w:tc>
          <w:tcPr>
            <w:tcW w:w="583" w:type="dxa"/>
          </w:tcPr>
          <w:p w14:paraId="39EEB7FA" w14:textId="77777777" w:rsidR="004A3D57" w:rsidRPr="00B23134" w:rsidRDefault="004A3D57" w:rsidP="009544B3">
            <w:pPr>
              <w:spacing w:after="0"/>
              <w:jc w:val="both"/>
              <w:rPr>
                <w:rFonts w:ascii="Arial" w:hAnsi="Arial" w:cs="Arial"/>
                <w:sz w:val="18"/>
                <w:szCs w:val="18"/>
                <w:lang w:val="es-ES_tradnl"/>
              </w:rPr>
            </w:pPr>
          </w:p>
        </w:tc>
        <w:tc>
          <w:tcPr>
            <w:tcW w:w="583" w:type="dxa"/>
          </w:tcPr>
          <w:p w14:paraId="1614C4D8" w14:textId="77777777" w:rsidR="004A3D57" w:rsidRPr="00B23134" w:rsidRDefault="004A3D57" w:rsidP="009544B3">
            <w:pPr>
              <w:spacing w:after="0"/>
              <w:jc w:val="both"/>
              <w:rPr>
                <w:rFonts w:ascii="Arial" w:hAnsi="Arial" w:cs="Arial"/>
                <w:sz w:val="18"/>
                <w:szCs w:val="18"/>
              </w:rPr>
            </w:pPr>
          </w:p>
        </w:tc>
        <w:tc>
          <w:tcPr>
            <w:tcW w:w="683" w:type="dxa"/>
          </w:tcPr>
          <w:p w14:paraId="35D04FD6" w14:textId="77777777" w:rsidR="004A3D57" w:rsidRPr="00B23134" w:rsidRDefault="004A3D57" w:rsidP="009544B3">
            <w:pPr>
              <w:spacing w:after="0"/>
              <w:jc w:val="both"/>
              <w:rPr>
                <w:rFonts w:ascii="Arial" w:hAnsi="Arial" w:cs="Arial"/>
                <w:sz w:val="18"/>
                <w:szCs w:val="18"/>
              </w:rPr>
            </w:pPr>
          </w:p>
        </w:tc>
        <w:tc>
          <w:tcPr>
            <w:tcW w:w="1546" w:type="dxa"/>
          </w:tcPr>
          <w:p w14:paraId="13939585"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t xml:space="preserve">Se estima que estas actividades pueden ser realizadas por </w:t>
            </w:r>
            <w:r w:rsidRPr="00B23134">
              <w:rPr>
                <w:rFonts w:ascii="Arial" w:hAnsi="Arial" w:cs="Arial"/>
                <w:sz w:val="18"/>
                <w:szCs w:val="18"/>
                <w:lang w:val="es-ES_tradnl"/>
              </w:rPr>
              <w:lastRenderedPageBreak/>
              <w:t>un consultor (con la ayuda de un asistente) que ha de estar involucrado en el proceso de recolección de información. El monto estimado es de US$</w:t>
            </w:r>
            <w:r w:rsidR="00473AEF" w:rsidRPr="00B23134">
              <w:rPr>
                <w:rFonts w:ascii="Arial" w:hAnsi="Arial" w:cs="Arial"/>
                <w:sz w:val="18"/>
                <w:szCs w:val="18"/>
                <w:lang w:val="es-ES_tradnl"/>
              </w:rPr>
              <w:t>4</w:t>
            </w:r>
            <w:r w:rsidRPr="00B23134">
              <w:rPr>
                <w:rFonts w:ascii="Arial" w:hAnsi="Arial" w:cs="Arial"/>
                <w:sz w:val="18"/>
                <w:szCs w:val="18"/>
                <w:lang w:val="es-ES_tradnl"/>
              </w:rPr>
              <w:t>0,000.</w:t>
            </w:r>
          </w:p>
        </w:tc>
        <w:tc>
          <w:tcPr>
            <w:tcW w:w="1657" w:type="dxa"/>
          </w:tcPr>
          <w:p w14:paraId="1FDBBB74" w14:textId="77777777" w:rsidR="004A3D57" w:rsidRPr="00B23134" w:rsidRDefault="004A3D57" w:rsidP="001010E7">
            <w:pPr>
              <w:spacing w:after="0" w:line="240" w:lineRule="auto"/>
              <w:jc w:val="both"/>
              <w:rPr>
                <w:rFonts w:ascii="Arial" w:hAnsi="Arial" w:cs="Arial"/>
                <w:sz w:val="18"/>
                <w:szCs w:val="18"/>
                <w:lang w:val="es-ES_tradnl"/>
              </w:rPr>
            </w:pPr>
            <w:r w:rsidRPr="00B23134">
              <w:rPr>
                <w:rFonts w:ascii="Arial" w:hAnsi="Arial" w:cs="Arial"/>
                <w:sz w:val="18"/>
                <w:szCs w:val="18"/>
                <w:lang w:val="es-ES_tradnl"/>
              </w:rPr>
              <w:lastRenderedPageBreak/>
              <w:t xml:space="preserve">Financiera Nacional será responsable de seleccionar y contratar al </w:t>
            </w:r>
            <w:r w:rsidRPr="00B23134">
              <w:rPr>
                <w:rFonts w:ascii="Arial" w:hAnsi="Arial" w:cs="Arial"/>
                <w:sz w:val="18"/>
                <w:szCs w:val="18"/>
                <w:lang w:val="es-ES_tradnl"/>
              </w:rPr>
              <w:lastRenderedPageBreak/>
              <w:t xml:space="preserve">consultor con recursos contemplados bajo el programa propuesto, quien participará en el diseño, </w:t>
            </w:r>
            <w:r w:rsidR="000212AB" w:rsidRPr="00B23134">
              <w:rPr>
                <w:rFonts w:ascii="Arial" w:hAnsi="Arial" w:cs="Arial"/>
                <w:sz w:val="18"/>
                <w:szCs w:val="18"/>
                <w:lang w:val="es-ES_tradnl"/>
              </w:rPr>
              <w:t>implementación</w:t>
            </w:r>
            <w:r w:rsidRPr="00B23134">
              <w:rPr>
                <w:rFonts w:ascii="Arial" w:hAnsi="Arial" w:cs="Arial"/>
                <w:sz w:val="18"/>
                <w:szCs w:val="18"/>
                <w:lang w:val="es-ES_tradnl"/>
              </w:rPr>
              <w:t xml:space="preserve"> y coordinación de las encuestas.</w:t>
            </w:r>
          </w:p>
        </w:tc>
        <w:tc>
          <w:tcPr>
            <w:tcW w:w="1075" w:type="dxa"/>
          </w:tcPr>
          <w:p w14:paraId="4BB30417" w14:textId="77777777" w:rsidR="004A3D57" w:rsidRPr="00B23134" w:rsidRDefault="000212AB" w:rsidP="009544B3">
            <w:pPr>
              <w:spacing w:after="0"/>
              <w:jc w:val="both"/>
              <w:rPr>
                <w:rFonts w:ascii="Arial" w:hAnsi="Arial" w:cs="Arial"/>
                <w:sz w:val="18"/>
                <w:szCs w:val="18"/>
                <w:lang w:val="es-ES_tradnl"/>
              </w:rPr>
            </w:pPr>
            <w:r w:rsidRPr="00B23134">
              <w:rPr>
                <w:rFonts w:ascii="Arial" w:hAnsi="Arial" w:cs="Arial"/>
                <w:sz w:val="18"/>
                <w:szCs w:val="18"/>
                <w:lang w:val="es-ES_tradnl"/>
              </w:rPr>
              <w:lastRenderedPageBreak/>
              <w:t>Gastos de</w:t>
            </w:r>
            <w:r w:rsidR="004A3D57" w:rsidRPr="00B23134">
              <w:rPr>
                <w:rFonts w:ascii="Arial" w:hAnsi="Arial" w:cs="Arial"/>
                <w:sz w:val="18"/>
                <w:szCs w:val="18"/>
                <w:lang w:val="es-ES_tradnl"/>
              </w:rPr>
              <w:t xml:space="preserve"> evaluación del programa a </w:t>
            </w:r>
            <w:r w:rsidR="004A3D57" w:rsidRPr="00B23134">
              <w:rPr>
                <w:rFonts w:ascii="Arial" w:hAnsi="Arial" w:cs="Arial"/>
                <w:sz w:val="18"/>
                <w:szCs w:val="18"/>
                <w:lang w:val="es-ES_tradnl"/>
              </w:rPr>
              <w:lastRenderedPageBreak/>
              <w:t>cargo de Financiera Nacional.</w:t>
            </w:r>
          </w:p>
        </w:tc>
      </w:tr>
      <w:tr w:rsidR="00A61B68" w:rsidRPr="00D47E65" w14:paraId="6EEF7AC0" w14:textId="77777777" w:rsidTr="009544B3">
        <w:tc>
          <w:tcPr>
            <w:tcW w:w="1470" w:type="dxa"/>
          </w:tcPr>
          <w:p w14:paraId="73C0EDB1" w14:textId="7988B950" w:rsidR="00A61B68" w:rsidRPr="00B23134" w:rsidRDefault="00A61B68" w:rsidP="0099774C">
            <w:pPr>
              <w:spacing w:after="0"/>
              <w:rPr>
                <w:rFonts w:ascii="Arial" w:hAnsi="Arial" w:cs="Arial"/>
                <w:sz w:val="18"/>
                <w:szCs w:val="18"/>
                <w:lang w:val="es-ES_tradnl"/>
              </w:rPr>
            </w:pPr>
            <w:r w:rsidRPr="00B23134">
              <w:rPr>
                <w:rFonts w:ascii="Arial" w:hAnsi="Arial" w:cs="Arial"/>
                <w:sz w:val="18"/>
                <w:szCs w:val="18"/>
                <w:lang w:val="es-ES_tradnl"/>
              </w:rPr>
              <w:lastRenderedPageBreak/>
              <w:t xml:space="preserve">Reportes del </w:t>
            </w:r>
            <w:r w:rsidR="001010E7" w:rsidRPr="00B23134">
              <w:rPr>
                <w:rFonts w:ascii="Arial" w:hAnsi="Arial" w:cs="Arial"/>
                <w:sz w:val="18"/>
                <w:szCs w:val="18"/>
                <w:lang w:val="es-ES_tradnl"/>
              </w:rPr>
              <w:t>buró</w:t>
            </w:r>
            <w:r w:rsidRPr="00B23134">
              <w:rPr>
                <w:rFonts w:ascii="Arial" w:hAnsi="Arial" w:cs="Arial"/>
                <w:sz w:val="18"/>
                <w:szCs w:val="18"/>
                <w:lang w:val="es-ES_tradnl"/>
              </w:rPr>
              <w:t xml:space="preserve"> de </w:t>
            </w:r>
            <w:r w:rsidR="007A3A3A" w:rsidRPr="00B23134">
              <w:rPr>
                <w:rFonts w:ascii="Arial" w:hAnsi="Arial" w:cs="Arial"/>
                <w:sz w:val="18"/>
                <w:szCs w:val="18"/>
                <w:lang w:val="es-ES_tradnl"/>
              </w:rPr>
              <w:t>crédito</w:t>
            </w:r>
          </w:p>
        </w:tc>
        <w:tc>
          <w:tcPr>
            <w:tcW w:w="583" w:type="dxa"/>
          </w:tcPr>
          <w:p w14:paraId="4B6B9144" w14:textId="77777777" w:rsidR="00A61B68" w:rsidRPr="00B23134" w:rsidRDefault="00A61B68" w:rsidP="009544B3">
            <w:pPr>
              <w:spacing w:after="0"/>
              <w:jc w:val="both"/>
              <w:rPr>
                <w:rFonts w:ascii="Arial" w:hAnsi="Arial" w:cs="Arial"/>
                <w:sz w:val="18"/>
                <w:szCs w:val="18"/>
                <w:lang w:val="es-ES_tradnl"/>
              </w:rPr>
            </w:pPr>
          </w:p>
        </w:tc>
        <w:tc>
          <w:tcPr>
            <w:tcW w:w="583" w:type="dxa"/>
          </w:tcPr>
          <w:p w14:paraId="78B0C22E" w14:textId="77777777" w:rsidR="00A61B68" w:rsidRPr="00B23134" w:rsidRDefault="00A61B68" w:rsidP="009544B3">
            <w:pPr>
              <w:spacing w:after="0"/>
              <w:jc w:val="both"/>
              <w:rPr>
                <w:rFonts w:ascii="Arial" w:hAnsi="Arial" w:cs="Arial"/>
                <w:sz w:val="18"/>
                <w:szCs w:val="18"/>
                <w:lang w:val="es-ES_tradnl"/>
              </w:rPr>
            </w:pPr>
          </w:p>
        </w:tc>
        <w:tc>
          <w:tcPr>
            <w:tcW w:w="583" w:type="dxa"/>
          </w:tcPr>
          <w:p w14:paraId="30164ECE" w14:textId="77777777" w:rsidR="00A61B68" w:rsidRPr="00B23134" w:rsidRDefault="00A61B68" w:rsidP="009544B3">
            <w:pPr>
              <w:spacing w:after="0"/>
              <w:jc w:val="both"/>
              <w:rPr>
                <w:rFonts w:ascii="Arial" w:hAnsi="Arial" w:cs="Arial"/>
                <w:sz w:val="18"/>
                <w:szCs w:val="18"/>
                <w:lang w:val="es-ES_tradnl"/>
              </w:rPr>
            </w:pPr>
          </w:p>
        </w:tc>
        <w:tc>
          <w:tcPr>
            <w:tcW w:w="683" w:type="dxa"/>
          </w:tcPr>
          <w:p w14:paraId="62DA047C" w14:textId="77777777" w:rsidR="00A61B68" w:rsidRPr="00B23134" w:rsidRDefault="00A61B68" w:rsidP="009544B3">
            <w:pPr>
              <w:spacing w:after="0"/>
              <w:jc w:val="both"/>
              <w:rPr>
                <w:rFonts w:ascii="Arial" w:hAnsi="Arial" w:cs="Arial"/>
                <w:sz w:val="18"/>
                <w:szCs w:val="18"/>
                <w:lang w:val="es-ES_tradnl"/>
              </w:rPr>
            </w:pPr>
          </w:p>
        </w:tc>
        <w:tc>
          <w:tcPr>
            <w:tcW w:w="1546" w:type="dxa"/>
          </w:tcPr>
          <w:p w14:paraId="60EAE61B" w14:textId="77777777" w:rsidR="00A61B68" w:rsidRPr="00B23134" w:rsidRDefault="00A61B68" w:rsidP="009544B3">
            <w:pPr>
              <w:spacing w:after="0"/>
              <w:jc w:val="both"/>
              <w:rPr>
                <w:rFonts w:ascii="Arial" w:hAnsi="Arial" w:cs="Arial"/>
                <w:sz w:val="18"/>
                <w:szCs w:val="18"/>
                <w:lang w:val="es-ES_tradnl"/>
              </w:rPr>
            </w:pPr>
          </w:p>
        </w:tc>
        <w:tc>
          <w:tcPr>
            <w:tcW w:w="1657" w:type="dxa"/>
          </w:tcPr>
          <w:p w14:paraId="2E8A8A94" w14:textId="77777777" w:rsidR="00A61B68" w:rsidRPr="00B23134" w:rsidRDefault="00A61B68" w:rsidP="009544B3">
            <w:pPr>
              <w:spacing w:after="0"/>
              <w:jc w:val="both"/>
              <w:rPr>
                <w:rFonts w:ascii="Arial" w:hAnsi="Arial" w:cs="Arial"/>
                <w:sz w:val="18"/>
                <w:szCs w:val="18"/>
                <w:lang w:val="es-ES_tradnl"/>
              </w:rPr>
            </w:pPr>
          </w:p>
        </w:tc>
        <w:tc>
          <w:tcPr>
            <w:tcW w:w="1075" w:type="dxa"/>
          </w:tcPr>
          <w:p w14:paraId="13F31168" w14:textId="77777777" w:rsidR="00A61B68" w:rsidRPr="00B23134" w:rsidRDefault="00A61B68" w:rsidP="009544B3">
            <w:pPr>
              <w:spacing w:after="0"/>
              <w:jc w:val="both"/>
              <w:rPr>
                <w:rFonts w:ascii="Arial" w:hAnsi="Arial" w:cs="Arial"/>
                <w:sz w:val="18"/>
                <w:szCs w:val="18"/>
                <w:lang w:val="es-ES_tradnl"/>
              </w:rPr>
            </w:pPr>
          </w:p>
        </w:tc>
      </w:tr>
      <w:tr w:rsidR="004A3D57" w:rsidRPr="001010E7" w14:paraId="621EE2F3" w14:textId="77777777" w:rsidTr="001010E7">
        <w:tc>
          <w:tcPr>
            <w:tcW w:w="1470" w:type="dxa"/>
          </w:tcPr>
          <w:p w14:paraId="74450BE3" w14:textId="77777777" w:rsidR="004A3D57" w:rsidRPr="00B23134" w:rsidRDefault="004A3D57" w:rsidP="001010E7">
            <w:pPr>
              <w:spacing w:after="0"/>
              <w:jc w:val="both"/>
              <w:rPr>
                <w:rFonts w:ascii="Arial" w:hAnsi="Arial" w:cs="Arial"/>
                <w:b/>
                <w:sz w:val="18"/>
                <w:szCs w:val="18"/>
              </w:rPr>
            </w:pPr>
            <w:r w:rsidRPr="00B23134">
              <w:rPr>
                <w:rFonts w:ascii="Arial" w:hAnsi="Arial" w:cs="Arial"/>
                <w:b/>
                <w:sz w:val="18"/>
                <w:szCs w:val="18"/>
              </w:rPr>
              <w:t>Total</w:t>
            </w:r>
          </w:p>
        </w:tc>
        <w:tc>
          <w:tcPr>
            <w:tcW w:w="583" w:type="dxa"/>
          </w:tcPr>
          <w:p w14:paraId="17E5F249" w14:textId="77777777" w:rsidR="004A3D57" w:rsidRPr="00B23134" w:rsidRDefault="004A3D57" w:rsidP="001010E7">
            <w:pPr>
              <w:spacing w:after="0"/>
              <w:jc w:val="both"/>
              <w:rPr>
                <w:rFonts w:ascii="Arial" w:hAnsi="Arial" w:cs="Arial"/>
                <w:b/>
                <w:sz w:val="18"/>
                <w:szCs w:val="18"/>
              </w:rPr>
            </w:pPr>
          </w:p>
        </w:tc>
        <w:tc>
          <w:tcPr>
            <w:tcW w:w="583" w:type="dxa"/>
          </w:tcPr>
          <w:p w14:paraId="6B8CA6DE" w14:textId="77777777" w:rsidR="004A3D57" w:rsidRPr="00B23134" w:rsidRDefault="004A3D57" w:rsidP="001010E7">
            <w:pPr>
              <w:spacing w:after="0"/>
              <w:jc w:val="both"/>
              <w:rPr>
                <w:rFonts w:ascii="Arial" w:hAnsi="Arial" w:cs="Arial"/>
                <w:b/>
                <w:sz w:val="18"/>
                <w:szCs w:val="18"/>
              </w:rPr>
            </w:pPr>
          </w:p>
        </w:tc>
        <w:tc>
          <w:tcPr>
            <w:tcW w:w="583" w:type="dxa"/>
          </w:tcPr>
          <w:p w14:paraId="0DEA9660" w14:textId="77777777" w:rsidR="004A3D57" w:rsidRPr="00B23134" w:rsidRDefault="004A3D57" w:rsidP="001010E7">
            <w:pPr>
              <w:spacing w:after="0"/>
              <w:jc w:val="both"/>
              <w:rPr>
                <w:rFonts w:ascii="Arial" w:hAnsi="Arial" w:cs="Arial"/>
                <w:b/>
                <w:sz w:val="18"/>
                <w:szCs w:val="18"/>
              </w:rPr>
            </w:pPr>
          </w:p>
        </w:tc>
        <w:tc>
          <w:tcPr>
            <w:tcW w:w="683" w:type="dxa"/>
          </w:tcPr>
          <w:p w14:paraId="7B97A0EF" w14:textId="77777777" w:rsidR="004A3D57" w:rsidRPr="00B23134" w:rsidRDefault="004A3D57" w:rsidP="001010E7">
            <w:pPr>
              <w:spacing w:after="0"/>
              <w:jc w:val="both"/>
              <w:rPr>
                <w:rFonts w:ascii="Arial" w:hAnsi="Arial" w:cs="Arial"/>
                <w:b/>
                <w:sz w:val="18"/>
                <w:szCs w:val="18"/>
              </w:rPr>
            </w:pPr>
          </w:p>
        </w:tc>
        <w:tc>
          <w:tcPr>
            <w:tcW w:w="1546" w:type="dxa"/>
          </w:tcPr>
          <w:p w14:paraId="0305FCA5" w14:textId="77777777" w:rsidR="004A3D57" w:rsidRPr="00B23134" w:rsidRDefault="004A3D57" w:rsidP="001010E7">
            <w:pPr>
              <w:spacing w:after="0"/>
              <w:jc w:val="both"/>
              <w:rPr>
                <w:rFonts w:ascii="Arial" w:hAnsi="Arial" w:cs="Arial"/>
                <w:b/>
                <w:sz w:val="18"/>
                <w:szCs w:val="18"/>
              </w:rPr>
            </w:pPr>
            <w:r w:rsidRPr="00B23134">
              <w:rPr>
                <w:rFonts w:ascii="Arial" w:hAnsi="Arial" w:cs="Arial"/>
                <w:b/>
                <w:sz w:val="18"/>
                <w:szCs w:val="18"/>
              </w:rPr>
              <w:t>US$90,000</w:t>
            </w:r>
          </w:p>
        </w:tc>
        <w:tc>
          <w:tcPr>
            <w:tcW w:w="1657" w:type="dxa"/>
          </w:tcPr>
          <w:p w14:paraId="17B9F752" w14:textId="77777777" w:rsidR="004A3D57" w:rsidRPr="00B23134" w:rsidRDefault="004A3D57" w:rsidP="001010E7">
            <w:pPr>
              <w:spacing w:after="0"/>
              <w:jc w:val="both"/>
              <w:rPr>
                <w:rFonts w:ascii="Arial" w:hAnsi="Arial" w:cs="Arial"/>
                <w:b/>
                <w:sz w:val="18"/>
                <w:szCs w:val="18"/>
              </w:rPr>
            </w:pPr>
          </w:p>
        </w:tc>
        <w:tc>
          <w:tcPr>
            <w:tcW w:w="1075" w:type="dxa"/>
          </w:tcPr>
          <w:p w14:paraId="5451D32A" w14:textId="77777777" w:rsidR="004A3D57" w:rsidRPr="00B23134" w:rsidRDefault="004A3D57" w:rsidP="001010E7">
            <w:pPr>
              <w:spacing w:after="0"/>
              <w:jc w:val="both"/>
              <w:rPr>
                <w:rFonts w:ascii="Arial" w:hAnsi="Arial" w:cs="Arial"/>
                <w:b/>
                <w:sz w:val="18"/>
                <w:szCs w:val="18"/>
              </w:rPr>
            </w:pPr>
          </w:p>
        </w:tc>
      </w:tr>
    </w:tbl>
    <w:p w14:paraId="55F5654F" w14:textId="2E286CC0" w:rsidR="00062D0D" w:rsidRPr="001010E7" w:rsidRDefault="00062D0D" w:rsidP="00062D0D">
      <w:pPr>
        <w:rPr>
          <w:rFonts w:ascii="Arial" w:eastAsia="Calibri" w:hAnsi="Arial" w:cs="Arial"/>
          <w:b/>
          <w:color w:val="0070C0"/>
          <w:lang w:val="es-AR"/>
        </w:rPr>
      </w:pPr>
      <w:r w:rsidRPr="001010E7">
        <w:rPr>
          <w:rFonts w:ascii="Arial" w:eastAsia="Calibri" w:hAnsi="Arial" w:cs="Arial"/>
          <w:b/>
          <w:color w:val="0070C0"/>
          <w:lang w:val="es-AR"/>
        </w:rPr>
        <w:br w:type="page"/>
      </w:r>
    </w:p>
    <w:p w14:paraId="423C6A28" w14:textId="77777777" w:rsidR="00973C44" w:rsidRPr="001010E7" w:rsidRDefault="00973C44" w:rsidP="0099774C">
      <w:pPr>
        <w:spacing w:after="0" w:line="240" w:lineRule="auto"/>
        <w:jc w:val="center"/>
        <w:rPr>
          <w:rFonts w:ascii="Arial" w:eastAsia="Calibri" w:hAnsi="Arial" w:cs="Arial"/>
          <w:b/>
          <w:lang w:val="es-AR"/>
        </w:rPr>
      </w:pPr>
      <w:r w:rsidRPr="001010E7">
        <w:rPr>
          <w:rFonts w:ascii="Arial" w:eastAsia="Calibri" w:hAnsi="Arial" w:cs="Arial"/>
          <w:b/>
          <w:lang w:val="es-AR"/>
        </w:rPr>
        <w:lastRenderedPageBreak/>
        <w:t>Anexo 1</w:t>
      </w:r>
    </w:p>
    <w:p w14:paraId="22C14DEF" w14:textId="5502A5A7" w:rsidR="00973C44" w:rsidRPr="001010E7" w:rsidRDefault="00973C44" w:rsidP="0099774C">
      <w:pPr>
        <w:pStyle w:val="SubSubPar"/>
        <w:numPr>
          <w:ilvl w:val="0"/>
          <w:numId w:val="0"/>
        </w:numPr>
        <w:spacing w:before="0" w:after="0"/>
        <w:jc w:val="center"/>
        <w:rPr>
          <w:rFonts w:ascii="Arial" w:hAnsi="Arial" w:cs="Arial"/>
          <w:b/>
          <w:sz w:val="22"/>
          <w:szCs w:val="22"/>
          <w:lang w:val="es-ES_tradnl"/>
        </w:rPr>
      </w:pPr>
      <w:r w:rsidRPr="001010E7">
        <w:rPr>
          <w:rFonts w:ascii="Arial" w:hAnsi="Arial" w:cs="Arial"/>
          <w:b/>
          <w:sz w:val="22"/>
          <w:szCs w:val="22"/>
          <w:lang w:val="es-ES_tradnl"/>
        </w:rPr>
        <w:t>Método de estimación</w:t>
      </w:r>
    </w:p>
    <w:p w14:paraId="6CD795A6" w14:textId="77777777" w:rsidR="00973C44" w:rsidRPr="001010E7" w:rsidRDefault="00973C44" w:rsidP="001010E7">
      <w:pPr>
        <w:pStyle w:val="SubSubPar"/>
        <w:numPr>
          <w:ilvl w:val="0"/>
          <w:numId w:val="0"/>
        </w:numPr>
        <w:spacing w:before="0" w:after="0"/>
        <w:jc w:val="center"/>
        <w:rPr>
          <w:rFonts w:ascii="Arial" w:hAnsi="Arial" w:cs="Arial"/>
          <w:sz w:val="22"/>
          <w:szCs w:val="22"/>
          <w:lang w:val="es-ES_tradnl"/>
        </w:rPr>
      </w:pPr>
    </w:p>
    <w:p w14:paraId="2594FA9E"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AR"/>
        </w:rPr>
        <w:t xml:space="preserve">El método de estimación propuesto para la evaluación de impacto de la línea CCLIP implica considerar en primer lugar </w:t>
      </w:r>
      <w:r w:rsidRPr="001010E7">
        <w:rPr>
          <w:rFonts w:ascii="Arial" w:eastAsia="Times New Roman" w:hAnsi="Arial" w:cs="Arial"/>
          <w:lang w:val="es-ES_tradnl"/>
        </w:rPr>
        <w:t>el caso de una regresión discontinua nítida (</w:t>
      </w:r>
      <w:r w:rsidRPr="001010E7">
        <w:rPr>
          <w:rFonts w:ascii="Arial" w:eastAsia="Times New Roman" w:hAnsi="Arial" w:cs="Arial"/>
          <w:i/>
          <w:lang w:val="es-ES_tradnl"/>
        </w:rPr>
        <w:t>sharp</w:t>
      </w:r>
      <w:r w:rsidRPr="001010E7">
        <w:rPr>
          <w:rFonts w:ascii="Arial" w:eastAsia="Times New Roman" w:hAnsi="Arial" w:cs="Arial"/>
          <w:lang w:val="es-ES_tradnl"/>
        </w:rPr>
        <w:t xml:space="preserve">) con un solo punto de corte. Se tendría una Regresión Discontinua </w:t>
      </w:r>
      <w:r w:rsidRPr="001010E7">
        <w:rPr>
          <w:rFonts w:ascii="Arial" w:eastAsiaTheme="minorHAnsi" w:hAnsi="Arial" w:cs="Arial"/>
          <w:lang w:val="es-ES_tradnl" w:eastAsia="en-US"/>
        </w:rPr>
        <w:t xml:space="preserve">(RD) </w:t>
      </w:r>
      <w:r w:rsidRPr="001010E7">
        <w:rPr>
          <w:rFonts w:ascii="Arial" w:eastAsia="Times New Roman" w:hAnsi="Arial" w:cs="Arial"/>
          <w:lang w:val="es-ES_tradnl"/>
        </w:rPr>
        <w:t xml:space="preserve">nítida, si el tratamiento (aprobación del crédito) se asignase en base a la regla de selección Ti = 1(Ri ≤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 y esta regla siempre se cumpliese (donde Ri es la probabilidad de incumplimiento calculada por FND, running variable, y se asume que </w:t>
      </w:r>
      <w:r w:rsidRPr="001010E7">
        <w:rPr>
          <w:rFonts w:ascii="Cambria Math" w:eastAsia="Times New Roman" w:hAnsi="Cambria Math" w:cs="Cambria Math"/>
          <w:lang w:val="es-ES_tradnl"/>
        </w:rPr>
        <w:t>𝑟</w:t>
      </w:r>
      <w:r w:rsidRPr="001010E7">
        <w:rPr>
          <w:rFonts w:ascii="Arial" w:eastAsia="Times New Roman" w:hAnsi="Arial" w:cs="Arial"/>
          <w:lang w:val="es-ES_tradnl"/>
        </w:rPr>
        <w:t>̿ es un único punto de corte).</w:t>
      </w:r>
    </w:p>
    <w:p w14:paraId="5F5F35DF"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Los parámetros de interés se estiman utilizando alternativas que no imponen una forma funcional paramétrica. En particular, se utiliza la metodología de estimación de polinomios locales no paramétricos. La implementación de la RD nítida consiste en los siguientes pasos:</w:t>
      </w:r>
    </w:p>
    <w:p w14:paraId="62A287DF"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1. Seleccionar una vecindad W =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̅-h, </w:t>
      </w:r>
      <w:r w:rsidRPr="001010E7">
        <w:rPr>
          <w:rFonts w:ascii="Cambria Math" w:eastAsia="Times New Roman" w:hAnsi="Cambria Math" w:cs="Cambria Math"/>
          <w:lang w:val="es-ES_tradnl"/>
        </w:rPr>
        <w:t>𝑟</w:t>
      </w:r>
      <w:r w:rsidRPr="001010E7">
        <w:rPr>
          <w:rFonts w:ascii="Arial" w:eastAsia="Times New Roman" w:hAnsi="Arial" w:cs="Arial"/>
          <w:lang w:val="es-ES_tradnl"/>
        </w:rPr>
        <w:t>̅+h], con ancho de banda h, polinomio de grado p, y función de ponderación por kernel K(.).</w:t>
      </w:r>
    </w:p>
    <w:p w14:paraId="10436A61"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 xml:space="preserve">2. Eliminar todas las observaciones fuera de la vecindad W (es decir, se mantiene aquellas para las cuales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̅-h ≤ Ri ≤ </w:t>
      </w:r>
      <w:r w:rsidRPr="001010E7">
        <w:rPr>
          <w:rFonts w:ascii="Cambria Math" w:eastAsia="Times New Roman" w:hAnsi="Cambria Math" w:cs="Cambria Math"/>
          <w:lang w:val="es-ES_tradnl"/>
        </w:rPr>
        <w:t>𝑟</w:t>
      </w:r>
      <w:r w:rsidRPr="001010E7">
        <w:rPr>
          <w:rFonts w:ascii="Arial" w:eastAsia="Times New Roman" w:hAnsi="Arial" w:cs="Arial"/>
          <w:lang w:val="es-ES_tradnl"/>
        </w:rPr>
        <w:t>̅+h).</w:t>
      </w:r>
    </w:p>
    <w:p w14:paraId="0554C217"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3. Usar una regresión de mínimos cuadrados ponderados para estimar los coeficientes de un modelo de polinomios donde todos los parámetros se interactúan con el tratamiento:</w:t>
      </w:r>
    </w:p>
    <w:p w14:paraId="1FA69E56" w14:textId="77777777" w:rsidR="00973C44" w:rsidRPr="001010E7" w:rsidRDefault="00973C44" w:rsidP="00973C44">
      <w:pPr>
        <w:autoSpaceDE w:val="0"/>
        <w:autoSpaceDN w:val="0"/>
        <w:adjustRightInd w:val="0"/>
        <w:spacing w:after="0" w:line="240" w:lineRule="auto"/>
        <w:jc w:val="center"/>
        <w:rPr>
          <w:rFonts w:ascii="Arial" w:eastAsia="Times New Roman" w:hAnsi="Arial" w:cs="Arial"/>
          <w:lang w:val="es-ES_tradnl"/>
        </w:rPr>
      </w:pPr>
      <w:r w:rsidRPr="001010E7">
        <w:rPr>
          <w:rFonts w:ascii="Arial" w:eastAsia="Times New Roman" w:hAnsi="Arial" w:cs="Arial"/>
          <w:lang w:val="es-ES_tradnl"/>
        </w:rPr>
        <w:t>Yi= α + τDi + β1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 +…+ βp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 p + Ϛ1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iDi +…+ Ϛp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  pDi + εi (1)</w:t>
      </w:r>
    </w:p>
    <w:p w14:paraId="561502A3"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Donde los pesos son dados por K(</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̅i/h), y donde </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 =Ri - </w:t>
      </w:r>
      <w:r w:rsidRPr="001010E7">
        <w:rPr>
          <w:rFonts w:ascii="Cambria Math" w:eastAsia="Times New Roman" w:hAnsi="Cambria Math" w:cs="Cambria Math"/>
          <w:lang w:val="es-ES_tradnl"/>
        </w:rPr>
        <w:t>𝑟</w:t>
      </w:r>
      <w:r w:rsidRPr="001010E7">
        <w:rPr>
          <w:rFonts w:ascii="Arial" w:eastAsia="Times New Roman" w:hAnsi="Arial" w:cs="Arial"/>
          <w:lang w:val="es-ES_tradnl"/>
        </w:rPr>
        <w:t>̅i es la probabilidad de incumplimiento recentrada.</w:t>
      </w:r>
    </w:p>
    <w:p w14:paraId="7F13064C"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El parámetro de interés, τSRD equivale a E[</w:t>
      </w:r>
      <w:r w:rsidRPr="001010E7">
        <w:rPr>
          <w:rFonts w:ascii="Cambria Math" w:eastAsia="Times New Roman" w:hAnsi="Cambria Math" w:cs="Cambria Math"/>
          <w:lang w:val="es-ES_tradnl"/>
        </w:rPr>
        <w:t>𝑌𝑖</w:t>
      </w:r>
      <w:r w:rsidRPr="001010E7">
        <w:rPr>
          <w:rFonts w:ascii="Arial" w:eastAsia="Times New Roman" w:hAnsi="Arial" w:cs="Arial"/>
          <w:lang w:val="es-ES_tradnl"/>
        </w:rPr>
        <w:t>(1)|</w:t>
      </w:r>
      <w:r w:rsidRPr="001010E7">
        <w:rPr>
          <w:rFonts w:ascii="Cambria Math" w:eastAsia="Times New Roman" w:hAnsi="Cambria Math" w:cs="Cambria Math"/>
          <w:lang w:val="es-ES_tradnl"/>
        </w:rPr>
        <w:t>𝑅𝑖</w:t>
      </w:r>
      <w:r w:rsidRPr="001010E7">
        <w:rPr>
          <w:rFonts w:ascii="Arial" w:eastAsia="Times New Roman" w:hAnsi="Arial" w:cs="Arial"/>
          <w:lang w:val="es-ES_tradnl"/>
        </w:rPr>
        <w:t xml:space="preserve"> =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 − </w:t>
      </w:r>
      <w:r w:rsidRPr="001010E7">
        <w:rPr>
          <w:rFonts w:ascii="Cambria Math" w:eastAsia="Times New Roman" w:hAnsi="Cambria Math" w:cs="Cambria Math"/>
          <w:lang w:val="es-ES_tradnl"/>
        </w:rPr>
        <w:t>𝐸</w:t>
      </w:r>
      <w:r w:rsidRPr="001010E7">
        <w:rPr>
          <w:rFonts w:ascii="Arial" w:eastAsia="Times New Roman" w:hAnsi="Arial" w:cs="Arial"/>
          <w:lang w:val="es-ES_tradnl"/>
        </w:rPr>
        <w:t>[</w:t>
      </w:r>
      <w:r w:rsidRPr="001010E7">
        <w:rPr>
          <w:rFonts w:ascii="Cambria Math" w:eastAsia="Times New Roman" w:hAnsi="Cambria Math" w:cs="Cambria Math"/>
          <w:lang w:val="es-ES_tradnl"/>
        </w:rPr>
        <w:t>𝑌𝑖</w:t>
      </w:r>
      <w:r w:rsidRPr="001010E7">
        <w:rPr>
          <w:rFonts w:ascii="Arial" w:eastAsia="Times New Roman" w:hAnsi="Arial" w:cs="Arial"/>
          <w:lang w:val="es-ES_tradnl"/>
        </w:rPr>
        <w:t>(0)|</w:t>
      </w:r>
      <w:r w:rsidRPr="001010E7">
        <w:rPr>
          <w:rFonts w:ascii="Cambria Math" w:eastAsia="Times New Roman" w:hAnsi="Cambria Math" w:cs="Cambria Math"/>
          <w:lang w:val="es-ES_tradnl"/>
        </w:rPr>
        <w:t>𝑅𝑖</w:t>
      </w:r>
      <w:r w:rsidRPr="001010E7">
        <w:rPr>
          <w:rFonts w:ascii="Arial" w:eastAsia="Times New Roman" w:hAnsi="Arial" w:cs="Arial"/>
          <w:lang w:val="es-ES_tradnl"/>
        </w:rPr>
        <w:t xml:space="preserve"> = </w:t>
      </w:r>
      <w:r w:rsidRPr="001010E7">
        <w:rPr>
          <w:rFonts w:ascii="Cambria Math" w:eastAsia="Times New Roman" w:hAnsi="Cambria Math" w:cs="Cambria Math"/>
          <w:lang w:val="es-ES_tradnl"/>
        </w:rPr>
        <w:t>𝑟</w:t>
      </w:r>
      <w:r w:rsidRPr="001010E7">
        <w:rPr>
          <w:rFonts w:ascii="Arial" w:eastAsia="Times New Roman" w:hAnsi="Arial" w:cs="Arial"/>
          <w:lang w:val="es-ES_tradnl"/>
        </w:rPr>
        <w:t>̅], y mide el efecto promedio del tratamiento (ATE, en inglés) alrededor del umbral.</w:t>
      </w:r>
    </w:p>
    <w:p w14:paraId="17E57EB5"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Los métodos de inferencia toman en cuenta el sesgo de mis-especificación, y por lo tanto son robustos a la corrección de sesgos, y son robustos a heterocedasticidad o a la presencia de conglomerados (Calonico et al., 2014, 2014).</w:t>
      </w:r>
    </w:p>
    <w:p w14:paraId="5A3AAB36"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 xml:space="preserve">A diferencia de lo anteriormente descrito, para los créditos de FND la regla de selección Ti = 1(Ri≤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 no se aplica de forma estricta. Cuando Ri ≤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 la aprobación de la solicitud de crédito es automática y la probabilidad de recibir tratamiento es cercana a 1; pero cuando Ri &gt; </w:t>
      </w:r>
      <w:r w:rsidRPr="001010E7">
        <w:rPr>
          <w:rFonts w:ascii="Cambria Math" w:eastAsia="Times New Roman" w:hAnsi="Cambria Math" w:cs="Cambria Math"/>
          <w:lang w:val="es-ES_tradnl"/>
        </w:rPr>
        <w:t>𝑟</w:t>
      </w:r>
      <w:r w:rsidRPr="001010E7">
        <w:rPr>
          <w:rFonts w:ascii="Arial" w:eastAsia="Times New Roman" w:hAnsi="Arial" w:cs="Arial"/>
          <w:lang w:val="es-ES_tradnl"/>
        </w:rPr>
        <w:t xml:space="preserve">̅, el sub-comité puede decidir aprobar o rechazar el crédito. Esto implica que la probabilidad de recibir tratamiento si cambia en el umbral </w:t>
      </w:r>
      <w:r w:rsidRPr="001010E7">
        <w:rPr>
          <w:rFonts w:ascii="Cambria Math" w:eastAsia="Times New Roman" w:hAnsi="Cambria Math" w:cs="Cambria Math"/>
          <w:lang w:val="es-ES_tradnl"/>
        </w:rPr>
        <w:t>𝑟</w:t>
      </w:r>
      <w:r w:rsidRPr="001010E7">
        <w:rPr>
          <w:rFonts w:ascii="Arial" w:eastAsia="Times New Roman" w:hAnsi="Arial" w:cs="Arial"/>
          <w:lang w:val="es-ES_tradnl"/>
        </w:rPr>
        <w:t>̅, pero no cambia de 0 a 1. Por este motivo, el parámetro que se propone estimar es el efecto de la intención a tratar (ITT) en el umbral, y no el efecto promedio del tratamiento (ATE) en el umbral. Para estimar el efecto de la ITT, se siguen los mismos procedimientos que para el caso anterior, pero usando el siguiente modelo:</w:t>
      </w:r>
    </w:p>
    <w:p w14:paraId="17C71F12" w14:textId="77777777" w:rsidR="00973C44" w:rsidRPr="001010E7" w:rsidRDefault="00973C44" w:rsidP="00973C44">
      <w:pPr>
        <w:autoSpaceDE w:val="0"/>
        <w:autoSpaceDN w:val="0"/>
        <w:adjustRightInd w:val="0"/>
        <w:spacing w:after="0" w:line="240" w:lineRule="auto"/>
        <w:jc w:val="center"/>
        <w:rPr>
          <w:rFonts w:ascii="Arial" w:eastAsia="Times New Roman" w:hAnsi="Arial" w:cs="Arial"/>
          <w:b/>
          <w:lang w:val="es-ES_tradnl"/>
        </w:rPr>
      </w:pPr>
      <w:r w:rsidRPr="001010E7">
        <w:rPr>
          <w:rFonts w:ascii="Arial" w:eastAsia="Times New Roman" w:hAnsi="Arial" w:cs="Arial"/>
          <w:lang w:val="es-ES_tradnl"/>
        </w:rPr>
        <w:t>Yi= α + τITTi + β1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 +…+ βp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 p + Ϛ1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iTi +…+ Ϛp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̅i pTi + εi (2)</w:t>
      </w:r>
    </w:p>
    <w:p w14:paraId="4CFFB0F5" w14:textId="77777777" w:rsidR="00973C44" w:rsidRPr="001010E7" w:rsidRDefault="00973C44" w:rsidP="00973C44">
      <w:pPr>
        <w:autoSpaceDE w:val="0"/>
        <w:autoSpaceDN w:val="0"/>
        <w:adjustRightInd w:val="0"/>
        <w:spacing w:after="0" w:line="240" w:lineRule="auto"/>
        <w:jc w:val="both"/>
        <w:rPr>
          <w:rFonts w:ascii="Arial" w:eastAsia="Times New Roman" w:hAnsi="Arial" w:cs="Arial"/>
          <w:lang w:val="es-ES_tradnl"/>
        </w:rPr>
      </w:pPr>
      <w:r w:rsidRPr="001010E7">
        <w:rPr>
          <w:rFonts w:ascii="Arial" w:eastAsia="Times New Roman" w:hAnsi="Arial" w:cs="Arial"/>
          <w:lang w:val="es-ES_tradnl"/>
        </w:rPr>
        <w:t>Donde T es la regla exógena que indica la intención a tratar. En este caso T toma el valor 1 si la aprobación fue automática (en base a tener una probabilidad de incumplimiento menor al umbral), y 0 si la solicitud de crédito se rechaza o es aprobada por el sub-comité. En muchos casos el parámetro de interés es el efecto promedio del tratamiento en el umbral y no la intención a tratar. Para los programas de FND (donde Ti y Di no son necesariamente iguales), el efecto promedio en el umbral puede recuperarse mediante la metodología de regresión discontinua difusa. En este caso, el parámetro de interés de la población, ya no es τSRD sino τFRD. Este parámetro, es el análogo de τSRD para el caso de variables instrumentales (LATE, en inglés). τFRD, se obtiene instrumentando D con la variable dicotómica, T, que indica si el criterio exógeno de elegibilidad se cumple. Donde, la primera etapa (</w:t>
      </w:r>
      <w:r w:rsidRPr="001010E7">
        <w:rPr>
          <w:rFonts w:ascii="Arial" w:eastAsia="Times New Roman" w:hAnsi="Arial" w:cs="Arial"/>
          <w:i/>
          <w:lang w:val="es-ES_tradnl"/>
        </w:rPr>
        <w:t>first-stage</w:t>
      </w:r>
      <w:r w:rsidRPr="001010E7">
        <w:rPr>
          <w:rFonts w:ascii="Arial" w:eastAsia="Times New Roman" w:hAnsi="Arial" w:cs="Arial"/>
          <w:lang w:val="es-ES_tradnl"/>
        </w:rPr>
        <w:t>) de la metodología de variables instrumentales está dada por la estimación del modelo:</w:t>
      </w:r>
    </w:p>
    <w:p w14:paraId="0834826C" w14:textId="77777777" w:rsidR="00973C44" w:rsidRPr="001010E7" w:rsidRDefault="00973C44" w:rsidP="00973C44">
      <w:pPr>
        <w:autoSpaceDE w:val="0"/>
        <w:autoSpaceDN w:val="0"/>
        <w:adjustRightInd w:val="0"/>
        <w:spacing w:after="0" w:line="240" w:lineRule="auto"/>
        <w:jc w:val="center"/>
        <w:rPr>
          <w:rFonts w:ascii="Arial" w:eastAsia="Times New Roman" w:hAnsi="Arial" w:cs="Arial"/>
          <w:lang w:val="es-ES_tradnl"/>
        </w:rPr>
      </w:pPr>
      <w:r w:rsidRPr="001010E7">
        <w:rPr>
          <w:rFonts w:ascii="Arial" w:eastAsia="Times New Roman" w:hAnsi="Arial" w:cs="Arial"/>
          <w:lang w:val="es-ES_tradnl"/>
        </w:rPr>
        <w:lastRenderedPageBreak/>
        <w:t>Di= α + τFSTi + β1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 +…+ βp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 p + Ϛ1</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iTi +…+ Ϛp</w:t>
      </w:r>
      <w:r w:rsidRPr="001010E7">
        <w:rPr>
          <w:rFonts w:ascii="Cambria Math" w:eastAsia="Times New Roman" w:hAnsi="Cambria Math" w:cs="Cambria Math"/>
          <w:lang w:val="es-ES_tradnl"/>
        </w:rPr>
        <w:t>𝑅</w:t>
      </w:r>
      <w:r w:rsidRPr="001010E7">
        <w:rPr>
          <w:rFonts w:ascii="Arial" w:eastAsia="Times New Roman" w:hAnsi="Arial" w:cs="Arial"/>
          <w:lang w:val="es-ES_tradnl"/>
        </w:rPr>
        <w:t xml:space="preserve"> ̅ i pTi + εi (3)</w:t>
      </w:r>
    </w:p>
    <w:p w14:paraId="617C0D6C" w14:textId="77777777" w:rsidR="00973C44" w:rsidRPr="001010E7" w:rsidRDefault="00973C44" w:rsidP="00973C44">
      <w:pPr>
        <w:pStyle w:val="SubHeading1"/>
        <w:numPr>
          <w:ilvl w:val="0"/>
          <w:numId w:val="0"/>
        </w:numPr>
        <w:tabs>
          <w:tab w:val="left" w:pos="360"/>
        </w:tabs>
        <w:jc w:val="both"/>
        <w:rPr>
          <w:rFonts w:ascii="Arial" w:eastAsia="Times New Roman" w:hAnsi="Arial" w:cs="Arial"/>
          <w:b w:val="0"/>
          <w:sz w:val="22"/>
          <w:szCs w:val="22"/>
        </w:rPr>
      </w:pPr>
      <w:r w:rsidRPr="001010E7">
        <w:rPr>
          <w:rFonts w:ascii="Arial" w:eastAsia="Times New Roman" w:hAnsi="Arial" w:cs="Arial"/>
          <w:b w:val="0"/>
          <w:sz w:val="22"/>
          <w:szCs w:val="22"/>
        </w:rPr>
        <w:t xml:space="preserve">Sin embargo, para el caso de FND es posible que el sub-comité apruebe un número importante de créditos que no cumple con el criterio Ri ≤ </w:t>
      </w:r>
      <w:r w:rsidRPr="001010E7">
        <w:rPr>
          <w:rFonts w:ascii="Cambria Math" w:eastAsia="Times New Roman" w:hAnsi="Cambria Math" w:cs="Cambria Math"/>
          <w:b w:val="0"/>
          <w:sz w:val="22"/>
          <w:szCs w:val="22"/>
        </w:rPr>
        <w:t>𝑟</w:t>
      </w:r>
      <w:r w:rsidRPr="001010E7">
        <w:rPr>
          <w:rFonts w:ascii="Arial" w:eastAsia="Times New Roman" w:hAnsi="Arial" w:cs="Arial"/>
          <w:b w:val="0"/>
          <w:sz w:val="22"/>
          <w:szCs w:val="22"/>
        </w:rPr>
        <w:t xml:space="preserve">̿. Por lo tanto, existe la posibilidad que la metodología de variables instrumentales no pueda ser aplicada en la práctica, ya que se requiere mayor poder estadístico que para estimar el parámetro ITT (y se corre el riesgo de instrumentos débiles). Se determinará empíricamente con los datos, si la primera etapa es débil o no. Como se mencionó arriba, cada modelo tiene umbrales distintos. Por lo tanto, la aplicación de la metodología descrita implica unir (hacer </w:t>
      </w:r>
      <w:r w:rsidRPr="001010E7">
        <w:rPr>
          <w:rFonts w:ascii="Arial" w:eastAsia="Times New Roman" w:hAnsi="Arial" w:cs="Arial"/>
          <w:b w:val="0"/>
          <w:i/>
          <w:sz w:val="22"/>
          <w:szCs w:val="22"/>
        </w:rPr>
        <w:t>pooling</w:t>
      </w:r>
      <w:r w:rsidRPr="001010E7">
        <w:rPr>
          <w:rFonts w:ascii="Arial" w:eastAsia="Times New Roman" w:hAnsi="Arial" w:cs="Arial"/>
          <w:b w:val="0"/>
          <w:sz w:val="22"/>
          <w:szCs w:val="22"/>
        </w:rPr>
        <w:t xml:space="preserve">) de una serie de modelos con umbrales de corte diferentes. La principal diferencia entre el modelo con </w:t>
      </w:r>
      <w:r w:rsidRPr="001010E7">
        <w:rPr>
          <w:rFonts w:ascii="Arial" w:eastAsia="Times New Roman" w:hAnsi="Arial" w:cs="Arial"/>
          <w:b w:val="0"/>
          <w:i/>
          <w:sz w:val="22"/>
          <w:szCs w:val="22"/>
        </w:rPr>
        <w:t>pooling</w:t>
      </w:r>
      <w:r w:rsidRPr="001010E7">
        <w:rPr>
          <w:rFonts w:ascii="Arial" w:eastAsia="Times New Roman" w:hAnsi="Arial" w:cs="Arial"/>
          <w:b w:val="0"/>
          <w:sz w:val="22"/>
          <w:szCs w:val="22"/>
        </w:rPr>
        <w:t xml:space="preserve"> y el modelo standard no es la estimación de los parámetros de interés, sino en la interpretación de estos parámetros (Cattaneo et al., 2016). En el caso más general donde se tienen efectos heterogéneos del tratamiento, entre y a través de los umbrales, el parámetro de RD recupera un doble promedio: el promedio ponderado entre umbrales, de los efectos del tratamiento entre unidades que enfrentan un umbral particular. La aplicación exitosa de la metodología de regresión discontinua requiere que se cumplan algunos requerimientos. Desde el punto de vista empírico, el parámetro τFS (obtenido en la estimación del Modelo (3)) debe ser suficientemente grande. Caso contrario, se corre el riesgo de no tener suficiente poder estadístico para encontrar efectos (y de tener instrumentos débiles). Segundo, la validez de la metodología no es creíble a menos que se verifique el cumplimiento de los supuestos necesarios para la validez de la regresión discontinua (no discontinuidad en las características preintervención y no manipulación alrededor del umbral).  </w:t>
      </w:r>
    </w:p>
    <w:p w14:paraId="6F1BDE2B" w14:textId="5FE0D61E" w:rsidR="00973C44" w:rsidRPr="001010E7" w:rsidRDefault="00973C44" w:rsidP="0099774C">
      <w:pPr>
        <w:jc w:val="center"/>
        <w:rPr>
          <w:rFonts w:ascii="Arial" w:eastAsia="Calibri" w:hAnsi="Arial" w:cs="Arial"/>
          <w:b/>
          <w:lang w:val="es-ES_tradnl"/>
        </w:rPr>
      </w:pPr>
    </w:p>
    <w:p w14:paraId="1B271414" w14:textId="77777777" w:rsidR="00973C44" w:rsidRPr="001010E7" w:rsidRDefault="00973C44" w:rsidP="0099774C">
      <w:pPr>
        <w:jc w:val="center"/>
        <w:rPr>
          <w:rFonts w:ascii="Arial" w:eastAsia="Calibri" w:hAnsi="Arial" w:cs="Arial"/>
          <w:b/>
          <w:lang w:val="es-AR"/>
        </w:rPr>
      </w:pPr>
    </w:p>
    <w:p w14:paraId="453A11DE" w14:textId="66CF9306" w:rsidR="00973C44" w:rsidRPr="001010E7" w:rsidRDefault="00973C44" w:rsidP="001010E7">
      <w:pPr>
        <w:jc w:val="center"/>
        <w:rPr>
          <w:rFonts w:ascii="Arial" w:hAnsi="Arial" w:cs="Arial"/>
          <w:b/>
          <w:lang w:val="es-AR"/>
        </w:rPr>
      </w:pPr>
    </w:p>
    <w:p w14:paraId="5FCC39E1" w14:textId="77777777" w:rsidR="00062D0D" w:rsidRPr="001010E7" w:rsidRDefault="00062D0D" w:rsidP="001010E7">
      <w:pPr>
        <w:pageBreakBefore/>
        <w:spacing w:after="0"/>
        <w:jc w:val="center"/>
        <w:rPr>
          <w:rFonts w:ascii="Arial" w:eastAsia="Calibri" w:hAnsi="Arial" w:cs="Arial"/>
          <w:b/>
          <w:lang w:val="en-US"/>
        </w:rPr>
      </w:pPr>
      <w:r w:rsidRPr="001010E7">
        <w:rPr>
          <w:rFonts w:ascii="Arial" w:eastAsia="Calibri" w:hAnsi="Arial" w:cs="Arial"/>
          <w:b/>
          <w:lang w:val="en-US"/>
        </w:rPr>
        <w:lastRenderedPageBreak/>
        <w:t>Bibliografía</w:t>
      </w:r>
    </w:p>
    <w:p w14:paraId="38D54A79" w14:textId="77777777" w:rsidR="00114A2D" w:rsidRPr="001010E7" w:rsidRDefault="00114A2D" w:rsidP="000212AB">
      <w:pPr>
        <w:spacing w:after="0"/>
        <w:jc w:val="both"/>
        <w:rPr>
          <w:rFonts w:ascii="Arial" w:eastAsia="Calibri" w:hAnsi="Arial" w:cs="Arial"/>
          <w:lang w:val="en-US"/>
        </w:rPr>
      </w:pPr>
    </w:p>
    <w:p w14:paraId="6996E6B6"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n-US"/>
        </w:rPr>
        <w:t>Calonico, S., Cattaneo, M.D., and Titiunik, R. (2014). Robust Nonparametric Confidence Intervals for Regression-Discontinuity Designs. Econometrica 82, 2295–2326.</w:t>
      </w:r>
    </w:p>
    <w:p w14:paraId="5D1DBD64"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58F78709"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n-US"/>
        </w:rPr>
        <w:t>Cattaneo, M.D., Titiunik, R., Vazquez-Bare, G., and Keele, L. (2016). Interpreting regression discontinuity designs with multiple cutoffs. J. Polit. 78, 1229–1248.</w:t>
      </w:r>
    </w:p>
    <w:p w14:paraId="2B0438B7"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5C009327" w14:textId="77777777" w:rsidR="00AA6215" w:rsidRPr="001010E7" w:rsidRDefault="00AA6215" w:rsidP="000212AB">
      <w:pPr>
        <w:spacing w:after="0"/>
        <w:jc w:val="both"/>
        <w:rPr>
          <w:rFonts w:ascii="Arial" w:eastAsia="Calibri" w:hAnsi="Arial" w:cs="Arial"/>
          <w:lang w:val="en-US"/>
        </w:rPr>
      </w:pPr>
      <w:r w:rsidRPr="001010E7">
        <w:rPr>
          <w:rFonts w:ascii="Arial" w:eastAsia="Calibri" w:hAnsi="Arial" w:cs="Arial"/>
          <w:lang w:val="en-US"/>
        </w:rPr>
        <w:t>Eslava M., A. Maffioli and M. Meléndez (2011), “Second-tier Government Banks and Access to Credit: Micro Evidence from Colombia”, Working Paper, Inter-American Development Bank, Washington DC.</w:t>
      </w:r>
    </w:p>
    <w:p w14:paraId="1D1A34BC" w14:textId="77777777" w:rsidR="00AA6215" w:rsidRPr="001010E7" w:rsidRDefault="00AA6215" w:rsidP="000212AB">
      <w:pPr>
        <w:spacing w:after="0"/>
        <w:jc w:val="both"/>
        <w:rPr>
          <w:rFonts w:ascii="Arial" w:eastAsia="Calibri" w:hAnsi="Arial" w:cs="Arial"/>
          <w:lang w:val="en-US"/>
        </w:rPr>
      </w:pPr>
    </w:p>
    <w:p w14:paraId="1165C38D" w14:textId="77777777" w:rsidR="00AA6215" w:rsidRPr="001010E7" w:rsidRDefault="00AA6215" w:rsidP="000212AB">
      <w:pPr>
        <w:spacing w:after="0"/>
        <w:jc w:val="both"/>
        <w:rPr>
          <w:rFonts w:ascii="Arial" w:eastAsia="Calibri" w:hAnsi="Arial" w:cs="Arial"/>
          <w:lang w:val="en-US"/>
        </w:rPr>
      </w:pPr>
      <w:r w:rsidRPr="001010E7">
        <w:rPr>
          <w:rFonts w:ascii="Arial" w:eastAsia="Calibri" w:hAnsi="Arial" w:cs="Arial"/>
          <w:lang w:val="en-US"/>
        </w:rPr>
        <w:t>Eslava M., A. Maffioli and M. Meléndez (2012), “Second-tier Government Banks and Firm Performance: Micro Evidence from Colombia”, Working Paper, Inter-American Development Bank, Washington DC.</w:t>
      </w:r>
    </w:p>
    <w:p w14:paraId="080BB4FE" w14:textId="77777777" w:rsidR="00AA6215" w:rsidRPr="001010E7" w:rsidRDefault="00AA6215" w:rsidP="000212AB">
      <w:pPr>
        <w:spacing w:after="0"/>
        <w:jc w:val="both"/>
        <w:rPr>
          <w:rFonts w:ascii="Arial" w:eastAsia="Calibri" w:hAnsi="Arial" w:cs="Arial"/>
          <w:lang w:val="en-US"/>
        </w:rPr>
      </w:pPr>
    </w:p>
    <w:p w14:paraId="442B33AA"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r w:rsidRPr="001010E7">
        <w:rPr>
          <w:rFonts w:ascii="Arial" w:eastAsia="Calibri" w:hAnsi="Arial" w:cs="Arial"/>
          <w:lang w:val="en-US"/>
        </w:rPr>
        <w:t xml:space="preserve">Eslava, M. (2014). Credit constraints and business performance: evidence from public lending in Colombia. </w:t>
      </w:r>
      <w:r w:rsidRPr="001010E7">
        <w:rPr>
          <w:rFonts w:ascii="Arial" w:eastAsia="Calibri" w:hAnsi="Arial" w:cs="Arial"/>
          <w:lang w:val="es-ES_tradnl"/>
        </w:rPr>
        <w:t>CEDE Univ. Los Andes.</w:t>
      </w:r>
    </w:p>
    <w:p w14:paraId="4869CDDC"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p>
    <w:p w14:paraId="1E0B473E"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s-ES_tradnl"/>
        </w:rPr>
        <w:t xml:space="preserve">Flores, C.A., and Mitnik, O.A. (2013). </w:t>
      </w:r>
      <w:r w:rsidRPr="001010E7">
        <w:rPr>
          <w:rFonts w:ascii="Arial" w:eastAsia="Calibri" w:hAnsi="Arial" w:cs="Arial"/>
          <w:lang w:val="en-US"/>
        </w:rPr>
        <w:t>Comparing Treatments across Labor Markets: An Assessment of Nonexperimental Multiple-Treatment Strategies. Rev. Econ. Stat. 95, 1691–1707.</w:t>
      </w:r>
    </w:p>
    <w:p w14:paraId="31B8D297"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1A73C61F"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n-US"/>
        </w:rPr>
        <w:t>Imbens, G.W. (2000). The Role of the Propensity Score in Estimating Dose-Response Functions. Biometrika 87, 706–10.</w:t>
      </w:r>
    </w:p>
    <w:p w14:paraId="66844FE0"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7CF9428D"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n-US"/>
        </w:rPr>
        <w:t>Imbens, G., and Kalyanaraman, K. (2012). Optimal Bandwidth Choice for the Regression Discontinuity Estimator. Rev. Econ. Stud. 79, 933–59.</w:t>
      </w:r>
    </w:p>
    <w:p w14:paraId="017B16EF"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6A2B7E1A"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r w:rsidRPr="001010E7">
        <w:rPr>
          <w:rFonts w:ascii="Arial" w:eastAsia="Calibri" w:hAnsi="Arial" w:cs="Arial"/>
          <w:lang w:val="en-US"/>
        </w:rPr>
        <w:t xml:space="preserve">Jack, W., Kremer, M., de Laat, J., and Suri, T. (2015). Joint Liability, Asset Collateralization, and Credit Access: Evidence from Rainwater Harvesting Tanks in Kenya. </w:t>
      </w:r>
      <w:r w:rsidRPr="001010E7">
        <w:rPr>
          <w:rFonts w:ascii="Arial" w:eastAsia="Calibri" w:hAnsi="Arial" w:cs="Arial"/>
          <w:lang w:val="es-ES_tradnl"/>
        </w:rPr>
        <w:t>Work. Pap.</w:t>
      </w:r>
    </w:p>
    <w:p w14:paraId="21919CE4"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p>
    <w:p w14:paraId="6A3C95EA"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r w:rsidRPr="001010E7">
        <w:rPr>
          <w:rFonts w:ascii="Arial" w:eastAsia="Calibri" w:hAnsi="Arial" w:cs="Arial"/>
          <w:lang w:val="es-ES_tradnl"/>
        </w:rPr>
        <w:t>OVE (2014). Análisis Comparativo de las Modalidad de Apoyo del BID a la PYME: Evaluación de los Resultados en el Sector de la Manufactura en Brasil.</w:t>
      </w:r>
    </w:p>
    <w:p w14:paraId="31502FF7"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s-ES_tradnl"/>
        </w:rPr>
      </w:pPr>
    </w:p>
    <w:p w14:paraId="6C4CD72B"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r w:rsidRPr="001010E7">
        <w:rPr>
          <w:rFonts w:ascii="Arial" w:eastAsia="Calibri" w:hAnsi="Arial" w:cs="Arial"/>
          <w:lang w:val="en-US"/>
        </w:rPr>
        <w:t>Paravisini, D. (2004). Constrained Banks, Constrained Borrowers: The Effects of Bank Liquidity on the Availability of Credit. Work. Pap.</w:t>
      </w:r>
    </w:p>
    <w:p w14:paraId="5AE76E8D" w14:textId="77777777" w:rsidR="00AA6215" w:rsidRPr="001010E7" w:rsidRDefault="00AA6215" w:rsidP="000212AB">
      <w:pPr>
        <w:spacing w:after="0"/>
        <w:jc w:val="both"/>
        <w:rPr>
          <w:rFonts w:ascii="Arial" w:eastAsia="Calibri" w:hAnsi="Arial" w:cs="Arial"/>
          <w:lang w:val="en-US"/>
        </w:rPr>
      </w:pPr>
    </w:p>
    <w:p w14:paraId="7B8900A5" w14:textId="77777777" w:rsidR="00AA6215" w:rsidRPr="001010E7" w:rsidRDefault="00AA6215" w:rsidP="000212AB">
      <w:pPr>
        <w:spacing w:after="0"/>
        <w:jc w:val="both"/>
        <w:rPr>
          <w:rFonts w:ascii="Arial" w:eastAsia="Calibri" w:hAnsi="Arial" w:cs="Arial"/>
          <w:lang w:val="en-US"/>
        </w:rPr>
      </w:pPr>
      <w:r w:rsidRPr="001010E7">
        <w:rPr>
          <w:rFonts w:ascii="Arial" w:eastAsia="Calibri" w:hAnsi="Arial" w:cs="Arial"/>
          <w:lang w:val="en-US"/>
        </w:rPr>
        <w:t>Paravisini, D. (2008). Local Bank Financial Constraints and Firm Access to External Finance. J. Finance 63, 2161–2193.</w:t>
      </w:r>
    </w:p>
    <w:p w14:paraId="51EAA995" w14:textId="77777777" w:rsidR="00AA6215" w:rsidRPr="001010E7" w:rsidRDefault="00AA6215" w:rsidP="000212AB">
      <w:pPr>
        <w:spacing w:after="0"/>
        <w:jc w:val="both"/>
        <w:rPr>
          <w:rFonts w:ascii="Arial" w:eastAsia="Calibri" w:hAnsi="Arial" w:cs="Arial"/>
          <w:lang w:val="en-US"/>
        </w:rPr>
      </w:pPr>
      <w:r w:rsidRPr="001010E7">
        <w:rPr>
          <w:rFonts w:ascii="Arial" w:eastAsia="Calibri" w:hAnsi="Arial" w:cs="Arial"/>
          <w:lang w:val="en-US"/>
        </w:rPr>
        <w:t xml:space="preserve">Thistlethwaite, D., and D. Campbell. 1960. “Regression-Discontinuity Analysis: An Alternative to the Ex Post Facto Experiment.” </w:t>
      </w:r>
      <w:r w:rsidRPr="001010E7">
        <w:rPr>
          <w:rFonts w:ascii="Arial" w:eastAsia="Calibri" w:hAnsi="Arial" w:cs="Arial"/>
          <w:i/>
          <w:lang w:val="en-US"/>
        </w:rPr>
        <w:t>Journal of Educational Psychology</w:t>
      </w:r>
      <w:r w:rsidRPr="001010E7">
        <w:rPr>
          <w:rFonts w:ascii="Arial" w:eastAsia="Calibri" w:hAnsi="Arial" w:cs="Arial"/>
          <w:lang w:val="en-US"/>
        </w:rPr>
        <w:t>, 51(6): 309–17.</w:t>
      </w:r>
    </w:p>
    <w:p w14:paraId="3278ABD8" w14:textId="77777777" w:rsidR="00AA6215" w:rsidRPr="001010E7" w:rsidRDefault="00AA6215" w:rsidP="000212AB">
      <w:pPr>
        <w:autoSpaceDE w:val="0"/>
        <w:autoSpaceDN w:val="0"/>
        <w:adjustRightInd w:val="0"/>
        <w:spacing w:after="0" w:line="240" w:lineRule="auto"/>
        <w:jc w:val="both"/>
        <w:rPr>
          <w:rFonts w:ascii="Arial" w:eastAsia="Calibri" w:hAnsi="Arial" w:cs="Arial"/>
          <w:lang w:val="en-US"/>
        </w:rPr>
      </w:pPr>
    </w:p>
    <w:p w14:paraId="5A655AD4" w14:textId="77777777" w:rsidR="00530CEA" w:rsidRPr="00985E45" w:rsidRDefault="00530CEA" w:rsidP="00C95060">
      <w:pPr>
        <w:spacing w:after="0"/>
        <w:rPr>
          <w:rFonts w:ascii="Arial" w:eastAsia="Calibri" w:hAnsi="Arial" w:cs="Arial"/>
          <w:lang w:val="en-US"/>
        </w:rPr>
      </w:pPr>
    </w:p>
    <w:sectPr w:rsidR="00530CEA" w:rsidRPr="00985E45" w:rsidSect="001010E7">
      <w:type w:val="continuous"/>
      <w:pgSz w:w="12240" w:h="15840" w:code="1"/>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5DE9E" w14:textId="77777777" w:rsidR="00B52DF1" w:rsidRDefault="00B52DF1" w:rsidP="00062D0D">
      <w:pPr>
        <w:spacing w:after="0" w:line="240" w:lineRule="auto"/>
      </w:pPr>
      <w:r>
        <w:separator/>
      </w:r>
    </w:p>
  </w:endnote>
  <w:endnote w:type="continuationSeparator" w:id="0">
    <w:p w14:paraId="1E32F4AB" w14:textId="77777777" w:rsidR="00B52DF1" w:rsidRDefault="00B52DF1" w:rsidP="00062D0D">
      <w:pPr>
        <w:spacing w:after="0" w:line="240" w:lineRule="auto"/>
      </w:pPr>
      <w:r>
        <w:continuationSeparator/>
      </w:r>
    </w:p>
  </w:endnote>
  <w:endnote w:type="continuationNotice" w:id="1">
    <w:p w14:paraId="0BF9F28E" w14:textId="77777777" w:rsidR="00B52DF1" w:rsidRDefault="00B52D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81859"/>
      <w:docPartObj>
        <w:docPartGallery w:val="Page Numbers (Bottom of Page)"/>
        <w:docPartUnique/>
      </w:docPartObj>
    </w:sdtPr>
    <w:sdtEndPr>
      <w:rPr>
        <w:rFonts w:ascii="Times New Roman" w:hAnsi="Times New Roman" w:cs="Times New Roman"/>
        <w:noProof/>
      </w:rPr>
    </w:sdtEndPr>
    <w:sdtContent>
      <w:p w14:paraId="24696E88" w14:textId="77777777" w:rsidR="001010E7" w:rsidRPr="00352714" w:rsidRDefault="001010E7">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7BC20CAD" w14:textId="77777777" w:rsidR="001010E7" w:rsidRDefault="001010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059657"/>
      <w:docPartObj>
        <w:docPartGallery w:val="Page Numbers (Bottom of Page)"/>
        <w:docPartUnique/>
      </w:docPartObj>
    </w:sdtPr>
    <w:sdtEndPr>
      <w:rPr>
        <w:rFonts w:ascii="Arial" w:hAnsi="Arial" w:cs="Arial"/>
        <w:noProof/>
        <w:sz w:val="18"/>
        <w:szCs w:val="18"/>
      </w:rPr>
    </w:sdtEndPr>
    <w:sdtContent>
      <w:p w14:paraId="226FDFD9" w14:textId="2E8BA29D" w:rsidR="001010E7" w:rsidRPr="00985E45" w:rsidRDefault="001010E7">
        <w:pPr>
          <w:pStyle w:val="Footer"/>
          <w:jc w:val="center"/>
          <w:rPr>
            <w:rFonts w:ascii="Arial" w:hAnsi="Arial" w:cs="Arial"/>
            <w:sz w:val="18"/>
            <w:szCs w:val="18"/>
          </w:rPr>
        </w:pPr>
        <w:r w:rsidRPr="00985E45">
          <w:rPr>
            <w:rFonts w:ascii="Arial" w:hAnsi="Arial" w:cs="Arial"/>
            <w:sz w:val="18"/>
            <w:szCs w:val="18"/>
          </w:rPr>
          <w:t>-</w:t>
        </w:r>
        <w:r w:rsidRPr="00985E45">
          <w:rPr>
            <w:rFonts w:ascii="Arial" w:hAnsi="Arial" w:cs="Arial"/>
            <w:sz w:val="18"/>
            <w:szCs w:val="18"/>
          </w:rPr>
          <w:fldChar w:fldCharType="begin"/>
        </w:r>
        <w:r w:rsidRPr="00985E45">
          <w:rPr>
            <w:rFonts w:ascii="Arial" w:hAnsi="Arial" w:cs="Arial"/>
            <w:sz w:val="18"/>
            <w:szCs w:val="18"/>
          </w:rPr>
          <w:instrText xml:space="preserve"> PAGE   \* MERGEFORMAT </w:instrText>
        </w:r>
        <w:r w:rsidRPr="00985E45">
          <w:rPr>
            <w:rFonts w:ascii="Arial" w:hAnsi="Arial" w:cs="Arial"/>
            <w:sz w:val="18"/>
            <w:szCs w:val="18"/>
          </w:rPr>
          <w:fldChar w:fldCharType="separate"/>
        </w:r>
        <w:r w:rsidR="00DF0D13">
          <w:rPr>
            <w:rFonts w:ascii="Arial" w:hAnsi="Arial" w:cs="Arial"/>
            <w:noProof/>
            <w:sz w:val="18"/>
            <w:szCs w:val="18"/>
          </w:rPr>
          <w:t>19</w:t>
        </w:r>
        <w:r w:rsidRPr="00985E45">
          <w:rPr>
            <w:rFonts w:ascii="Arial" w:hAnsi="Arial" w:cs="Arial"/>
            <w:noProof/>
            <w:sz w:val="18"/>
            <w:szCs w:val="18"/>
          </w:rPr>
          <w:fldChar w:fldCharType="end"/>
        </w:r>
        <w:r w:rsidRPr="00985E45">
          <w:rPr>
            <w:rFonts w:ascii="Arial" w:hAnsi="Arial" w:cs="Arial"/>
            <w:noProof/>
            <w:sz w:val="18"/>
            <w:szCs w:val="18"/>
          </w:rPr>
          <w:t>-</w:t>
        </w:r>
      </w:p>
    </w:sdtContent>
  </w:sdt>
  <w:p w14:paraId="38EB469F" w14:textId="77777777" w:rsidR="001010E7" w:rsidRDefault="00101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C663A" w14:textId="77777777" w:rsidR="00B52DF1" w:rsidRDefault="00B52DF1" w:rsidP="00062D0D">
      <w:pPr>
        <w:spacing w:after="0" w:line="240" w:lineRule="auto"/>
      </w:pPr>
      <w:r>
        <w:separator/>
      </w:r>
    </w:p>
  </w:footnote>
  <w:footnote w:type="continuationSeparator" w:id="0">
    <w:p w14:paraId="69C0BC47" w14:textId="77777777" w:rsidR="00B52DF1" w:rsidRDefault="00B52DF1" w:rsidP="00062D0D">
      <w:pPr>
        <w:spacing w:after="0" w:line="240" w:lineRule="auto"/>
      </w:pPr>
      <w:r>
        <w:continuationSeparator/>
      </w:r>
    </w:p>
  </w:footnote>
  <w:footnote w:type="continuationNotice" w:id="1">
    <w:p w14:paraId="07667180" w14:textId="77777777" w:rsidR="00B52DF1" w:rsidRDefault="00B52DF1">
      <w:pPr>
        <w:spacing w:after="0" w:line="240" w:lineRule="auto"/>
      </w:pPr>
    </w:p>
  </w:footnote>
  <w:footnote w:id="2">
    <w:p w14:paraId="7D5A5D4A" w14:textId="77777777" w:rsidR="001010E7" w:rsidRPr="001010E7" w:rsidRDefault="001010E7" w:rsidP="001010E7">
      <w:pPr>
        <w:pStyle w:val="FootnoteText"/>
        <w:spacing w:after="0"/>
        <w:rPr>
          <w:rFonts w:ascii="Arial" w:hAnsi="Arial" w:cs="Arial"/>
          <w:sz w:val="18"/>
          <w:szCs w:val="18"/>
          <w:lang w:val="es-ES_tradnl"/>
        </w:rPr>
      </w:pPr>
      <w:r w:rsidRPr="001010E7">
        <w:rPr>
          <w:rStyle w:val="FootnoteReference"/>
          <w:rFonts w:ascii="Arial" w:hAnsi="Arial" w:cs="Arial"/>
          <w:sz w:val="18"/>
          <w:szCs w:val="18"/>
        </w:rPr>
        <w:footnoteRef/>
      </w:r>
      <w:r w:rsidRPr="001010E7">
        <w:rPr>
          <w:rFonts w:ascii="Arial" w:hAnsi="Arial" w:cs="Arial"/>
          <w:sz w:val="18"/>
          <w:szCs w:val="18"/>
          <w:lang w:val="es-ES_tradnl"/>
        </w:rPr>
        <w:t xml:space="preserve"> </w:t>
      </w:r>
      <w:r w:rsidRPr="001010E7">
        <w:rPr>
          <w:rFonts w:ascii="Arial" w:hAnsi="Arial" w:cs="Arial"/>
          <w:sz w:val="18"/>
          <w:szCs w:val="18"/>
          <w:lang w:val="es-ES_tradnl"/>
        </w:rPr>
        <w:tab/>
      </w:r>
      <w:r w:rsidRPr="001010E7">
        <w:rPr>
          <w:rFonts w:ascii="Arial" w:hAnsi="Arial" w:cs="Arial"/>
          <w:i/>
          <w:sz w:val="18"/>
          <w:szCs w:val="18"/>
          <w:lang w:val="es-ES_tradnl"/>
        </w:rPr>
        <w:t>Program Monitoring Report</w:t>
      </w:r>
      <w:r w:rsidRPr="001010E7">
        <w:rPr>
          <w:rFonts w:ascii="Arial" w:hAnsi="Arial" w:cs="Arial"/>
          <w:sz w:val="18"/>
          <w:szCs w:val="18"/>
          <w:lang w:val="es-ES_tradnl"/>
        </w:rPr>
        <w:t xml:space="preserve"> por sus siglas en inglés</w:t>
      </w:r>
    </w:p>
  </w:footnote>
  <w:footnote w:id="3">
    <w:p w14:paraId="1001D6DF" w14:textId="7A5E2B22" w:rsidR="001010E7" w:rsidRPr="0082348D" w:rsidRDefault="001010E7" w:rsidP="001010E7">
      <w:pPr>
        <w:pStyle w:val="FootnoteText"/>
        <w:spacing w:after="0"/>
        <w:rPr>
          <w:lang w:val="es-ES_tradnl"/>
        </w:rPr>
      </w:pPr>
      <w:r w:rsidRPr="001010E7">
        <w:rPr>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sidRPr="001010E7">
        <w:rPr>
          <w:rFonts w:ascii="Arial" w:hAnsi="Arial" w:cs="Arial"/>
          <w:sz w:val="18"/>
          <w:szCs w:val="18"/>
          <w:lang w:val="es-ES_tradnl"/>
        </w:rPr>
        <w:t xml:space="preserve">Equivalente a </w:t>
      </w:r>
      <w:r>
        <w:rPr>
          <w:rFonts w:ascii="Arial" w:hAnsi="Arial" w:cs="Arial"/>
          <w:sz w:val="18"/>
          <w:szCs w:val="18"/>
          <w:lang w:val="es-ES_tradnl"/>
        </w:rPr>
        <w:t>US</w:t>
      </w:r>
      <w:r w:rsidRPr="001010E7">
        <w:rPr>
          <w:rFonts w:ascii="Arial" w:hAnsi="Arial" w:cs="Arial"/>
          <w:sz w:val="18"/>
          <w:szCs w:val="18"/>
          <w:lang w:val="es-ES_tradnl"/>
        </w:rPr>
        <w:t>$</w:t>
      </w:r>
      <w:r w:rsidRPr="001010E7">
        <w:rPr>
          <w:rFonts w:ascii="Arial" w:hAnsi="Arial" w:cs="Arial"/>
          <w:sz w:val="18"/>
          <w:szCs w:val="18"/>
          <w:lang w:val="es-ES"/>
        </w:rPr>
        <w:t>510.034 pesos,</w:t>
      </w:r>
      <w:r w:rsidRPr="001010E7">
        <w:rPr>
          <w:rFonts w:ascii="Arial" w:hAnsi="Arial" w:cs="Arial"/>
          <w:sz w:val="18"/>
          <w:szCs w:val="18"/>
          <w:lang w:val="es-ES_tradnl"/>
        </w:rPr>
        <w:t xml:space="preserve"> considerando un tipo de cambio de 18.00 MXN/USD.</w:t>
      </w:r>
      <w:r>
        <w:rPr>
          <w:rFonts w:ascii="Arial" w:hAnsi="Arial" w:cs="Arial"/>
          <w:sz w:val="18"/>
          <w:szCs w:val="18"/>
          <w:lang w:val="es-ES_tradnl"/>
        </w:rPr>
        <w:t xml:space="preserve"> </w:t>
      </w:r>
    </w:p>
  </w:footnote>
  <w:footnote w:id="4">
    <w:p w14:paraId="72836781" w14:textId="568E7A14" w:rsidR="001010E7" w:rsidRPr="0082348D" w:rsidRDefault="001010E7" w:rsidP="00C04C7F">
      <w:pPr>
        <w:pStyle w:val="FootnoteText"/>
        <w:rPr>
          <w:lang w:val="es-ES_tradnl"/>
        </w:rPr>
      </w:pPr>
      <w:r>
        <w:rPr>
          <w:rStyle w:val="FootnoteReference"/>
        </w:rPr>
        <w:footnoteRef/>
      </w:r>
      <w:r>
        <w:rPr>
          <w:lang w:val="es-ES_tradnl"/>
        </w:rPr>
        <w:t xml:space="preserve"> </w:t>
      </w:r>
      <w:r>
        <w:rPr>
          <w:lang w:val="es-ES_tradnl"/>
        </w:rPr>
        <w:tab/>
      </w:r>
      <w:r w:rsidRPr="001010E7">
        <w:rPr>
          <w:rFonts w:ascii="Arial" w:hAnsi="Arial" w:cs="Arial"/>
          <w:sz w:val="18"/>
          <w:szCs w:val="18"/>
          <w:lang w:val="es-ES_tradnl"/>
        </w:rPr>
        <w:t xml:space="preserve">Equivalente a </w:t>
      </w:r>
      <w:r>
        <w:rPr>
          <w:rFonts w:ascii="Arial" w:hAnsi="Arial" w:cs="Arial"/>
          <w:sz w:val="18"/>
          <w:szCs w:val="18"/>
          <w:lang w:val="es-ES_tradnl"/>
        </w:rPr>
        <w:t>US</w:t>
      </w:r>
      <w:r w:rsidRPr="001010E7">
        <w:rPr>
          <w:rFonts w:ascii="Arial" w:hAnsi="Arial" w:cs="Arial"/>
          <w:sz w:val="18"/>
          <w:szCs w:val="18"/>
          <w:lang w:val="es-ES_tradnl"/>
        </w:rPr>
        <w:t>$</w:t>
      </w:r>
      <w:r>
        <w:rPr>
          <w:rFonts w:ascii="Arial" w:hAnsi="Arial" w:cs="Arial"/>
          <w:sz w:val="18"/>
          <w:szCs w:val="18"/>
          <w:lang w:val="es-ES_tradnl"/>
        </w:rPr>
        <w:t>339.</w:t>
      </w:r>
      <w:r w:rsidRPr="003B3502">
        <w:rPr>
          <w:rFonts w:ascii="Arial" w:hAnsi="Arial" w:cs="Arial"/>
          <w:sz w:val="18"/>
          <w:szCs w:val="18"/>
          <w:lang w:val="es-ES_tradnl"/>
        </w:rPr>
        <w:t>2</w:t>
      </w:r>
      <w:r>
        <w:rPr>
          <w:rFonts w:ascii="Arial" w:hAnsi="Arial" w:cs="Arial"/>
          <w:sz w:val="18"/>
          <w:szCs w:val="18"/>
          <w:lang w:val="es-ES_tradnl"/>
        </w:rPr>
        <w:t>83</w:t>
      </w:r>
      <w:r w:rsidRPr="001010E7">
        <w:rPr>
          <w:rFonts w:ascii="Arial" w:hAnsi="Arial" w:cs="Arial"/>
          <w:sz w:val="18"/>
          <w:szCs w:val="18"/>
          <w:lang w:val="es-ES_tradnl"/>
        </w:rPr>
        <w:t xml:space="preserve"> pesos,</w:t>
      </w:r>
      <w:r>
        <w:rPr>
          <w:rFonts w:ascii="Arial" w:hAnsi="Arial" w:cs="Arial"/>
          <w:sz w:val="18"/>
          <w:szCs w:val="18"/>
          <w:lang w:val="es-ES_tradnl"/>
        </w:rPr>
        <w:t xml:space="preserve"> considerando un tipo de cambio de 18.00 MXN/USD.</w:t>
      </w:r>
    </w:p>
  </w:footnote>
  <w:footnote w:id="5">
    <w:p w14:paraId="0EB9DDC4" w14:textId="77777777" w:rsidR="001010E7" w:rsidRPr="0099774C" w:rsidRDefault="001010E7" w:rsidP="0099774C">
      <w:pPr>
        <w:pStyle w:val="FootnoteText"/>
        <w:spacing w:after="0"/>
        <w:rPr>
          <w:rFonts w:ascii="Arial" w:hAnsi="Arial" w:cs="Arial"/>
          <w:sz w:val="18"/>
          <w:szCs w:val="18"/>
          <w:lang w:val="es-ES_tradnl"/>
        </w:rPr>
      </w:pPr>
      <w:r w:rsidRPr="0099774C">
        <w:rPr>
          <w:rStyle w:val="FootnoteReference"/>
          <w:rFonts w:ascii="Arial" w:hAnsi="Arial" w:cs="Arial"/>
          <w:sz w:val="18"/>
          <w:szCs w:val="18"/>
        </w:rPr>
        <w:footnoteRef/>
      </w:r>
      <w:r w:rsidRPr="0099774C">
        <w:rPr>
          <w:rFonts w:ascii="Arial" w:hAnsi="Arial" w:cs="Arial"/>
          <w:sz w:val="18"/>
          <w:szCs w:val="18"/>
          <w:lang w:val="es-ES_tradnl"/>
        </w:rPr>
        <w:t xml:space="preserve"> </w:t>
      </w:r>
      <w:r>
        <w:rPr>
          <w:rFonts w:ascii="Arial" w:hAnsi="Arial" w:cs="Arial"/>
          <w:sz w:val="18"/>
          <w:szCs w:val="18"/>
          <w:lang w:val="es-ES_tradnl"/>
        </w:rPr>
        <w:tab/>
      </w:r>
      <w:r w:rsidRPr="0099774C">
        <w:rPr>
          <w:rFonts w:ascii="Arial" w:hAnsi="Arial" w:cs="Arial"/>
          <w:sz w:val="18"/>
          <w:szCs w:val="18"/>
          <w:lang w:val="es-ES_tradnl"/>
        </w:rPr>
        <w:t>Para los controles, se cuenta únicamente con un proxy de inversión, y no con el nivel de inversión (en millones).</w:t>
      </w:r>
    </w:p>
  </w:footnote>
  <w:footnote w:id="6">
    <w:p w14:paraId="0B7D61AD" w14:textId="77777777" w:rsidR="001010E7" w:rsidRPr="0099774C" w:rsidRDefault="001010E7" w:rsidP="0099774C">
      <w:pPr>
        <w:pStyle w:val="FootnoteText"/>
        <w:tabs>
          <w:tab w:val="left" w:pos="270"/>
        </w:tabs>
        <w:spacing w:after="0"/>
        <w:ind w:left="270"/>
        <w:rPr>
          <w:lang w:val="es-ES_tradnl"/>
        </w:rPr>
      </w:pPr>
      <w:r w:rsidRPr="0099774C">
        <w:rPr>
          <w:rStyle w:val="FootnoteReference"/>
          <w:rFonts w:ascii="Arial" w:hAnsi="Arial" w:cs="Arial"/>
          <w:sz w:val="18"/>
          <w:szCs w:val="18"/>
        </w:rPr>
        <w:footnoteRef/>
      </w:r>
      <w:r w:rsidRPr="0099774C">
        <w:rPr>
          <w:rFonts w:ascii="Arial" w:hAnsi="Arial" w:cs="Arial"/>
          <w:sz w:val="18"/>
          <w:szCs w:val="18"/>
          <w:lang w:val="es-ES_tradnl"/>
        </w:rPr>
        <w:t xml:space="preserve"> </w:t>
      </w:r>
      <w:r>
        <w:rPr>
          <w:rFonts w:ascii="Arial" w:hAnsi="Arial" w:cs="Arial"/>
          <w:sz w:val="18"/>
          <w:szCs w:val="18"/>
          <w:lang w:val="es-ES_tradnl"/>
        </w:rPr>
        <w:tab/>
      </w:r>
      <w:r w:rsidRPr="0099774C">
        <w:rPr>
          <w:rFonts w:ascii="Arial" w:hAnsi="Arial" w:cs="Arial"/>
          <w:sz w:val="18"/>
          <w:szCs w:val="18"/>
          <w:lang w:val="es-ES_tradnl"/>
        </w:rPr>
        <w:t>Probablemente la muestra no será suficientemente grande para detectar efectos para el sector secundario. Sin embargo, se podrá utilizar los datos para un análisis descriptivo.</w:t>
      </w:r>
      <w:r>
        <w:rPr>
          <w:lang w:val="es-ES_tradnl"/>
        </w:rPr>
        <w:t xml:space="preserve"> </w:t>
      </w:r>
    </w:p>
  </w:footnote>
  <w:footnote w:id="7">
    <w:p w14:paraId="6418E989" w14:textId="77777777" w:rsidR="001010E7" w:rsidRPr="0099774C" w:rsidRDefault="001010E7" w:rsidP="0099774C">
      <w:pPr>
        <w:pStyle w:val="FootnoteText"/>
        <w:spacing w:after="0"/>
        <w:rPr>
          <w:rFonts w:ascii="Arial" w:hAnsi="Arial" w:cs="Arial"/>
          <w:sz w:val="18"/>
          <w:szCs w:val="18"/>
          <w:lang w:val="es-ES_tradnl"/>
        </w:rPr>
      </w:pPr>
      <w:r>
        <w:rPr>
          <w:rStyle w:val="FootnoteReference"/>
        </w:rPr>
        <w:footnoteRef/>
      </w:r>
      <w:r w:rsidRPr="0099774C">
        <w:rPr>
          <w:lang w:val="es-ES_tradnl"/>
        </w:rPr>
        <w:t xml:space="preserve"> </w:t>
      </w:r>
      <w:r>
        <w:rPr>
          <w:lang w:val="es-ES_tradnl"/>
        </w:rPr>
        <w:tab/>
      </w:r>
      <w:r w:rsidRPr="0099774C">
        <w:rPr>
          <w:rFonts w:ascii="Arial" w:hAnsi="Arial" w:cs="Arial"/>
          <w:sz w:val="18"/>
          <w:szCs w:val="18"/>
          <w:lang w:val="es-ES_tradnl"/>
        </w:rPr>
        <w:t>En particular, la presente operación tiene como beneficiarios elegibles, a las UER pequeñas y medianas que desarrollan actividades productivas en el sector primario, a lo cual va dirigido el 80% de los recursos del programa.</w:t>
      </w:r>
      <w:r w:rsidRPr="00667D9B">
        <w:rPr>
          <w:rFonts w:ascii="Arial" w:hAnsi="Arial" w:cs="Arial"/>
          <w:sz w:val="18"/>
          <w:szCs w:val="18"/>
          <w:lang w:val="es-ES_tradnl"/>
        </w:rPr>
        <w:t xml:space="preserve"> </w:t>
      </w:r>
      <w:r w:rsidRPr="00114A7C">
        <w:rPr>
          <w:rFonts w:ascii="Arial" w:hAnsi="Arial" w:cs="Arial"/>
          <w:sz w:val="18"/>
          <w:szCs w:val="18"/>
          <w:lang w:val="es-ES_tradnl"/>
        </w:rPr>
        <w:t>Además, el otro 20% de los recursos del programa irá destinado a actividades económicas en el medio rural directamente vinculadas al sector primario (ya sea en los sectores secundario o terciario).</w:t>
      </w:r>
      <w:r w:rsidRPr="0099774C">
        <w:rPr>
          <w:rFonts w:ascii="Arial" w:hAnsi="Arial" w:cs="Arial"/>
          <w:sz w:val="18"/>
          <w:szCs w:val="18"/>
          <w:lang w:val="es-ES_tradnl"/>
        </w:rPr>
        <w:t xml:space="preserve"> Al igual que en las otras operaciones de la CCLIP, los beneficiarios son productores establecidos (ya sean personas naturales o empresas), a diferencia de las UER de subsistencia o con poca vinculación al mercado, y están sujetos a condiciones de mercado. El programa se enfocará en elevar la produc</w:t>
      </w:r>
      <w:r>
        <w:rPr>
          <w:rFonts w:ascii="Arial" w:hAnsi="Arial" w:cs="Arial"/>
          <w:sz w:val="18"/>
          <w:szCs w:val="18"/>
          <w:lang w:val="es-ES_tradnl"/>
        </w:rPr>
        <w:t>tividad en el ámbito rural: (a) El programa busca aumentar la productividad en el sector primario.; y (b) a</w:t>
      </w:r>
      <w:r w:rsidRPr="00114A7C">
        <w:rPr>
          <w:rFonts w:ascii="Arial" w:hAnsi="Arial" w:cs="Arial"/>
          <w:sz w:val="18"/>
          <w:szCs w:val="18"/>
          <w:lang w:val="es-ES_tradnl"/>
        </w:rPr>
        <w:t xml:space="preserve"> su vez, el programa busca promover la inclusión financiera en beneficio del sector rural mediante el apoyo a la diversificación de actividades económicas hacia los se</w:t>
      </w:r>
      <w:r>
        <w:rPr>
          <w:rFonts w:ascii="Arial" w:hAnsi="Arial" w:cs="Arial"/>
          <w:sz w:val="18"/>
          <w:szCs w:val="18"/>
          <w:lang w:val="es-ES_tradnl"/>
        </w:rPr>
        <w:t xml:space="preserve">ctores secundario y terciario. </w:t>
      </w:r>
    </w:p>
  </w:footnote>
  <w:footnote w:id="8">
    <w:p w14:paraId="2AC415BF" w14:textId="77777777" w:rsidR="001010E7" w:rsidRPr="00985E45" w:rsidRDefault="001010E7" w:rsidP="00FC138B">
      <w:pPr>
        <w:pStyle w:val="FootnoteText"/>
        <w:spacing w:after="0"/>
        <w:ind w:left="270" w:hanging="270"/>
        <w:rPr>
          <w:rFonts w:ascii="Arial" w:hAnsi="Arial" w:cs="Arial"/>
          <w:sz w:val="18"/>
          <w:szCs w:val="18"/>
          <w:lang w:val="es-ES_tradnl"/>
        </w:rPr>
      </w:pPr>
      <w:r w:rsidRPr="00985E45">
        <w:rPr>
          <w:rStyle w:val="FootnoteReference"/>
          <w:rFonts w:ascii="Arial" w:hAnsi="Arial" w:cs="Arial"/>
          <w:sz w:val="18"/>
          <w:szCs w:val="18"/>
        </w:rPr>
        <w:footnoteRef/>
      </w:r>
      <w:r w:rsidRPr="00985E45">
        <w:rPr>
          <w:rFonts w:ascii="Arial" w:hAnsi="Arial" w:cs="Arial"/>
          <w:sz w:val="18"/>
          <w:szCs w:val="18"/>
          <w:lang w:val="es-ES_tradnl"/>
        </w:rPr>
        <w:t xml:space="preserve"> </w:t>
      </w:r>
      <w:r w:rsidRPr="00985E45">
        <w:rPr>
          <w:rFonts w:ascii="Arial" w:hAnsi="Arial" w:cs="Arial"/>
          <w:sz w:val="18"/>
          <w:szCs w:val="18"/>
          <w:lang w:val="es-ES_tradnl"/>
        </w:rPr>
        <w:tab/>
        <w:t>La FND, bajo su Ley Orgánica, sólo puede atender a UER en poblaciones de menos de 50.000 habitantes. Siguiendo la estratificación de UER el programa clasifica como pequeño productor a las UER en la categoría E3 y E4 según su nivel de ingresos y como mediano productor a las UER con actividad empresarial pujante, o categoría E5.</w:t>
      </w:r>
      <w:r w:rsidRPr="00985E45">
        <w:rPr>
          <w:rStyle w:val="FootnoteReference"/>
          <w:rFonts w:ascii="Arial" w:hAnsi="Arial" w:cs="Arial"/>
          <w:sz w:val="18"/>
          <w:szCs w:val="18"/>
          <w:lang w:val="es-ES_tradnl"/>
        </w:rPr>
        <w:t xml:space="preserve"> </w:t>
      </w:r>
      <w:r w:rsidRPr="00985E45">
        <w:rPr>
          <w:rFonts w:ascii="Arial" w:hAnsi="Arial" w:cs="Arial"/>
          <w:sz w:val="18"/>
          <w:szCs w:val="18"/>
          <w:lang w:val="es-ES_tradnl"/>
        </w:rPr>
        <w:t>Los beneficiarios potenciales generalmente no reciben recursos de otros programas gubernamentales de apoyo a la capitalización y adopción tecnológica.</w:t>
      </w:r>
    </w:p>
  </w:footnote>
  <w:footnote w:id="9">
    <w:p w14:paraId="3F830638" w14:textId="77777777" w:rsidR="001010E7" w:rsidRPr="0099774C" w:rsidRDefault="001010E7" w:rsidP="00207A71">
      <w:pPr>
        <w:pStyle w:val="FootnoteText"/>
        <w:rPr>
          <w:rFonts w:ascii="Arial" w:hAnsi="Arial" w:cs="Arial"/>
          <w:sz w:val="18"/>
          <w:szCs w:val="18"/>
          <w:lang w:val="es-ES_tradnl"/>
        </w:rPr>
      </w:pPr>
      <w:r w:rsidRPr="0099774C">
        <w:rPr>
          <w:rStyle w:val="FootnoteReference"/>
          <w:rFonts w:ascii="Arial" w:hAnsi="Arial" w:cs="Arial"/>
          <w:sz w:val="18"/>
          <w:szCs w:val="18"/>
        </w:rPr>
        <w:footnoteRef/>
      </w:r>
      <w:r w:rsidRPr="0099774C">
        <w:rPr>
          <w:rFonts w:ascii="Arial" w:hAnsi="Arial" w:cs="Arial"/>
          <w:sz w:val="18"/>
          <w:szCs w:val="18"/>
          <w:lang w:val="es-ES_tradnl"/>
        </w:rPr>
        <w:t xml:space="preserve"> </w:t>
      </w:r>
      <w:r w:rsidRPr="0099774C">
        <w:rPr>
          <w:rFonts w:ascii="Arial" w:hAnsi="Arial" w:cs="Arial"/>
          <w:sz w:val="18"/>
          <w:szCs w:val="18"/>
          <w:lang w:val="es-ES_tradnl"/>
        </w:rPr>
        <w:tab/>
        <w:t xml:space="preserve">Esta población meta incluye créditos que no fueron financiados por las operaciones de la CLIPP, pero que cuentan con el mismo tipo de tratamiento, y las mismas reglas de elegibilidad de beneficiarios que la CLIPP. Adicionalmente, es importante notar, que FND utiliza distintos modelos de </w:t>
      </w:r>
      <w:r w:rsidRPr="0099774C">
        <w:rPr>
          <w:rFonts w:ascii="Arial" w:hAnsi="Arial" w:cs="Arial"/>
          <w:i/>
          <w:sz w:val="18"/>
          <w:szCs w:val="18"/>
          <w:lang w:val="es-ES_tradnl"/>
        </w:rPr>
        <w:t>scoring</w:t>
      </w:r>
      <w:r w:rsidRPr="0099774C">
        <w:rPr>
          <w:rFonts w:ascii="Arial" w:hAnsi="Arial" w:cs="Arial"/>
          <w:sz w:val="18"/>
          <w:szCs w:val="18"/>
          <w:lang w:val="es-ES_tradnl"/>
        </w:rPr>
        <w:t xml:space="preserve"> según el año, región, etc. La evaluación tomará en cuenta únicamente los modelos de </w:t>
      </w:r>
      <w:r w:rsidRPr="0099774C">
        <w:rPr>
          <w:rFonts w:ascii="Arial" w:hAnsi="Arial" w:cs="Arial"/>
          <w:i/>
          <w:sz w:val="18"/>
          <w:szCs w:val="18"/>
          <w:lang w:val="es-ES_tradnl"/>
        </w:rPr>
        <w:t>scoring</w:t>
      </w:r>
      <w:r w:rsidRPr="0099774C">
        <w:rPr>
          <w:rFonts w:ascii="Arial" w:hAnsi="Arial" w:cs="Arial"/>
          <w:sz w:val="18"/>
          <w:szCs w:val="18"/>
          <w:lang w:val="es-ES_tradnl"/>
        </w:rPr>
        <w:t xml:space="preserve"> que cumplen con los requerimientos para que la metodología de RD sea válida. </w:t>
      </w:r>
    </w:p>
  </w:footnote>
  <w:footnote w:id="10">
    <w:p w14:paraId="20927746" w14:textId="77777777" w:rsidR="001010E7" w:rsidRPr="00114A7C" w:rsidRDefault="001010E7" w:rsidP="0099774C">
      <w:pPr>
        <w:pStyle w:val="FootnoteText"/>
        <w:tabs>
          <w:tab w:val="left" w:pos="270"/>
        </w:tabs>
        <w:spacing w:after="0"/>
        <w:ind w:left="270" w:hanging="270"/>
        <w:rPr>
          <w:rFonts w:ascii="Arial" w:hAnsi="Arial" w:cs="Arial"/>
          <w:sz w:val="18"/>
          <w:szCs w:val="18"/>
          <w:lang w:val="es-ES_tradnl"/>
        </w:rPr>
      </w:pPr>
      <w:r w:rsidRPr="00114A7C">
        <w:rPr>
          <w:rStyle w:val="FootnoteReference"/>
          <w:rFonts w:ascii="Arial" w:hAnsi="Arial" w:cs="Arial"/>
          <w:sz w:val="18"/>
          <w:szCs w:val="18"/>
        </w:rPr>
        <w:footnoteRef/>
      </w:r>
      <w:r w:rsidRPr="00114A7C">
        <w:rPr>
          <w:rFonts w:ascii="Arial" w:hAnsi="Arial" w:cs="Arial"/>
          <w:sz w:val="18"/>
          <w:szCs w:val="18"/>
          <w:lang w:val="es-ES_tradnl"/>
        </w:rPr>
        <w:t xml:space="preserve"> </w:t>
      </w:r>
      <w:r>
        <w:rPr>
          <w:rFonts w:ascii="Arial" w:hAnsi="Arial" w:cs="Arial"/>
          <w:sz w:val="18"/>
          <w:szCs w:val="18"/>
          <w:lang w:val="es-ES_tradnl"/>
        </w:rPr>
        <w:tab/>
      </w:r>
      <w:r w:rsidRPr="00114A7C">
        <w:rPr>
          <w:rFonts w:ascii="Arial" w:hAnsi="Arial" w:cs="Arial"/>
          <w:sz w:val="18"/>
          <w:szCs w:val="18"/>
          <w:lang w:val="es-ES_tradnl"/>
        </w:rPr>
        <w:t>Idealmente se quisiera obtener medidas de productividad total de los factores, lo cual excede en esfuerzo y complejidad lo que se ha acordado con la contraparte en rondas exploratorias preliminares para evaluar la capacidad efectiva de implementación de la evaluación aquí propuesta. Adicionalmente, dado los elevados niveles de informalidad en la economía de México que resultan todavía mayores en el sector rural, se opta por no tomar la segunda medida usual que sería el nivel de ventas por empleado debido a la alta posibilidad de sub</w:t>
      </w:r>
      <w:r>
        <w:rPr>
          <w:rFonts w:ascii="Arial" w:hAnsi="Arial" w:cs="Arial"/>
          <w:sz w:val="18"/>
          <w:szCs w:val="18"/>
          <w:lang w:val="es-ES_tradnl"/>
        </w:rPr>
        <w:t xml:space="preserve"> </w:t>
      </w:r>
      <w:r w:rsidRPr="00114A7C">
        <w:rPr>
          <w:rFonts w:ascii="Arial" w:hAnsi="Arial" w:cs="Arial"/>
          <w:sz w:val="18"/>
          <w:szCs w:val="18"/>
          <w:lang w:val="es-ES_tradnl"/>
        </w:rPr>
        <w:t>respue</w:t>
      </w:r>
      <w:r>
        <w:rPr>
          <w:rFonts w:ascii="Arial" w:hAnsi="Arial" w:cs="Arial"/>
          <w:sz w:val="18"/>
          <w:szCs w:val="18"/>
          <w:lang w:val="es-ES_tradnl"/>
        </w:rPr>
        <w:t>s</w:t>
      </w:r>
      <w:r w:rsidRPr="00114A7C">
        <w:rPr>
          <w:rFonts w:ascii="Arial" w:hAnsi="Arial" w:cs="Arial"/>
          <w:sz w:val="18"/>
          <w:szCs w:val="18"/>
          <w:lang w:val="es-ES_tradnl"/>
        </w:rPr>
        <w:t>ta; Se tiene entonces que se ha acordado utilizar como proxy de productividad las ventas por hectárea (cabe notar que existen coeficientes técnicos que permiten establecer una equivalencia entre cabezas de ganado y hectáreas).</w:t>
      </w:r>
    </w:p>
  </w:footnote>
  <w:footnote w:id="11">
    <w:p w14:paraId="2DF6859B" w14:textId="77777777" w:rsidR="001010E7" w:rsidRPr="001010E7" w:rsidRDefault="001010E7" w:rsidP="00923FA7">
      <w:pPr>
        <w:pStyle w:val="FootnoteText"/>
        <w:rPr>
          <w:rFonts w:ascii="Arial" w:hAnsi="Arial"/>
          <w:sz w:val="18"/>
          <w:lang w:val="es-ES_tradnl"/>
        </w:rPr>
      </w:pPr>
      <w:r w:rsidRPr="001010E7">
        <w:rPr>
          <w:rStyle w:val="FootnoteReference"/>
          <w:rFonts w:ascii="Arial" w:hAnsi="Arial"/>
          <w:sz w:val="18"/>
        </w:rPr>
        <w:footnoteRef/>
      </w:r>
      <w:r w:rsidRPr="001010E7">
        <w:rPr>
          <w:rFonts w:ascii="Arial" w:hAnsi="Arial"/>
          <w:sz w:val="18"/>
          <w:lang w:val="es-ES_tradnl"/>
        </w:rPr>
        <w:t xml:space="preserve"> </w:t>
      </w:r>
      <w:r>
        <w:rPr>
          <w:rFonts w:ascii="Arial" w:hAnsi="Arial" w:cs="Arial"/>
          <w:sz w:val="18"/>
          <w:szCs w:val="18"/>
          <w:lang w:val="es-ES_tradnl"/>
        </w:rPr>
        <w:tab/>
      </w:r>
      <w:r w:rsidRPr="001010E7">
        <w:rPr>
          <w:rFonts w:ascii="Arial" w:hAnsi="Arial"/>
          <w:sz w:val="18"/>
          <w:lang w:val="es-ES_tradnl"/>
        </w:rPr>
        <w:t>Dependiendo del tipo de crédito o paquete tecnológico que se solicite, las solicitudes incluyen información como ser hoja de balance del productor, cuenta de resultados, información sobre créditos anteriores, etc. También se realizan encuestas intermedias para beneficiarios del programa, que incluyen información como la verificación del uso de recursos del programa para actividades productivas, etc. Sin embargo, la información que recogen las agencias es guardada en papel a criterio del oficial de crédito y no se pudo tener acceso a esta información de forma sistemática. Como parte del apoyo del BID se están fortaleciendo los procesos de manejo de datos de FND.</w:t>
      </w:r>
    </w:p>
  </w:footnote>
  <w:footnote w:id="12">
    <w:p w14:paraId="1B56E45F" w14:textId="77777777" w:rsidR="001010E7" w:rsidRPr="00985E45" w:rsidRDefault="001010E7" w:rsidP="001010E7">
      <w:pPr>
        <w:pStyle w:val="Paragraph"/>
        <w:numPr>
          <w:ilvl w:val="0"/>
          <w:numId w:val="0"/>
        </w:numPr>
        <w:tabs>
          <w:tab w:val="left" w:pos="270"/>
        </w:tabs>
        <w:ind w:left="270" w:hanging="270"/>
        <w:rPr>
          <w:rFonts w:ascii="Arial" w:eastAsiaTheme="minorEastAsia" w:hAnsi="Arial" w:cs="Arial"/>
          <w:bCs/>
          <w:sz w:val="22"/>
          <w:szCs w:val="22"/>
          <w:lang w:val="es-ES_tradnl" w:eastAsia="en-US"/>
        </w:rPr>
      </w:pPr>
      <w:r w:rsidRPr="001010E7">
        <w:rPr>
          <w:rStyle w:val="FootnoteReference"/>
          <w:rFonts w:ascii="Arial" w:hAnsi="Arial"/>
          <w:sz w:val="18"/>
        </w:rPr>
        <w:footnoteRef/>
      </w:r>
      <w:r w:rsidRPr="001010E7">
        <w:rPr>
          <w:rFonts w:ascii="Arial" w:hAnsi="Arial"/>
          <w:sz w:val="18"/>
          <w:lang w:val="es-ES_tradnl"/>
        </w:rPr>
        <w:t xml:space="preserve"> </w:t>
      </w:r>
      <w:r>
        <w:rPr>
          <w:rFonts w:ascii="Arial" w:hAnsi="Arial" w:cs="Arial"/>
          <w:sz w:val="18"/>
          <w:szCs w:val="18"/>
          <w:lang w:val="es-ES_tradnl"/>
        </w:rPr>
        <w:tab/>
      </w:r>
      <w:r w:rsidRPr="001010E7">
        <w:rPr>
          <w:rFonts w:ascii="Arial" w:eastAsiaTheme="minorEastAsia" w:hAnsi="Arial"/>
          <w:sz w:val="18"/>
          <w:lang w:val="es-ES_tradnl"/>
        </w:rPr>
        <w:t>Por ejemplo, se tendrá información de las mujeres. Asimismo, se considerará la descripción de los beneficiarios de las UER en zonas marginalizadas. Para las UER de los sectores secundario y terciario, también será posible tener su descripción, ya que el cuestionario contempla la posibilidad de que los productores encuestados no entren en la categoría de productor primario, si bien el número es pequeño.</w:t>
      </w:r>
    </w:p>
    <w:p w14:paraId="65706898" w14:textId="77777777" w:rsidR="001010E7" w:rsidRPr="001010E7" w:rsidRDefault="001010E7" w:rsidP="001010E7">
      <w:pPr>
        <w:pStyle w:val="Paragraph"/>
        <w:numPr>
          <w:ilvl w:val="0"/>
          <w:numId w:val="0"/>
        </w:numPr>
        <w:tabs>
          <w:tab w:val="left" w:pos="270"/>
        </w:tabs>
        <w:spacing w:before="0"/>
        <w:ind w:left="270" w:hanging="270"/>
        <w:rPr>
          <w:rFonts w:ascii="Arial" w:hAnsi="Arial"/>
          <w:sz w:val="18"/>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544D0" w14:textId="77777777" w:rsidR="001010E7" w:rsidRDefault="001010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170"/>
    <w:multiLevelType w:val="multilevel"/>
    <w:tmpl w:val="7D106CF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AB572B"/>
    <w:multiLevelType w:val="multilevel"/>
    <w:tmpl w:val="766A26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06C61239"/>
    <w:multiLevelType w:val="hybridMultilevel"/>
    <w:tmpl w:val="FD02D7C8"/>
    <w:lvl w:ilvl="0" w:tplc="A0ECF8A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B7FC9"/>
    <w:multiLevelType w:val="multilevel"/>
    <w:tmpl w:val="32EE5DE2"/>
    <w:lvl w:ilvl="0">
      <w:start w:val="1"/>
      <w:numFmt w:val="upperRoman"/>
      <w:lvlText w:val="%1."/>
      <w:lvlJc w:val="left"/>
      <w:pPr>
        <w:tabs>
          <w:tab w:val="num" w:pos="648"/>
        </w:tabs>
        <w:ind w:left="0" w:firstLine="288"/>
      </w:pPr>
      <w:rPr>
        <w:rFonts w:hint="default"/>
        <w:b/>
        <w:i w:val="0"/>
      </w:rPr>
    </w:lvl>
    <w:lvl w:ilvl="1">
      <w:start w:val="1"/>
      <w:numFmt w:val="decimal"/>
      <w:isLgl/>
      <w:lvlText w:val="%1.%2"/>
      <w:lvlJc w:val="left"/>
      <w:pPr>
        <w:tabs>
          <w:tab w:val="num" w:pos="3839"/>
        </w:tabs>
        <w:ind w:left="3839" w:hanging="720"/>
      </w:pPr>
      <w:rPr>
        <w:rFonts w:cs="Times New Roman" w:hint="default"/>
        <w:b w:val="0"/>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5" w15:restartNumberingAfterBreak="0">
    <w:nsid w:val="0EF87135"/>
    <w:multiLevelType w:val="hybridMultilevel"/>
    <w:tmpl w:val="7CD45E0E"/>
    <w:lvl w:ilvl="0" w:tplc="A2900B4E">
      <w:start w:val="1"/>
      <w:numFmt w:val="lowerRoman"/>
      <w:lvlText w:val="%1."/>
      <w:lvlJc w:val="right"/>
      <w:pPr>
        <w:ind w:left="2340" w:hanging="360"/>
      </w:pPr>
      <w:rPr>
        <w:b/>
      </w:rPr>
    </w:lvl>
    <w:lvl w:ilvl="1" w:tplc="040A0019" w:tentative="1">
      <w:start w:val="1"/>
      <w:numFmt w:val="lowerLetter"/>
      <w:lvlText w:val="%2."/>
      <w:lvlJc w:val="left"/>
      <w:pPr>
        <w:ind w:left="3060" w:hanging="360"/>
      </w:pPr>
    </w:lvl>
    <w:lvl w:ilvl="2" w:tplc="040A001B" w:tentative="1">
      <w:start w:val="1"/>
      <w:numFmt w:val="lowerRoman"/>
      <w:lvlText w:val="%3."/>
      <w:lvlJc w:val="right"/>
      <w:pPr>
        <w:ind w:left="3780" w:hanging="180"/>
      </w:pPr>
    </w:lvl>
    <w:lvl w:ilvl="3" w:tplc="040A000F" w:tentative="1">
      <w:start w:val="1"/>
      <w:numFmt w:val="decimal"/>
      <w:lvlText w:val="%4."/>
      <w:lvlJc w:val="left"/>
      <w:pPr>
        <w:ind w:left="4500" w:hanging="360"/>
      </w:pPr>
    </w:lvl>
    <w:lvl w:ilvl="4" w:tplc="040A0019" w:tentative="1">
      <w:start w:val="1"/>
      <w:numFmt w:val="lowerLetter"/>
      <w:lvlText w:val="%5."/>
      <w:lvlJc w:val="left"/>
      <w:pPr>
        <w:ind w:left="5220" w:hanging="360"/>
      </w:pPr>
    </w:lvl>
    <w:lvl w:ilvl="5" w:tplc="040A001B" w:tentative="1">
      <w:start w:val="1"/>
      <w:numFmt w:val="lowerRoman"/>
      <w:lvlText w:val="%6."/>
      <w:lvlJc w:val="right"/>
      <w:pPr>
        <w:ind w:left="5940" w:hanging="180"/>
      </w:pPr>
    </w:lvl>
    <w:lvl w:ilvl="6" w:tplc="040A000F" w:tentative="1">
      <w:start w:val="1"/>
      <w:numFmt w:val="decimal"/>
      <w:lvlText w:val="%7."/>
      <w:lvlJc w:val="left"/>
      <w:pPr>
        <w:ind w:left="6660" w:hanging="360"/>
      </w:pPr>
    </w:lvl>
    <w:lvl w:ilvl="7" w:tplc="040A0019" w:tentative="1">
      <w:start w:val="1"/>
      <w:numFmt w:val="lowerLetter"/>
      <w:lvlText w:val="%8."/>
      <w:lvlJc w:val="left"/>
      <w:pPr>
        <w:ind w:left="7380" w:hanging="360"/>
      </w:pPr>
    </w:lvl>
    <w:lvl w:ilvl="8" w:tplc="040A001B" w:tentative="1">
      <w:start w:val="1"/>
      <w:numFmt w:val="lowerRoman"/>
      <w:lvlText w:val="%9."/>
      <w:lvlJc w:val="right"/>
      <w:pPr>
        <w:ind w:left="8100" w:hanging="180"/>
      </w:pPr>
    </w:lvl>
  </w:abstractNum>
  <w:abstractNum w:abstractNumId="6" w15:restartNumberingAfterBreak="0">
    <w:nsid w:val="10B943D6"/>
    <w:multiLevelType w:val="hybridMultilevel"/>
    <w:tmpl w:val="764EE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9789D"/>
    <w:multiLevelType w:val="hybridMultilevel"/>
    <w:tmpl w:val="7396E47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3B6404"/>
    <w:multiLevelType w:val="hybridMultilevel"/>
    <w:tmpl w:val="F10861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1682B"/>
    <w:multiLevelType w:val="multilevel"/>
    <w:tmpl w:val="1BA6272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10" w15:restartNumberingAfterBreak="0">
    <w:nsid w:val="27C90EC6"/>
    <w:multiLevelType w:val="multilevel"/>
    <w:tmpl w:val="D7E4FF6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bullet"/>
      <w:lvlText w:val=""/>
      <w:lvlJc w:val="left"/>
      <w:pPr>
        <w:tabs>
          <w:tab w:val="num" w:pos="2592"/>
        </w:tabs>
        <w:ind w:left="2592" w:hanging="432"/>
      </w:pPr>
      <w:rPr>
        <w:rFonts w:ascii="Symbol" w:hAnsi="Symbol"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2F0E71CE"/>
    <w:multiLevelType w:val="multilevel"/>
    <w:tmpl w:val="985EE89C"/>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3" w15:restartNumberingAfterBreak="0">
    <w:nsid w:val="3520586E"/>
    <w:multiLevelType w:val="multilevel"/>
    <w:tmpl w:val="FA7E7F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64A6CC9"/>
    <w:multiLevelType w:val="multilevel"/>
    <w:tmpl w:val="B198B8A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5" w15:restartNumberingAfterBreak="0">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AA80336"/>
    <w:multiLevelType w:val="hybridMultilevel"/>
    <w:tmpl w:val="A70E385E"/>
    <w:lvl w:ilvl="0" w:tplc="0366B322">
      <w:start w:val="1"/>
      <w:numFmt w:val="upperLetter"/>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7" w15:restartNumberingAfterBreak="0">
    <w:nsid w:val="3E575342"/>
    <w:multiLevelType w:val="multilevel"/>
    <w:tmpl w:val="89AC06F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8" w15:restartNumberingAfterBreak="0">
    <w:nsid w:val="44A701E2"/>
    <w:multiLevelType w:val="multilevel"/>
    <w:tmpl w:val="E3FAB00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B4900D4"/>
    <w:multiLevelType w:val="hybridMultilevel"/>
    <w:tmpl w:val="D5A0110E"/>
    <w:lvl w:ilvl="0" w:tplc="7A1C259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305681"/>
    <w:multiLevelType w:val="hybridMultilevel"/>
    <w:tmpl w:val="DA20A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C760B9"/>
    <w:multiLevelType w:val="hybridMultilevel"/>
    <w:tmpl w:val="DFFA025A"/>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597D4981"/>
    <w:multiLevelType w:val="hybridMultilevel"/>
    <w:tmpl w:val="31CE2432"/>
    <w:lvl w:ilvl="0" w:tplc="FA507DA8">
      <w:start w:val="1"/>
      <w:numFmt w:val="bullet"/>
      <w:lvlText w:val="-"/>
      <w:lvlJc w:val="left"/>
      <w:pPr>
        <w:tabs>
          <w:tab w:val="num" w:pos="720"/>
        </w:tabs>
        <w:ind w:left="720" w:hanging="360"/>
      </w:pPr>
      <w:rPr>
        <w:rFonts w:ascii="Times New Roman" w:hAnsi="Times New Roman" w:hint="default"/>
      </w:rPr>
    </w:lvl>
    <w:lvl w:ilvl="1" w:tplc="1CC89610">
      <w:numFmt w:val="bullet"/>
      <w:lvlText w:val="-"/>
      <w:lvlJc w:val="left"/>
      <w:pPr>
        <w:tabs>
          <w:tab w:val="num" w:pos="1440"/>
        </w:tabs>
        <w:ind w:left="1440" w:hanging="360"/>
      </w:pPr>
      <w:rPr>
        <w:rFonts w:ascii="Times New Roman" w:hAnsi="Times New Roman" w:hint="default"/>
      </w:rPr>
    </w:lvl>
    <w:lvl w:ilvl="2" w:tplc="7FDE0A38" w:tentative="1">
      <w:start w:val="1"/>
      <w:numFmt w:val="bullet"/>
      <w:lvlText w:val="-"/>
      <w:lvlJc w:val="left"/>
      <w:pPr>
        <w:tabs>
          <w:tab w:val="num" w:pos="2160"/>
        </w:tabs>
        <w:ind w:left="2160" w:hanging="360"/>
      </w:pPr>
      <w:rPr>
        <w:rFonts w:ascii="Times New Roman" w:hAnsi="Times New Roman" w:hint="default"/>
      </w:rPr>
    </w:lvl>
    <w:lvl w:ilvl="3" w:tplc="4A8E8252" w:tentative="1">
      <w:start w:val="1"/>
      <w:numFmt w:val="bullet"/>
      <w:lvlText w:val="-"/>
      <w:lvlJc w:val="left"/>
      <w:pPr>
        <w:tabs>
          <w:tab w:val="num" w:pos="2880"/>
        </w:tabs>
        <w:ind w:left="2880" w:hanging="360"/>
      </w:pPr>
      <w:rPr>
        <w:rFonts w:ascii="Times New Roman" w:hAnsi="Times New Roman" w:hint="default"/>
      </w:rPr>
    </w:lvl>
    <w:lvl w:ilvl="4" w:tplc="EE864478" w:tentative="1">
      <w:start w:val="1"/>
      <w:numFmt w:val="bullet"/>
      <w:lvlText w:val="-"/>
      <w:lvlJc w:val="left"/>
      <w:pPr>
        <w:tabs>
          <w:tab w:val="num" w:pos="3600"/>
        </w:tabs>
        <w:ind w:left="3600" w:hanging="360"/>
      </w:pPr>
      <w:rPr>
        <w:rFonts w:ascii="Times New Roman" w:hAnsi="Times New Roman" w:hint="default"/>
      </w:rPr>
    </w:lvl>
    <w:lvl w:ilvl="5" w:tplc="021439F4" w:tentative="1">
      <w:start w:val="1"/>
      <w:numFmt w:val="bullet"/>
      <w:lvlText w:val="-"/>
      <w:lvlJc w:val="left"/>
      <w:pPr>
        <w:tabs>
          <w:tab w:val="num" w:pos="4320"/>
        </w:tabs>
        <w:ind w:left="4320" w:hanging="360"/>
      </w:pPr>
      <w:rPr>
        <w:rFonts w:ascii="Times New Roman" w:hAnsi="Times New Roman" w:hint="default"/>
      </w:rPr>
    </w:lvl>
    <w:lvl w:ilvl="6" w:tplc="C05295A4" w:tentative="1">
      <w:start w:val="1"/>
      <w:numFmt w:val="bullet"/>
      <w:lvlText w:val="-"/>
      <w:lvlJc w:val="left"/>
      <w:pPr>
        <w:tabs>
          <w:tab w:val="num" w:pos="5040"/>
        </w:tabs>
        <w:ind w:left="5040" w:hanging="360"/>
      </w:pPr>
      <w:rPr>
        <w:rFonts w:ascii="Times New Roman" w:hAnsi="Times New Roman" w:hint="default"/>
      </w:rPr>
    </w:lvl>
    <w:lvl w:ilvl="7" w:tplc="461C33C6" w:tentative="1">
      <w:start w:val="1"/>
      <w:numFmt w:val="bullet"/>
      <w:lvlText w:val="-"/>
      <w:lvlJc w:val="left"/>
      <w:pPr>
        <w:tabs>
          <w:tab w:val="num" w:pos="5760"/>
        </w:tabs>
        <w:ind w:left="5760" w:hanging="360"/>
      </w:pPr>
      <w:rPr>
        <w:rFonts w:ascii="Times New Roman" w:hAnsi="Times New Roman" w:hint="default"/>
      </w:rPr>
    </w:lvl>
    <w:lvl w:ilvl="8" w:tplc="A74471C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9DD42DB"/>
    <w:multiLevelType w:val="hybridMultilevel"/>
    <w:tmpl w:val="EC9A8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7A847EDA"/>
    <w:multiLevelType w:val="hybridMultilevel"/>
    <w:tmpl w:val="A288B022"/>
    <w:lvl w:ilvl="0" w:tplc="9E129B0A">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8"/>
  </w:num>
  <w:num w:numId="6">
    <w:abstractNumId w:val="0"/>
  </w:num>
  <w:num w:numId="7">
    <w:abstractNumId w:val="13"/>
  </w:num>
  <w:num w:numId="8">
    <w:abstractNumId w:val="2"/>
  </w:num>
  <w:num w:numId="9">
    <w:abstractNumId w:val="12"/>
  </w:num>
  <w:num w:numId="10">
    <w:abstractNumId w:val="9"/>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
  </w:num>
  <w:num w:numId="15">
    <w:abstractNumId w:val="23"/>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4"/>
  </w:num>
  <w:num w:numId="20">
    <w:abstractNumId w:val="10"/>
  </w:num>
  <w:num w:numId="21">
    <w:abstractNumId w:val="6"/>
  </w:num>
  <w:num w:numId="22">
    <w:abstractNumId w:val="3"/>
  </w:num>
  <w:num w:numId="23">
    <w:abstractNumId w:val="7"/>
  </w:num>
  <w:num w:numId="24">
    <w:abstractNumId w:val="24"/>
  </w:num>
  <w:num w:numId="25">
    <w:abstractNumId w:val="20"/>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5"/>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5"/>
  </w:num>
  <w:num w:numId="97">
    <w:abstractNumId w:val="11"/>
  </w:num>
  <w:num w:numId="98">
    <w:abstractNumId w:val="11"/>
  </w:num>
  <w:num w:numId="99">
    <w:abstractNumId w:val="11"/>
  </w:num>
  <w:num w:numId="100">
    <w:abstractNumId w:val="16"/>
  </w:num>
  <w:num w:numId="101">
    <w:abstractNumId w:val="8"/>
  </w:num>
  <w:num w:numId="102">
    <w:abstractNumId w:val="19"/>
  </w:num>
  <w:num w:numId="103">
    <w:abstractNumId w:val="11"/>
  </w:num>
  <w:num w:numId="104">
    <w:abstractNumId w:val="21"/>
  </w:num>
  <w:num w:numId="105">
    <w:abstractNumId w:val="11"/>
  </w:num>
  <w:num w:numId="106">
    <w:abstractNumId w:val="22"/>
  </w:num>
  <w:num w:numId="107">
    <w:abstractNumId w:val="11"/>
  </w:num>
  <w:num w:numId="108">
    <w:abstractNumId w:val="11"/>
  </w:num>
  <w:num w:numId="109">
    <w:abstractNumId w:val="1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0D"/>
    <w:rsid w:val="000013BF"/>
    <w:rsid w:val="00013982"/>
    <w:rsid w:val="00014DF0"/>
    <w:rsid w:val="000154AA"/>
    <w:rsid w:val="000159B9"/>
    <w:rsid w:val="000163C0"/>
    <w:rsid w:val="000212AB"/>
    <w:rsid w:val="00044C04"/>
    <w:rsid w:val="00062D0D"/>
    <w:rsid w:val="00082DFC"/>
    <w:rsid w:val="000846D3"/>
    <w:rsid w:val="0008606A"/>
    <w:rsid w:val="00096554"/>
    <w:rsid w:val="000A28D1"/>
    <w:rsid w:val="000A38CC"/>
    <w:rsid w:val="000B5A3E"/>
    <w:rsid w:val="000C3A4C"/>
    <w:rsid w:val="000D4188"/>
    <w:rsid w:val="000D6B88"/>
    <w:rsid w:val="000D7514"/>
    <w:rsid w:val="000E1005"/>
    <w:rsid w:val="000E43ED"/>
    <w:rsid w:val="000E6173"/>
    <w:rsid w:val="000F7898"/>
    <w:rsid w:val="001010E7"/>
    <w:rsid w:val="00101B5A"/>
    <w:rsid w:val="001030F1"/>
    <w:rsid w:val="00111CAC"/>
    <w:rsid w:val="00114A2D"/>
    <w:rsid w:val="00114A7C"/>
    <w:rsid w:val="00114B93"/>
    <w:rsid w:val="0012606D"/>
    <w:rsid w:val="00127493"/>
    <w:rsid w:val="00133BF3"/>
    <w:rsid w:val="00140A47"/>
    <w:rsid w:val="00146099"/>
    <w:rsid w:val="0015033E"/>
    <w:rsid w:val="00151058"/>
    <w:rsid w:val="0015413C"/>
    <w:rsid w:val="00170F59"/>
    <w:rsid w:val="00180003"/>
    <w:rsid w:val="00181F1E"/>
    <w:rsid w:val="001847AE"/>
    <w:rsid w:val="00190A9B"/>
    <w:rsid w:val="00193596"/>
    <w:rsid w:val="001950C9"/>
    <w:rsid w:val="001A2312"/>
    <w:rsid w:val="001C2C44"/>
    <w:rsid w:val="001D0C64"/>
    <w:rsid w:val="001D5F8A"/>
    <w:rsid w:val="001D7326"/>
    <w:rsid w:val="001E1694"/>
    <w:rsid w:val="001E3195"/>
    <w:rsid w:val="002071D1"/>
    <w:rsid w:val="00207A71"/>
    <w:rsid w:val="00215945"/>
    <w:rsid w:val="00242680"/>
    <w:rsid w:val="00253CD7"/>
    <w:rsid w:val="002614BF"/>
    <w:rsid w:val="00264510"/>
    <w:rsid w:val="00265DA6"/>
    <w:rsid w:val="00274587"/>
    <w:rsid w:val="00285456"/>
    <w:rsid w:val="002B07D2"/>
    <w:rsid w:val="002C5AC0"/>
    <w:rsid w:val="002E532B"/>
    <w:rsid w:val="003016C1"/>
    <w:rsid w:val="0030717D"/>
    <w:rsid w:val="00307931"/>
    <w:rsid w:val="00312F42"/>
    <w:rsid w:val="003133C8"/>
    <w:rsid w:val="00313F66"/>
    <w:rsid w:val="003161E8"/>
    <w:rsid w:val="00334394"/>
    <w:rsid w:val="00337DFD"/>
    <w:rsid w:val="00344FA5"/>
    <w:rsid w:val="003456CE"/>
    <w:rsid w:val="00352714"/>
    <w:rsid w:val="003631AD"/>
    <w:rsid w:val="00364596"/>
    <w:rsid w:val="00365D8E"/>
    <w:rsid w:val="003703D0"/>
    <w:rsid w:val="003759D3"/>
    <w:rsid w:val="00392DAD"/>
    <w:rsid w:val="00393049"/>
    <w:rsid w:val="00395533"/>
    <w:rsid w:val="003964E6"/>
    <w:rsid w:val="003A3AAB"/>
    <w:rsid w:val="003C6096"/>
    <w:rsid w:val="003F2722"/>
    <w:rsid w:val="003F78C3"/>
    <w:rsid w:val="003F7E8E"/>
    <w:rsid w:val="0040238E"/>
    <w:rsid w:val="00402F59"/>
    <w:rsid w:val="004116FB"/>
    <w:rsid w:val="004177BA"/>
    <w:rsid w:val="00417FCD"/>
    <w:rsid w:val="00422056"/>
    <w:rsid w:val="0043266C"/>
    <w:rsid w:val="00433148"/>
    <w:rsid w:val="00436D58"/>
    <w:rsid w:val="00436EF3"/>
    <w:rsid w:val="004409D6"/>
    <w:rsid w:val="00444320"/>
    <w:rsid w:val="00446B0D"/>
    <w:rsid w:val="00454A6D"/>
    <w:rsid w:val="00465D6B"/>
    <w:rsid w:val="00473AEF"/>
    <w:rsid w:val="004808E3"/>
    <w:rsid w:val="004855DF"/>
    <w:rsid w:val="004959AD"/>
    <w:rsid w:val="004A3D57"/>
    <w:rsid w:val="004B7D01"/>
    <w:rsid w:val="004C24E4"/>
    <w:rsid w:val="004F3698"/>
    <w:rsid w:val="00500F30"/>
    <w:rsid w:val="00504468"/>
    <w:rsid w:val="00520C72"/>
    <w:rsid w:val="00523336"/>
    <w:rsid w:val="00530855"/>
    <w:rsid w:val="00530CEA"/>
    <w:rsid w:val="0053311D"/>
    <w:rsid w:val="00536F55"/>
    <w:rsid w:val="005401D5"/>
    <w:rsid w:val="005570F4"/>
    <w:rsid w:val="00572734"/>
    <w:rsid w:val="0057417B"/>
    <w:rsid w:val="005754B7"/>
    <w:rsid w:val="005827F1"/>
    <w:rsid w:val="005C0068"/>
    <w:rsid w:val="005D29D5"/>
    <w:rsid w:val="005F1542"/>
    <w:rsid w:val="005F6DEB"/>
    <w:rsid w:val="00617789"/>
    <w:rsid w:val="00624440"/>
    <w:rsid w:val="0063161E"/>
    <w:rsid w:val="00641808"/>
    <w:rsid w:val="00644725"/>
    <w:rsid w:val="0064741B"/>
    <w:rsid w:val="00653905"/>
    <w:rsid w:val="00661D04"/>
    <w:rsid w:val="00666E0A"/>
    <w:rsid w:val="00666FC8"/>
    <w:rsid w:val="00667D9B"/>
    <w:rsid w:val="0067045C"/>
    <w:rsid w:val="0067228E"/>
    <w:rsid w:val="00694CA1"/>
    <w:rsid w:val="00696304"/>
    <w:rsid w:val="006B1793"/>
    <w:rsid w:val="006B2963"/>
    <w:rsid w:val="006B29DE"/>
    <w:rsid w:val="006B7889"/>
    <w:rsid w:val="006D5160"/>
    <w:rsid w:val="006E17FD"/>
    <w:rsid w:val="006F2A80"/>
    <w:rsid w:val="00704619"/>
    <w:rsid w:val="00717059"/>
    <w:rsid w:val="00722085"/>
    <w:rsid w:val="007262AF"/>
    <w:rsid w:val="00726833"/>
    <w:rsid w:val="00731372"/>
    <w:rsid w:val="007424D2"/>
    <w:rsid w:val="00747853"/>
    <w:rsid w:val="00756145"/>
    <w:rsid w:val="007572E7"/>
    <w:rsid w:val="00761C5A"/>
    <w:rsid w:val="00765317"/>
    <w:rsid w:val="007745D1"/>
    <w:rsid w:val="007763FB"/>
    <w:rsid w:val="00784A42"/>
    <w:rsid w:val="00794542"/>
    <w:rsid w:val="007972AC"/>
    <w:rsid w:val="007A2934"/>
    <w:rsid w:val="007A3A3A"/>
    <w:rsid w:val="007A59FB"/>
    <w:rsid w:val="007A6446"/>
    <w:rsid w:val="007C2BA9"/>
    <w:rsid w:val="007D0675"/>
    <w:rsid w:val="007F3CEE"/>
    <w:rsid w:val="00804753"/>
    <w:rsid w:val="0080482A"/>
    <w:rsid w:val="00815B9B"/>
    <w:rsid w:val="00824585"/>
    <w:rsid w:val="00824F36"/>
    <w:rsid w:val="00827C56"/>
    <w:rsid w:val="0083506E"/>
    <w:rsid w:val="008428FF"/>
    <w:rsid w:val="00845311"/>
    <w:rsid w:val="00861960"/>
    <w:rsid w:val="008629D4"/>
    <w:rsid w:val="00871289"/>
    <w:rsid w:val="00882595"/>
    <w:rsid w:val="00890EB8"/>
    <w:rsid w:val="008A4E3F"/>
    <w:rsid w:val="008B0A8D"/>
    <w:rsid w:val="008C2B91"/>
    <w:rsid w:val="008D0E4E"/>
    <w:rsid w:val="008E45EC"/>
    <w:rsid w:val="008F04DB"/>
    <w:rsid w:val="008F09A1"/>
    <w:rsid w:val="008F39CA"/>
    <w:rsid w:val="008F52DE"/>
    <w:rsid w:val="008F7A78"/>
    <w:rsid w:val="00910729"/>
    <w:rsid w:val="0091237A"/>
    <w:rsid w:val="0091617A"/>
    <w:rsid w:val="00916500"/>
    <w:rsid w:val="0092217E"/>
    <w:rsid w:val="00923FA7"/>
    <w:rsid w:val="00934D10"/>
    <w:rsid w:val="009408CA"/>
    <w:rsid w:val="00942F6C"/>
    <w:rsid w:val="0095012B"/>
    <w:rsid w:val="00952460"/>
    <w:rsid w:val="009531A1"/>
    <w:rsid w:val="009544B3"/>
    <w:rsid w:val="00956447"/>
    <w:rsid w:val="009664F8"/>
    <w:rsid w:val="009665D8"/>
    <w:rsid w:val="00973C44"/>
    <w:rsid w:val="00977B75"/>
    <w:rsid w:val="00982FF1"/>
    <w:rsid w:val="00985205"/>
    <w:rsid w:val="00985E45"/>
    <w:rsid w:val="00996E77"/>
    <w:rsid w:val="0099774C"/>
    <w:rsid w:val="009A4830"/>
    <w:rsid w:val="009B0D08"/>
    <w:rsid w:val="009B1FC2"/>
    <w:rsid w:val="009B2B00"/>
    <w:rsid w:val="009B33C2"/>
    <w:rsid w:val="009B4386"/>
    <w:rsid w:val="009B6C6C"/>
    <w:rsid w:val="009C204D"/>
    <w:rsid w:val="009D19AF"/>
    <w:rsid w:val="009D59D2"/>
    <w:rsid w:val="009E4A0C"/>
    <w:rsid w:val="009E7DA1"/>
    <w:rsid w:val="009F0EE9"/>
    <w:rsid w:val="009F37D3"/>
    <w:rsid w:val="009F5A8B"/>
    <w:rsid w:val="00A01952"/>
    <w:rsid w:val="00A03279"/>
    <w:rsid w:val="00A05368"/>
    <w:rsid w:val="00A077D2"/>
    <w:rsid w:val="00A15CDA"/>
    <w:rsid w:val="00A23EBA"/>
    <w:rsid w:val="00A31487"/>
    <w:rsid w:val="00A41750"/>
    <w:rsid w:val="00A41ACD"/>
    <w:rsid w:val="00A429DD"/>
    <w:rsid w:val="00A430DB"/>
    <w:rsid w:val="00A50ADA"/>
    <w:rsid w:val="00A559F8"/>
    <w:rsid w:val="00A602CB"/>
    <w:rsid w:val="00A61B68"/>
    <w:rsid w:val="00A71391"/>
    <w:rsid w:val="00A81753"/>
    <w:rsid w:val="00A832D1"/>
    <w:rsid w:val="00AA0B6E"/>
    <w:rsid w:val="00AA1477"/>
    <w:rsid w:val="00AA6215"/>
    <w:rsid w:val="00AB67FB"/>
    <w:rsid w:val="00AC2F8B"/>
    <w:rsid w:val="00AC6885"/>
    <w:rsid w:val="00AD52F2"/>
    <w:rsid w:val="00AE312C"/>
    <w:rsid w:val="00AF56A8"/>
    <w:rsid w:val="00B04FD1"/>
    <w:rsid w:val="00B15056"/>
    <w:rsid w:val="00B15848"/>
    <w:rsid w:val="00B23134"/>
    <w:rsid w:val="00B23772"/>
    <w:rsid w:val="00B24C27"/>
    <w:rsid w:val="00B3207E"/>
    <w:rsid w:val="00B337F5"/>
    <w:rsid w:val="00B35DB4"/>
    <w:rsid w:val="00B375C2"/>
    <w:rsid w:val="00B457E5"/>
    <w:rsid w:val="00B52DF1"/>
    <w:rsid w:val="00B613CA"/>
    <w:rsid w:val="00B62F58"/>
    <w:rsid w:val="00B650A7"/>
    <w:rsid w:val="00B730FF"/>
    <w:rsid w:val="00BC17C6"/>
    <w:rsid w:val="00BC70ED"/>
    <w:rsid w:val="00BE4108"/>
    <w:rsid w:val="00BF2022"/>
    <w:rsid w:val="00BF47F5"/>
    <w:rsid w:val="00C02292"/>
    <w:rsid w:val="00C02F1D"/>
    <w:rsid w:val="00C04C7F"/>
    <w:rsid w:val="00C12507"/>
    <w:rsid w:val="00C17FD9"/>
    <w:rsid w:val="00C25001"/>
    <w:rsid w:val="00C258F3"/>
    <w:rsid w:val="00C34D04"/>
    <w:rsid w:val="00C371D9"/>
    <w:rsid w:val="00C41AD6"/>
    <w:rsid w:val="00C4283E"/>
    <w:rsid w:val="00C431C7"/>
    <w:rsid w:val="00C43EAF"/>
    <w:rsid w:val="00C47518"/>
    <w:rsid w:val="00C50B33"/>
    <w:rsid w:val="00C53D7E"/>
    <w:rsid w:val="00C54EDA"/>
    <w:rsid w:val="00C5640D"/>
    <w:rsid w:val="00C63F32"/>
    <w:rsid w:val="00C64316"/>
    <w:rsid w:val="00C721BD"/>
    <w:rsid w:val="00C7238F"/>
    <w:rsid w:val="00C76D91"/>
    <w:rsid w:val="00C86CC0"/>
    <w:rsid w:val="00C95060"/>
    <w:rsid w:val="00CA14DC"/>
    <w:rsid w:val="00CA3B72"/>
    <w:rsid w:val="00CA65EC"/>
    <w:rsid w:val="00CD13D9"/>
    <w:rsid w:val="00CE00D7"/>
    <w:rsid w:val="00CF5BAF"/>
    <w:rsid w:val="00CF6583"/>
    <w:rsid w:val="00CF683F"/>
    <w:rsid w:val="00D134D5"/>
    <w:rsid w:val="00D13924"/>
    <w:rsid w:val="00D148B1"/>
    <w:rsid w:val="00D1677B"/>
    <w:rsid w:val="00D20C81"/>
    <w:rsid w:val="00D27100"/>
    <w:rsid w:val="00D307D2"/>
    <w:rsid w:val="00D319F8"/>
    <w:rsid w:val="00D40865"/>
    <w:rsid w:val="00D43D75"/>
    <w:rsid w:val="00D47E65"/>
    <w:rsid w:val="00D51C5F"/>
    <w:rsid w:val="00D61ADF"/>
    <w:rsid w:val="00D621E4"/>
    <w:rsid w:val="00D645D8"/>
    <w:rsid w:val="00D64E86"/>
    <w:rsid w:val="00D73106"/>
    <w:rsid w:val="00D8378C"/>
    <w:rsid w:val="00D86531"/>
    <w:rsid w:val="00D93A56"/>
    <w:rsid w:val="00D96D3C"/>
    <w:rsid w:val="00D96EFF"/>
    <w:rsid w:val="00DA071F"/>
    <w:rsid w:val="00DC2869"/>
    <w:rsid w:val="00DC29BC"/>
    <w:rsid w:val="00DD5261"/>
    <w:rsid w:val="00DD5935"/>
    <w:rsid w:val="00DD763A"/>
    <w:rsid w:val="00DE0D7D"/>
    <w:rsid w:val="00DE3825"/>
    <w:rsid w:val="00DE5B93"/>
    <w:rsid w:val="00DF0B46"/>
    <w:rsid w:val="00DF0D13"/>
    <w:rsid w:val="00DF67C5"/>
    <w:rsid w:val="00E00398"/>
    <w:rsid w:val="00E047C4"/>
    <w:rsid w:val="00E06EBE"/>
    <w:rsid w:val="00E24BD7"/>
    <w:rsid w:val="00E2506C"/>
    <w:rsid w:val="00E316C4"/>
    <w:rsid w:val="00E332C3"/>
    <w:rsid w:val="00E3606D"/>
    <w:rsid w:val="00E40AD7"/>
    <w:rsid w:val="00E4468A"/>
    <w:rsid w:val="00E53203"/>
    <w:rsid w:val="00E54A65"/>
    <w:rsid w:val="00E62F99"/>
    <w:rsid w:val="00E6591B"/>
    <w:rsid w:val="00E66EF3"/>
    <w:rsid w:val="00E67436"/>
    <w:rsid w:val="00E769AA"/>
    <w:rsid w:val="00E819FA"/>
    <w:rsid w:val="00E8327B"/>
    <w:rsid w:val="00E934D2"/>
    <w:rsid w:val="00E94F1B"/>
    <w:rsid w:val="00EA09C7"/>
    <w:rsid w:val="00EA3399"/>
    <w:rsid w:val="00EA6D1D"/>
    <w:rsid w:val="00EB0C27"/>
    <w:rsid w:val="00EB5A73"/>
    <w:rsid w:val="00EB6B36"/>
    <w:rsid w:val="00ED2762"/>
    <w:rsid w:val="00ED613F"/>
    <w:rsid w:val="00ED74FF"/>
    <w:rsid w:val="00ED7E7A"/>
    <w:rsid w:val="00EF6629"/>
    <w:rsid w:val="00F06D6C"/>
    <w:rsid w:val="00F077BD"/>
    <w:rsid w:val="00F13EC4"/>
    <w:rsid w:val="00F178BD"/>
    <w:rsid w:val="00F2139A"/>
    <w:rsid w:val="00F226D1"/>
    <w:rsid w:val="00F24285"/>
    <w:rsid w:val="00F646AE"/>
    <w:rsid w:val="00F6772E"/>
    <w:rsid w:val="00F776A9"/>
    <w:rsid w:val="00F83235"/>
    <w:rsid w:val="00F849F6"/>
    <w:rsid w:val="00F90D98"/>
    <w:rsid w:val="00F93623"/>
    <w:rsid w:val="00F94077"/>
    <w:rsid w:val="00F9714B"/>
    <w:rsid w:val="00FA2036"/>
    <w:rsid w:val="00FB56A2"/>
    <w:rsid w:val="00FB74A8"/>
    <w:rsid w:val="00FC138B"/>
    <w:rsid w:val="00FC4847"/>
    <w:rsid w:val="00FC7195"/>
    <w:rsid w:val="00FE0486"/>
    <w:rsid w:val="00FE2DBC"/>
    <w:rsid w:val="00FE681D"/>
    <w:rsid w:val="00FE79B1"/>
    <w:rsid w:val="00FF59BF"/>
    <w:rsid w:val="00FF6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CCA8"/>
  <w15:docId w15:val="{9F360492-36E4-4BB2-978C-B65B5703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344FA5"/>
    <w:pPr>
      <w:numPr>
        <w:ilvl w:val="1"/>
        <w:numId w:val="1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062D0D"/>
    <w:rPr>
      <w:vertAlign w:val="superscript"/>
    </w:rPr>
  </w:style>
  <w:style w:type="paragraph" w:customStyle="1" w:styleId="Chapter">
    <w:name w:val="Chapter"/>
    <w:basedOn w:val="Normal"/>
    <w:next w:val="Normal"/>
    <w:qFormat/>
    <w:rsid w:val="00344FA5"/>
    <w:pPr>
      <w:keepNext/>
      <w:numPr>
        <w:numId w:val="1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344FA5"/>
    <w:pPr>
      <w:numPr>
        <w:ilvl w:val="3"/>
      </w:numPr>
      <w:tabs>
        <w:tab w:val="left" w:pos="0"/>
      </w:tabs>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iPriority w:val="99"/>
    <w:semiHidden/>
    <w:unhideWhenUsed/>
    <w:rsid w:val="00FE2DBC"/>
    <w:pPr>
      <w:spacing w:line="240" w:lineRule="auto"/>
    </w:pPr>
    <w:rPr>
      <w:sz w:val="20"/>
      <w:szCs w:val="20"/>
    </w:rPr>
  </w:style>
  <w:style w:type="character" w:customStyle="1" w:styleId="CommentTextChar">
    <w:name w:val="Comment Text Char"/>
    <w:basedOn w:val="DefaultParagraphFont"/>
    <w:link w:val="CommentText"/>
    <w:uiPriority w:val="99"/>
    <w:semiHidden/>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customStyle="1" w:styleId="CommentSubjectChar">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9662">
      <w:bodyDiv w:val="1"/>
      <w:marLeft w:val="0"/>
      <w:marRight w:val="0"/>
      <w:marTop w:val="0"/>
      <w:marBottom w:val="0"/>
      <w:divBdr>
        <w:top w:val="none" w:sz="0" w:space="0" w:color="auto"/>
        <w:left w:val="none" w:sz="0" w:space="0" w:color="auto"/>
        <w:bottom w:val="none" w:sz="0" w:space="0" w:color="auto"/>
        <w:right w:val="none" w:sz="0" w:space="0" w:color="auto"/>
      </w:divBdr>
      <w:divsChild>
        <w:div w:id="1975635">
          <w:marLeft w:val="547"/>
          <w:marRight w:val="0"/>
          <w:marTop w:val="120"/>
          <w:marBottom w:val="0"/>
          <w:divBdr>
            <w:top w:val="none" w:sz="0" w:space="0" w:color="auto"/>
            <w:left w:val="none" w:sz="0" w:space="0" w:color="auto"/>
            <w:bottom w:val="none" w:sz="0" w:space="0" w:color="auto"/>
            <w:right w:val="none" w:sz="0" w:space="0" w:color="auto"/>
          </w:divBdr>
        </w:div>
        <w:div w:id="982126338">
          <w:marLeft w:val="1166"/>
          <w:marRight w:val="0"/>
          <w:marTop w:val="120"/>
          <w:marBottom w:val="0"/>
          <w:divBdr>
            <w:top w:val="none" w:sz="0" w:space="0" w:color="auto"/>
            <w:left w:val="none" w:sz="0" w:space="0" w:color="auto"/>
            <w:bottom w:val="none" w:sz="0" w:space="0" w:color="auto"/>
            <w:right w:val="none" w:sz="0" w:space="0" w:color="auto"/>
          </w:divBdr>
        </w:div>
        <w:div w:id="1344432215">
          <w:marLeft w:val="547"/>
          <w:marRight w:val="0"/>
          <w:marTop w:val="120"/>
          <w:marBottom w:val="0"/>
          <w:divBdr>
            <w:top w:val="none" w:sz="0" w:space="0" w:color="auto"/>
            <w:left w:val="none" w:sz="0" w:space="0" w:color="auto"/>
            <w:bottom w:val="none" w:sz="0" w:space="0" w:color="auto"/>
            <w:right w:val="none" w:sz="0" w:space="0" w:color="auto"/>
          </w:divBdr>
        </w:div>
        <w:div w:id="140536108">
          <w:marLeft w:val="1166"/>
          <w:marRight w:val="0"/>
          <w:marTop w:val="120"/>
          <w:marBottom w:val="0"/>
          <w:divBdr>
            <w:top w:val="none" w:sz="0" w:space="0" w:color="auto"/>
            <w:left w:val="none" w:sz="0" w:space="0" w:color="auto"/>
            <w:bottom w:val="none" w:sz="0" w:space="0" w:color="auto"/>
            <w:right w:val="none" w:sz="0" w:space="0" w:color="auto"/>
          </w:divBdr>
        </w:div>
      </w:divsChild>
    </w:div>
    <w:div w:id="1661807424">
      <w:bodyDiv w:val="1"/>
      <w:marLeft w:val="0"/>
      <w:marRight w:val="0"/>
      <w:marTop w:val="0"/>
      <w:marBottom w:val="0"/>
      <w:divBdr>
        <w:top w:val="none" w:sz="0" w:space="0" w:color="auto"/>
        <w:left w:val="none" w:sz="0" w:space="0" w:color="auto"/>
        <w:bottom w:val="none" w:sz="0" w:space="0" w:color="auto"/>
        <w:right w:val="none" w:sz="0" w:space="0" w:color="auto"/>
      </w:divBdr>
    </w:div>
    <w:div w:id="167340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C3CBC-2056-49C8-9899-0240D6DB9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8485</Words>
  <Characters>46668</Characters>
  <Application>Microsoft Office Word</Application>
  <DocSecurity>0</DocSecurity>
  <Lines>388</Lines>
  <Paragraphs>110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Arauz Herrera, Alison</cp:lastModifiedBy>
  <cp:revision>10</cp:revision>
  <cp:lastPrinted>2017-07-13T15:48:00Z</cp:lastPrinted>
  <dcterms:created xsi:type="dcterms:W3CDTF">2017-07-18T16:31:00Z</dcterms:created>
  <dcterms:modified xsi:type="dcterms:W3CDTF">2017-07-28T14:48:00Z</dcterms:modified>
</cp:coreProperties>
</file>