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591D4" w14:textId="41AFBE4D" w:rsidR="00236C74" w:rsidRDefault="00F74A1B" w:rsidP="00E50F9D">
      <w:pPr>
        <w:pStyle w:val="Heading1"/>
        <w:spacing w:before="74" w:line="365" w:lineRule="auto"/>
        <w:ind w:left="90" w:right="90" w:hanging="90"/>
        <w:jc w:val="center"/>
        <w:rPr>
          <w:spacing w:val="-1"/>
          <w:sz w:val="22"/>
          <w:szCs w:val="22"/>
          <w:lang w:val="es-419"/>
        </w:rPr>
      </w:pPr>
      <w:r w:rsidRPr="00C364F1">
        <w:rPr>
          <w:spacing w:val="-1"/>
          <w:sz w:val="22"/>
          <w:szCs w:val="22"/>
          <w:lang w:val="es-419"/>
        </w:rPr>
        <w:t>Matriz</w:t>
      </w:r>
      <w:r w:rsidRPr="00C364F1">
        <w:rPr>
          <w:spacing w:val="-5"/>
          <w:sz w:val="22"/>
          <w:szCs w:val="22"/>
          <w:lang w:val="es-419"/>
        </w:rPr>
        <w:t xml:space="preserve"> </w:t>
      </w:r>
      <w:r w:rsidRPr="00C364F1">
        <w:rPr>
          <w:spacing w:val="-2"/>
          <w:sz w:val="22"/>
          <w:szCs w:val="22"/>
          <w:lang w:val="es-419"/>
        </w:rPr>
        <w:t>de</w:t>
      </w:r>
      <w:r w:rsidRPr="00C364F1">
        <w:rPr>
          <w:spacing w:val="-1"/>
          <w:sz w:val="22"/>
          <w:szCs w:val="22"/>
          <w:lang w:val="es-419"/>
        </w:rPr>
        <w:t xml:space="preserve"> Medios </w:t>
      </w:r>
      <w:r w:rsidRPr="00C364F1">
        <w:rPr>
          <w:spacing w:val="-2"/>
          <w:sz w:val="22"/>
          <w:szCs w:val="22"/>
          <w:lang w:val="es-419"/>
        </w:rPr>
        <w:t>de</w:t>
      </w:r>
      <w:r w:rsidRPr="00C364F1">
        <w:rPr>
          <w:spacing w:val="-5"/>
          <w:sz w:val="22"/>
          <w:szCs w:val="22"/>
          <w:lang w:val="es-419"/>
        </w:rPr>
        <w:t xml:space="preserve"> </w:t>
      </w:r>
      <w:r w:rsidRPr="00C364F1">
        <w:rPr>
          <w:spacing w:val="-1"/>
          <w:sz w:val="22"/>
          <w:szCs w:val="22"/>
          <w:lang w:val="es-419"/>
        </w:rPr>
        <w:t>Verificación</w:t>
      </w:r>
    </w:p>
    <w:tbl>
      <w:tblPr>
        <w:tblW w:w="133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3030"/>
        <w:gridCol w:w="5575"/>
        <w:gridCol w:w="1504"/>
        <w:gridCol w:w="1464"/>
      </w:tblGrid>
      <w:tr w:rsidR="00E06BD7" w:rsidRPr="00746F85" w14:paraId="7040BA53" w14:textId="77777777" w:rsidTr="00E06BD7">
        <w:trPr>
          <w:trHeight w:val="197"/>
          <w:tblHeader/>
        </w:trPr>
        <w:tc>
          <w:tcPr>
            <w:tcW w:w="1739" w:type="dxa"/>
            <w:shd w:val="clear" w:color="auto" w:fill="D9E2F3" w:themeFill="accent1" w:themeFillTint="33"/>
            <w:vAlign w:val="center"/>
          </w:tcPr>
          <w:p w14:paraId="3AC42E63" w14:textId="77777777" w:rsidR="00E06BD7" w:rsidRPr="00746F85" w:rsidRDefault="00E06BD7" w:rsidP="00E06BD7">
            <w:pPr>
              <w:spacing w:before="60" w:after="60"/>
              <w:jc w:val="center"/>
              <w:rPr>
                <w:rFonts w:ascii="Arial" w:eastAsia="MS Mincho" w:hAnsi="Arial" w:cs="Times New Roman"/>
                <w:b/>
                <w:sz w:val="20"/>
                <w:lang w:val="es-ES_tradnl"/>
              </w:rPr>
            </w:pPr>
            <w:r w:rsidRPr="00746F85">
              <w:rPr>
                <w:rFonts w:ascii="Arial" w:eastAsia="MS Mincho" w:hAnsi="Arial" w:cs="Times New Roman"/>
                <w:b/>
                <w:sz w:val="20"/>
                <w:lang w:val="es-ES_tradnl"/>
              </w:rPr>
              <w:t>Objetivo de Política</w:t>
            </w:r>
          </w:p>
        </w:tc>
        <w:tc>
          <w:tcPr>
            <w:tcW w:w="4643" w:type="dxa"/>
            <w:shd w:val="clear" w:color="auto" w:fill="D9E2F3" w:themeFill="accent1" w:themeFillTint="33"/>
            <w:vAlign w:val="center"/>
          </w:tcPr>
          <w:p w14:paraId="13344D88" w14:textId="77777777" w:rsidR="00E06BD7" w:rsidRPr="00746F85" w:rsidRDefault="00E06BD7" w:rsidP="00E06BD7">
            <w:pPr>
              <w:spacing w:before="60" w:after="60"/>
              <w:jc w:val="center"/>
              <w:rPr>
                <w:rFonts w:ascii="Arial" w:eastAsia="MS Mincho" w:hAnsi="Arial" w:cs="Times New Roman"/>
                <w:b/>
                <w:sz w:val="20"/>
                <w:lang w:val="es-ES_tradnl"/>
              </w:rPr>
            </w:pPr>
            <w:r>
              <w:rPr>
                <w:rFonts w:ascii="Arial" w:eastAsia="MS Mincho" w:hAnsi="Arial" w:cs="Times New Roman"/>
                <w:b/>
                <w:sz w:val="20"/>
                <w:lang w:val="es-ES_tradnl"/>
              </w:rPr>
              <w:t>Condiciones</w:t>
            </w:r>
            <w:r w:rsidRPr="00746F85">
              <w:rPr>
                <w:rFonts w:ascii="Arial" w:eastAsia="MS Mincho" w:hAnsi="Arial" w:cs="Times New Roman"/>
                <w:b/>
                <w:sz w:val="20"/>
                <w:lang w:val="es-ES_tradnl"/>
              </w:rPr>
              <w:t xml:space="preserve"> de Política I</w:t>
            </w:r>
          </w:p>
        </w:tc>
        <w:tc>
          <w:tcPr>
            <w:tcW w:w="3239" w:type="dxa"/>
            <w:shd w:val="clear" w:color="auto" w:fill="D9E2F3" w:themeFill="accent1" w:themeFillTint="33"/>
            <w:vAlign w:val="center"/>
          </w:tcPr>
          <w:p w14:paraId="588F0B68" w14:textId="77777777" w:rsidR="00E06BD7" w:rsidRPr="00746F85" w:rsidRDefault="00E06BD7" w:rsidP="00E06BD7">
            <w:pPr>
              <w:spacing w:before="60" w:after="60"/>
              <w:jc w:val="center"/>
              <w:rPr>
                <w:rFonts w:ascii="Arial" w:eastAsia="MS Mincho" w:hAnsi="Arial" w:cs="Times New Roman"/>
                <w:b/>
                <w:sz w:val="20"/>
                <w:lang w:val="es-ES_tradnl"/>
              </w:rPr>
            </w:pPr>
            <w:r w:rsidRPr="00746F85">
              <w:rPr>
                <w:rFonts w:ascii="Arial" w:eastAsia="MS Mincho" w:hAnsi="Arial" w:cs="Times New Roman"/>
                <w:b/>
                <w:sz w:val="20"/>
                <w:lang w:val="es-ES_tradnl"/>
              </w:rPr>
              <w:t>Medios de Verificación</w:t>
            </w:r>
          </w:p>
        </w:tc>
        <w:tc>
          <w:tcPr>
            <w:tcW w:w="2223" w:type="dxa"/>
            <w:shd w:val="clear" w:color="auto" w:fill="D9E2F3" w:themeFill="accent1" w:themeFillTint="33"/>
            <w:vAlign w:val="center"/>
          </w:tcPr>
          <w:p w14:paraId="02B58D0C" w14:textId="77777777" w:rsidR="00E06BD7" w:rsidRPr="00746F85" w:rsidRDefault="00E06BD7" w:rsidP="00E06BD7">
            <w:pPr>
              <w:spacing w:before="60" w:after="60"/>
              <w:jc w:val="center"/>
              <w:rPr>
                <w:rFonts w:ascii="Arial" w:eastAsia="MS Mincho" w:hAnsi="Arial" w:cs="Times New Roman"/>
                <w:b/>
                <w:sz w:val="20"/>
                <w:lang w:val="es-ES_tradnl"/>
              </w:rPr>
            </w:pPr>
            <w:r w:rsidRPr="00746F85">
              <w:rPr>
                <w:rFonts w:ascii="Arial" w:eastAsia="MS Mincho" w:hAnsi="Arial" w:cs="Times New Roman"/>
                <w:b/>
                <w:sz w:val="20"/>
                <w:lang w:val="es-ES_tradnl"/>
              </w:rPr>
              <w:t>Estado</w:t>
            </w:r>
            <w:r w:rsidRPr="00746F85">
              <w:rPr>
                <w:rStyle w:val="FootnoteReference"/>
                <w:rFonts w:ascii="Arial" w:eastAsia="MS Mincho" w:hAnsi="Arial"/>
                <w:lang w:val="es-ES_tradnl"/>
              </w:rPr>
              <w:footnoteReference w:id="2"/>
            </w:r>
          </w:p>
        </w:tc>
        <w:tc>
          <w:tcPr>
            <w:tcW w:w="1468" w:type="dxa"/>
            <w:shd w:val="clear" w:color="auto" w:fill="D9E2F3" w:themeFill="accent1" w:themeFillTint="33"/>
            <w:vAlign w:val="center"/>
          </w:tcPr>
          <w:p w14:paraId="09F0A6EE" w14:textId="77777777" w:rsidR="00E06BD7" w:rsidRPr="00746F85" w:rsidRDefault="00E06BD7" w:rsidP="00E06BD7">
            <w:pPr>
              <w:spacing w:before="60" w:after="60"/>
              <w:jc w:val="center"/>
              <w:rPr>
                <w:rFonts w:ascii="Arial" w:eastAsia="MS Mincho" w:hAnsi="Arial" w:cs="Times New Roman"/>
                <w:b/>
                <w:sz w:val="20"/>
                <w:lang w:val="es-ES_tradnl"/>
              </w:rPr>
            </w:pPr>
            <w:r w:rsidRPr="00746F85">
              <w:rPr>
                <w:rFonts w:ascii="Arial" w:eastAsia="MS Mincho" w:hAnsi="Arial" w:cs="Times New Roman"/>
                <w:b/>
                <w:sz w:val="20"/>
                <w:lang w:val="es-ES_tradnl"/>
              </w:rPr>
              <w:t>Entidad Responsable</w:t>
            </w:r>
          </w:p>
        </w:tc>
      </w:tr>
      <w:tr w:rsidR="00E06BD7" w:rsidRPr="00746F85" w14:paraId="67DD43AD" w14:textId="77777777" w:rsidTr="00E06BD7">
        <w:tc>
          <w:tcPr>
            <w:tcW w:w="13312" w:type="dxa"/>
            <w:gridSpan w:val="5"/>
            <w:shd w:val="clear" w:color="auto" w:fill="auto"/>
          </w:tcPr>
          <w:p w14:paraId="7E38E605" w14:textId="77777777" w:rsidR="00E06BD7" w:rsidRPr="00746F85" w:rsidRDefault="00E06BD7" w:rsidP="00E06BD7">
            <w:pPr>
              <w:spacing w:before="60" w:after="60"/>
              <w:rPr>
                <w:rFonts w:ascii="Arial" w:eastAsia="MS Mincho" w:hAnsi="Arial"/>
                <w:b/>
                <w:sz w:val="20"/>
                <w:szCs w:val="20"/>
                <w:lang w:val="es-ES_tradnl"/>
              </w:rPr>
            </w:pPr>
            <w:r w:rsidRPr="007F4293">
              <w:rPr>
                <w:rFonts w:ascii="Arial" w:eastAsia="MS Mincho" w:hAnsi="Arial" w:cs="Times New Roman"/>
                <w:b/>
                <w:sz w:val="20"/>
                <w:lang w:val="es-ES_tradnl"/>
              </w:rPr>
              <w:t xml:space="preserve">Componente 1. </w:t>
            </w:r>
            <w:r w:rsidRPr="004D3B22">
              <w:rPr>
                <w:rFonts w:ascii="Arial" w:eastAsia="MS Mincho" w:hAnsi="Arial" w:cs="Times New Roman"/>
                <w:b/>
                <w:sz w:val="20"/>
                <w:lang w:val="es-ES_tradnl"/>
              </w:rPr>
              <w:t>Estabilidad macroeconómica</w:t>
            </w:r>
          </w:p>
        </w:tc>
      </w:tr>
      <w:tr w:rsidR="00E06BD7" w:rsidRPr="00A4411A" w14:paraId="5AD97B5D" w14:textId="77777777" w:rsidTr="00E06BD7">
        <w:trPr>
          <w:trHeight w:val="696"/>
        </w:trPr>
        <w:tc>
          <w:tcPr>
            <w:tcW w:w="1739" w:type="dxa"/>
            <w:shd w:val="clear" w:color="auto" w:fill="auto"/>
          </w:tcPr>
          <w:p w14:paraId="2E7A3969" w14:textId="77777777" w:rsidR="00E06BD7" w:rsidRPr="00A51BF9" w:rsidRDefault="00E06BD7" w:rsidP="00E06BD7">
            <w:pPr>
              <w:jc w:val="both"/>
              <w:rPr>
                <w:rFonts w:ascii="Arial" w:eastAsia="MS Mincho" w:hAnsi="Arial"/>
                <w:sz w:val="20"/>
                <w:szCs w:val="20"/>
                <w:lang w:val="es-ES_tradnl"/>
              </w:rPr>
            </w:pPr>
            <w:r w:rsidRPr="00A51BF9">
              <w:rPr>
                <w:rFonts w:ascii="Arial" w:hAnsi="Arial"/>
                <w:sz w:val="20"/>
                <w:szCs w:val="20"/>
                <w:lang w:val="es-MX"/>
              </w:rPr>
              <w:t>Asegurar el mantenimiento de un contexto macroeconómico congruente con los objetivos del programa según establecido en la Matriz de Políticas y en la Carta de Política Sectorial.</w:t>
            </w:r>
          </w:p>
        </w:tc>
        <w:tc>
          <w:tcPr>
            <w:tcW w:w="4643" w:type="dxa"/>
            <w:shd w:val="clear" w:color="auto" w:fill="auto"/>
          </w:tcPr>
          <w:p w14:paraId="21F94AC3" w14:textId="77777777" w:rsidR="00E06BD7" w:rsidRPr="00A51BF9" w:rsidRDefault="00E06BD7" w:rsidP="00E06BD7">
            <w:pPr>
              <w:ind w:left="-4"/>
              <w:jc w:val="both"/>
              <w:rPr>
                <w:rFonts w:ascii="Arial" w:eastAsia="MS Mincho" w:hAnsi="Arial"/>
                <w:sz w:val="20"/>
                <w:szCs w:val="20"/>
                <w:lang w:val="es-ES_tradnl"/>
              </w:rPr>
            </w:pPr>
            <w:r w:rsidRPr="00A51BF9">
              <w:rPr>
                <w:rFonts w:ascii="Arial" w:eastAsia="Arial" w:hAnsi="Arial"/>
                <w:bCs/>
                <w:sz w:val="20"/>
                <w:szCs w:val="20"/>
                <w:lang w:val="es-ES_tradnl"/>
              </w:rPr>
              <w:t>1.1</w:t>
            </w:r>
            <w:r w:rsidRPr="00A51BF9">
              <w:rPr>
                <w:rFonts w:ascii="Arial" w:eastAsia="Arial" w:hAnsi="Arial"/>
                <w:bCs/>
                <w:sz w:val="20"/>
                <w:szCs w:val="20"/>
                <w:lang w:val="es-ES_tradnl"/>
              </w:rPr>
              <w:tab/>
              <w:t>Mantenimiento de un marco económico consistente con los objetivos del programa y con los lineamientos establecidos en la carta de política sectorial.</w:t>
            </w:r>
          </w:p>
        </w:tc>
        <w:tc>
          <w:tcPr>
            <w:tcW w:w="3239" w:type="dxa"/>
            <w:shd w:val="clear" w:color="auto" w:fill="auto"/>
          </w:tcPr>
          <w:p w14:paraId="73B5D79B" w14:textId="77777777" w:rsidR="00E06BD7" w:rsidRPr="00A51BF9" w:rsidRDefault="00E06BD7" w:rsidP="00E06BD7">
            <w:pPr>
              <w:jc w:val="both"/>
              <w:rPr>
                <w:rFonts w:ascii="Arial" w:eastAsia="MS Mincho" w:hAnsi="Arial"/>
                <w:sz w:val="20"/>
                <w:szCs w:val="20"/>
                <w:lang w:val="es-ES_tradnl"/>
              </w:rPr>
            </w:pPr>
            <w:r w:rsidRPr="00A51BF9">
              <w:rPr>
                <w:rFonts w:ascii="Arial" w:eastAsia="MS Mincho" w:hAnsi="Arial" w:cs="Times New Roman"/>
                <w:spacing w:val="-1"/>
                <w:sz w:val="20"/>
                <w:szCs w:val="20"/>
                <w:lang w:val="es-419"/>
              </w:rPr>
              <w:t>Evaluación</w:t>
            </w:r>
            <w:r w:rsidRPr="00A51BF9">
              <w:rPr>
                <w:rFonts w:ascii="Arial" w:eastAsia="MS Mincho" w:hAnsi="Arial" w:cs="Times New Roman"/>
                <w:spacing w:val="-3"/>
                <w:sz w:val="20"/>
                <w:szCs w:val="20"/>
                <w:lang w:val="es-419"/>
              </w:rPr>
              <w:t xml:space="preserve"> </w:t>
            </w:r>
            <w:r w:rsidRPr="00A51BF9">
              <w:rPr>
                <w:rFonts w:ascii="Arial" w:eastAsia="MS Mincho" w:hAnsi="Arial" w:cs="Times New Roman"/>
                <w:spacing w:val="-1"/>
                <w:sz w:val="20"/>
                <w:szCs w:val="20"/>
                <w:lang w:val="es-419"/>
              </w:rPr>
              <w:t>Independiente</w:t>
            </w:r>
            <w:r w:rsidRPr="00A51BF9">
              <w:rPr>
                <w:rFonts w:ascii="Arial" w:eastAsia="MS Mincho" w:hAnsi="Arial" w:cs="Times New Roman"/>
                <w:sz w:val="20"/>
                <w:szCs w:val="20"/>
                <w:lang w:val="es-419"/>
              </w:rPr>
              <w:t xml:space="preserve"> </w:t>
            </w:r>
            <w:r w:rsidRPr="00A51BF9">
              <w:rPr>
                <w:rFonts w:ascii="Arial" w:eastAsia="MS Mincho" w:hAnsi="Arial" w:cs="Times New Roman"/>
                <w:spacing w:val="-1"/>
                <w:sz w:val="20"/>
                <w:szCs w:val="20"/>
                <w:lang w:val="es-419"/>
              </w:rPr>
              <w:t>de</w:t>
            </w:r>
            <w:r w:rsidRPr="00A51BF9">
              <w:rPr>
                <w:rFonts w:ascii="Arial" w:eastAsia="MS Mincho" w:hAnsi="Arial" w:cs="Times New Roman"/>
                <w:spacing w:val="-3"/>
                <w:sz w:val="20"/>
                <w:szCs w:val="20"/>
                <w:lang w:val="es-419"/>
              </w:rPr>
              <w:t xml:space="preserve"> </w:t>
            </w:r>
            <w:r w:rsidRPr="00A51BF9">
              <w:rPr>
                <w:rFonts w:ascii="Arial" w:eastAsia="MS Mincho" w:hAnsi="Arial" w:cs="Times New Roman"/>
                <w:spacing w:val="-1"/>
                <w:sz w:val="20"/>
                <w:szCs w:val="20"/>
                <w:lang w:val="es-419"/>
              </w:rPr>
              <w:t>Condiciones</w:t>
            </w:r>
            <w:r w:rsidRPr="00A51BF9">
              <w:rPr>
                <w:rFonts w:ascii="Arial" w:eastAsia="MS Mincho" w:hAnsi="Arial" w:cs="Times New Roman"/>
                <w:spacing w:val="29"/>
                <w:sz w:val="20"/>
                <w:szCs w:val="20"/>
                <w:lang w:val="es-419"/>
              </w:rPr>
              <w:t xml:space="preserve"> </w:t>
            </w:r>
            <w:r w:rsidRPr="00A51BF9">
              <w:rPr>
                <w:rFonts w:ascii="Arial" w:eastAsia="MS Mincho" w:hAnsi="Arial" w:cs="Times New Roman"/>
                <w:spacing w:val="-1"/>
                <w:sz w:val="20"/>
                <w:szCs w:val="20"/>
                <w:lang w:val="es-419"/>
              </w:rPr>
              <w:t>Macroeconómicas</w:t>
            </w:r>
            <w:r w:rsidRPr="00A51BF9">
              <w:rPr>
                <w:rFonts w:ascii="Arial" w:eastAsia="MS Mincho" w:hAnsi="Arial" w:cs="Times New Roman"/>
                <w:spacing w:val="-2"/>
                <w:sz w:val="20"/>
                <w:szCs w:val="20"/>
                <w:lang w:val="es-419"/>
              </w:rPr>
              <w:t xml:space="preserve"> </w:t>
            </w:r>
            <w:r w:rsidRPr="00A51BF9">
              <w:rPr>
                <w:rFonts w:ascii="Arial" w:eastAsia="MS Mincho" w:hAnsi="Arial" w:cs="Times New Roman"/>
                <w:spacing w:val="-1"/>
                <w:sz w:val="20"/>
                <w:szCs w:val="20"/>
                <w:lang w:val="es-419"/>
              </w:rPr>
              <w:t>(IAMC)</w:t>
            </w:r>
            <w:r w:rsidRPr="00A51BF9">
              <w:rPr>
                <w:rFonts w:ascii="Arial" w:eastAsia="MS Mincho" w:hAnsi="Arial" w:cs="Times New Roman"/>
                <w:spacing w:val="-2"/>
                <w:sz w:val="20"/>
                <w:szCs w:val="20"/>
                <w:lang w:val="es-419"/>
              </w:rPr>
              <w:t xml:space="preserve"> </w:t>
            </w:r>
            <w:r w:rsidRPr="00A51BF9">
              <w:rPr>
                <w:rFonts w:ascii="Arial" w:eastAsia="MS Mincho" w:hAnsi="Arial" w:cs="Times New Roman"/>
                <w:spacing w:val="-1"/>
                <w:sz w:val="20"/>
                <w:szCs w:val="20"/>
                <w:lang w:val="es-419"/>
              </w:rPr>
              <w:t>vigente</w:t>
            </w:r>
            <w:r w:rsidRPr="00A51BF9">
              <w:rPr>
                <w:rFonts w:ascii="Arial" w:eastAsia="MS Mincho" w:hAnsi="Arial" w:cs="Times New Roman"/>
                <w:spacing w:val="1"/>
                <w:sz w:val="20"/>
                <w:szCs w:val="20"/>
                <w:lang w:val="es-419"/>
              </w:rPr>
              <w:t xml:space="preserve"> </w:t>
            </w:r>
            <w:r w:rsidRPr="00A51BF9">
              <w:rPr>
                <w:rFonts w:ascii="Arial" w:eastAsia="MS Mincho" w:hAnsi="Arial" w:cs="Times New Roman"/>
                <w:spacing w:val="-1"/>
                <w:sz w:val="20"/>
                <w:szCs w:val="20"/>
                <w:lang w:val="es-419"/>
              </w:rPr>
              <w:t>al momento</w:t>
            </w:r>
            <w:r w:rsidRPr="00A51BF9">
              <w:rPr>
                <w:rFonts w:ascii="Arial" w:eastAsia="MS Mincho" w:hAnsi="Arial" w:cs="Times New Roman"/>
                <w:spacing w:val="-3"/>
                <w:sz w:val="20"/>
                <w:szCs w:val="20"/>
                <w:lang w:val="es-419"/>
              </w:rPr>
              <w:t xml:space="preserve"> </w:t>
            </w:r>
            <w:r w:rsidRPr="00A51BF9">
              <w:rPr>
                <w:rFonts w:ascii="Arial" w:eastAsia="MS Mincho" w:hAnsi="Arial" w:cs="Times New Roman"/>
                <w:spacing w:val="-1"/>
                <w:sz w:val="20"/>
                <w:szCs w:val="20"/>
                <w:lang w:val="es-419"/>
              </w:rPr>
              <w:t>de</w:t>
            </w:r>
            <w:r w:rsidRPr="00A51BF9">
              <w:rPr>
                <w:rFonts w:ascii="Arial" w:eastAsia="MS Mincho" w:hAnsi="Arial" w:cs="Times New Roman"/>
                <w:spacing w:val="33"/>
                <w:sz w:val="20"/>
                <w:szCs w:val="20"/>
                <w:lang w:val="es-419"/>
              </w:rPr>
              <w:t xml:space="preserve"> </w:t>
            </w:r>
            <w:r w:rsidRPr="00A51BF9">
              <w:rPr>
                <w:rFonts w:ascii="Arial" w:eastAsia="MS Mincho" w:hAnsi="Arial" w:cs="Times New Roman"/>
                <w:spacing w:val="-1"/>
                <w:sz w:val="20"/>
                <w:szCs w:val="20"/>
                <w:lang w:val="es-419"/>
              </w:rPr>
              <w:t>solicitar</w:t>
            </w:r>
            <w:r w:rsidRPr="00A51BF9">
              <w:rPr>
                <w:rFonts w:ascii="Arial" w:eastAsia="MS Mincho" w:hAnsi="Arial" w:cs="Times New Roman"/>
                <w:spacing w:val="-3"/>
                <w:sz w:val="20"/>
                <w:szCs w:val="20"/>
                <w:lang w:val="es-419"/>
              </w:rPr>
              <w:t xml:space="preserve"> </w:t>
            </w:r>
            <w:r w:rsidRPr="00A51BF9">
              <w:rPr>
                <w:rFonts w:ascii="Arial" w:eastAsia="MS Mincho" w:hAnsi="Arial" w:cs="Times New Roman"/>
                <w:spacing w:val="-1"/>
                <w:sz w:val="20"/>
                <w:szCs w:val="20"/>
                <w:lang w:val="es-419"/>
              </w:rPr>
              <w:t>el desembolso</w:t>
            </w:r>
            <w:r w:rsidRPr="00A51BF9">
              <w:rPr>
                <w:rFonts w:ascii="Arial" w:eastAsia="MS Mincho" w:hAnsi="Arial"/>
                <w:sz w:val="20"/>
                <w:szCs w:val="20"/>
                <w:lang w:val="es-ES_tradnl"/>
              </w:rPr>
              <w:t>.</w:t>
            </w:r>
          </w:p>
        </w:tc>
        <w:tc>
          <w:tcPr>
            <w:tcW w:w="2223" w:type="dxa"/>
            <w:shd w:val="clear" w:color="auto" w:fill="auto"/>
          </w:tcPr>
          <w:p w14:paraId="221D3B10" w14:textId="77777777" w:rsidR="00E06BD7" w:rsidRPr="002005B3" w:rsidRDefault="00E06BD7" w:rsidP="00E06BD7">
            <w:pPr>
              <w:rPr>
                <w:rFonts w:ascii="Arial" w:eastAsia="MS Mincho" w:hAnsi="Arial" w:cs="Times New Roman"/>
                <w:bCs/>
                <w:sz w:val="20"/>
                <w:lang w:val="es-ES_tradnl"/>
              </w:rPr>
            </w:pPr>
            <w:r w:rsidRPr="002005B3">
              <w:rPr>
                <w:rFonts w:ascii="Arial" w:eastAsia="MS Mincho" w:hAnsi="Arial" w:cs="Times New Roman"/>
                <w:bCs/>
                <w:sz w:val="20"/>
                <w:lang w:val="es-ES_tradnl"/>
              </w:rPr>
              <w:t>Cumplido</w:t>
            </w:r>
          </w:p>
          <w:p w14:paraId="566FA210" w14:textId="77777777" w:rsidR="00E06BD7" w:rsidRPr="00A51BF9" w:rsidRDefault="00E06BD7" w:rsidP="00E06BD7">
            <w:pPr>
              <w:rPr>
                <w:rFonts w:ascii="Arial" w:eastAsia="MS Mincho" w:hAnsi="Arial" w:cs="Times New Roman"/>
                <w:bCs/>
                <w:sz w:val="20"/>
                <w:lang w:val="es-ES_tradnl"/>
              </w:rPr>
            </w:pPr>
          </w:p>
        </w:tc>
        <w:tc>
          <w:tcPr>
            <w:tcW w:w="1468" w:type="dxa"/>
            <w:shd w:val="clear" w:color="auto" w:fill="auto"/>
          </w:tcPr>
          <w:p w14:paraId="13A92412" w14:textId="77777777" w:rsidR="00E06BD7" w:rsidRPr="00A51BF9" w:rsidRDefault="00E06BD7" w:rsidP="00E06BD7">
            <w:pPr>
              <w:jc w:val="both"/>
              <w:rPr>
                <w:rFonts w:ascii="Arial" w:eastAsia="MS Mincho" w:hAnsi="Arial"/>
                <w:sz w:val="20"/>
                <w:szCs w:val="20"/>
                <w:lang w:val="es-ES_tradnl"/>
              </w:rPr>
            </w:pPr>
            <w:r w:rsidRPr="00A51BF9">
              <w:rPr>
                <w:rFonts w:ascii="Arial" w:hAnsi="Arial"/>
                <w:sz w:val="20"/>
                <w:szCs w:val="20"/>
                <w:lang w:val="es-ES_tradnl"/>
              </w:rPr>
              <w:t>Ministerio de Economía y Finanzas (acción), BID (IAMC, por sus siglas en inglés).</w:t>
            </w:r>
          </w:p>
        </w:tc>
      </w:tr>
      <w:tr w:rsidR="00E06BD7" w:rsidRPr="00A4411A" w14:paraId="1799C00D" w14:textId="77777777" w:rsidTr="00E06BD7">
        <w:tc>
          <w:tcPr>
            <w:tcW w:w="13312" w:type="dxa"/>
            <w:gridSpan w:val="5"/>
            <w:shd w:val="clear" w:color="auto" w:fill="auto"/>
          </w:tcPr>
          <w:p w14:paraId="645E7ACC" w14:textId="77777777" w:rsidR="00E06BD7" w:rsidRPr="00787DB8" w:rsidRDefault="00E06BD7" w:rsidP="00E06BD7">
            <w:pPr>
              <w:spacing w:before="60" w:after="60"/>
              <w:rPr>
                <w:rFonts w:ascii="Arial" w:eastAsia="MS Mincho" w:hAnsi="Arial" w:cs="Times New Roman"/>
                <w:b/>
                <w:sz w:val="20"/>
                <w:lang w:val="es-ES_tradnl"/>
              </w:rPr>
            </w:pPr>
            <w:r w:rsidRPr="00787DB8">
              <w:rPr>
                <w:rFonts w:ascii="Arial" w:eastAsia="MS Mincho" w:hAnsi="Arial" w:cs="Times New Roman"/>
                <w:b/>
                <w:sz w:val="20"/>
                <w:lang w:val="es-ES_tradnl"/>
              </w:rPr>
              <w:t xml:space="preserve">Componente 2. </w:t>
            </w:r>
            <w:r w:rsidRPr="004D3B22">
              <w:rPr>
                <w:rFonts w:ascii="Arial" w:hAnsi="Arial"/>
                <w:b/>
                <w:bCs/>
                <w:spacing w:val="-4"/>
                <w:sz w:val="20"/>
                <w:szCs w:val="20"/>
                <w:lang w:val="es-MX"/>
              </w:rPr>
              <w:t>Fortalecimiento de la política y gestión fiscal para la atención de la crisis sanitaria causada por el COVID-</w:t>
            </w:r>
            <w:r>
              <w:rPr>
                <w:rFonts w:ascii="Arial" w:hAnsi="Arial"/>
                <w:b/>
                <w:bCs/>
                <w:spacing w:val="-4"/>
                <w:sz w:val="20"/>
                <w:szCs w:val="20"/>
                <w:lang w:val="es-MX"/>
              </w:rPr>
              <w:t>1</w:t>
            </w:r>
            <w:r w:rsidRPr="004D3B22">
              <w:rPr>
                <w:rFonts w:ascii="Arial" w:hAnsi="Arial"/>
                <w:b/>
                <w:bCs/>
                <w:spacing w:val="-4"/>
                <w:sz w:val="20"/>
                <w:szCs w:val="20"/>
                <w:lang w:val="es-MX"/>
              </w:rPr>
              <w:t>9</w:t>
            </w:r>
          </w:p>
        </w:tc>
      </w:tr>
      <w:tr w:rsidR="00E06BD7" w:rsidRPr="00A4411A" w14:paraId="73D2BF37" w14:textId="77777777" w:rsidTr="00E06BD7">
        <w:tc>
          <w:tcPr>
            <w:tcW w:w="1739" w:type="dxa"/>
            <w:shd w:val="clear" w:color="auto" w:fill="auto"/>
          </w:tcPr>
          <w:p w14:paraId="00696155" w14:textId="77777777" w:rsidR="00E06BD7" w:rsidRPr="00746F85" w:rsidRDefault="00E06BD7" w:rsidP="00E06BD7">
            <w:pPr>
              <w:jc w:val="both"/>
              <w:rPr>
                <w:rFonts w:ascii="Arial" w:eastAsia="MS Mincho" w:hAnsi="Arial" w:cs="Times New Roman"/>
                <w:sz w:val="20"/>
                <w:lang w:val="es-ES_tradnl"/>
              </w:rPr>
            </w:pPr>
            <w:r w:rsidRPr="005708F4">
              <w:rPr>
                <w:rFonts w:ascii="Arial" w:hAnsi="Arial"/>
                <w:sz w:val="20"/>
                <w:szCs w:val="20"/>
                <w:lang w:val="es-MX"/>
              </w:rPr>
              <w:t>Promover la disponibilidad oportuna de recursos públicos para atender la crisis sanitaria causada por el COVID-19.</w:t>
            </w:r>
          </w:p>
        </w:tc>
        <w:tc>
          <w:tcPr>
            <w:tcW w:w="4643" w:type="dxa"/>
            <w:shd w:val="clear" w:color="auto" w:fill="auto"/>
          </w:tcPr>
          <w:p w14:paraId="65C7AC9A" w14:textId="15A61B54" w:rsidR="00E06BD7" w:rsidRPr="00787DB8" w:rsidRDefault="00E06BD7" w:rsidP="00E06BD7">
            <w:pPr>
              <w:spacing w:before="60" w:after="60"/>
              <w:ind w:left="-4"/>
              <w:rPr>
                <w:rFonts w:ascii="Arial" w:eastAsia="MS Mincho" w:hAnsi="Arial"/>
                <w:sz w:val="20"/>
                <w:szCs w:val="20"/>
                <w:lang w:val="es-ES_tradnl"/>
              </w:rPr>
            </w:pPr>
            <w:r w:rsidRPr="009C4455">
              <w:rPr>
                <w:rFonts w:ascii="Arial" w:hAnsi="Arial"/>
                <w:sz w:val="20"/>
                <w:szCs w:val="20"/>
                <w:lang w:val="es-419"/>
              </w:rPr>
              <w:t>2.1</w:t>
            </w:r>
            <w:r w:rsidRPr="009C4455">
              <w:rPr>
                <w:rFonts w:ascii="Arial" w:hAnsi="Arial"/>
                <w:sz w:val="20"/>
                <w:szCs w:val="20"/>
                <w:lang w:val="es-419"/>
              </w:rPr>
              <w:tab/>
              <w:t>Que se haya creado y esté vigente el “Fondo Solidario COVID-19”, destinado a atender toda actividad estatal hacia la protección de la población frente a la emergencia sanitaria nacional. El Fondo Solidario COVID-19 podrá ser dotado, entre otros recursos, con: (a) contribuciones y utilidades provenientes de personas públicas no estatales y bancos estatales</w:t>
            </w:r>
            <w:r w:rsidR="00751336">
              <w:rPr>
                <w:rFonts w:ascii="Arial" w:hAnsi="Arial"/>
                <w:sz w:val="20"/>
                <w:szCs w:val="20"/>
                <w:lang w:val="es-419"/>
              </w:rPr>
              <w:t>;</w:t>
            </w:r>
            <w:r w:rsidRPr="009C4455">
              <w:rPr>
                <w:rFonts w:ascii="Arial" w:hAnsi="Arial"/>
                <w:sz w:val="20"/>
                <w:szCs w:val="20"/>
                <w:lang w:val="es-419"/>
              </w:rPr>
              <w:t xml:space="preserve"> (b) determinados fondos originados en préstamos de organismos internacionales y multilaterales de crédito; (c) donaciones en dinero; (d) la recaudación total del tributo “Impuesto Emergencia Sanitaria COVID-19”; y (e) la recaudación del adicional al Impuesto a la Asistencia a la Seguridad Social (IASS).</w:t>
            </w:r>
          </w:p>
        </w:tc>
        <w:tc>
          <w:tcPr>
            <w:tcW w:w="3239" w:type="dxa"/>
            <w:shd w:val="clear" w:color="auto" w:fill="auto"/>
          </w:tcPr>
          <w:p w14:paraId="38358F07" w14:textId="77777777" w:rsidR="00E06BD7" w:rsidRPr="00CF6C78" w:rsidRDefault="00E06BD7" w:rsidP="00E06BD7">
            <w:pPr>
              <w:spacing w:before="60" w:after="60"/>
              <w:ind w:left="-4"/>
              <w:jc w:val="both"/>
              <w:rPr>
                <w:rFonts w:ascii="Arial" w:eastAsia="MS Mincho" w:hAnsi="Arial"/>
                <w:sz w:val="20"/>
                <w:szCs w:val="20"/>
                <w:lang w:val="es-ES_tradnl"/>
              </w:rPr>
            </w:pPr>
            <w:r>
              <w:rPr>
                <w:rFonts w:ascii="Arial" w:eastAsia="MS Mincho" w:hAnsi="Arial"/>
                <w:sz w:val="20"/>
                <w:szCs w:val="20"/>
                <w:lang w:val="es-ES_tradnl"/>
              </w:rPr>
              <w:t xml:space="preserve">Copia de la publicación en el Diario Oficial de la República Oriental del Uruguay de la Ley </w:t>
            </w:r>
            <w:r w:rsidRPr="00CF6C78">
              <w:rPr>
                <w:rFonts w:ascii="Arial" w:eastAsia="MS Mincho" w:hAnsi="Arial" w:cs="Times New Roman"/>
                <w:bCs/>
                <w:sz w:val="20"/>
                <w:lang w:val="es-ES_tradnl"/>
              </w:rPr>
              <w:t>19.874</w:t>
            </w:r>
            <w:r>
              <w:rPr>
                <w:rFonts w:ascii="Arial" w:eastAsia="MS Mincho" w:hAnsi="Arial"/>
                <w:sz w:val="20"/>
                <w:szCs w:val="20"/>
                <w:lang w:val="es-ES_tradnl"/>
              </w:rPr>
              <w:t xml:space="preserve"> que crea el </w:t>
            </w:r>
            <w:r w:rsidRPr="00CF6C78">
              <w:rPr>
                <w:rFonts w:ascii="Arial" w:eastAsia="MS Mincho" w:hAnsi="Arial"/>
                <w:sz w:val="20"/>
                <w:szCs w:val="20"/>
                <w:lang w:val="es-ES_tradnl"/>
              </w:rPr>
              <w:t>“Fondo Solidario COVID-19”, destinado a atender toda actividad estatal hacia la protección de la población frente a la emergencia sanitaria nacional.</w:t>
            </w:r>
          </w:p>
        </w:tc>
        <w:tc>
          <w:tcPr>
            <w:tcW w:w="2223" w:type="dxa"/>
            <w:shd w:val="clear" w:color="auto" w:fill="auto"/>
          </w:tcPr>
          <w:p w14:paraId="79BCC3CD" w14:textId="77777777" w:rsidR="00E06BD7" w:rsidRPr="00E65658" w:rsidRDefault="00E06BD7" w:rsidP="00E06BD7">
            <w:pPr>
              <w:spacing w:before="60" w:after="60"/>
              <w:ind w:left="-4"/>
              <w:rPr>
                <w:rFonts w:ascii="Arial" w:eastAsia="MS Mincho" w:hAnsi="Arial" w:cs="Times New Roman"/>
                <w:bCs/>
                <w:sz w:val="20"/>
                <w:lang w:val="es-ES_tradnl"/>
              </w:rPr>
            </w:pPr>
            <w:r w:rsidRPr="00E65658">
              <w:rPr>
                <w:rFonts w:ascii="Arial" w:eastAsia="MS Mincho" w:hAnsi="Arial" w:cs="Times New Roman"/>
                <w:bCs/>
                <w:sz w:val="20"/>
                <w:lang w:val="es-ES_tradnl"/>
              </w:rPr>
              <w:t>Cumplido</w:t>
            </w:r>
          </w:p>
          <w:p w14:paraId="59B07B85" w14:textId="77777777" w:rsidR="00E06BD7" w:rsidRDefault="00E06BD7" w:rsidP="00E06BD7">
            <w:pPr>
              <w:spacing w:before="60" w:after="60"/>
              <w:ind w:left="-4"/>
              <w:rPr>
                <w:rFonts w:ascii="Arial" w:eastAsia="MS Mincho" w:hAnsi="Arial" w:cs="Times New Roman"/>
                <w:bCs/>
                <w:sz w:val="20"/>
                <w:lang w:val="es-ES_tradnl"/>
              </w:rPr>
            </w:pPr>
            <w:r w:rsidRPr="00E65658">
              <w:rPr>
                <w:rFonts w:ascii="Arial" w:eastAsia="MS Mincho" w:hAnsi="Arial" w:cs="Times New Roman"/>
                <w:bCs/>
                <w:sz w:val="20"/>
                <w:lang w:val="es-ES_tradnl"/>
              </w:rPr>
              <w:t>(II trimestre, 2020)</w:t>
            </w:r>
          </w:p>
          <w:p w14:paraId="627F7475" w14:textId="77777777" w:rsidR="00E06BD7" w:rsidRPr="00787DB8" w:rsidRDefault="00E06BD7" w:rsidP="00E06BD7">
            <w:pPr>
              <w:spacing w:before="60" w:after="60"/>
              <w:ind w:left="-4"/>
              <w:rPr>
                <w:rFonts w:ascii="Arial" w:eastAsia="MS Mincho" w:hAnsi="Arial" w:cs="Times New Roman"/>
                <w:bCs/>
                <w:sz w:val="20"/>
                <w:lang w:val="es-ES_tradnl"/>
              </w:rPr>
            </w:pPr>
          </w:p>
        </w:tc>
        <w:tc>
          <w:tcPr>
            <w:tcW w:w="1468" w:type="dxa"/>
            <w:shd w:val="clear" w:color="auto" w:fill="auto"/>
          </w:tcPr>
          <w:p w14:paraId="4EA38FDC" w14:textId="77777777" w:rsidR="00E06BD7" w:rsidRPr="00746F85" w:rsidRDefault="00E06BD7" w:rsidP="00E06BD7">
            <w:pPr>
              <w:spacing w:before="60" w:after="60"/>
              <w:ind w:left="-4"/>
              <w:jc w:val="both"/>
              <w:rPr>
                <w:rFonts w:ascii="Arial" w:eastAsia="MS Mincho" w:hAnsi="Arial"/>
                <w:sz w:val="20"/>
                <w:szCs w:val="20"/>
                <w:lang w:val="es-ES_tradnl"/>
              </w:rPr>
            </w:pPr>
            <w:r>
              <w:rPr>
                <w:rFonts w:ascii="Arial" w:eastAsia="MS Mincho" w:hAnsi="Arial"/>
                <w:sz w:val="20"/>
                <w:szCs w:val="20"/>
                <w:lang w:val="es-ES_tradnl"/>
              </w:rPr>
              <w:t>Ministerio de Economía y Finanzas (MEF)</w:t>
            </w:r>
          </w:p>
        </w:tc>
      </w:tr>
      <w:tr w:rsidR="00E06BD7" w:rsidRPr="00746F85" w14:paraId="1DDB0A4A" w14:textId="77777777" w:rsidTr="00E06BD7">
        <w:trPr>
          <w:trHeight w:val="1799"/>
        </w:trPr>
        <w:tc>
          <w:tcPr>
            <w:tcW w:w="1739" w:type="dxa"/>
            <w:vMerge w:val="restart"/>
            <w:shd w:val="clear" w:color="auto" w:fill="auto"/>
          </w:tcPr>
          <w:p w14:paraId="76FE8814" w14:textId="77777777" w:rsidR="00E06BD7" w:rsidRPr="00746F85" w:rsidRDefault="00E06BD7" w:rsidP="00E06BD7">
            <w:pPr>
              <w:spacing w:before="60" w:after="60"/>
              <w:ind w:left="-4"/>
              <w:jc w:val="both"/>
              <w:rPr>
                <w:rFonts w:ascii="Arial" w:eastAsia="MS Mincho" w:hAnsi="Arial" w:cs="Times New Roman"/>
                <w:sz w:val="20"/>
                <w:szCs w:val="20"/>
                <w:lang w:val="es-ES"/>
              </w:rPr>
            </w:pPr>
            <w:r w:rsidRPr="005708F4">
              <w:rPr>
                <w:rFonts w:ascii="Arial" w:eastAsia="MS Mincho" w:hAnsi="Arial" w:cs="Times New Roman"/>
                <w:sz w:val="20"/>
                <w:szCs w:val="20"/>
                <w:lang w:val="es-ES"/>
              </w:rPr>
              <w:t>Promover la ejecución oportuna de recursos públicos para atender la crisis sanitaria causada por el COVID-19.</w:t>
            </w:r>
          </w:p>
        </w:tc>
        <w:tc>
          <w:tcPr>
            <w:tcW w:w="4643" w:type="dxa"/>
            <w:shd w:val="clear" w:color="auto" w:fill="auto"/>
          </w:tcPr>
          <w:p w14:paraId="1DB76513" w14:textId="0E652C3C" w:rsidR="00E06BD7" w:rsidRPr="00787DB8" w:rsidRDefault="00E06BD7" w:rsidP="00E06BD7">
            <w:pPr>
              <w:widowControl/>
              <w:tabs>
                <w:tab w:val="left" w:pos="661"/>
              </w:tabs>
              <w:spacing w:line="259" w:lineRule="auto"/>
              <w:contextualSpacing/>
              <w:jc w:val="both"/>
              <w:rPr>
                <w:rFonts w:ascii="Arial" w:eastAsia="MS Mincho" w:hAnsi="Arial" w:cs="Times New Roman"/>
                <w:sz w:val="20"/>
                <w:szCs w:val="20"/>
                <w:lang w:val="es-ES_tradnl"/>
              </w:rPr>
            </w:pPr>
            <w:r w:rsidRPr="00CF6C78">
              <w:rPr>
                <w:rFonts w:ascii="Arial" w:hAnsi="Arial"/>
                <w:sz w:val="20"/>
                <w:szCs w:val="20"/>
                <w:lang w:val="es-419"/>
              </w:rPr>
              <w:t>2.2.</w:t>
            </w:r>
            <w:r w:rsidRPr="00CF6C78">
              <w:rPr>
                <w:rFonts w:ascii="Arial" w:hAnsi="Arial"/>
                <w:sz w:val="20"/>
                <w:szCs w:val="20"/>
                <w:lang w:val="es-419"/>
              </w:rPr>
              <w:tab/>
            </w:r>
            <w:r w:rsidRPr="009C4455">
              <w:rPr>
                <w:rFonts w:ascii="Arial" w:hAnsi="Arial"/>
                <w:sz w:val="20"/>
                <w:szCs w:val="20"/>
                <w:lang w:val="es-ES"/>
              </w:rPr>
              <w:t>Que se haya incorporado el procedimiento diagnóstico PCR-RT de</w:t>
            </w:r>
            <w:r w:rsidR="004A57D9">
              <w:rPr>
                <w:rFonts w:ascii="Arial" w:hAnsi="Arial"/>
                <w:sz w:val="20"/>
                <w:szCs w:val="20"/>
                <w:lang w:val="es-ES"/>
              </w:rPr>
              <w:t>l</w:t>
            </w:r>
            <w:r w:rsidRPr="009C4455">
              <w:rPr>
                <w:rFonts w:ascii="Arial" w:hAnsi="Arial"/>
                <w:sz w:val="20"/>
                <w:szCs w:val="20"/>
                <w:lang w:val="es-ES"/>
              </w:rPr>
              <w:t xml:space="preserve"> COVID-19 a los Programas Integrales de Salud y al Catálogo de Prestaciones definidos por el Ministerio de Salud Pública (MSP).</w:t>
            </w:r>
          </w:p>
        </w:tc>
        <w:tc>
          <w:tcPr>
            <w:tcW w:w="3239" w:type="dxa"/>
            <w:shd w:val="clear" w:color="auto" w:fill="auto"/>
          </w:tcPr>
          <w:p w14:paraId="1FAD3C7B" w14:textId="77C0CF28" w:rsidR="00E06BD7" w:rsidRPr="00787DB8" w:rsidRDefault="00E06BD7" w:rsidP="00E06BD7">
            <w:pPr>
              <w:spacing w:before="60" w:after="60"/>
              <w:jc w:val="both"/>
              <w:rPr>
                <w:rFonts w:ascii="Arial" w:eastAsia="MS Mincho" w:hAnsi="Arial" w:cs="Times New Roman"/>
                <w:sz w:val="20"/>
                <w:szCs w:val="20"/>
                <w:lang w:val="es-ES"/>
              </w:rPr>
            </w:pPr>
            <w:r>
              <w:rPr>
                <w:rFonts w:ascii="Arial" w:eastAsia="MS Mincho" w:hAnsi="Arial" w:cs="Times New Roman"/>
                <w:sz w:val="20"/>
                <w:szCs w:val="20"/>
                <w:lang w:val="es-ES"/>
              </w:rPr>
              <w:t xml:space="preserve">Copia de la publicación en el </w:t>
            </w:r>
            <w:r>
              <w:rPr>
                <w:rFonts w:ascii="Arial" w:eastAsia="MS Mincho" w:hAnsi="Arial"/>
                <w:sz w:val="20"/>
                <w:szCs w:val="20"/>
                <w:lang w:val="es-ES_tradnl"/>
              </w:rPr>
              <w:t xml:space="preserve">Diario Oficial de la República Oriental del Uruguay del </w:t>
            </w:r>
            <w:r>
              <w:rPr>
                <w:rFonts w:ascii="Arial" w:eastAsia="MS Mincho" w:hAnsi="Arial" w:cs="Times New Roman"/>
                <w:sz w:val="20"/>
                <w:szCs w:val="20"/>
                <w:lang w:val="es-ES"/>
              </w:rPr>
              <w:t xml:space="preserve">Decreto 118/020, que incorpora </w:t>
            </w:r>
            <w:r w:rsidRPr="003A43AA">
              <w:rPr>
                <w:rFonts w:ascii="Arial" w:eastAsia="MS Mincho" w:hAnsi="Arial" w:cs="Times New Roman"/>
                <w:sz w:val="20"/>
                <w:szCs w:val="20"/>
                <w:lang w:val="es-ES"/>
              </w:rPr>
              <w:t>el procedimiento diagnóstico PCR-RT de</w:t>
            </w:r>
            <w:r w:rsidR="00487CCD">
              <w:rPr>
                <w:rFonts w:ascii="Arial" w:eastAsia="MS Mincho" w:hAnsi="Arial" w:cs="Times New Roman"/>
                <w:sz w:val="20"/>
                <w:szCs w:val="20"/>
                <w:lang w:val="es-ES"/>
              </w:rPr>
              <w:t>l</w:t>
            </w:r>
            <w:r w:rsidRPr="003A43AA">
              <w:rPr>
                <w:rFonts w:ascii="Arial" w:eastAsia="MS Mincho" w:hAnsi="Arial" w:cs="Times New Roman"/>
                <w:sz w:val="20"/>
                <w:szCs w:val="20"/>
                <w:lang w:val="es-ES"/>
              </w:rPr>
              <w:t xml:space="preserve"> COVID-19 a los Programas Integrales de Salud y al Catálogo de Prestaciones definidos por el M</w:t>
            </w:r>
            <w:r>
              <w:rPr>
                <w:rFonts w:ascii="Arial" w:eastAsia="MS Mincho" w:hAnsi="Arial" w:cs="Times New Roman"/>
                <w:sz w:val="20"/>
                <w:szCs w:val="20"/>
                <w:lang w:val="es-ES"/>
              </w:rPr>
              <w:t>SP.</w:t>
            </w:r>
          </w:p>
        </w:tc>
        <w:tc>
          <w:tcPr>
            <w:tcW w:w="2223" w:type="dxa"/>
            <w:shd w:val="clear" w:color="auto" w:fill="auto"/>
          </w:tcPr>
          <w:p w14:paraId="53F60576"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Cumplido</w:t>
            </w:r>
          </w:p>
          <w:p w14:paraId="203C6459"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(II trimestre, 2020)</w:t>
            </w:r>
          </w:p>
          <w:p w14:paraId="47E27410" w14:textId="77777777" w:rsidR="00E06BD7" w:rsidRPr="003B3B0D" w:rsidRDefault="00E06BD7" w:rsidP="00E06BD7">
            <w:pPr>
              <w:spacing w:before="60" w:after="60"/>
              <w:rPr>
                <w:rFonts w:ascii="Arial" w:hAnsi="Arial"/>
                <w:sz w:val="20"/>
                <w:lang w:val="es-UY"/>
              </w:rPr>
            </w:pPr>
          </w:p>
          <w:p w14:paraId="558B5976" w14:textId="77777777" w:rsidR="00E06BD7" w:rsidRPr="003B3B0D" w:rsidRDefault="00E06BD7" w:rsidP="00E06BD7">
            <w:pPr>
              <w:spacing w:before="60" w:after="60"/>
              <w:rPr>
                <w:rFonts w:ascii="Arial" w:hAnsi="Arial"/>
                <w:sz w:val="20"/>
                <w:lang w:val="es-UY"/>
              </w:rPr>
            </w:pPr>
          </w:p>
          <w:p w14:paraId="5DF3E0ED" w14:textId="77777777" w:rsidR="00E06BD7" w:rsidRPr="003B3B0D" w:rsidRDefault="00E06BD7" w:rsidP="00E06BD7">
            <w:pPr>
              <w:spacing w:before="60" w:after="60"/>
              <w:rPr>
                <w:rFonts w:ascii="Arial" w:eastAsia="MS Mincho" w:hAnsi="Arial" w:cs="Times New Roman"/>
                <w:bCs/>
                <w:sz w:val="20"/>
                <w:lang w:val="es-UY"/>
              </w:rPr>
            </w:pPr>
          </w:p>
        </w:tc>
        <w:tc>
          <w:tcPr>
            <w:tcW w:w="1468" w:type="dxa"/>
            <w:shd w:val="clear" w:color="auto" w:fill="auto"/>
          </w:tcPr>
          <w:p w14:paraId="7008D4DD" w14:textId="77777777" w:rsidR="00E06BD7" w:rsidRPr="00746F85" w:rsidRDefault="00E06BD7" w:rsidP="00E06BD7">
            <w:pPr>
              <w:spacing w:before="60" w:after="60"/>
              <w:jc w:val="both"/>
              <w:rPr>
                <w:rFonts w:ascii="Arial" w:eastAsia="MS Mincho" w:hAnsi="Arial" w:cs="Times New Roman"/>
                <w:sz w:val="20"/>
                <w:szCs w:val="20"/>
                <w:lang w:val="es-ES_tradnl"/>
              </w:rPr>
            </w:pPr>
            <w:r>
              <w:rPr>
                <w:rFonts w:ascii="Arial" w:eastAsia="MS Mincho" w:hAnsi="Arial" w:cs="Times New Roman"/>
                <w:sz w:val="20"/>
                <w:szCs w:val="20"/>
                <w:lang w:val="es-ES_tradnl"/>
              </w:rPr>
              <w:t>MSP</w:t>
            </w:r>
          </w:p>
        </w:tc>
      </w:tr>
      <w:tr w:rsidR="00E06BD7" w:rsidRPr="00A4411A" w14:paraId="12CF23F9" w14:textId="77777777" w:rsidTr="00E06BD7">
        <w:trPr>
          <w:trHeight w:val="575"/>
        </w:trPr>
        <w:tc>
          <w:tcPr>
            <w:tcW w:w="1739" w:type="dxa"/>
            <w:vMerge/>
          </w:tcPr>
          <w:p w14:paraId="772670DA" w14:textId="77777777" w:rsidR="00E06BD7" w:rsidRPr="004D3B22"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18C44F56" w14:textId="77777777" w:rsidR="00E06BD7" w:rsidRPr="00CF6C78" w:rsidRDefault="00E06BD7" w:rsidP="00E06BD7">
            <w:pPr>
              <w:widowControl/>
              <w:tabs>
                <w:tab w:val="left" w:pos="661"/>
              </w:tabs>
              <w:spacing w:line="259" w:lineRule="auto"/>
              <w:contextualSpacing/>
              <w:jc w:val="both"/>
              <w:rPr>
                <w:rFonts w:ascii="Arial" w:hAnsi="Arial"/>
                <w:sz w:val="20"/>
                <w:szCs w:val="20"/>
                <w:lang w:val="es-419"/>
              </w:rPr>
            </w:pPr>
            <w:r w:rsidRPr="00756C46">
              <w:rPr>
                <w:rFonts w:ascii="Arial" w:hAnsi="Arial"/>
                <w:sz w:val="20"/>
                <w:szCs w:val="20"/>
                <w:lang w:val="es-419"/>
              </w:rPr>
              <w:t>2.3.</w:t>
            </w:r>
            <w:r w:rsidRPr="00756C46">
              <w:rPr>
                <w:rFonts w:ascii="Arial" w:hAnsi="Arial"/>
                <w:sz w:val="20"/>
                <w:szCs w:val="20"/>
                <w:lang w:val="es-419"/>
              </w:rPr>
              <w:tab/>
            </w:r>
            <w:r w:rsidRPr="009C4455">
              <w:rPr>
                <w:rFonts w:ascii="Arial" w:hAnsi="Arial"/>
                <w:sz w:val="20"/>
                <w:szCs w:val="20"/>
                <w:lang w:val="es-ES"/>
              </w:rPr>
              <w:t>Que se haya creado la aplicación Coronavirus.uy, para conectar a los ciudadanos con posibles síntomas del COVID-19 con los prestadores de salud, a fin de reducir los tiempos de espera de consultas y atención ante la emergencia sanitaria COVID-19.</w:t>
            </w:r>
          </w:p>
        </w:tc>
        <w:tc>
          <w:tcPr>
            <w:tcW w:w="3239" w:type="dxa"/>
            <w:shd w:val="clear" w:color="auto" w:fill="auto"/>
          </w:tcPr>
          <w:p w14:paraId="3E245EB3" w14:textId="77777777" w:rsidR="00E06BD7" w:rsidRDefault="00E06BD7" w:rsidP="00E06BD7">
            <w:pPr>
              <w:spacing w:before="60" w:after="60"/>
              <w:jc w:val="both"/>
              <w:rPr>
                <w:rFonts w:ascii="Arial" w:eastAsia="MS Mincho" w:hAnsi="Arial" w:cs="Times New Roman"/>
                <w:sz w:val="20"/>
                <w:szCs w:val="20"/>
                <w:lang w:val="es-ES"/>
              </w:rPr>
            </w:pPr>
            <w:r>
              <w:rPr>
                <w:rFonts w:ascii="Arial" w:eastAsia="MS Mincho" w:hAnsi="Arial" w:cs="Times New Roman"/>
                <w:sz w:val="20"/>
                <w:szCs w:val="20"/>
                <w:lang w:val="es-ES"/>
              </w:rPr>
              <w:t>Verificación in situ de la aplicación Coronavirus.uy por parte del Jefe de Equipo del Banco.</w:t>
            </w:r>
          </w:p>
          <w:p w14:paraId="1451C54F" w14:textId="77777777" w:rsidR="00E06BD7" w:rsidRDefault="00E06BD7" w:rsidP="00E06BD7">
            <w:pPr>
              <w:spacing w:before="60" w:after="60"/>
              <w:jc w:val="both"/>
              <w:rPr>
                <w:rFonts w:ascii="Arial" w:eastAsia="MS Mincho" w:hAnsi="Arial" w:cs="Times New Roman"/>
                <w:sz w:val="20"/>
                <w:szCs w:val="20"/>
                <w:lang w:val="es-ES"/>
              </w:rPr>
            </w:pPr>
          </w:p>
        </w:tc>
        <w:tc>
          <w:tcPr>
            <w:tcW w:w="2223" w:type="dxa"/>
            <w:shd w:val="clear" w:color="auto" w:fill="auto"/>
          </w:tcPr>
          <w:p w14:paraId="200B17BB"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Cumplido</w:t>
            </w:r>
          </w:p>
          <w:p w14:paraId="649A24F7"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(II trimestre, 2020)</w:t>
            </w:r>
          </w:p>
          <w:p w14:paraId="0889153D" w14:textId="77777777" w:rsidR="00E06BD7" w:rsidRPr="00651B73" w:rsidRDefault="00E06BD7" w:rsidP="00E06BD7">
            <w:pPr>
              <w:spacing w:before="60" w:after="60"/>
              <w:rPr>
                <w:rFonts w:ascii="Arial" w:eastAsia="MS Mincho" w:hAnsi="Arial" w:cs="Times New Roman"/>
                <w:bCs/>
                <w:sz w:val="20"/>
                <w:lang w:val="es-ES_tradnl"/>
              </w:rPr>
            </w:pPr>
          </w:p>
        </w:tc>
        <w:tc>
          <w:tcPr>
            <w:tcW w:w="1468" w:type="dxa"/>
            <w:shd w:val="clear" w:color="auto" w:fill="auto"/>
          </w:tcPr>
          <w:p w14:paraId="0E008228" w14:textId="77777777" w:rsidR="00E06BD7" w:rsidRDefault="00E06BD7" w:rsidP="00E06BD7">
            <w:pPr>
              <w:spacing w:before="60" w:after="60"/>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Agencia de Gobierno Electrónico y Sociedad de la información y del Conocimiento (AGESIC)</w:t>
            </w:r>
          </w:p>
          <w:p w14:paraId="448DE676" w14:textId="77777777" w:rsidR="00E06BD7" w:rsidRDefault="00E06BD7" w:rsidP="00E06BD7">
            <w:pPr>
              <w:spacing w:before="60" w:after="60"/>
              <w:ind w:left="-4"/>
              <w:jc w:val="both"/>
              <w:rPr>
                <w:rFonts w:ascii="Arial" w:eastAsia="MS Mincho" w:hAnsi="Arial" w:cs="Times New Roman"/>
                <w:sz w:val="20"/>
                <w:szCs w:val="20"/>
                <w:lang w:val="es-ES_tradnl"/>
              </w:rPr>
            </w:pPr>
          </w:p>
        </w:tc>
      </w:tr>
      <w:tr w:rsidR="00E06BD7" w:rsidRPr="00756C46" w14:paraId="2598A679" w14:textId="77777777" w:rsidTr="00E06BD7">
        <w:trPr>
          <w:trHeight w:val="2484"/>
        </w:trPr>
        <w:tc>
          <w:tcPr>
            <w:tcW w:w="1739" w:type="dxa"/>
            <w:vMerge/>
          </w:tcPr>
          <w:p w14:paraId="2FA3B889" w14:textId="77777777" w:rsidR="00E06BD7" w:rsidRPr="004D3B22"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36EB38A3" w14:textId="77777777" w:rsidR="00E06BD7" w:rsidRPr="00CF6C78" w:rsidRDefault="00E06BD7" w:rsidP="00E06BD7">
            <w:pPr>
              <w:widowControl/>
              <w:tabs>
                <w:tab w:val="left" w:pos="661"/>
              </w:tabs>
              <w:spacing w:line="259" w:lineRule="auto"/>
              <w:contextualSpacing/>
              <w:rPr>
                <w:rFonts w:ascii="Arial" w:hAnsi="Arial"/>
                <w:sz w:val="20"/>
                <w:szCs w:val="20"/>
                <w:lang w:val="es-419"/>
              </w:rPr>
            </w:pPr>
            <w:r w:rsidRPr="00756C46">
              <w:rPr>
                <w:rFonts w:ascii="Arial" w:hAnsi="Arial"/>
                <w:sz w:val="20"/>
                <w:szCs w:val="20"/>
                <w:lang w:val="es-419"/>
              </w:rPr>
              <w:t>2.4.</w:t>
            </w:r>
            <w:r w:rsidRPr="00756C46">
              <w:rPr>
                <w:rFonts w:ascii="Arial" w:hAnsi="Arial"/>
                <w:sz w:val="20"/>
                <w:szCs w:val="20"/>
                <w:lang w:val="es-419"/>
              </w:rPr>
              <w:tab/>
            </w:r>
            <w:r w:rsidRPr="00692241">
              <w:rPr>
                <w:rFonts w:ascii="Arial" w:hAnsi="Arial"/>
                <w:sz w:val="20"/>
                <w:szCs w:val="20"/>
                <w:lang w:val="es-ES"/>
              </w:rPr>
              <w:t>Que el Ministerio de Economía y Finanzas (MEF) haya autorizado el ingreso o egreso temporal o permanente de mercaderías específicas, libres de todo tributo y sujetas a un procedimiento aduanero simplificado para cubrir las necesidades sanitarias generadas a partir de la declaración de emergencia sanitaria por la propagación de</w:t>
            </w:r>
            <w:r>
              <w:rPr>
                <w:rFonts w:ascii="Arial" w:hAnsi="Arial"/>
                <w:sz w:val="20"/>
                <w:szCs w:val="20"/>
                <w:lang w:val="es-ES"/>
              </w:rPr>
              <w:t>l</w:t>
            </w:r>
            <w:r w:rsidRPr="00692241">
              <w:rPr>
                <w:rFonts w:ascii="Arial" w:hAnsi="Arial"/>
                <w:sz w:val="20"/>
                <w:szCs w:val="20"/>
                <w:lang w:val="es-ES"/>
              </w:rPr>
              <w:t xml:space="preserve"> COVID</w:t>
            </w:r>
            <w:r>
              <w:rPr>
                <w:rFonts w:ascii="Arial" w:hAnsi="Arial"/>
                <w:sz w:val="20"/>
                <w:szCs w:val="20"/>
                <w:lang w:val="es-ES"/>
              </w:rPr>
              <w:noBreakHyphen/>
            </w:r>
            <w:r w:rsidRPr="00692241">
              <w:rPr>
                <w:rFonts w:ascii="Arial" w:hAnsi="Arial"/>
                <w:sz w:val="20"/>
                <w:szCs w:val="20"/>
                <w:lang w:val="es-ES"/>
              </w:rPr>
              <w:t xml:space="preserve">19.  </w:t>
            </w:r>
          </w:p>
        </w:tc>
        <w:tc>
          <w:tcPr>
            <w:tcW w:w="3239" w:type="dxa"/>
            <w:shd w:val="clear" w:color="auto" w:fill="auto"/>
          </w:tcPr>
          <w:p w14:paraId="78E88906" w14:textId="77777777" w:rsidR="00E06BD7" w:rsidRDefault="00E06BD7" w:rsidP="00E06BD7">
            <w:pPr>
              <w:spacing w:before="60" w:after="60"/>
              <w:jc w:val="both"/>
              <w:rPr>
                <w:rFonts w:ascii="Arial" w:eastAsia="MS Mincho" w:hAnsi="Arial" w:cs="Times New Roman"/>
                <w:sz w:val="20"/>
                <w:szCs w:val="20"/>
                <w:lang w:val="es-ES"/>
              </w:rPr>
            </w:pPr>
            <w:r>
              <w:rPr>
                <w:rFonts w:ascii="Arial" w:eastAsia="MS Mincho" w:hAnsi="Arial" w:cs="Times New Roman"/>
                <w:sz w:val="20"/>
                <w:szCs w:val="20"/>
                <w:lang w:val="es-ES"/>
              </w:rPr>
              <w:t>Copia de la p</w:t>
            </w:r>
            <w:r w:rsidRPr="00756C46">
              <w:rPr>
                <w:rFonts w:ascii="Arial" w:eastAsia="MS Mincho" w:hAnsi="Arial" w:cs="Times New Roman"/>
                <w:sz w:val="20"/>
                <w:szCs w:val="20"/>
                <w:lang w:val="es-ES"/>
              </w:rPr>
              <w:t xml:space="preserve">ublicación </w:t>
            </w:r>
            <w:r>
              <w:rPr>
                <w:rFonts w:ascii="Arial" w:eastAsia="MS Mincho" w:hAnsi="Arial" w:cs="Times New Roman"/>
                <w:sz w:val="20"/>
                <w:szCs w:val="20"/>
                <w:lang w:val="es-ES"/>
              </w:rPr>
              <w:t xml:space="preserve">en el </w:t>
            </w:r>
            <w:r>
              <w:rPr>
                <w:rFonts w:ascii="Arial" w:eastAsia="MS Mincho" w:hAnsi="Arial"/>
                <w:sz w:val="20"/>
                <w:szCs w:val="20"/>
                <w:lang w:val="es-ES_tradnl"/>
              </w:rPr>
              <w:t xml:space="preserve">Diario Oficial de la República Oriental del Uruguay </w:t>
            </w:r>
            <w:r>
              <w:rPr>
                <w:rFonts w:ascii="Arial" w:eastAsia="MS Mincho" w:hAnsi="Arial" w:cs="Times New Roman"/>
                <w:sz w:val="20"/>
                <w:szCs w:val="20"/>
                <w:lang w:val="es-ES"/>
              </w:rPr>
              <w:t xml:space="preserve">de la Resolución S/N emitida por el MEF del 24 de marzo de 2020 </w:t>
            </w:r>
            <w:r w:rsidRPr="00756C46">
              <w:rPr>
                <w:rFonts w:ascii="Arial" w:eastAsia="MS Mincho" w:hAnsi="Arial" w:cs="Times New Roman"/>
                <w:sz w:val="20"/>
                <w:szCs w:val="20"/>
                <w:lang w:val="es-ES"/>
              </w:rPr>
              <w:t>que autoriza el ingreso o egreso temporal o permanente de mercaderías específicas, libres de todo tributo y sujetas a un procedimiento aduanero simplificado para cubrir las necesidades sanitarias generadas a partir de la declaración de emergencia sanitaria por la propagación de</w:t>
            </w:r>
            <w:r>
              <w:rPr>
                <w:rFonts w:ascii="Arial" w:eastAsia="MS Mincho" w:hAnsi="Arial" w:cs="Times New Roman"/>
                <w:sz w:val="20"/>
                <w:szCs w:val="20"/>
                <w:lang w:val="es-ES"/>
              </w:rPr>
              <w:t>l</w:t>
            </w:r>
            <w:r w:rsidRPr="00756C46">
              <w:rPr>
                <w:rFonts w:ascii="Arial" w:eastAsia="MS Mincho" w:hAnsi="Arial" w:cs="Times New Roman"/>
                <w:sz w:val="20"/>
                <w:szCs w:val="20"/>
                <w:lang w:val="es-ES"/>
              </w:rPr>
              <w:t xml:space="preserve"> COVID-19.   </w:t>
            </w:r>
          </w:p>
        </w:tc>
        <w:tc>
          <w:tcPr>
            <w:tcW w:w="2223" w:type="dxa"/>
            <w:shd w:val="clear" w:color="auto" w:fill="auto"/>
          </w:tcPr>
          <w:p w14:paraId="0BDD93C8"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Cumplido</w:t>
            </w:r>
          </w:p>
          <w:p w14:paraId="4E7B2903" w14:textId="77777777" w:rsidR="00E06BD7" w:rsidRPr="003B3B0D" w:rsidRDefault="00E06BD7" w:rsidP="00E06BD7">
            <w:pPr>
              <w:spacing w:before="60" w:after="60"/>
              <w:rPr>
                <w:rFonts w:ascii="Arial" w:hAnsi="Arial"/>
                <w:sz w:val="20"/>
                <w:lang w:val="es-UY"/>
              </w:rPr>
            </w:pPr>
            <w:r w:rsidRPr="003B3B0D">
              <w:rPr>
                <w:rFonts w:ascii="Arial" w:hAnsi="Arial"/>
                <w:sz w:val="20"/>
                <w:lang w:val="es-UY"/>
              </w:rPr>
              <w:t>(I trimestre, 2020)</w:t>
            </w:r>
          </w:p>
          <w:p w14:paraId="65E12B42" w14:textId="77777777" w:rsidR="00E06BD7" w:rsidRPr="00651B73" w:rsidRDefault="00E06BD7" w:rsidP="00E06BD7">
            <w:pPr>
              <w:spacing w:before="60" w:after="60"/>
              <w:ind w:left="-4"/>
              <w:rPr>
                <w:rFonts w:ascii="Arial" w:eastAsia="MS Mincho" w:hAnsi="Arial" w:cs="Times New Roman"/>
                <w:bCs/>
                <w:sz w:val="20"/>
                <w:lang w:val="es-ES_tradnl"/>
              </w:rPr>
            </w:pPr>
          </w:p>
        </w:tc>
        <w:tc>
          <w:tcPr>
            <w:tcW w:w="1468" w:type="dxa"/>
            <w:shd w:val="clear" w:color="auto" w:fill="auto"/>
          </w:tcPr>
          <w:p w14:paraId="0A4574A5" w14:textId="77777777" w:rsidR="00E06BD7" w:rsidRDefault="00E06BD7" w:rsidP="00E06BD7">
            <w:pPr>
              <w:spacing w:before="60" w:after="60"/>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tc>
      </w:tr>
      <w:tr w:rsidR="00E06BD7" w:rsidRPr="00A4411A" w14:paraId="1F19F42A" w14:textId="77777777" w:rsidTr="00E06BD7">
        <w:tc>
          <w:tcPr>
            <w:tcW w:w="13312" w:type="dxa"/>
            <w:gridSpan w:val="5"/>
            <w:shd w:val="clear" w:color="auto" w:fill="auto"/>
          </w:tcPr>
          <w:p w14:paraId="6C374333" w14:textId="77777777" w:rsidR="00E06BD7" w:rsidRPr="00746F85" w:rsidRDefault="00E06BD7" w:rsidP="00E06BD7">
            <w:pPr>
              <w:keepNext/>
              <w:keepLines/>
              <w:widowControl/>
              <w:spacing w:before="60" w:after="60"/>
              <w:rPr>
                <w:rFonts w:ascii="Arial" w:eastAsia="MS Mincho" w:hAnsi="Arial" w:cs="Times New Roman"/>
                <w:b/>
                <w:sz w:val="20"/>
                <w:lang w:val="es-ES_tradnl"/>
              </w:rPr>
            </w:pPr>
            <w:r w:rsidRPr="00F66B5E">
              <w:rPr>
                <w:rFonts w:ascii="Arial" w:eastAsia="MS Mincho" w:hAnsi="Arial" w:cs="Times New Roman"/>
                <w:b/>
                <w:sz w:val="20"/>
                <w:lang w:val="es-ES_tradnl"/>
              </w:rPr>
              <w:t xml:space="preserve">Componente 3. </w:t>
            </w:r>
            <w:r w:rsidRPr="00741740">
              <w:rPr>
                <w:rFonts w:ascii="Arial" w:eastAsiaTheme="minorEastAsia" w:hAnsi="Arial"/>
                <w:b/>
                <w:bCs/>
                <w:sz w:val="20"/>
                <w:szCs w:val="20"/>
                <w:lang w:val="es-419"/>
              </w:rPr>
              <w:t>Fortalecimiento de la política y gestión fiscal para la atención de la crisis económica</w:t>
            </w:r>
          </w:p>
        </w:tc>
      </w:tr>
      <w:tr w:rsidR="00E06BD7" w:rsidRPr="00746F85" w14:paraId="153ACFD3" w14:textId="77777777" w:rsidTr="00E06BD7">
        <w:trPr>
          <w:trHeight w:val="1205"/>
        </w:trPr>
        <w:tc>
          <w:tcPr>
            <w:tcW w:w="1739" w:type="dxa"/>
            <w:vMerge w:val="restart"/>
            <w:shd w:val="clear" w:color="auto" w:fill="auto"/>
          </w:tcPr>
          <w:p w14:paraId="41B8B3D1" w14:textId="77777777" w:rsidR="00E06BD7" w:rsidRPr="00746F85" w:rsidRDefault="00E06BD7" w:rsidP="00E06BD7">
            <w:pPr>
              <w:keepNext/>
              <w:keepLines/>
              <w:widowControl/>
              <w:spacing w:before="60" w:after="60"/>
              <w:ind w:left="-4"/>
              <w:jc w:val="both"/>
              <w:rPr>
                <w:rFonts w:ascii="Arial" w:eastAsia="MS Mincho" w:hAnsi="Arial" w:cs="Times New Roman"/>
                <w:sz w:val="20"/>
                <w:szCs w:val="20"/>
                <w:lang w:val="es-ES"/>
              </w:rPr>
            </w:pPr>
            <w:r w:rsidRPr="005708F4">
              <w:rPr>
                <w:rFonts w:ascii="Arial" w:hAnsi="Arial"/>
                <w:sz w:val="20"/>
                <w:szCs w:val="20"/>
                <w:lang w:val="es-419"/>
              </w:rPr>
              <w:t>Fortalecer el efecto anticíclico de la política fiscal a través de la introducción temporal de medidas para la protección del ingreso de los hogares vulnerables durante la crisis sanitaria y económica.</w:t>
            </w:r>
          </w:p>
        </w:tc>
        <w:tc>
          <w:tcPr>
            <w:tcW w:w="4643" w:type="dxa"/>
            <w:shd w:val="clear" w:color="auto" w:fill="auto"/>
          </w:tcPr>
          <w:p w14:paraId="65D73A7B" w14:textId="77777777" w:rsidR="00E06BD7" w:rsidRPr="004B4460" w:rsidRDefault="00E06BD7" w:rsidP="00E06BD7">
            <w:pPr>
              <w:spacing w:after="160" w:line="259" w:lineRule="auto"/>
              <w:contextualSpacing/>
              <w:rPr>
                <w:rFonts w:ascii="Arial" w:hAnsi="Arial"/>
                <w:sz w:val="20"/>
                <w:szCs w:val="20"/>
                <w:lang w:val="es-MX"/>
              </w:rPr>
            </w:pPr>
            <w:r w:rsidRPr="0CEE15DA">
              <w:rPr>
                <w:rFonts w:ascii="Arial" w:hAnsi="Arial"/>
                <w:sz w:val="20"/>
                <w:szCs w:val="20"/>
                <w:lang w:val="es-MX"/>
              </w:rPr>
              <w:t>3.1 Que se hayan aprobado medidas de asistencia financiera a hogares en abril y mayo de 2020 mediante la emisión de moratorias en el pago de cuotas de préstamos hipotecarios.</w:t>
            </w:r>
          </w:p>
        </w:tc>
        <w:tc>
          <w:tcPr>
            <w:tcW w:w="3239" w:type="dxa"/>
            <w:shd w:val="clear" w:color="auto" w:fill="auto"/>
          </w:tcPr>
          <w:p w14:paraId="0CEB6D8F" w14:textId="77777777" w:rsidR="00E06BD7" w:rsidRPr="00E53314" w:rsidRDefault="00E06BD7" w:rsidP="00E06BD7">
            <w:pPr>
              <w:keepNext/>
              <w:keepLines/>
              <w:widowControl/>
              <w:spacing w:before="60" w:after="60"/>
              <w:jc w:val="both"/>
              <w:rPr>
                <w:rFonts w:ascii="Arial" w:eastAsia="MS Mincho" w:hAnsi="Arial"/>
                <w:sz w:val="20"/>
                <w:szCs w:val="20"/>
                <w:lang w:val="es-ES_tradnl"/>
              </w:rPr>
            </w:pPr>
            <w:r>
              <w:rPr>
                <w:rFonts w:ascii="Arial" w:eastAsia="MS Mincho" w:hAnsi="Arial"/>
                <w:sz w:val="20"/>
                <w:szCs w:val="20"/>
                <w:lang w:val="es-ES_tradnl"/>
              </w:rPr>
              <w:t>Resolución N. 0323/20 emitida por el Directorio del Banco Hipotecario de Uruguay (BHU) el 26 de marzo de 2020 y Resolución N. 0146/2020 emitida por el Directorio de la Agencia Nacional de Vivienda (ANV) del 3 de abril de 2020 que aprueban medidas de asistencia financiera.</w:t>
            </w:r>
          </w:p>
        </w:tc>
        <w:tc>
          <w:tcPr>
            <w:tcW w:w="2223" w:type="dxa"/>
            <w:shd w:val="clear" w:color="auto" w:fill="auto"/>
          </w:tcPr>
          <w:p w14:paraId="3ED6B781" w14:textId="77777777" w:rsidR="00E06BD7" w:rsidRDefault="00E06BD7" w:rsidP="00E06BD7">
            <w:pPr>
              <w:keepNext/>
              <w:keepLines/>
              <w:widowControl/>
              <w:spacing w:before="60" w:after="60"/>
              <w:rPr>
                <w:rFonts w:ascii="Arial" w:eastAsia="MS Mincho" w:hAnsi="Arial" w:cs="Times New Roman"/>
                <w:bCs/>
                <w:sz w:val="20"/>
                <w:lang w:val="es-ES_tradnl"/>
              </w:rPr>
            </w:pPr>
            <w:r w:rsidRPr="006B1AC3">
              <w:rPr>
                <w:rFonts w:ascii="Arial" w:eastAsia="MS Mincho" w:hAnsi="Arial" w:cs="Times New Roman"/>
                <w:bCs/>
                <w:sz w:val="20"/>
                <w:lang w:val="es-ES_tradnl"/>
              </w:rPr>
              <w:t>Cumplido</w:t>
            </w:r>
            <w:r>
              <w:rPr>
                <w:rFonts w:ascii="Arial" w:eastAsia="MS Mincho" w:hAnsi="Arial" w:cs="Times New Roman"/>
                <w:bCs/>
                <w:sz w:val="20"/>
                <w:lang w:val="es-ES_tradnl"/>
              </w:rPr>
              <w:t xml:space="preserve"> </w:t>
            </w:r>
          </w:p>
          <w:p w14:paraId="4E4A9E50" w14:textId="77777777" w:rsidR="00E06BD7" w:rsidRPr="00E53314" w:rsidRDefault="00E06BD7" w:rsidP="00E06BD7">
            <w:pPr>
              <w:keepNext/>
              <w:keepLines/>
              <w:widowControl/>
              <w:spacing w:before="60" w:after="60"/>
              <w:rPr>
                <w:rFonts w:ascii="Arial" w:eastAsia="MS Mincho" w:hAnsi="Arial" w:cs="Times New Roman"/>
                <w:bCs/>
                <w:sz w:val="20"/>
                <w:lang w:val="es-ES_tradnl"/>
              </w:rPr>
            </w:pPr>
            <w:r w:rsidRPr="006B1AC3">
              <w:rPr>
                <w:rFonts w:ascii="Arial" w:eastAsia="MS Mincho" w:hAnsi="Arial" w:cs="Times New Roman"/>
                <w:bCs/>
                <w:sz w:val="20"/>
                <w:lang w:val="es-ES_tradnl"/>
              </w:rPr>
              <w:t>(II trimestre, 2020)</w:t>
            </w:r>
            <w:r>
              <w:rPr>
                <w:rFonts w:ascii="Arial" w:eastAsia="MS Mincho" w:hAnsi="Arial" w:cs="Times New Roman"/>
                <w:bCs/>
                <w:sz w:val="20"/>
                <w:lang w:val="es-ES_tradnl"/>
              </w:rPr>
              <w:t xml:space="preserve"> </w:t>
            </w:r>
          </w:p>
        </w:tc>
        <w:tc>
          <w:tcPr>
            <w:tcW w:w="1468" w:type="dxa"/>
            <w:shd w:val="clear" w:color="auto" w:fill="auto"/>
          </w:tcPr>
          <w:p w14:paraId="1FA843B9" w14:textId="77777777" w:rsidR="00E06BD7" w:rsidRPr="00E53314" w:rsidRDefault="00E06BD7" w:rsidP="00E06BD7">
            <w:pPr>
              <w:keepNext/>
              <w:keepLines/>
              <w:widowControl/>
              <w:spacing w:before="60" w:after="60"/>
              <w:jc w:val="both"/>
              <w:rPr>
                <w:rFonts w:ascii="Arial" w:eastAsia="MS Mincho" w:hAnsi="Arial" w:cs="Times New Roman"/>
                <w:sz w:val="20"/>
                <w:szCs w:val="20"/>
              </w:rPr>
            </w:pPr>
            <w:r w:rsidRPr="00BF698D">
              <w:rPr>
                <w:rFonts w:ascii="Arial" w:eastAsia="MS Mincho" w:hAnsi="Arial" w:cs="Times New Roman"/>
                <w:sz w:val="20"/>
                <w:szCs w:val="20"/>
              </w:rPr>
              <w:t>BHU – ANV</w:t>
            </w:r>
          </w:p>
        </w:tc>
      </w:tr>
      <w:tr w:rsidR="00E06BD7" w:rsidRPr="00E53314" w14:paraId="5E5DF6EE" w14:textId="77777777" w:rsidTr="00E06BD7">
        <w:trPr>
          <w:trHeight w:val="1016"/>
        </w:trPr>
        <w:tc>
          <w:tcPr>
            <w:tcW w:w="1739" w:type="dxa"/>
            <w:vMerge/>
          </w:tcPr>
          <w:p w14:paraId="0C438D4C"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16906691" w14:textId="77777777" w:rsidR="00E06BD7" w:rsidRPr="00E53314" w:rsidRDefault="00E06BD7" w:rsidP="00E06BD7">
            <w:pPr>
              <w:widowControl/>
              <w:spacing w:after="160" w:line="259" w:lineRule="auto"/>
              <w:contextualSpacing/>
              <w:rPr>
                <w:rFonts w:ascii="Arial" w:hAnsi="Arial"/>
                <w:sz w:val="20"/>
                <w:szCs w:val="20"/>
                <w:lang w:val="es-MX"/>
              </w:rPr>
            </w:pPr>
            <w:r>
              <w:rPr>
                <w:rFonts w:ascii="Arial" w:hAnsi="Arial"/>
                <w:sz w:val="20"/>
                <w:szCs w:val="20"/>
                <w:lang w:val="es-MX"/>
              </w:rPr>
              <w:t xml:space="preserve">3.2.    </w:t>
            </w:r>
            <w:r w:rsidRPr="000541F0">
              <w:rPr>
                <w:rFonts w:ascii="Arial" w:hAnsi="Arial"/>
                <w:sz w:val="20"/>
                <w:szCs w:val="20"/>
                <w:lang w:val="es-MX"/>
              </w:rPr>
              <w:t>Que se haya dispuesto el aumento de la asistencia alimentaria a los hogares de menores recursos durante los meses de abril y mayo mediante el incremento del monto transferido a los beneficiarios de la Tarjeta Alimentaria destinada a Hogares de Menores Ingresos (Tarjeta Uruguay Social)</w:t>
            </w:r>
            <w:r>
              <w:rPr>
                <w:rFonts w:ascii="Arial" w:hAnsi="Arial"/>
                <w:sz w:val="20"/>
                <w:szCs w:val="20"/>
                <w:lang w:val="es-MX"/>
              </w:rPr>
              <w:t>.</w:t>
            </w:r>
          </w:p>
        </w:tc>
        <w:tc>
          <w:tcPr>
            <w:tcW w:w="3239" w:type="dxa"/>
            <w:shd w:val="clear" w:color="auto" w:fill="auto"/>
          </w:tcPr>
          <w:p w14:paraId="3CBB86DE" w14:textId="77777777" w:rsidR="00E06BD7" w:rsidRDefault="00E06BD7" w:rsidP="00E06BD7">
            <w:pPr>
              <w:keepNext/>
              <w:keepLines/>
              <w:widowControl/>
              <w:spacing w:before="60" w:after="60"/>
              <w:jc w:val="both"/>
              <w:rPr>
                <w:rFonts w:ascii="Arial" w:eastAsia="MS Mincho" w:hAnsi="Arial" w:cs="Times New Roman"/>
                <w:sz w:val="20"/>
                <w:szCs w:val="20"/>
                <w:lang w:val="es-ES"/>
              </w:rPr>
            </w:pPr>
            <w:r w:rsidRPr="00A51BF9">
              <w:rPr>
                <w:rFonts w:ascii="Arial" w:eastAsia="MS Mincho" w:hAnsi="Arial" w:cs="Times New Roman"/>
                <w:sz w:val="20"/>
                <w:szCs w:val="20"/>
                <w:lang w:val="es-ES"/>
              </w:rPr>
              <w:t xml:space="preserve">Resolución DS/14 </w:t>
            </w:r>
            <w:r>
              <w:rPr>
                <w:rFonts w:ascii="Arial" w:eastAsia="MS Mincho" w:hAnsi="Arial" w:cs="Times New Roman"/>
                <w:sz w:val="20"/>
                <w:szCs w:val="20"/>
                <w:lang w:val="es-ES"/>
              </w:rPr>
              <w:t xml:space="preserve">de 1 de abril de 2020 </w:t>
            </w:r>
            <w:r w:rsidRPr="00A51BF9">
              <w:rPr>
                <w:rFonts w:ascii="Arial" w:eastAsia="MS Mincho" w:hAnsi="Arial" w:cs="Times New Roman"/>
                <w:sz w:val="20"/>
                <w:szCs w:val="20"/>
                <w:lang w:val="es-ES"/>
              </w:rPr>
              <w:t>que autori</w:t>
            </w:r>
            <w:r>
              <w:rPr>
                <w:rFonts w:ascii="Arial" w:eastAsia="MS Mincho" w:hAnsi="Arial" w:cs="Times New Roman"/>
                <w:sz w:val="20"/>
                <w:szCs w:val="20"/>
                <w:lang w:val="es-ES"/>
              </w:rPr>
              <w:t>za</w:t>
            </w:r>
            <w:r w:rsidRPr="00A51BF9">
              <w:rPr>
                <w:rFonts w:ascii="Arial" w:eastAsia="MS Mincho" w:hAnsi="Arial" w:cs="Times New Roman"/>
                <w:sz w:val="20"/>
                <w:szCs w:val="20"/>
                <w:lang w:val="es-ES"/>
              </w:rPr>
              <w:t xml:space="preserve"> el uso de las erogaciones resultantes de la carga adicional definida en el marco de la emergencia sanitaria para los beneficiarios del Programa “Apoyo Alimentario” (Tarjeta Uruguay Social).</w:t>
            </w:r>
          </w:p>
          <w:p w14:paraId="0131C35A" w14:textId="77777777" w:rsidR="00E06BD7" w:rsidRPr="00E53314" w:rsidRDefault="00E06BD7" w:rsidP="00E06BD7">
            <w:pPr>
              <w:spacing w:before="60" w:after="60"/>
              <w:jc w:val="both"/>
              <w:rPr>
                <w:rFonts w:ascii="Arial" w:eastAsiaTheme="minorEastAsia" w:hAnsi="Arial"/>
                <w:sz w:val="20"/>
                <w:szCs w:val="20"/>
                <w:lang w:val="es-ES"/>
              </w:rPr>
            </w:pPr>
          </w:p>
        </w:tc>
        <w:tc>
          <w:tcPr>
            <w:tcW w:w="2223" w:type="dxa"/>
            <w:shd w:val="clear" w:color="auto" w:fill="auto"/>
          </w:tcPr>
          <w:p w14:paraId="6D1FF8DB" w14:textId="77777777" w:rsidR="00E06BD7" w:rsidRDefault="00E06BD7" w:rsidP="00E06BD7">
            <w:pPr>
              <w:keepNext/>
              <w:keepLines/>
              <w:widowControl/>
              <w:spacing w:before="60" w:after="60"/>
              <w:rPr>
                <w:rFonts w:ascii="Arial" w:eastAsia="MS Mincho" w:hAnsi="Arial" w:cs="Times New Roman"/>
                <w:bCs/>
                <w:sz w:val="20"/>
                <w:lang w:val="es-ES_tradnl"/>
              </w:rPr>
            </w:pPr>
            <w:r w:rsidRPr="006B1AC3">
              <w:rPr>
                <w:rFonts w:ascii="Arial" w:eastAsia="MS Mincho" w:hAnsi="Arial" w:cs="Times New Roman"/>
                <w:bCs/>
                <w:sz w:val="20"/>
                <w:lang w:val="es-ES_tradnl"/>
              </w:rPr>
              <w:t>Cumpli</w:t>
            </w:r>
            <w:r>
              <w:rPr>
                <w:rFonts w:ascii="Arial" w:eastAsia="MS Mincho" w:hAnsi="Arial" w:cs="Times New Roman"/>
                <w:bCs/>
                <w:sz w:val="20"/>
                <w:lang w:val="es-ES_tradnl"/>
              </w:rPr>
              <w:t>do</w:t>
            </w:r>
          </w:p>
          <w:p w14:paraId="7E9AED5B" w14:textId="77777777" w:rsidR="00E06BD7" w:rsidRPr="006B1AC3" w:rsidRDefault="00E06BD7" w:rsidP="00E06BD7">
            <w:pPr>
              <w:keepNext/>
              <w:keepLines/>
              <w:widowControl/>
              <w:spacing w:before="60" w:after="60"/>
              <w:rPr>
                <w:rFonts w:ascii="Arial" w:eastAsia="MS Mincho" w:hAnsi="Arial" w:cs="Times New Roman"/>
                <w:bCs/>
                <w:sz w:val="20"/>
                <w:lang w:val="es-ES_tradnl"/>
              </w:rPr>
            </w:pPr>
            <w:r>
              <w:rPr>
                <w:rFonts w:ascii="Arial" w:eastAsia="MS Mincho" w:hAnsi="Arial" w:cs="Times New Roman"/>
                <w:bCs/>
                <w:sz w:val="20"/>
                <w:lang w:val="es-ES_tradnl"/>
              </w:rPr>
              <w:t xml:space="preserve"> </w:t>
            </w:r>
            <w:r w:rsidRPr="006B1AC3">
              <w:rPr>
                <w:rFonts w:ascii="Arial" w:eastAsia="MS Mincho" w:hAnsi="Arial" w:cs="Times New Roman"/>
                <w:bCs/>
                <w:sz w:val="20"/>
                <w:lang w:val="es-ES_tradnl"/>
              </w:rPr>
              <w:t>(II trimestre, 2020)</w:t>
            </w:r>
          </w:p>
          <w:p w14:paraId="1890B4EC" w14:textId="77777777" w:rsidR="00E06BD7" w:rsidRPr="007C0FB0" w:rsidRDefault="00E06BD7" w:rsidP="00E06BD7">
            <w:pPr>
              <w:keepNext/>
              <w:keepLines/>
              <w:widowControl/>
              <w:spacing w:before="60" w:after="60"/>
              <w:rPr>
                <w:rFonts w:ascii="Arial" w:eastAsia="MS Mincho" w:hAnsi="Arial" w:cs="Times New Roman"/>
                <w:bCs/>
                <w:sz w:val="20"/>
                <w:lang w:val="es-ES_tradnl"/>
              </w:rPr>
            </w:pPr>
          </w:p>
        </w:tc>
        <w:tc>
          <w:tcPr>
            <w:tcW w:w="1468" w:type="dxa"/>
            <w:shd w:val="clear" w:color="auto" w:fill="auto"/>
          </w:tcPr>
          <w:p w14:paraId="027974C4" w14:textId="77777777" w:rsidR="00E06BD7" w:rsidRPr="00BF698D" w:rsidRDefault="00E06BD7" w:rsidP="00E06BD7">
            <w:pPr>
              <w:keepNext/>
              <w:keepLines/>
              <w:widowControl/>
              <w:spacing w:before="60" w:after="60"/>
              <w:jc w:val="both"/>
              <w:rPr>
                <w:rFonts w:ascii="Arial" w:eastAsia="MS Mincho" w:hAnsi="Arial" w:cs="Times New Roman"/>
                <w:sz w:val="20"/>
                <w:szCs w:val="20"/>
              </w:rPr>
            </w:pPr>
            <w:r w:rsidRPr="00BF698D">
              <w:rPr>
                <w:rFonts w:ascii="Arial" w:eastAsia="MS Mincho" w:hAnsi="Arial" w:cs="Times New Roman"/>
                <w:sz w:val="20"/>
                <w:szCs w:val="20"/>
              </w:rPr>
              <w:t>MIDE</w:t>
            </w:r>
            <w:r>
              <w:rPr>
                <w:rFonts w:ascii="Arial" w:eastAsia="MS Mincho" w:hAnsi="Arial" w:cs="Times New Roman"/>
                <w:sz w:val="20"/>
                <w:szCs w:val="20"/>
              </w:rPr>
              <w:t>S</w:t>
            </w:r>
          </w:p>
          <w:p w14:paraId="08812B12" w14:textId="77777777" w:rsidR="00E06BD7" w:rsidRDefault="00E06BD7" w:rsidP="00E06BD7">
            <w:pPr>
              <w:spacing w:before="60" w:after="60"/>
              <w:jc w:val="both"/>
              <w:rPr>
                <w:rFonts w:ascii="Arial" w:eastAsia="MS Mincho" w:hAnsi="Arial" w:cs="Times New Roman"/>
                <w:sz w:val="20"/>
                <w:szCs w:val="20"/>
                <w:lang w:val="es-ES_tradnl"/>
              </w:rPr>
            </w:pPr>
          </w:p>
        </w:tc>
      </w:tr>
      <w:tr w:rsidR="00E06BD7" w:rsidRPr="00E53314" w14:paraId="45F914C4" w14:textId="77777777" w:rsidTr="00E06BD7">
        <w:trPr>
          <w:trHeight w:val="1286"/>
        </w:trPr>
        <w:tc>
          <w:tcPr>
            <w:tcW w:w="1739" w:type="dxa"/>
            <w:vMerge/>
          </w:tcPr>
          <w:p w14:paraId="55D6EB6E"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3112C9DB" w14:textId="77777777" w:rsidR="00E06BD7" w:rsidRPr="00E53314" w:rsidRDefault="00E06BD7" w:rsidP="00E06BD7">
            <w:pPr>
              <w:widowControl/>
              <w:spacing w:after="160" w:line="259" w:lineRule="auto"/>
              <w:contextualSpacing/>
              <w:rPr>
                <w:rFonts w:ascii="Arial" w:hAnsi="Arial"/>
                <w:sz w:val="20"/>
                <w:szCs w:val="20"/>
                <w:lang w:val="es-MX"/>
              </w:rPr>
            </w:pPr>
            <w:r>
              <w:rPr>
                <w:rFonts w:ascii="Arial" w:hAnsi="Arial"/>
                <w:sz w:val="20"/>
                <w:szCs w:val="20"/>
                <w:lang w:val="es-MX"/>
              </w:rPr>
              <w:t xml:space="preserve">3.3.    </w:t>
            </w:r>
            <w:r w:rsidRPr="000541F0">
              <w:rPr>
                <w:rFonts w:ascii="Arial" w:hAnsi="Arial"/>
                <w:sz w:val="20"/>
                <w:szCs w:val="20"/>
                <w:lang w:val="es-MX"/>
              </w:rPr>
              <w:t xml:space="preserve">Que se haya </w:t>
            </w:r>
            <w:r>
              <w:rPr>
                <w:rFonts w:ascii="Arial" w:hAnsi="Arial"/>
                <w:sz w:val="20"/>
                <w:szCs w:val="20"/>
                <w:lang w:val="es-MX"/>
              </w:rPr>
              <w:t xml:space="preserve">creado un </w:t>
            </w:r>
            <w:r w:rsidRPr="000541F0">
              <w:rPr>
                <w:rFonts w:ascii="Arial" w:hAnsi="Arial"/>
                <w:sz w:val="20"/>
                <w:szCs w:val="20"/>
                <w:lang w:val="es-MX"/>
              </w:rPr>
              <w:t>subsidio para los monotributistas amparados por el Ministerio de Desarrollo Social (MIDES) durante los meses de abril y mayo de 2020.</w:t>
            </w:r>
          </w:p>
        </w:tc>
        <w:tc>
          <w:tcPr>
            <w:tcW w:w="3239" w:type="dxa"/>
            <w:shd w:val="clear" w:color="auto" w:fill="auto"/>
          </w:tcPr>
          <w:p w14:paraId="38D6A9CE" w14:textId="77777777" w:rsidR="00E06BD7" w:rsidRPr="001F165B" w:rsidRDefault="00E06BD7" w:rsidP="00E06BD7">
            <w:pPr>
              <w:keepNext/>
              <w:keepLines/>
              <w:widowControl/>
              <w:spacing w:before="60" w:after="60"/>
              <w:jc w:val="both"/>
              <w:rPr>
                <w:rFonts w:ascii="Arial" w:eastAsia="MS Mincho" w:hAnsi="Arial" w:cs="Times New Roman"/>
                <w:sz w:val="20"/>
                <w:szCs w:val="20"/>
                <w:lang w:val="es-ES"/>
              </w:rPr>
            </w:pPr>
            <w:r w:rsidRPr="001F165B">
              <w:rPr>
                <w:rFonts w:ascii="Arial" w:eastAsia="MS Mincho" w:hAnsi="Arial" w:cs="Times New Roman"/>
                <w:sz w:val="20"/>
                <w:szCs w:val="20"/>
                <w:lang w:val="es-ES"/>
              </w:rPr>
              <w:t xml:space="preserve">Copia de la publicación en el Diario Oficial de la República de </w:t>
            </w:r>
            <w:r w:rsidRPr="003E6E1C">
              <w:rPr>
                <w:rFonts w:ascii="Arial" w:eastAsia="MS Mincho" w:hAnsi="Arial" w:cs="Times New Roman"/>
                <w:sz w:val="20"/>
                <w:szCs w:val="20"/>
                <w:lang w:val="es-ES"/>
              </w:rPr>
              <w:t xml:space="preserve">la República Oriental del </w:t>
            </w:r>
            <w:r w:rsidRPr="001F165B">
              <w:rPr>
                <w:rFonts w:ascii="Arial" w:eastAsia="MS Mincho" w:hAnsi="Arial" w:cs="Times New Roman"/>
                <w:sz w:val="20"/>
                <w:szCs w:val="20"/>
                <w:lang w:val="es-ES"/>
              </w:rPr>
              <w:t xml:space="preserve">Uruguay de la Ley 19.877, que crea el subsidio </w:t>
            </w:r>
            <w:r>
              <w:rPr>
                <w:rFonts w:ascii="Arial" w:eastAsia="MS Mincho" w:hAnsi="Arial" w:cs="Times New Roman"/>
                <w:sz w:val="20"/>
                <w:szCs w:val="20"/>
                <w:lang w:val="es-ES"/>
              </w:rPr>
              <w:t>“</w:t>
            </w:r>
            <w:r w:rsidRPr="001F165B">
              <w:rPr>
                <w:rFonts w:ascii="Arial" w:eastAsia="MS Mincho" w:hAnsi="Arial" w:cs="Times New Roman"/>
                <w:sz w:val="20"/>
                <w:szCs w:val="20"/>
                <w:lang w:val="es-ES"/>
              </w:rPr>
              <w:t>Monotributo Social MIDES</w:t>
            </w:r>
            <w:r>
              <w:rPr>
                <w:rFonts w:ascii="Arial" w:eastAsia="MS Mincho" w:hAnsi="Arial" w:cs="Times New Roman"/>
                <w:sz w:val="20"/>
                <w:szCs w:val="20"/>
                <w:lang w:val="es-ES"/>
              </w:rPr>
              <w:t>”</w:t>
            </w:r>
            <w:r w:rsidRPr="001F165B">
              <w:rPr>
                <w:rFonts w:ascii="Arial" w:eastAsia="MS Mincho" w:hAnsi="Arial" w:cs="Times New Roman"/>
                <w:sz w:val="20"/>
                <w:szCs w:val="20"/>
                <w:lang w:val="es-ES"/>
              </w:rPr>
              <w:t>.</w:t>
            </w:r>
          </w:p>
          <w:p w14:paraId="1E3D161C" w14:textId="77777777" w:rsidR="00E06BD7" w:rsidRPr="00F86AC9" w:rsidRDefault="00E06BD7" w:rsidP="00E06BD7">
            <w:pPr>
              <w:keepNext/>
              <w:keepLines/>
              <w:widowControl/>
              <w:spacing w:before="60" w:after="60"/>
              <w:jc w:val="both"/>
              <w:rPr>
                <w:rFonts w:ascii="Arial" w:eastAsia="MS Mincho" w:hAnsi="Arial" w:cs="Times New Roman"/>
                <w:sz w:val="20"/>
                <w:szCs w:val="20"/>
                <w:lang w:val="es-ES"/>
              </w:rPr>
            </w:pPr>
          </w:p>
        </w:tc>
        <w:tc>
          <w:tcPr>
            <w:tcW w:w="2223" w:type="dxa"/>
            <w:shd w:val="clear" w:color="auto" w:fill="auto"/>
          </w:tcPr>
          <w:p w14:paraId="2885F495" w14:textId="77777777" w:rsidR="00E06BD7" w:rsidRPr="00C30CDF" w:rsidRDefault="00E06BD7" w:rsidP="00E06BD7">
            <w:pPr>
              <w:keepNext/>
              <w:keepLines/>
              <w:widowControl/>
              <w:spacing w:before="60" w:after="60"/>
              <w:rPr>
                <w:rFonts w:ascii="Arial" w:eastAsia="MS Mincho" w:hAnsi="Arial" w:cs="Times New Roman"/>
                <w:bCs/>
                <w:sz w:val="20"/>
                <w:lang w:val="es-ES_tradnl"/>
              </w:rPr>
            </w:pPr>
            <w:r>
              <w:rPr>
                <w:rFonts w:ascii="Arial" w:eastAsia="MS Mincho" w:hAnsi="Arial" w:cs="Times New Roman"/>
                <w:bCs/>
                <w:sz w:val="20"/>
                <w:lang w:val="es-ES_tradnl"/>
              </w:rPr>
              <w:t>Cumplido</w:t>
            </w:r>
          </w:p>
          <w:p w14:paraId="3604CBC0" w14:textId="036EA658" w:rsidR="00E06BD7" w:rsidRPr="00C30CDF" w:rsidRDefault="00E06BD7" w:rsidP="00E06BD7">
            <w:pPr>
              <w:keepNext/>
              <w:keepLines/>
              <w:widowControl/>
              <w:spacing w:before="60" w:after="60"/>
              <w:rPr>
                <w:rFonts w:ascii="Arial" w:eastAsia="MS Mincho" w:hAnsi="Arial" w:cs="Times New Roman"/>
                <w:bCs/>
                <w:sz w:val="20"/>
                <w:lang w:val="es-ES_tradnl"/>
              </w:rPr>
            </w:pPr>
            <w:r w:rsidRPr="00C30CDF">
              <w:rPr>
                <w:rFonts w:ascii="Arial" w:eastAsia="MS Mincho" w:hAnsi="Arial" w:cs="Times New Roman"/>
                <w:bCs/>
                <w:sz w:val="20"/>
                <w:lang w:val="es-ES_tradnl"/>
              </w:rPr>
              <w:t>(</w:t>
            </w:r>
            <w:r>
              <w:rPr>
                <w:rFonts w:ascii="Arial" w:eastAsia="MS Mincho" w:hAnsi="Arial" w:cs="Times New Roman"/>
                <w:bCs/>
                <w:sz w:val="20"/>
                <w:lang w:val="es-ES_tradnl"/>
              </w:rPr>
              <w:t>II</w:t>
            </w:r>
            <w:r w:rsidRPr="00C30CDF">
              <w:rPr>
                <w:rFonts w:ascii="Arial" w:eastAsia="MS Mincho" w:hAnsi="Arial" w:cs="Times New Roman"/>
                <w:bCs/>
                <w:sz w:val="20"/>
                <w:lang w:val="es-ES_tradnl"/>
              </w:rPr>
              <w:t xml:space="preserve"> trimestre</w:t>
            </w:r>
            <w:r w:rsidR="00B12505">
              <w:rPr>
                <w:rFonts w:ascii="Arial" w:eastAsia="MS Mincho" w:hAnsi="Arial" w:cs="Times New Roman"/>
                <w:bCs/>
                <w:sz w:val="20"/>
                <w:lang w:val="es-ES_tradnl"/>
              </w:rPr>
              <w:t xml:space="preserve">, </w:t>
            </w:r>
            <w:r w:rsidRPr="00C30CDF">
              <w:rPr>
                <w:rFonts w:ascii="Arial" w:eastAsia="MS Mincho" w:hAnsi="Arial" w:cs="Times New Roman"/>
                <w:bCs/>
                <w:sz w:val="20"/>
                <w:lang w:val="es-ES_tradnl"/>
              </w:rPr>
              <w:t>2020)</w:t>
            </w:r>
          </w:p>
          <w:p w14:paraId="7109537F" w14:textId="77777777" w:rsidR="00E06BD7" w:rsidRPr="007C0FB0" w:rsidRDefault="00E06BD7" w:rsidP="00E06BD7">
            <w:pPr>
              <w:keepNext/>
              <w:keepLines/>
              <w:widowControl/>
              <w:spacing w:before="60" w:after="60"/>
              <w:rPr>
                <w:rFonts w:ascii="Arial" w:eastAsia="MS Mincho" w:hAnsi="Arial" w:cs="Times New Roman"/>
                <w:bCs/>
                <w:sz w:val="20"/>
                <w:lang w:val="es-ES_tradnl"/>
              </w:rPr>
            </w:pPr>
          </w:p>
        </w:tc>
        <w:tc>
          <w:tcPr>
            <w:tcW w:w="1468" w:type="dxa"/>
            <w:shd w:val="clear" w:color="auto" w:fill="auto"/>
          </w:tcPr>
          <w:p w14:paraId="0DD52BAC" w14:textId="77777777" w:rsidR="00E06BD7" w:rsidRPr="00E53314" w:rsidRDefault="00E06BD7" w:rsidP="00E06BD7">
            <w:pPr>
              <w:keepNext/>
              <w:keepLines/>
              <w:widowControl/>
              <w:spacing w:before="60" w:after="60"/>
              <w:jc w:val="both"/>
              <w:rPr>
                <w:rFonts w:ascii="Arial" w:eastAsia="MS Mincho" w:hAnsi="Arial" w:cs="Times New Roman"/>
                <w:sz w:val="20"/>
                <w:szCs w:val="20"/>
              </w:rPr>
            </w:pPr>
            <w:r w:rsidRPr="00BF698D">
              <w:rPr>
                <w:rFonts w:ascii="Arial" w:eastAsia="MS Mincho" w:hAnsi="Arial" w:cs="Times New Roman"/>
                <w:sz w:val="20"/>
                <w:szCs w:val="20"/>
              </w:rPr>
              <w:t>MEF</w:t>
            </w:r>
          </w:p>
        </w:tc>
      </w:tr>
      <w:tr w:rsidR="00E06BD7" w:rsidRPr="00A4411A" w14:paraId="0EFDDCBC" w14:textId="77777777" w:rsidTr="00E06BD7">
        <w:trPr>
          <w:trHeight w:val="2375"/>
        </w:trPr>
        <w:tc>
          <w:tcPr>
            <w:tcW w:w="1739" w:type="dxa"/>
            <w:vMerge/>
          </w:tcPr>
          <w:p w14:paraId="7F9E6E47"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7BF99A24" w14:textId="77777777" w:rsidR="00E06BD7" w:rsidRPr="00E53314" w:rsidRDefault="00E06BD7" w:rsidP="00E06BD7">
            <w:pPr>
              <w:widowControl/>
              <w:spacing w:after="160" w:line="259" w:lineRule="auto"/>
              <w:contextualSpacing/>
              <w:rPr>
                <w:rFonts w:ascii="Arial" w:hAnsi="Arial"/>
                <w:sz w:val="20"/>
                <w:szCs w:val="20"/>
                <w:lang w:val="es-MX"/>
              </w:rPr>
            </w:pPr>
            <w:r>
              <w:rPr>
                <w:rFonts w:ascii="Arial" w:hAnsi="Arial"/>
                <w:sz w:val="20"/>
                <w:szCs w:val="20"/>
                <w:lang w:val="es-MX"/>
              </w:rPr>
              <w:t xml:space="preserve">3.4.    </w:t>
            </w:r>
            <w:r w:rsidRPr="0008371F">
              <w:rPr>
                <w:rFonts w:ascii="Arial" w:hAnsi="Arial"/>
                <w:sz w:val="20"/>
                <w:szCs w:val="20"/>
                <w:lang w:val="es-MX"/>
              </w:rPr>
              <w:t>Que el Ministerio de Trabajo y Seguridad Social haya creado un régimen especial de subsidio por desempleo para proteger a los trabajadores de aquellos sectores de actividad que se vean afectados por la paralización parcial de sus actividades debido a la situación de emergencia sanitaria, situaciones no previstas en el régimen general de subsidio por desempleo</w:t>
            </w:r>
            <w:r>
              <w:rPr>
                <w:rFonts w:ascii="Arial" w:hAnsi="Arial"/>
                <w:sz w:val="20"/>
                <w:szCs w:val="20"/>
                <w:lang w:val="es-MX"/>
              </w:rPr>
              <w:t>.</w:t>
            </w:r>
          </w:p>
        </w:tc>
        <w:tc>
          <w:tcPr>
            <w:tcW w:w="3239" w:type="dxa"/>
            <w:shd w:val="clear" w:color="auto" w:fill="auto"/>
          </w:tcPr>
          <w:p w14:paraId="319B5D20" w14:textId="77777777" w:rsidR="00E06BD7" w:rsidRPr="00E53314" w:rsidRDefault="00E06BD7" w:rsidP="00E06BD7">
            <w:pPr>
              <w:keepNext/>
              <w:keepLines/>
              <w:widowControl/>
              <w:spacing w:before="60" w:after="60"/>
              <w:jc w:val="both"/>
              <w:rPr>
                <w:rFonts w:ascii="Arial" w:eastAsia="MS Mincho" w:hAnsi="Arial" w:cs="Times New Roman"/>
                <w:sz w:val="20"/>
                <w:szCs w:val="20"/>
                <w:lang w:val="es-ES"/>
              </w:rPr>
            </w:pPr>
            <w:r>
              <w:rPr>
                <w:rFonts w:ascii="Arial" w:eastAsia="MS Mincho" w:hAnsi="Arial" w:cs="Times New Roman"/>
                <w:sz w:val="20"/>
                <w:szCs w:val="20"/>
                <w:lang w:val="es-ES"/>
              </w:rPr>
              <w:t>Copia de las Resoluciones 143/020, de 18 de marzo de 2020, y 163/020, del 20 de marzo de 2020, del Ministerio de Trabajo y Seguridad Social (MTSS) y resolución S/N creando el régimen especial de subsidio por desempleo y extendiendo su plazo hasta el 31 de mayo de 2020.</w:t>
            </w:r>
          </w:p>
        </w:tc>
        <w:tc>
          <w:tcPr>
            <w:tcW w:w="2223" w:type="dxa"/>
            <w:shd w:val="clear" w:color="auto" w:fill="auto"/>
          </w:tcPr>
          <w:p w14:paraId="30506CD1" w14:textId="77777777" w:rsidR="00E06BD7" w:rsidRPr="00A92F93" w:rsidRDefault="00E06BD7" w:rsidP="00E06BD7">
            <w:pPr>
              <w:keepNext/>
              <w:keepLines/>
              <w:widowControl/>
              <w:spacing w:before="60" w:after="60"/>
              <w:rPr>
                <w:rFonts w:ascii="Arial" w:eastAsia="MS Mincho" w:hAnsi="Arial" w:cs="Times New Roman"/>
                <w:bCs/>
                <w:sz w:val="20"/>
                <w:lang w:val="es-ES_tradnl"/>
              </w:rPr>
            </w:pPr>
            <w:r w:rsidRPr="00A92F93">
              <w:rPr>
                <w:rFonts w:ascii="Arial" w:eastAsia="MS Mincho" w:hAnsi="Arial" w:cs="Times New Roman"/>
                <w:bCs/>
                <w:sz w:val="20"/>
                <w:lang w:val="es-ES_tradnl"/>
              </w:rPr>
              <w:t>Cumplido</w:t>
            </w:r>
          </w:p>
          <w:p w14:paraId="186B5FC0" w14:textId="46F029E0" w:rsidR="00E06BD7" w:rsidRPr="00A92F93" w:rsidRDefault="00E06BD7" w:rsidP="00E06BD7">
            <w:pPr>
              <w:keepNext/>
              <w:keepLines/>
              <w:widowControl/>
              <w:spacing w:before="60" w:after="60"/>
              <w:rPr>
                <w:rFonts w:ascii="Arial" w:eastAsia="MS Mincho" w:hAnsi="Arial" w:cs="Times New Roman"/>
                <w:bCs/>
                <w:sz w:val="20"/>
                <w:lang w:val="es-ES_tradnl"/>
              </w:rPr>
            </w:pPr>
            <w:r w:rsidRPr="00A92F93">
              <w:rPr>
                <w:rFonts w:ascii="Arial" w:eastAsia="MS Mincho" w:hAnsi="Arial" w:cs="Times New Roman"/>
                <w:bCs/>
                <w:sz w:val="20"/>
                <w:lang w:val="es-ES_tradnl"/>
              </w:rPr>
              <w:t>(I trimestre</w:t>
            </w:r>
            <w:r w:rsidR="00B12505">
              <w:rPr>
                <w:rFonts w:ascii="Arial" w:eastAsia="MS Mincho" w:hAnsi="Arial" w:cs="Times New Roman"/>
                <w:bCs/>
                <w:sz w:val="20"/>
                <w:lang w:val="es-ES_tradnl"/>
              </w:rPr>
              <w:t>,</w:t>
            </w:r>
            <w:r w:rsidRPr="00A92F93">
              <w:rPr>
                <w:rFonts w:ascii="Arial" w:eastAsia="MS Mincho" w:hAnsi="Arial" w:cs="Times New Roman"/>
                <w:bCs/>
                <w:sz w:val="20"/>
                <w:lang w:val="es-ES_tradnl"/>
              </w:rPr>
              <w:t xml:space="preserve"> 2020)</w:t>
            </w:r>
          </w:p>
          <w:p w14:paraId="6A4509B6" w14:textId="77777777" w:rsidR="00E06BD7" w:rsidRPr="007C0FB0" w:rsidRDefault="00E06BD7" w:rsidP="00E06BD7">
            <w:pPr>
              <w:keepNext/>
              <w:keepLines/>
              <w:widowControl/>
              <w:spacing w:before="60" w:after="60"/>
              <w:rPr>
                <w:rFonts w:ascii="Arial" w:eastAsia="MS Mincho" w:hAnsi="Arial" w:cs="Times New Roman"/>
                <w:bCs/>
                <w:sz w:val="20"/>
                <w:lang w:val="es-ES_tradnl"/>
              </w:rPr>
            </w:pPr>
          </w:p>
        </w:tc>
        <w:tc>
          <w:tcPr>
            <w:tcW w:w="1468" w:type="dxa"/>
            <w:shd w:val="clear" w:color="auto" w:fill="auto"/>
          </w:tcPr>
          <w:p w14:paraId="75927776" w14:textId="77777777" w:rsidR="00E06BD7" w:rsidRPr="0008371F" w:rsidRDefault="00E06BD7" w:rsidP="00E06BD7">
            <w:pPr>
              <w:keepNext/>
              <w:keepLines/>
              <w:widowControl/>
              <w:spacing w:before="60" w:after="60"/>
              <w:jc w:val="both"/>
              <w:rPr>
                <w:rFonts w:ascii="Arial" w:eastAsia="MS Mincho" w:hAnsi="Arial" w:cs="Times New Roman"/>
                <w:sz w:val="20"/>
                <w:szCs w:val="20"/>
                <w:lang w:val="es-ES_tradnl"/>
              </w:rPr>
            </w:pPr>
            <w:r w:rsidRPr="0008371F">
              <w:rPr>
                <w:rFonts w:ascii="Arial" w:eastAsia="MS Mincho" w:hAnsi="Arial" w:cs="Times New Roman"/>
                <w:sz w:val="20"/>
                <w:szCs w:val="20"/>
                <w:lang w:val="es-ES_tradnl"/>
              </w:rPr>
              <w:t>Ministerio de Trabajo y Seguridad Social</w:t>
            </w:r>
          </w:p>
        </w:tc>
      </w:tr>
      <w:tr w:rsidR="00E06BD7" w:rsidRPr="00E53314" w14:paraId="252E72BA" w14:textId="77777777" w:rsidTr="00E06BD7">
        <w:trPr>
          <w:trHeight w:val="1295"/>
        </w:trPr>
        <w:tc>
          <w:tcPr>
            <w:tcW w:w="1739" w:type="dxa"/>
            <w:vMerge/>
          </w:tcPr>
          <w:p w14:paraId="3C09DD4E"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617BDE56" w14:textId="77777777" w:rsidR="00E06BD7" w:rsidRPr="00A92F93" w:rsidRDefault="00E06BD7" w:rsidP="00E06BD7">
            <w:pPr>
              <w:keepNext/>
              <w:keepLines/>
              <w:contextualSpacing/>
              <w:rPr>
                <w:rFonts w:ascii="Arial" w:eastAsiaTheme="minorEastAsia" w:hAnsi="Arial"/>
                <w:sz w:val="20"/>
                <w:szCs w:val="20"/>
                <w:lang w:val="es-419"/>
              </w:rPr>
            </w:pPr>
            <w:r>
              <w:rPr>
                <w:rFonts w:ascii="Arial" w:hAnsi="Arial"/>
                <w:sz w:val="20"/>
                <w:szCs w:val="20"/>
                <w:lang w:val="es-MX"/>
              </w:rPr>
              <w:t xml:space="preserve">3.5.    </w:t>
            </w:r>
            <w:r w:rsidRPr="00E235EE">
              <w:rPr>
                <w:rFonts w:ascii="Arial" w:hAnsi="Arial"/>
                <w:sz w:val="20"/>
                <w:szCs w:val="20"/>
                <w:lang w:val="es-MX"/>
              </w:rPr>
              <w:t>Que el Congreso de Intendentes haya dispuesto una prórroga del vencimiento del tributo de patente de rodados.</w:t>
            </w:r>
          </w:p>
        </w:tc>
        <w:tc>
          <w:tcPr>
            <w:tcW w:w="3239" w:type="dxa"/>
            <w:shd w:val="clear" w:color="auto" w:fill="auto"/>
          </w:tcPr>
          <w:p w14:paraId="680D83BF" w14:textId="77777777" w:rsidR="00E06BD7" w:rsidRDefault="00E06BD7" w:rsidP="00E06BD7">
            <w:pPr>
              <w:ind w:left="-4"/>
              <w:jc w:val="both"/>
              <w:rPr>
                <w:rFonts w:ascii="Arial" w:eastAsiaTheme="minorEastAsia" w:hAnsi="Arial"/>
                <w:sz w:val="20"/>
                <w:szCs w:val="20"/>
                <w:lang w:val="es-419"/>
              </w:rPr>
            </w:pPr>
            <w:r w:rsidRPr="00A92F93">
              <w:rPr>
                <w:rFonts w:ascii="Arial" w:eastAsia="MS Mincho" w:hAnsi="Arial" w:cs="Times New Roman"/>
                <w:sz w:val="20"/>
                <w:szCs w:val="20"/>
                <w:lang w:val="es-ES"/>
              </w:rPr>
              <w:t>Circular</w:t>
            </w:r>
            <w:r>
              <w:rPr>
                <w:rFonts w:ascii="Arial" w:eastAsia="MS Mincho" w:hAnsi="Arial" w:cs="Times New Roman"/>
                <w:sz w:val="20"/>
                <w:szCs w:val="20"/>
                <w:lang w:val="es-ES"/>
              </w:rPr>
              <w:t xml:space="preserve"> 21/2020</w:t>
            </w:r>
            <w:r w:rsidRPr="00A92F93">
              <w:rPr>
                <w:rFonts w:ascii="Arial" w:eastAsia="MS Mincho" w:hAnsi="Arial" w:cs="Times New Roman"/>
                <w:sz w:val="20"/>
                <w:szCs w:val="20"/>
                <w:lang w:val="es-ES"/>
              </w:rPr>
              <w:t xml:space="preserve"> del Congreso de Intendentes</w:t>
            </w:r>
            <w:r>
              <w:rPr>
                <w:rFonts w:ascii="Arial" w:eastAsia="MS Mincho" w:hAnsi="Arial" w:cs="Times New Roman"/>
                <w:sz w:val="20"/>
                <w:szCs w:val="20"/>
                <w:lang w:val="es-ES"/>
              </w:rPr>
              <w:t xml:space="preserve">, de 20 de marzo de 2020, que determine la prórroga </w:t>
            </w:r>
            <w:r w:rsidRPr="00E235EE">
              <w:rPr>
                <w:rFonts w:ascii="Arial" w:hAnsi="Arial"/>
                <w:sz w:val="20"/>
                <w:szCs w:val="20"/>
                <w:lang w:val="es-MX"/>
              </w:rPr>
              <w:t>del vencimiento del tributo de patente de rodados</w:t>
            </w:r>
            <w:r>
              <w:rPr>
                <w:rFonts w:ascii="Arial" w:hAnsi="Arial"/>
                <w:sz w:val="20"/>
                <w:szCs w:val="20"/>
                <w:lang w:val="es-MX"/>
              </w:rPr>
              <w:t xml:space="preserve"> y Comunicado del Congreso de Intendentes publicado en </w:t>
            </w:r>
            <w:r w:rsidRPr="00842680">
              <w:rPr>
                <w:rFonts w:ascii="Arial" w:hAnsi="Arial"/>
                <w:sz w:val="20"/>
                <w:szCs w:val="20"/>
                <w:lang w:val="es-MX"/>
              </w:rPr>
              <w:t>http://www.ci.gub.uy/index.php/2013-06-18-12-04</w:t>
            </w:r>
            <w:r>
              <w:rPr>
                <w:rFonts w:ascii="Arial" w:hAnsi="Arial"/>
                <w:sz w:val="20"/>
                <w:szCs w:val="20"/>
                <w:lang w:val="es-MX"/>
              </w:rPr>
              <w:noBreakHyphen/>
            </w:r>
            <w:r w:rsidRPr="00842680">
              <w:rPr>
                <w:rFonts w:ascii="Arial" w:hAnsi="Arial"/>
                <w:sz w:val="20"/>
                <w:szCs w:val="20"/>
                <w:lang w:val="es-MX"/>
              </w:rPr>
              <w:t>25/2013</w:t>
            </w:r>
            <w:r>
              <w:rPr>
                <w:rFonts w:ascii="Arial" w:hAnsi="Arial"/>
                <w:sz w:val="20"/>
                <w:szCs w:val="20"/>
                <w:lang w:val="es-MX"/>
              </w:rPr>
              <w:noBreakHyphen/>
            </w:r>
            <w:r w:rsidRPr="00842680">
              <w:rPr>
                <w:rFonts w:ascii="Arial" w:hAnsi="Arial"/>
                <w:sz w:val="20"/>
                <w:szCs w:val="20"/>
                <w:lang w:val="es-MX"/>
              </w:rPr>
              <w:t>06-18-12-04-50/1261-prorroga-del-vencimiento-de-la-patente-de-rodados</w:t>
            </w:r>
            <w:r>
              <w:rPr>
                <w:rFonts w:ascii="Arial" w:eastAsia="MS Mincho" w:hAnsi="Arial" w:cs="Times New Roman"/>
                <w:sz w:val="20"/>
                <w:szCs w:val="20"/>
                <w:lang w:val="es-ES"/>
              </w:rPr>
              <w:t>.</w:t>
            </w:r>
          </w:p>
        </w:tc>
        <w:tc>
          <w:tcPr>
            <w:tcW w:w="2223" w:type="dxa"/>
            <w:shd w:val="clear" w:color="auto" w:fill="auto"/>
          </w:tcPr>
          <w:p w14:paraId="698435EA" w14:textId="77777777" w:rsidR="00E06BD7" w:rsidRDefault="00E06BD7" w:rsidP="00E06BD7">
            <w:pPr>
              <w:keepNext/>
              <w:keepLines/>
              <w:widowControl/>
              <w:spacing w:before="60" w:after="60"/>
              <w:rPr>
                <w:rFonts w:ascii="Arial" w:eastAsia="MS Mincho" w:hAnsi="Arial" w:cs="Times New Roman"/>
                <w:bCs/>
                <w:sz w:val="20"/>
                <w:lang w:val="es-ES_tradnl"/>
              </w:rPr>
            </w:pPr>
            <w:r w:rsidRPr="00A92F93">
              <w:rPr>
                <w:rFonts w:ascii="Arial" w:eastAsia="MS Mincho" w:hAnsi="Arial" w:cs="Times New Roman"/>
                <w:bCs/>
                <w:sz w:val="20"/>
                <w:lang w:val="es-ES_tradnl"/>
              </w:rPr>
              <w:t>Cumplido</w:t>
            </w:r>
          </w:p>
          <w:p w14:paraId="101531B2" w14:textId="2B599E59" w:rsidR="00E06BD7" w:rsidRPr="007C0FB0" w:rsidRDefault="00E06BD7" w:rsidP="00E06BD7">
            <w:pPr>
              <w:keepNext/>
              <w:keepLines/>
              <w:widowControl/>
              <w:spacing w:before="60" w:after="60"/>
              <w:rPr>
                <w:rFonts w:ascii="Arial" w:eastAsia="MS Mincho" w:hAnsi="Arial" w:cs="Times New Roman"/>
                <w:bCs/>
                <w:sz w:val="20"/>
                <w:lang w:val="es-ES_tradnl"/>
              </w:rPr>
            </w:pPr>
            <w:r w:rsidRPr="00A92F93">
              <w:rPr>
                <w:rFonts w:ascii="Arial" w:eastAsia="MS Mincho" w:hAnsi="Arial" w:cs="Times New Roman"/>
                <w:bCs/>
                <w:sz w:val="20"/>
                <w:lang w:val="es-ES_tradnl"/>
              </w:rPr>
              <w:t>(</w:t>
            </w:r>
            <w:r>
              <w:rPr>
                <w:rFonts w:ascii="Arial" w:eastAsia="MS Mincho" w:hAnsi="Arial" w:cs="Times New Roman"/>
                <w:bCs/>
                <w:sz w:val="20"/>
                <w:lang w:val="es-ES_tradnl"/>
              </w:rPr>
              <w:t>I</w:t>
            </w:r>
            <w:r w:rsidRPr="00A92F93">
              <w:rPr>
                <w:rFonts w:ascii="Arial" w:eastAsia="MS Mincho" w:hAnsi="Arial" w:cs="Times New Roman"/>
                <w:bCs/>
                <w:sz w:val="20"/>
                <w:lang w:val="es-ES_tradnl"/>
              </w:rPr>
              <w:t xml:space="preserve"> </w:t>
            </w:r>
            <w:r w:rsidR="00B12505">
              <w:rPr>
                <w:rFonts w:ascii="Arial" w:eastAsia="MS Mincho" w:hAnsi="Arial" w:cs="Times New Roman"/>
                <w:bCs/>
                <w:sz w:val="20"/>
                <w:lang w:val="es-ES_tradnl"/>
              </w:rPr>
              <w:t>t</w:t>
            </w:r>
            <w:r w:rsidRPr="00A92F93">
              <w:rPr>
                <w:rFonts w:ascii="Arial" w:eastAsia="MS Mincho" w:hAnsi="Arial" w:cs="Times New Roman"/>
                <w:bCs/>
                <w:sz w:val="20"/>
                <w:lang w:val="es-ES_tradnl"/>
              </w:rPr>
              <w:t>rimestre</w:t>
            </w:r>
            <w:r w:rsidR="00B12505">
              <w:rPr>
                <w:rFonts w:ascii="Arial" w:eastAsia="MS Mincho" w:hAnsi="Arial" w:cs="Times New Roman"/>
                <w:bCs/>
                <w:sz w:val="20"/>
                <w:lang w:val="es-ES_tradnl"/>
              </w:rPr>
              <w:t>,</w:t>
            </w:r>
            <w:r w:rsidRPr="00A92F93">
              <w:rPr>
                <w:rFonts w:ascii="Arial" w:eastAsia="MS Mincho" w:hAnsi="Arial" w:cs="Times New Roman"/>
                <w:bCs/>
                <w:sz w:val="20"/>
                <w:lang w:val="es-ES_tradnl"/>
              </w:rPr>
              <w:t xml:space="preserve"> 2020)</w:t>
            </w:r>
            <w:r>
              <w:rPr>
                <w:rFonts w:ascii="Arial" w:eastAsia="MS Mincho" w:hAnsi="Arial" w:cs="Times New Roman"/>
                <w:bCs/>
                <w:sz w:val="20"/>
                <w:lang w:val="es-ES_tradnl"/>
              </w:rPr>
              <w:t xml:space="preserve"> </w:t>
            </w:r>
          </w:p>
        </w:tc>
        <w:tc>
          <w:tcPr>
            <w:tcW w:w="1468" w:type="dxa"/>
            <w:shd w:val="clear" w:color="auto" w:fill="auto"/>
          </w:tcPr>
          <w:p w14:paraId="18202B6B" w14:textId="77777777" w:rsidR="00E06BD7" w:rsidRDefault="00E06BD7" w:rsidP="00E06BD7">
            <w:pPr>
              <w:spacing w:before="60" w:after="60"/>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tc>
      </w:tr>
      <w:tr w:rsidR="00E06BD7" w:rsidRPr="00A92F93" w14:paraId="441DB2FE" w14:textId="77777777" w:rsidTr="00E06BD7">
        <w:trPr>
          <w:trHeight w:val="2375"/>
        </w:trPr>
        <w:tc>
          <w:tcPr>
            <w:tcW w:w="1739" w:type="dxa"/>
            <w:vMerge w:val="restart"/>
            <w:shd w:val="clear" w:color="auto" w:fill="auto"/>
          </w:tcPr>
          <w:p w14:paraId="01F40EA9" w14:textId="77777777" w:rsidR="00E06BD7" w:rsidRPr="00746F85" w:rsidRDefault="00E06BD7" w:rsidP="00E06BD7">
            <w:pPr>
              <w:spacing w:before="60" w:after="60"/>
              <w:ind w:left="-4"/>
              <w:jc w:val="both"/>
              <w:rPr>
                <w:rFonts w:ascii="Arial" w:eastAsia="MS Mincho" w:hAnsi="Arial" w:cs="Times New Roman"/>
                <w:sz w:val="20"/>
                <w:szCs w:val="20"/>
                <w:lang w:val="es-ES"/>
              </w:rPr>
            </w:pPr>
            <w:r w:rsidRPr="005708F4">
              <w:rPr>
                <w:rFonts w:ascii="Arial" w:eastAsia="MS Mincho" w:hAnsi="Arial" w:cs="Times New Roman"/>
                <w:sz w:val="20"/>
                <w:szCs w:val="20"/>
                <w:lang w:val="es-ES"/>
              </w:rPr>
              <w:t>Fortalecer el efecto anticíclico de la política fiscal a través de la introducción temporal de medidas para el incremento de la liquidez de las firmas durante la crisis sanitaria y económica</w:t>
            </w:r>
          </w:p>
        </w:tc>
        <w:tc>
          <w:tcPr>
            <w:tcW w:w="4643" w:type="dxa"/>
            <w:shd w:val="clear" w:color="auto" w:fill="auto"/>
          </w:tcPr>
          <w:p w14:paraId="0AE308A5" w14:textId="52246657" w:rsidR="00E06BD7" w:rsidRPr="00AD6B43" w:rsidRDefault="00E06BD7" w:rsidP="00E06BD7">
            <w:pPr>
              <w:keepNext/>
              <w:keepLines/>
              <w:spacing w:before="60" w:after="60"/>
              <w:contextualSpacing/>
              <w:rPr>
                <w:rFonts w:ascii="Arial" w:eastAsia="Arial" w:hAnsi="Arial"/>
                <w:sz w:val="20"/>
                <w:szCs w:val="20"/>
                <w:lang w:val="es-CO"/>
              </w:rPr>
            </w:pPr>
            <w:r w:rsidRPr="00A92F93">
              <w:rPr>
                <w:rFonts w:ascii="Arial" w:eastAsiaTheme="minorEastAsia" w:hAnsi="Arial"/>
                <w:sz w:val="20"/>
                <w:szCs w:val="20"/>
                <w:lang w:val="es-419"/>
              </w:rPr>
              <w:t>3.6</w:t>
            </w:r>
            <w:r>
              <w:rPr>
                <w:rFonts w:ascii="Arial" w:eastAsiaTheme="minorEastAsia" w:hAnsi="Arial"/>
                <w:sz w:val="20"/>
                <w:szCs w:val="20"/>
                <w:lang w:val="es-419"/>
              </w:rPr>
              <w:t>.</w:t>
            </w:r>
            <w:r w:rsidRPr="00A92F93">
              <w:rPr>
                <w:rFonts w:ascii="Arial" w:eastAsiaTheme="minorEastAsia" w:hAnsi="Arial"/>
                <w:sz w:val="20"/>
                <w:szCs w:val="20"/>
                <w:lang w:val="es-419"/>
              </w:rPr>
              <w:tab/>
            </w:r>
            <w:r w:rsidRPr="008851E6">
              <w:rPr>
                <w:rFonts w:ascii="Arial" w:eastAsia="Arial" w:hAnsi="Arial"/>
                <w:sz w:val="20"/>
                <w:szCs w:val="20"/>
                <w:lang w:val="es-CO"/>
              </w:rPr>
              <w:t xml:space="preserve">Que </w:t>
            </w:r>
            <w:r w:rsidRPr="008851E6">
              <w:rPr>
                <w:rFonts w:ascii="Arial" w:eastAsia="Arial" w:hAnsi="Arial"/>
                <w:sz w:val="20"/>
                <w:szCs w:val="20"/>
                <w:lang w:val="es-ES"/>
              </w:rPr>
              <w:t>la</w:t>
            </w:r>
            <w:r w:rsidRPr="008851E6">
              <w:rPr>
                <w:rFonts w:ascii="Arial" w:eastAsia="Arial" w:hAnsi="Arial"/>
                <w:sz w:val="20"/>
                <w:szCs w:val="20"/>
                <w:lang w:val="es-CO"/>
              </w:rPr>
              <w:t xml:space="preserve"> Dirección General Impositiva del MEF haya establecido la </w:t>
            </w:r>
            <w:r w:rsidRPr="008851E6">
              <w:rPr>
                <w:rFonts w:ascii="Arial" w:eastAsia="Arial" w:hAnsi="Arial"/>
                <w:sz w:val="20"/>
                <w:szCs w:val="20"/>
                <w:lang w:val="es-ES"/>
              </w:rPr>
              <w:t>prórroga</w:t>
            </w:r>
            <w:r w:rsidRPr="008851E6">
              <w:rPr>
                <w:rFonts w:ascii="Arial" w:eastAsia="Arial" w:hAnsi="Arial"/>
                <w:sz w:val="20"/>
                <w:szCs w:val="20"/>
                <w:lang w:val="es-CO"/>
              </w:rPr>
              <w:t xml:space="preserve"> del vencimiento de las obligaciones tributarias por el Impuesto al Valor Agregado (IVA) de febrero y marzo de los contribuyentes comprendidos en el Literal E, Art</w:t>
            </w:r>
            <w:r w:rsidR="00AF5E94">
              <w:rPr>
                <w:rFonts w:ascii="Arial" w:eastAsia="Arial" w:hAnsi="Arial"/>
                <w:sz w:val="20"/>
                <w:szCs w:val="20"/>
                <w:lang w:val="es-CO"/>
              </w:rPr>
              <w:t>í</w:t>
            </w:r>
            <w:r w:rsidRPr="008851E6">
              <w:rPr>
                <w:rFonts w:ascii="Arial" w:eastAsia="Arial" w:hAnsi="Arial"/>
                <w:sz w:val="20"/>
                <w:szCs w:val="20"/>
                <w:lang w:val="es-CO"/>
              </w:rPr>
              <w:t>culo 52, Titulo IV, del Texto Ordenado 1996, y que dichas obligaciones tributarias se abonarán en seis cuotas iguales y consecutivas a partir de mayo de 2020</w:t>
            </w:r>
            <w:r w:rsidR="00BE2D22">
              <w:rPr>
                <w:rFonts w:ascii="Arial" w:eastAsia="Arial" w:hAnsi="Arial"/>
                <w:sz w:val="20"/>
                <w:szCs w:val="20"/>
                <w:lang w:val="es-CO"/>
              </w:rPr>
              <w:t>.</w:t>
            </w:r>
          </w:p>
        </w:tc>
        <w:tc>
          <w:tcPr>
            <w:tcW w:w="3239" w:type="dxa"/>
            <w:shd w:val="clear" w:color="auto" w:fill="auto"/>
          </w:tcPr>
          <w:p w14:paraId="42CF4B9B" w14:textId="77777777" w:rsidR="00E06BD7" w:rsidRPr="005F4CF6" w:rsidRDefault="00E06BD7" w:rsidP="00E06BD7">
            <w:pPr>
              <w:spacing w:before="60" w:after="60"/>
              <w:ind w:left="-4"/>
              <w:jc w:val="both"/>
              <w:rPr>
                <w:rFonts w:ascii="Arial" w:eastAsiaTheme="minorEastAsia" w:hAnsi="Arial"/>
                <w:sz w:val="20"/>
                <w:szCs w:val="20"/>
                <w:lang w:val="es-419"/>
              </w:rPr>
            </w:pPr>
            <w:r>
              <w:rPr>
                <w:rFonts w:ascii="Arial" w:eastAsiaTheme="minorEastAsia" w:hAnsi="Arial"/>
                <w:sz w:val="20"/>
                <w:szCs w:val="20"/>
                <w:lang w:val="es-419"/>
              </w:rPr>
              <w:t xml:space="preserve">Copia de la publicación </w:t>
            </w:r>
            <w:r w:rsidRPr="00A57AD7">
              <w:rPr>
                <w:rFonts w:ascii="Arial" w:eastAsia="MS Mincho" w:hAnsi="Arial" w:cs="Times New Roman"/>
                <w:sz w:val="20"/>
                <w:szCs w:val="20"/>
                <w:lang w:val="es-ES"/>
              </w:rPr>
              <w:t xml:space="preserve">en el Diario Oficial de la República de </w:t>
            </w:r>
            <w:r w:rsidRPr="003E6E1C">
              <w:rPr>
                <w:rFonts w:ascii="Arial" w:eastAsia="MS Mincho" w:hAnsi="Arial" w:cs="Times New Roman"/>
                <w:sz w:val="20"/>
                <w:szCs w:val="20"/>
                <w:lang w:val="es-ES"/>
              </w:rPr>
              <w:t xml:space="preserve">la República Oriental del </w:t>
            </w:r>
            <w:r w:rsidRPr="00A57AD7">
              <w:rPr>
                <w:rFonts w:ascii="Arial" w:eastAsia="MS Mincho" w:hAnsi="Arial" w:cs="Times New Roman"/>
                <w:sz w:val="20"/>
                <w:szCs w:val="20"/>
                <w:lang w:val="es-ES"/>
              </w:rPr>
              <w:t>Uruguay de</w:t>
            </w:r>
            <w:r>
              <w:rPr>
                <w:rFonts w:ascii="Arial" w:eastAsiaTheme="minorEastAsia" w:hAnsi="Arial"/>
                <w:sz w:val="20"/>
                <w:szCs w:val="20"/>
                <w:lang w:val="es-419"/>
              </w:rPr>
              <w:t xml:space="preserve"> de la Resolución 550/2020 de la Dirección General Impositiva (DGI) del MEF </w:t>
            </w:r>
            <w:r w:rsidRPr="007C0FB0">
              <w:rPr>
                <w:rFonts w:ascii="Arial" w:eastAsiaTheme="minorEastAsia" w:hAnsi="Arial"/>
                <w:sz w:val="20"/>
                <w:szCs w:val="20"/>
                <w:lang w:val="es-419"/>
              </w:rPr>
              <w:t>estableci</w:t>
            </w:r>
            <w:r>
              <w:rPr>
                <w:rFonts w:ascii="Arial" w:eastAsiaTheme="minorEastAsia" w:hAnsi="Arial"/>
                <w:sz w:val="20"/>
                <w:szCs w:val="20"/>
                <w:lang w:val="es-419"/>
              </w:rPr>
              <w:t>en</w:t>
            </w:r>
            <w:r w:rsidRPr="007C0FB0">
              <w:rPr>
                <w:rFonts w:ascii="Arial" w:eastAsiaTheme="minorEastAsia" w:hAnsi="Arial"/>
                <w:sz w:val="20"/>
                <w:szCs w:val="20"/>
                <w:lang w:val="es-419"/>
              </w:rPr>
              <w:t>do la prórroga del vencimiento de las obligaciones tributarias por el IVA</w:t>
            </w:r>
            <w:r>
              <w:rPr>
                <w:rFonts w:ascii="Arial" w:eastAsiaTheme="minorEastAsia" w:hAnsi="Arial"/>
                <w:sz w:val="20"/>
                <w:szCs w:val="20"/>
                <w:lang w:val="es-419"/>
              </w:rPr>
              <w:t>.</w:t>
            </w:r>
          </w:p>
        </w:tc>
        <w:tc>
          <w:tcPr>
            <w:tcW w:w="2223" w:type="dxa"/>
            <w:shd w:val="clear" w:color="auto" w:fill="auto"/>
          </w:tcPr>
          <w:p w14:paraId="2594437B" w14:textId="77777777" w:rsidR="00E06BD7" w:rsidRPr="007C0FB0" w:rsidRDefault="00E06BD7" w:rsidP="00E06BD7">
            <w:pPr>
              <w:rPr>
                <w:rFonts w:ascii="Arial" w:eastAsia="MS Mincho" w:hAnsi="Arial" w:cs="Times New Roman"/>
                <w:bCs/>
                <w:sz w:val="20"/>
                <w:lang w:val="es-ES_tradnl"/>
              </w:rPr>
            </w:pPr>
            <w:r w:rsidRPr="007C0FB0">
              <w:rPr>
                <w:rFonts w:ascii="Arial" w:eastAsia="MS Mincho" w:hAnsi="Arial" w:cs="Times New Roman"/>
                <w:bCs/>
                <w:sz w:val="20"/>
                <w:lang w:val="es-ES_tradnl"/>
              </w:rPr>
              <w:t>Cumplido</w:t>
            </w:r>
          </w:p>
          <w:p w14:paraId="43ED897E" w14:textId="77777777" w:rsidR="00E06BD7" w:rsidRPr="007C0FB0" w:rsidRDefault="00E06BD7" w:rsidP="00E06BD7">
            <w:pPr>
              <w:rPr>
                <w:rFonts w:ascii="Arial" w:eastAsia="MS Mincho" w:hAnsi="Arial" w:cs="Times New Roman"/>
                <w:bCs/>
                <w:sz w:val="20"/>
                <w:lang w:val="es-ES_tradnl"/>
              </w:rPr>
            </w:pPr>
            <w:r w:rsidRPr="007C0FB0">
              <w:rPr>
                <w:rFonts w:ascii="Arial" w:eastAsia="MS Mincho" w:hAnsi="Arial" w:cs="Times New Roman"/>
                <w:bCs/>
                <w:sz w:val="20"/>
                <w:lang w:val="es-ES_tradnl"/>
              </w:rPr>
              <w:t>(I trimestre, 2020)</w:t>
            </w:r>
          </w:p>
          <w:p w14:paraId="0AC08F60" w14:textId="77777777" w:rsidR="00E06BD7" w:rsidRPr="009831CB" w:rsidRDefault="00E06BD7" w:rsidP="00E06BD7">
            <w:pPr>
              <w:rPr>
                <w:rFonts w:ascii="Arial" w:eastAsia="MS Mincho" w:hAnsi="Arial" w:cs="Times New Roman"/>
                <w:bCs/>
                <w:sz w:val="20"/>
                <w:lang w:val="es-ES_tradnl"/>
              </w:rPr>
            </w:pPr>
          </w:p>
        </w:tc>
        <w:tc>
          <w:tcPr>
            <w:tcW w:w="1468" w:type="dxa"/>
            <w:shd w:val="clear" w:color="auto" w:fill="auto"/>
          </w:tcPr>
          <w:p w14:paraId="18491F3C" w14:textId="77777777" w:rsidR="00E06BD7" w:rsidRDefault="00E06BD7" w:rsidP="00E06BD7">
            <w:pPr>
              <w:spacing w:before="60" w:after="60"/>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MEF-DGI</w:t>
            </w:r>
          </w:p>
          <w:p w14:paraId="483FED9B" w14:textId="77777777" w:rsidR="00E06BD7" w:rsidRDefault="00E06BD7" w:rsidP="00E06BD7">
            <w:pPr>
              <w:spacing w:before="60" w:after="60"/>
              <w:jc w:val="both"/>
              <w:rPr>
                <w:rFonts w:ascii="Arial" w:eastAsia="MS Mincho" w:hAnsi="Arial" w:cs="Times New Roman"/>
                <w:sz w:val="20"/>
                <w:szCs w:val="20"/>
                <w:lang w:val="es-ES_tradnl"/>
              </w:rPr>
            </w:pPr>
          </w:p>
          <w:p w14:paraId="578B1E9C" w14:textId="77777777" w:rsidR="00E06BD7" w:rsidRDefault="00E06BD7" w:rsidP="00E06BD7">
            <w:pPr>
              <w:spacing w:before="60" w:after="60"/>
              <w:ind w:left="-4"/>
              <w:jc w:val="both"/>
              <w:rPr>
                <w:rFonts w:ascii="Arial" w:eastAsia="MS Mincho" w:hAnsi="Arial" w:cs="Times New Roman"/>
                <w:sz w:val="20"/>
                <w:szCs w:val="20"/>
                <w:lang w:val="es-ES_tradnl"/>
              </w:rPr>
            </w:pPr>
          </w:p>
          <w:p w14:paraId="0F223592" w14:textId="77777777" w:rsidR="00E06BD7" w:rsidRDefault="00E06BD7" w:rsidP="00E06BD7">
            <w:pPr>
              <w:spacing w:before="60" w:after="60"/>
              <w:ind w:left="-4"/>
              <w:jc w:val="both"/>
              <w:rPr>
                <w:rFonts w:ascii="Arial" w:eastAsia="MS Mincho" w:hAnsi="Arial" w:cs="Times New Roman"/>
                <w:sz w:val="20"/>
                <w:szCs w:val="20"/>
                <w:lang w:val="es-ES_tradnl"/>
              </w:rPr>
            </w:pPr>
          </w:p>
          <w:p w14:paraId="2E6DCEEC" w14:textId="77777777" w:rsidR="00E06BD7" w:rsidRDefault="00E06BD7" w:rsidP="00E06BD7">
            <w:pPr>
              <w:spacing w:before="60" w:after="60"/>
              <w:jc w:val="both"/>
              <w:rPr>
                <w:rFonts w:ascii="Arial" w:eastAsia="MS Mincho" w:hAnsi="Arial" w:cs="Times New Roman"/>
                <w:sz w:val="20"/>
                <w:szCs w:val="20"/>
                <w:lang w:val="es-ES_tradnl"/>
              </w:rPr>
            </w:pPr>
          </w:p>
          <w:p w14:paraId="45A80601" w14:textId="77777777" w:rsidR="00E06BD7" w:rsidRDefault="00E06BD7" w:rsidP="00E06BD7">
            <w:pPr>
              <w:spacing w:before="60" w:after="60"/>
              <w:jc w:val="both"/>
              <w:rPr>
                <w:rFonts w:ascii="Arial" w:eastAsia="MS Mincho" w:hAnsi="Arial" w:cs="Times New Roman"/>
                <w:sz w:val="20"/>
                <w:szCs w:val="20"/>
                <w:lang w:val="es-ES_tradnl"/>
              </w:rPr>
            </w:pPr>
          </w:p>
          <w:p w14:paraId="59FB3F23" w14:textId="77777777" w:rsidR="00E06BD7" w:rsidRDefault="00E06BD7" w:rsidP="00E06BD7">
            <w:pPr>
              <w:spacing w:before="60" w:after="60"/>
              <w:jc w:val="both"/>
              <w:rPr>
                <w:rFonts w:ascii="Arial" w:eastAsia="MS Mincho" w:hAnsi="Arial" w:cs="Times New Roman"/>
                <w:sz w:val="20"/>
                <w:szCs w:val="20"/>
                <w:lang w:val="es-ES_tradnl"/>
              </w:rPr>
            </w:pPr>
          </w:p>
          <w:p w14:paraId="16B1F556" w14:textId="77777777" w:rsidR="00E06BD7" w:rsidRDefault="00E06BD7" w:rsidP="00E06BD7">
            <w:pPr>
              <w:spacing w:before="60" w:after="60"/>
              <w:jc w:val="both"/>
              <w:rPr>
                <w:rFonts w:ascii="Arial" w:eastAsia="MS Mincho" w:hAnsi="Arial" w:cs="Times New Roman"/>
                <w:sz w:val="20"/>
                <w:szCs w:val="20"/>
                <w:lang w:val="es-ES_tradnl"/>
              </w:rPr>
            </w:pPr>
          </w:p>
        </w:tc>
      </w:tr>
      <w:tr w:rsidR="00E06BD7" w:rsidRPr="009831CB" w14:paraId="345BD076" w14:textId="77777777" w:rsidTr="00E06BD7">
        <w:trPr>
          <w:trHeight w:val="2411"/>
        </w:trPr>
        <w:tc>
          <w:tcPr>
            <w:tcW w:w="1739" w:type="dxa"/>
            <w:vMerge/>
          </w:tcPr>
          <w:p w14:paraId="42689071"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407A148B" w14:textId="5DCBEEB9" w:rsidR="00E06BD7" w:rsidRPr="00AD6B43" w:rsidRDefault="00E06BD7" w:rsidP="00E06BD7">
            <w:pPr>
              <w:keepNext/>
              <w:keepLines/>
              <w:spacing w:before="60" w:after="60"/>
              <w:contextualSpacing/>
              <w:rPr>
                <w:rFonts w:ascii="Arial" w:eastAsia="Arial" w:hAnsi="Arial"/>
                <w:sz w:val="20"/>
                <w:szCs w:val="20"/>
                <w:lang w:val="es-CO"/>
              </w:rPr>
            </w:pPr>
            <w:r w:rsidRPr="00A92F93">
              <w:rPr>
                <w:rFonts w:ascii="Arial" w:eastAsiaTheme="minorEastAsia" w:hAnsi="Arial"/>
                <w:sz w:val="20"/>
                <w:szCs w:val="20"/>
                <w:lang w:val="es-419"/>
              </w:rPr>
              <w:t>3.7</w:t>
            </w:r>
            <w:r>
              <w:rPr>
                <w:rFonts w:ascii="Arial" w:eastAsiaTheme="minorEastAsia" w:hAnsi="Arial"/>
                <w:sz w:val="20"/>
                <w:szCs w:val="20"/>
                <w:lang w:val="es-419"/>
              </w:rPr>
              <w:t>.</w:t>
            </w:r>
            <w:r w:rsidRPr="00A92F93">
              <w:rPr>
                <w:rFonts w:ascii="Arial" w:eastAsiaTheme="minorEastAsia" w:hAnsi="Arial"/>
                <w:sz w:val="20"/>
                <w:szCs w:val="20"/>
                <w:lang w:val="es-419"/>
              </w:rPr>
              <w:tab/>
            </w:r>
            <w:r w:rsidRPr="003422C7">
              <w:rPr>
                <w:rFonts w:ascii="Arial" w:eastAsia="Arial" w:hAnsi="Arial"/>
                <w:sz w:val="20"/>
                <w:szCs w:val="20"/>
                <w:lang w:val="es-CO"/>
              </w:rPr>
              <w:t>Que se haya exonerado el 40% de los</w:t>
            </w:r>
            <w:r w:rsidR="00504D59">
              <w:rPr>
                <w:rFonts w:ascii="Arial" w:eastAsia="Arial" w:hAnsi="Arial"/>
                <w:sz w:val="20"/>
                <w:szCs w:val="20"/>
                <w:lang w:val="es-CO"/>
              </w:rPr>
              <w:t xml:space="preserve"> </w:t>
            </w:r>
            <w:r w:rsidRPr="003422C7">
              <w:rPr>
                <w:rFonts w:ascii="Arial" w:eastAsia="Arial" w:hAnsi="Arial"/>
                <w:sz w:val="20"/>
                <w:szCs w:val="20"/>
                <w:lang w:val="es-CO"/>
              </w:rPr>
              <w:t>aportes personales y patronales comprendidos en el régimen de Industria y Comercio, de la prestación unificada Monotributo, y de la prestación tributaria Monotributo Social MIDES, aplicable a los tributos devengados entre marzo y abril de 2020, y establecido un régimen transitorio de facilidades de pago correspondiente al pago del 60% restante en seis cuotas iguales y consecutivas a partir de junio 2020.</w:t>
            </w:r>
          </w:p>
        </w:tc>
        <w:tc>
          <w:tcPr>
            <w:tcW w:w="3239" w:type="dxa"/>
            <w:shd w:val="clear" w:color="auto" w:fill="auto"/>
          </w:tcPr>
          <w:p w14:paraId="2672FC01" w14:textId="77777777" w:rsidR="00E06BD7" w:rsidRDefault="00E06BD7" w:rsidP="00E06BD7">
            <w:pPr>
              <w:spacing w:before="60" w:after="60"/>
              <w:ind w:left="-4"/>
              <w:jc w:val="both"/>
              <w:rPr>
                <w:rFonts w:ascii="Arial" w:eastAsiaTheme="minorEastAsia" w:hAnsi="Arial"/>
                <w:sz w:val="20"/>
                <w:szCs w:val="20"/>
                <w:lang w:val="es-419"/>
              </w:rPr>
            </w:pPr>
            <w:r>
              <w:rPr>
                <w:rFonts w:ascii="Arial" w:eastAsiaTheme="minorEastAsia" w:hAnsi="Arial"/>
                <w:sz w:val="20"/>
                <w:szCs w:val="20"/>
                <w:lang w:val="es-419"/>
              </w:rPr>
              <w:t xml:space="preserve">Copia de la publicación </w:t>
            </w:r>
            <w:r>
              <w:rPr>
                <w:rFonts w:ascii="Arial" w:eastAsia="MS Mincho" w:hAnsi="Arial" w:cs="Times New Roman"/>
                <w:sz w:val="20"/>
                <w:szCs w:val="20"/>
                <w:lang w:val="es-ES"/>
              </w:rPr>
              <w:t xml:space="preserve">en el </w:t>
            </w:r>
            <w:r>
              <w:rPr>
                <w:rFonts w:ascii="Arial" w:eastAsia="MS Mincho" w:hAnsi="Arial"/>
                <w:sz w:val="20"/>
                <w:szCs w:val="20"/>
                <w:lang w:val="es-ES_tradnl"/>
              </w:rPr>
              <w:t xml:space="preserve">Diario Oficial de la República Oriental del Uruguay </w:t>
            </w:r>
            <w:r>
              <w:rPr>
                <w:rFonts w:ascii="Arial" w:eastAsiaTheme="minorEastAsia" w:hAnsi="Arial"/>
                <w:sz w:val="20"/>
                <w:szCs w:val="20"/>
                <w:lang w:val="es-419"/>
              </w:rPr>
              <w:t>de la Ley 19.872</w:t>
            </w:r>
            <w:r>
              <w:rPr>
                <w:rFonts w:ascii="Arial" w:eastAsia="MS Mincho" w:hAnsi="Arial" w:cs="Times New Roman"/>
                <w:bCs/>
                <w:sz w:val="20"/>
                <w:lang w:val="es-ES_tradnl"/>
              </w:rPr>
              <w:t xml:space="preserve"> publicada 19 de abril de 2020</w:t>
            </w:r>
            <w:r>
              <w:rPr>
                <w:rFonts w:ascii="Arial" w:eastAsiaTheme="minorEastAsia" w:hAnsi="Arial"/>
                <w:sz w:val="20"/>
                <w:szCs w:val="20"/>
                <w:lang w:val="es-419"/>
              </w:rPr>
              <w:t>.</w:t>
            </w:r>
          </w:p>
        </w:tc>
        <w:tc>
          <w:tcPr>
            <w:tcW w:w="2223" w:type="dxa"/>
            <w:shd w:val="clear" w:color="auto" w:fill="auto"/>
          </w:tcPr>
          <w:p w14:paraId="243A6E3C" w14:textId="77777777" w:rsidR="00E06BD7" w:rsidRPr="007C0FB0" w:rsidRDefault="00E06BD7" w:rsidP="00E06BD7">
            <w:pPr>
              <w:spacing w:before="60" w:after="60"/>
              <w:rPr>
                <w:rFonts w:ascii="Arial" w:eastAsia="MS Mincho" w:hAnsi="Arial" w:cs="Times New Roman"/>
                <w:bCs/>
                <w:sz w:val="20"/>
                <w:lang w:val="es-ES_tradnl"/>
              </w:rPr>
            </w:pPr>
            <w:r w:rsidRPr="007C0FB0">
              <w:rPr>
                <w:rFonts w:ascii="Arial" w:eastAsia="MS Mincho" w:hAnsi="Arial" w:cs="Times New Roman"/>
                <w:bCs/>
                <w:sz w:val="20"/>
                <w:lang w:val="es-ES_tradnl"/>
              </w:rPr>
              <w:t>Cumplido</w:t>
            </w:r>
          </w:p>
          <w:p w14:paraId="70A3AC4A" w14:textId="77777777" w:rsidR="00E06BD7" w:rsidRPr="007C0FB0" w:rsidRDefault="00E06BD7" w:rsidP="00E06BD7">
            <w:pPr>
              <w:spacing w:before="60" w:after="60"/>
              <w:rPr>
                <w:rFonts w:ascii="Arial" w:eastAsia="MS Mincho" w:hAnsi="Arial" w:cs="Times New Roman"/>
                <w:bCs/>
                <w:sz w:val="20"/>
                <w:lang w:val="es-ES_tradnl"/>
              </w:rPr>
            </w:pPr>
            <w:r w:rsidRPr="007C0FB0">
              <w:rPr>
                <w:rFonts w:ascii="Arial" w:eastAsia="MS Mincho" w:hAnsi="Arial" w:cs="Times New Roman"/>
                <w:bCs/>
                <w:sz w:val="20"/>
                <w:lang w:val="es-ES_tradnl"/>
              </w:rPr>
              <w:t>(II trimestre, 2020)</w:t>
            </w:r>
          </w:p>
          <w:p w14:paraId="52159170" w14:textId="77777777" w:rsidR="00E06BD7" w:rsidRPr="007C0FB0" w:rsidRDefault="00E06BD7" w:rsidP="00E06BD7">
            <w:pPr>
              <w:spacing w:before="60" w:after="60"/>
              <w:rPr>
                <w:rFonts w:ascii="Arial" w:eastAsia="MS Mincho" w:hAnsi="Arial" w:cs="Times New Roman"/>
                <w:bCs/>
                <w:sz w:val="20"/>
                <w:lang w:val="es-ES_tradnl"/>
              </w:rPr>
            </w:pPr>
          </w:p>
        </w:tc>
        <w:tc>
          <w:tcPr>
            <w:tcW w:w="1468" w:type="dxa"/>
            <w:shd w:val="clear" w:color="auto" w:fill="auto"/>
          </w:tcPr>
          <w:p w14:paraId="20794796" w14:textId="77777777" w:rsidR="00E06BD7" w:rsidRDefault="00E06BD7" w:rsidP="00E06BD7">
            <w:pPr>
              <w:spacing w:before="60" w:after="60"/>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p w14:paraId="67BC0D6C" w14:textId="77777777" w:rsidR="00E06BD7" w:rsidRDefault="00E06BD7" w:rsidP="00E06BD7">
            <w:pPr>
              <w:spacing w:before="60" w:after="60"/>
              <w:ind w:left="-4"/>
              <w:jc w:val="both"/>
              <w:rPr>
                <w:rFonts w:ascii="Arial" w:eastAsia="MS Mincho" w:hAnsi="Arial" w:cs="Times New Roman"/>
                <w:sz w:val="20"/>
                <w:szCs w:val="20"/>
                <w:lang w:val="es-ES_tradnl"/>
              </w:rPr>
            </w:pPr>
          </w:p>
        </w:tc>
      </w:tr>
      <w:tr w:rsidR="00E06BD7" w:rsidRPr="009831CB" w14:paraId="3F11BB3B" w14:textId="77777777" w:rsidTr="00E06BD7">
        <w:trPr>
          <w:trHeight w:val="2836"/>
        </w:trPr>
        <w:tc>
          <w:tcPr>
            <w:tcW w:w="1739" w:type="dxa"/>
            <w:vMerge/>
          </w:tcPr>
          <w:p w14:paraId="41590BBE" w14:textId="77777777" w:rsidR="00E06BD7" w:rsidRPr="00A92F93" w:rsidRDefault="00E06BD7" w:rsidP="00E06BD7">
            <w:pPr>
              <w:spacing w:before="60" w:after="60"/>
              <w:ind w:left="-4"/>
              <w:jc w:val="both"/>
              <w:rPr>
                <w:rFonts w:ascii="Arial" w:eastAsia="MS Mincho" w:hAnsi="Arial" w:cs="Times New Roman"/>
                <w:sz w:val="20"/>
                <w:szCs w:val="20"/>
                <w:lang w:val="es-ES"/>
              </w:rPr>
            </w:pPr>
          </w:p>
        </w:tc>
        <w:tc>
          <w:tcPr>
            <w:tcW w:w="4643" w:type="dxa"/>
            <w:shd w:val="clear" w:color="auto" w:fill="auto"/>
          </w:tcPr>
          <w:p w14:paraId="10245FCD" w14:textId="77777777" w:rsidR="00E06BD7" w:rsidRPr="00A92F93" w:rsidRDefault="00E06BD7" w:rsidP="00E06BD7">
            <w:pPr>
              <w:keepNext/>
              <w:keepLines/>
              <w:spacing w:before="60" w:after="60"/>
              <w:contextualSpacing/>
              <w:rPr>
                <w:rFonts w:ascii="Arial" w:eastAsiaTheme="minorEastAsia" w:hAnsi="Arial"/>
                <w:sz w:val="20"/>
                <w:szCs w:val="20"/>
                <w:lang w:val="es-419"/>
              </w:rPr>
            </w:pPr>
            <w:r w:rsidRPr="00A92F93">
              <w:rPr>
                <w:rFonts w:ascii="Arial" w:eastAsiaTheme="minorEastAsia" w:hAnsi="Arial"/>
                <w:sz w:val="20"/>
                <w:szCs w:val="20"/>
                <w:lang w:val="es-419"/>
              </w:rPr>
              <w:t>3.8</w:t>
            </w:r>
            <w:r>
              <w:rPr>
                <w:rFonts w:ascii="Arial" w:eastAsiaTheme="minorEastAsia" w:hAnsi="Arial"/>
                <w:sz w:val="20"/>
                <w:szCs w:val="20"/>
                <w:lang w:val="es-419"/>
              </w:rPr>
              <w:t>.</w:t>
            </w:r>
            <w:r w:rsidRPr="00A92F93">
              <w:rPr>
                <w:rFonts w:ascii="Arial" w:eastAsiaTheme="minorEastAsia" w:hAnsi="Arial"/>
                <w:sz w:val="20"/>
                <w:szCs w:val="20"/>
                <w:lang w:val="es-419"/>
              </w:rPr>
              <w:tab/>
            </w:r>
            <w:r w:rsidRPr="003422C7">
              <w:rPr>
                <w:rFonts w:ascii="Arial" w:eastAsia="Arial" w:hAnsi="Arial"/>
                <w:sz w:val="20"/>
                <w:szCs w:val="20"/>
                <w:lang w:val="es-CO"/>
              </w:rPr>
              <w:t xml:space="preserve">Que el Sistema Nacional de Garantías haya establecido la línea de </w:t>
            </w:r>
            <w:r w:rsidRPr="00A51BF9">
              <w:rPr>
                <w:rFonts w:ascii="Arial" w:eastAsia="Arial" w:hAnsi="Arial"/>
                <w:sz w:val="20"/>
                <w:szCs w:val="20"/>
                <w:lang w:val="es-CO"/>
              </w:rPr>
              <w:t>garantía “SiGa</w:t>
            </w:r>
            <w:r w:rsidRPr="003422C7">
              <w:rPr>
                <w:rFonts w:ascii="Arial" w:eastAsia="Arial" w:hAnsi="Arial"/>
                <w:sz w:val="20"/>
                <w:szCs w:val="20"/>
                <w:lang w:val="es-CO"/>
              </w:rPr>
              <w:t xml:space="preserve"> Emergencia”, destinada a atender las necesidades crediticias de las micro, pequeñas y medianas empresas a raíz de la emergencia sanitaria, con el fin de garantizar operaciones de crédito destinadas a capital de trabajo, capital de inversión y operaciones de reestructuras de créditos contraídos previamente.</w:t>
            </w:r>
            <w:r w:rsidRPr="003A7FFB">
              <w:rPr>
                <w:rFonts w:ascii="Arial" w:eastAsia="Arial" w:hAnsi="Arial"/>
                <w:sz w:val="20"/>
                <w:szCs w:val="20"/>
                <w:lang w:val="es-CO"/>
              </w:rPr>
              <w:t xml:space="preserve">  </w:t>
            </w:r>
          </w:p>
        </w:tc>
        <w:tc>
          <w:tcPr>
            <w:tcW w:w="3239" w:type="dxa"/>
            <w:shd w:val="clear" w:color="auto" w:fill="auto"/>
          </w:tcPr>
          <w:p w14:paraId="5E7C04E7" w14:textId="77777777" w:rsidR="00E06BD7" w:rsidRDefault="00E06BD7" w:rsidP="00E06BD7">
            <w:pPr>
              <w:spacing w:before="60" w:after="60"/>
              <w:ind w:left="-4"/>
              <w:jc w:val="both"/>
              <w:rPr>
                <w:rFonts w:ascii="Arial" w:eastAsiaTheme="minorEastAsia" w:hAnsi="Arial"/>
                <w:sz w:val="20"/>
                <w:szCs w:val="20"/>
                <w:lang w:val="es-419"/>
              </w:rPr>
            </w:pPr>
            <w:r>
              <w:rPr>
                <w:rFonts w:ascii="Arial" w:eastAsiaTheme="minorEastAsia" w:hAnsi="Arial"/>
                <w:sz w:val="20"/>
                <w:szCs w:val="20"/>
                <w:lang w:val="es-419"/>
              </w:rPr>
              <w:t>Circular 2020/04 del SIGA estableciendo la línea de garantía “SiGa Emergencia”.</w:t>
            </w:r>
          </w:p>
          <w:p w14:paraId="56D4EC0E" w14:textId="77777777" w:rsidR="00E06BD7" w:rsidRDefault="00E06BD7" w:rsidP="00E06BD7">
            <w:pPr>
              <w:spacing w:before="60" w:after="60"/>
              <w:ind w:left="-4"/>
              <w:jc w:val="both"/>
              <w:rPr>
                <w:rFonts w:ascii="Arial" w:eastAsiaTheme="minorEastAsia" w:hAnsi="Arial"/>
                <w:sz w:val="20"/>
                <w:szCs w:val="20"/>
                <w:lang w:val="es-419"/>
              </w:rPr>
            </w:pPr>
          </w:p>
        </w:tc>
        <w:tc>
          <w:tcPr>
            <w:tcW w:w="2223" w:type="dxa"/>
            <w:shd w:val="clear" w:color="auto" w:fill="auto"/>
          </w:tcPr>
          <w:p w14:paraId="4170C2A2" w14:textId="77777777" w:rsidR="00E06BD7" w:rsidRPr="000C16D1" w:rsidRDefault="00E06BD7" w:rsidP="00E06BD7">
            <w:pPr>
              <w:spacing w:before="60" w:after="60"/>
              <w:rPr>
                <w:rFonts w:ascii="Arial" w:eastAsia="MS Mincho" w:hAnsi="Arial" w:cs="Times New Roman"/>
                <w:bCs/>
                <w:sz w:val="20"/>
                <w:lang w:val="es-ES_tradnl"/>
              </w:rPr>
            </w:pPr>
            <w:r w:rsidRPr="000C16D1">
              <w:rPr>
                <w:rFonts w:ascii="Arial" w:eastAsia="MS Mincho" w:hAnsi="Arial" w:cs="Times New Roman"/>
                <w:bCs/>
                <w:sz w:val="20"/>
                <w:lang w:val="es-ES_tradnl"/>
              </w:rPr>
              <w:t>Cumplido</w:t>
            </w:r>
          </w:p>
          <w:p w14:paraId="1DE789C2" w14:textId="77777777" w:rsidR="00E06BD7" w:rsidRPr="000C16D1" w:rsidRDefault="00E06BD7" w:rsidP="00E06BD7">
            <w:pPr>
              <w:spacing w:before="60" w:after="60"/>
              <w:rPr>
                <w:rFonts w:ascii="Arial" w:eastAsia="MS Mincho" w:hAnsi="Arial" w:cs="Times New Roman"/>
                <w:bCs/>
                <w:sz w:val="20"/>
                <w:lang w:val="es-ES_tradnl"/>
              </w:rPr>
            </w:pPr>
            <w:r w:rsidRPr="000C16D1">
              <w:rPr>
                <w:rFonts w:ascii="Arial" w:eastAsia="MS Mincho" w:hAnsi="Arial" w:cs="Times New Roman"/>
                <w:bCs/>
                <w:sz w:val="20"/>
                <w:lang w:val="es-ES_tradnl"/>
              </w:rPr>
              <w:t>(II trimestre</w:t>
            </w:r>
            <w:r>
              <w:rPr>
                <w:rFonts w:ascii="Arial" w:eastAsia="MS Mincho" w:hAnsi="Arial" w:cs="Times New Roman"/>
                <w:bCs/>
                <w:sz w:val="20"/>
                <w:lang w:val="es-ES_tradnl"/>
              </w:rPr>
              <w:t>, 2020</w:t>
            </w:r>
            <w:r w:rsidRPr="000C16D1">
              <w:rPr>
                <w:rFonts w:ascii="Arial" w:eastAsia="MS Mincho" w:hAnsi="Arial" w:cs="Times New Roman"/>
                <w:bCs/>
                <w:sz w:val="20"/>
                <w:lang w:val="es-ES_tradnl"/>
              </w:rPr>
              <w:t>)</w:t>
            </w:r>
          </w:p>
          <w:p w14:paraId="569CA733" w14:textId="77777777" w:rsidR="00E06BD7" w:rsidRPr="007C0FB0" w:rsidRDefault="00E06BD7" w:rsidP="00E06BD7">
            <w:pPr>
              <w:spacing w:before="60" w:after="60"/>
              <w:ind w:left="-4"/>
              <w:rPr>
                <w:rFonts w:ascii="Arial" w:eastAsia="MS Mincho" w:hAnsi="Arial" w:cs="Times New Roman"/>
                <w:bCs/>
                <w:sz w:val="20"/>
                <w:lang w:val="es-ES_tradnl"/>
              </w:rPr>
            </w:pPr>
          </w:p>
        </w:tc>
        <w:tc>
          <w:tcPr>
            <w:tcW w:w="1468" w:type="dxa"/>
            <w:shd w:val="clear" w:color="auto" w:fill="auto"/>
          </w:tcPr>
          <w:p w14:paraId="52C7338E" w14:textId="77777777" w:rsidR="00E06BD7" w:rsidRDefault="00E06BD7" w:rsidP="00E06BD7">
            <w:pPr>
              <w:spacing w:before="60" w:after="60"/>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SIGA</w:t>
            </w:r>
          </w:p>
        </w:tc>
      </w:tr>
      <w:tr w:rsidR="00E06BD7" w:rsidRPr="00A4411A" w14:paraId="4D671603" w14:textId="77777777" w:rsidTr="00E06BD7">
        <w:tc>
          <w:tcPr>
            <w:tcW w:w="13312" w:type="dxa"/>
            <w:gridSpan w:val="5"/>
            <w:shd w:val="clear" w:color="auto" w:fill="auto"/>
          </w:tcPr>
          <w:p w14:paraId="2648AED0" w14:textId="77777777" w:rsidR="00E06BD7" w:rsidRPr="00746F85" w:rsidRDefault="00E06BD7" w:rsidP="00E06BD7">
            <w:pPr>
              <w:spacing w:before="60" w:after="60"/>
              <w:rPr>
                <w:rFonts w:ascii="Arial" w:eastAsia="MS Mincho" w:hAnsi="Arial" w:cs="Times New Roman"/>
                <w:b/>
                <w:sz w:val="20"/>
                <w:lang w:val="es-ES_tradnl"/>
              </w:rPr>
            </w:pPr>
            <w:r w:rsidRPr="0081034A">
              <w:rPr>
                <w:rFonts w:ascii="Arial" w:eastAsia="MS Mincho" w:hAnsi="Arial" w:cs="Times New Roman"/>
                <w:b/>
                <w:sz w:val="20"/>
                <w:lang w:val="es-ES_tradnl"/>
              </w:rPr>
              <w:t>Componente 4: Fortalecimiento institucional para la ejecución del gasto público y la prestación de servicios esenciales</w:t>
            </w:r>
          </w:p>
        </w:tc>
      </w:tr>
      <w:tr w:rsidR="00E06BD7" w:rsidRPr="000C16D1" w14:paraId="58D11B15" w14:textId="77777777" w:rsidTr="00E06BD7">
        <w:trPr>
          <w:trHeight w:val="1475"/>
        </w:trPr>
        <w:tc>
          <w:tcPr>
            <w:tcW w:w="1739" w:type="dxa"/>
            <w:vMerge w:val="restart"/>
            <w:shd w:val="clear" w:color="auto" w:fill="auto"/>
          </w:tcPr>
          <w:p w14:paraId="06C450A1" w14:textId="77777777" w:rsidR="00E06BD7" w:rsidRDefault="00E06BD7" w:rsidP="00E06BD7">
            <w:pPr>
              <w:widowControl/>
              <w:spacing w:line="259" w:lineRule="auto"/>
              <w:contextualSpacing/>
              <w:rPr>
                <w:rFonts w:ascii="Arial" w:hAnsi="Arial"/>
                <w:sz w:val="20"/>
                <w:lang w:val="es-419"/>
              </w:rPr>
            </w:pPr>
            <w:r w:rsidRPr="00E65658">
              <w:rPr>
                <w:rFonts w:ascii="Arial" w:hAnsi="Arial"/>
                <w:sz w:val="20"/>
                <w:lang w:val="es-419"/>
              </w:rPr>
              <w:t>Apoyar la efectiva y continua provisión de bienes y servicios esenciales a través de medidas de política y gestión pública.</w:t>
            </w:r>
          </w:p>
        </w:tc>
        <w:tc>
          <w:tcPr>
            <w:tcW w:w="4643" w:type="dxa"/>
            <w:shd w:val="clear" w:color="auto" w:fill="auto"/>
          </w:tcPr>
          <w:p w14:paraId="3455D44E" w14:textId="73F15267" w:rsidR="00E06BD7" w:rsidRDefault="00E06BD7" w:rsidP="00E06BD7">
            <w:pPr>
              <w:ind w:left="-4"/>
              <w:rPr>
                <w:rFonts w:ascii="Arial" w:hAnsi="Arial"/>
                <w:sz w:val="20"/>
                <w:lang w:val="es-419"/>
              </w:rPr>
            </w:pPr>
            <w:r w:rsidRPr="0081034A">
              <w:rPr>
                <w:rFonts w:ascii="Arial" w:hAnsi="Arial"/>
                <w:sz w:val="20"/>
                <w:lang w:val="es-419"/>
              </w:rPr>
              <w:t>4.1</w:t>
            </w:r>
            <w:r>
              <w:rPr>
                <w:rFonts w:ascii="Arial" w:hAnsi="Arial"/>
                <w:sz w:val="20"/>
                <w:lang w:val="es-419"/>
              </w:rPr>
              <w:t xml:space="preserve">   </w:t>
            </w:r>
            <w:r w:rsidRPr="0081034A">
              <w:rPr>
                <w:rFonts w:ascii="Arial" w:hAnsi="Arial"/>
                <w:sz w:val="20"/>
                <w:lang w:val="es-419"/>
              </w:rPr>
              <w:t>Que el Sistema Nacional de Emergencias haya desarrollado recomendaciones para la implementación del teletrabajo en las oficinas públicas, como medida transitoria, excepcional y de carácter preventivo</w:t>
            </w:r>
            <w:r w:rsidR="0094151F">
              <w:rPr>
                <w:rFonts w:ascii="Arial" w:hAnsi="Arial"/>
                <w:sz w:val="20"/>
                <w:lang w:val="es-419"/>
              </w:rPr>
              <w:t>.</w:t>
            </w:r>
          </w:p>
        </w:tc>
        <w:tc>
          <w:tcPr>
            <w:tcW w:w="3239" w:type="dxa"/>
            <w:shd w:val="clear" w:color="auto" w:fill="auto"/>
          </w:tcPr>
          <w:p w14:paraId="5BBE876E" w14:textId="77777777" w:rsidR="00E06BD7" w:rsidRPr="00F24590" w:rsidRDefault="00E06BD7" w:rsidP="00E06BD7">
            <w:pPr>
              <w:rPr>
                <w:rFonts w:ascii="Arial" w:eastAsia="MS Mincho" w:hAnsi="Arial"/>
                <w:iCs/>
                <w:sz w:val="20"/>
                <w:szCs w:val="20"/>
                <w:lang w:val="es-ES_tradnl"/>
              </w:rPr>
            </w:pPr>
            <w:r>
              <w:rPr>
                <w:rFonts w:ascii="Arial" w:eastAsia="MS Mincho" w:hAnsi="Arial"/>
                <w:iCs/>
                <w:sz w:val="20"/>
                <w:szCs w:val="20"/>
                <w:lang w:val="es-ES_tradnl"/>
              </w:rPr>
              <w:t>Copia de documento que contempla las recomendaciones para teletrabajo en oficinas públicas elaborado por el Sistema Nacional de Emergencias y por la Presidencia de la Rep</w:t>
            </w:r>
            <w:r>
              <w:rPr>
                <w:rFonts w:ascii="Arial" w:eastAsia="MS Mincho" w:hAnsi="Arial"/>
                <w:iCs/>
                <w:sz w:val="20"/>
                <w:szCs w:val="20"/>
                <w:lang w:val="es-ES"/>
              </w:rPr>
              <w:t>ú</w:t>
            </w:r>
            <w:r>
              <w:rPr>
                <w:rFonts w:ascii="Arial" w:eastAsia="MS Mincho" w:hAnsi="Arial"/>
                <w:iCs/>
                <w:sz w:val="20"/>
                <w:szCs w:val="20"/>
                <w:lang w:val="es-ES_tradnl"/>
              </w:rPr>
              <w:t xml:space="preserve">blica y comunicado publicado en </w:t>
            </w:r>
            <w:r w:rsidRPr="0095012A">
              <w:rPr>
                <w:rFonts w:ascii="Arial" w:eastAsia="MS Mincho" w:hAnsi="Arial"/>
                <w:iCs/>
                <w:sz w:val="20"/>
                <w:szCs w:val="20"/>
                <w:lang w:val="es-ES_tradnl"/>
              </w:rPr>
              <w:t>https://www.gub.uy/sistema-nacional-emergencias/comunicacion/comunicados/recomendaciones-para-teletrabajo-oficinas-publicas</w:t>
            </w:r>
            <w:r>
              <w:rPr>
                <w:rFonts w:ascii="Arial" w:eastAsia="MS Mincho" w:hAnsi="Arial"/>
                <w:iCs/>
                <w:sz w:val="20"/>
                <w:szCs w:val="20"/>
                <w:lang w:val="es-ES_tradnl"/>
              </w:rPr>
              <w:t>.</w:t>
            </w:r>
          </w:p>
        </w:tc>
        <w:tc>
          <w:tcPr>
            <w:tcW w:w="2223" w:type="dxa"/>
            <w:shd w:val="clear" w:color="auto" w:fill="auto"/>
          </w:tcPr>
          <w:p w14:paraId="375E71A9" w14:textId="77777777" w:rsidR="00E06BD7" w:rsidRDefault="00E06BD7" w:rsidP="00E06BD7">
            <w:pPr>
              <w:ind w:left="-4"/>
              <w:jc w:val="both"/>
              <w:rPr>
                <w:rFonts w:ascii="Arial" w:eastAsia="MS Mincho" w:hAnsi="Arial" w:cs="Times New Roman"/>
                <w:sz w:val="20"/>
                <w:lang w:val="es-ES_tradnl"/>
              </w:rPr>
            </w:pPr>
            <w:r w:rsidRPr="000C16D1">
              <w:rPr>
                <w:rFonts w:ascii="Arial" w:eastAsia="MS Mincho" w:hAnsi="Arial" w:cs="Times New Roman"/>
                <w:sz w:val="20"/>
                <w:lang w:val="es-ES_tradnl"/>
              </w:rPr>
              <w:t>Cumplido</w:t>
            </w:r>
            <w:r>
              <w:rPr>
                <w:rFonts w:ascii="Arial" w:eastAsia="MS Mincho" w:hAnsi="Arial" w:cs="Times New Roman"/>
                <w:sz w:val="20"/>
                <w:lang w:val="es-ES_tradnl"/>
              </w:rPr>
              <w:t xml:space="preserve"> </w:t>
            </w:r>
          </w:p>
          <w:p w14:paraId="3D3B2D0C" w14:textId="77777777" w:rsidR="00E06BD7" w:rsidRPr="0025608E" w:rsidRDefault="00E06BD7" w:rsidP="00E06BD7">
            <w:pPr>
              <w:ind w:left="-4"/>
              <w:jc w:val="both"/>
              <w:rPr>
                <w:rFonts w:ascii="Arial" w:eastAsia="MS Mincho" w:hAnsi="Arial" w:cs="Times New Roman"/>
                <w:sz w:val="20"/>
                <w:lang w:val="pt-BR"/>
              </w:rPr>
            </w:pPr>
            <w:r w:rsidRPr="000C16D1">
              <w:rPr>
                <w:rFonts w:ascii="Arial" w:eastAsia="MS Mincho" w:hAnsi="Arial" w:cs="Times New Roman"/>
                <w:sz w:val="20"/>
                <w:lang w:val="es-ES_tradnl"/>
              </w:rPr>
              <w:t>(I trimestre, 2020)</w:t>
            </w:r>
            <w:r>
              <w:rPr>
                <w:rFonts w:ascii="Arial" w:eastAsia="MS Mincho" w:hAnsi="Arial" w:cs="Times New Roman"/>
                <w:sz w:val="20"/>
                <w:lang w:val="es-ES_tradnl"/>
              </w:rPr>
              <w:t xml:space="preserve"> </w:t>
            </w:r>
          </w:p>
        </w:tc>
        <w:tc>
          <w:tcPr>
            <w:tcW w:w="1468" w:type="dxa"/>
            <w:shd w:val="clear" w:color="auto" w:fill="auto"/>
          </w:tcPr>
          <w:p w14:paraId="223BF83B" w14:textId="77777777" w:rsidR="00E06BD7" w:rsidRDefault="00E06BD7" w:rsidP="00E06BD7">
            <w:pPr>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SINAE</w:t>
            </w:r>
          </w:p>
          <w:p w14:paraId="71AEC539" w14:textId="77777777" w:rsidR="00E06BD7" w:rsidRDefault="00E06BD7" w:rsidP="00E06BD7">
            <w:pPr>
              <w:jc w:val="both"/>
              <w:rPr>
                <w:rFonts w:ascii="Arial" w:eastAsia="MS Mincho" w:hAnsi="Arial" w:cs="Times New Roman"/>
                <w:sz w:val="20"/>
                <w:szCs w:val="20"/>
                <w:lang w:val="es-ES_tradnl"/>
              </w:rPr>
            </w:pPr>
          </w:p>
        </w:tc>
      </w:tr>
      <w:tr w:rsidR="00E06BD7" w:rsidRPr="0081034A" w14:paraId="2D1C8438" w14:textId="77777777" w:rsidTr="00E06BD7">
        <w:trPr>
          <w:trHeight w:val="620"/>
        </w:trPr>
        <w:tc>
          <w:tcPr>
            <w:tcW w:w="1739" w:type="dxa"/>
            <w:vMerge/>
          </w:tcPr>
          <w:p w14:paraId="6908ECBD" w14:textId="77777777" w:rsidR="00E06BD7" w:rsidRPr="000C16D1" w:rsidRDefault="00E06BD7" w:rsidP="00E06BD7">
            <w:pPr>
              <w:widowControl/>
              <w:spacing w:line="259" w:lineRule="auto"/>
              <w:contextualSpacing/>
              <w:rPr>
                <w:rFonts w:ascii="Arial" w:hAnsi="Arial"/>
                <w:sz w:val="20"/>
                <w:lang w:val="es-419"/>
              </w:rPr>
            </w:pPr>
          </w:p>
        </w:tc>
        <w:tc>
          <w:tcPr>
            <w:tcW w:w="4643" w:type="dxa"/>
            <w:shd w:val="clear" w:color="auto" w:fill="auto"/>
          </w:tcPr>
          <w:p w14:paraId="166EEF05" w14:textId="77777777" w:rsidR="00E06BD7" w:rsidRPr="0081034A" w:rsidRDefault="00E06BD7" w:rsidP="00E06BD7">
            <w:pPr>
              <w:ind w:left="-4"/>
              <w:rPr>
                <w:rFonts w:ascii="Arial" w:hAnsi="Arial"/>
                <w:sz w:val="20"/>
                <w:lang w:val="es-419"/>
              </w:rPr>
            </w:pPr>
            <w:r w:rsidRPr="0081034A">
              <w:rPr>
                <w:rFonts w:ascii="Arial" w:hAnsi="Arial"/>
                <w:sz w:val="20"/>
                <w:lang w:val="es-419"/>
              </w:rPr>
              <w:t>4.2</w:t>
            </w:r>
            <w:r>
              <w:rPr>
                <w:rFonts w:ascii="Arial" w:hAnsi="Arial"/>
                <w:sz w:val="20"/>
                <w:lang w:val="es-419"/>
              </w:rPr>
              <w:t xml:space="preserve">   </w:t>
            </w:r>
            <w:r w:rsidRPr="00CC1FF9">
              <w:rPr>
                <w:rFonts w:ascii="Arial" w:hAnsi="Arial"/>
                <w:sz w:val="20"/>
                <w:lang w:val="es-CO"/>
              </w:rPr>
              <w:t xml:space="preserve">Que se haya implementado la iniciativa “CEIBAL en Casa”, para </w:t>
            </w:r>
            <w:r>
              <w:rPr>
                <w:rFonts w:ascii="Arial" w:hAnsi="Arial"/>
                <w:sz w:val="20"/>
                <w:lang w:val="es-CO"/>
              </w:rPr>
              <w:t>mitigar los efectos de las suspensiones de clases por la crisis sanitaria</w:t>
            </w:r>
            <w:r w:rsidRPr="00CC1FF9">
              <w:rPr>
                <w:rFonts w:ascii="Arial" w:hAnsi="Arial"/>
                <w:sz w:val="20"/>
                <w:lang w:val="es-CO"/>
              </w:rPr>
              <w:t>.</w:t>
            </w:r>
          </w:p>
        </w:tc>
        <w:tc>
          <w:tcPr>
            <w:tcW w:w="3239" w:type="dxa"/>
            <w:shd w:val="clear" w:color="auto" w:fill="auto"/>
          </w:tcPr>
          <w:p w14:paraId="38D45CEC" w14:textId="77777777" w:rsidR="00E06BD7" w:rsidRDefault="00E06BD7" w:rsidP="00E06BD7">
            <w:pPr>
              <w:rPr>
                <w:rFonts w:ascii="Arial" w:eastAsia="MS Mincho" w:hAnsi="Arial"/>
                <w:iCs/>
                <w:sz w:val="20"/>
                <w:szCs w:val="20"/>
                <w:lang w:val="es-ES_tradnl"/>
              </w:rPr>
            </w:pPr>
            <w:r>
              <w:rPr>
                <w:rFonts w:ascii="Arial" w:eastAsia="MS Mincho" w:hAnsi="Arial"/>
                <w:iCs/>
                <w:sz w:val="20"/>
                <w:szCs w:val="20"/>
                <w:lang w:val="es-ES_tradnl"/>
              </w:rPr>
              <w:t>Informe Estrategia emitido por Ceibal que certifique la implementación de la iniciativa “CEIBAL en Casa”.</w:t>
            </w:r>
          </w:p>
          <w:p w14:paraId="45FD95DD" w14:textId="77777777" w:rsidR="00E06BD7" w:rsidRDefault="00E06BD7" w:rsidP="00E06BD7">
            <w:pPr>
              <w:rPr>
                <w:rFonts w:ascii="Arial" w:eastAsia="MS Mincho" w:hAnsi="Arial"/>
                <w:iCs/>
                <w:sz w:val="20"/>
                <w:szCs w:val="20"/>
                <w:lang w:val="es-ES_tradnl"/>
              </w:rPr>
            </w:pPr>
          </w:p>
        </w:tc>
        <w:tc>
          <w:tcPr>
            <w:tcW w:w="2223" w:type="dxa"/>
            <w:shd w:val="clear" w:color="auto" w:fill="auto"/>
          </w:tcPr>
          <w:p w14:paraId="2C6B07BE" w14:textId="77777777" w:rsidR="00E06BD7" w:rsidRPr="000C16D1" w:rsidRDefault="00E06BD7" w:rsidP="00E06BD7">
            <w:pPr>
              <w:jc w:val="both"/>
              <w:rPr>
                <w:rFonts w:ascii="Arial" w:eastAsia="MS Mincho" w:hAnsi="Arial" w:cs="Times New Roman"/>
                <w:sz w:val="20"/>
                <w:szCs w:val="20"/>
                <w:lang w:val="pt-BR"/>
              </w:rPr>
            </w:pPr>
            <w:r w:rsidRPr="64FF72FE">
              <w:rPr>
                <w:rFonts w:ascii="Arial" w:eastAsia="MS Mincho" w:hAnsi="Arial" w:cs="Times New Roman"/>
                <w:sz w:val="20"/>
                <w:szCs w:val="20"/>
                <w:lang w:val="pt-BR"/>
              </w:rPr>
              <w:t xml:space="preserve">Cumplido </w:t>
            </w:r>
          </w:p>
          <w:p w14:paraId="2114D04D" w14:textId="77777777" w:rsidR="00E06BD7" w:rsidRPr="000C16D1" w:rsidRDefault="00E06BD7" w:rsidP="00E06BD7">
            <w:pPr>
              <w:jc w:val="both"/>
              <w:rPr>
                <w:rFonts w:ascii="Arial" w:eastAsia="MS Mincho" w:hAnsi="Arial" w:cs="Times New Roman"/>
                <w:sz w:val="20"/>
                <w:szCs w:val="20"/>
                <w:lang w:val="pt-BR"/>
              </w:rPr>
            </w:pPr>
            <w:r w:rsidRPr="64FF72FE">
              <w:rPr>
                <w:rFonts w:ascii="Arial" w:eastAsia="MS Mincho" w:hAnsi="Arial" w:cs="Times New Roman"/>
                <w:sz w:val="20"/>
                <w:szCs w:val="20"/>
                <w:lang w:val="pt-BR"/>
              </w:rPr>
              <w:t>(II trimestre, 2020)</w:t>
            </w:r>
          </w:p>
          <w:p w14:paraId="3687F05E" w14:textId="77777777" w:rsidR="00E06BD7" w:rsidRPr="0025608E" w:rsidRDefault="00E06BD7" w:rsidP="00E06BD7">
            <w:pPr>
              <w:ind w:left="-4"/>
              <w:jc w:val="both"/>
              <w:rPr>
                <w:rFonts w:ascii="Arial" w:eastAsia="MS Mincho" w:hAnsi="Arial" w:cs="Times New Roman"/>
                <w:sz w:val="20"/>
                <w:lang w:val="pt-BR"/>
              </w:rPr>
            </w:pPr>
          </w:p>
        </w:tc>
        <w:tc>
          <w:tcPr>
            <w:tcW w:w="1468" w:type="dxa"/>
            <w:shd w:val="clear" w:color="auto" w:fill="auto"/>
          </w:tcPr>
          <w:p w14:paraId="181D0A30" w14:textId="77777777" w:rsidR="00E06BD7" w:rsidRDefault="00E06BD7" w:rsidP="00E06BD7">
            <w:pPr>
              <w:jc w:val="both"/>
              <w:rPr>
                <w:rFonts w:ascii="Arial" w:eastAsia="MS Mincho" w:hAnsi="Arial" w:cs="Times New Roman"/>
                <w:sz w:val="20"/>
                <w:szCs w:val="20"/>
                <w:lang w:val="es-ES_tradnl"/>
              </w:rPr>
            </w:pPr>
            <w:r>
              <w:rPr>
                <w:rFonts w:ascii="Arial" w:eastAsia="MS Mincho" w:hAnsi="Arial" w:cs="Times New Roman"/>
                <w:sz w:val="20"/>
                <w:szCs w:val="20"/>
                <w:lang w:val="es-ES_tradnl"/>
              </w:rPr>
              <w:t>CEIBAL</w:t>
            </w:r>
          </w:p>
        </w:tc>
      </w:tr>
      <w:tr w:rsidR="00E06BD7" w:rsidRPr="0081034A" w14:paraId="333EAE1C" w14:textId="77777777" w:rsidTr="00E06BD7">
        <w:trPr>
          <w:trHeight w:val="953"/>
        </w:trPr>
        <w:tc>
          <w:tcPr>
            <w:tcW w:w="1739" w:type="dxa"/>
            <w:vMerge/>
          </w:tcPr>
          <w:p w14:paraId="3A091556" w14:textId="77777777" w:rsidR="00E06BD7" w:rsidRPr="000C16D1" w:rsidRDefault="00E06BD7" w:rsidP="00E06BD7">
            <w:pPr>
              <w:widowControl/>
              <w:spacing w:line="259" w:lineRule="auto"/>
              <w:contextualSpacing/>
              <w:rPr>
                <w:rFonts w:ascii="Arial" w:hAnsi="Arial"/>
                <w:sz w:val="20"/>
                <w:lang w:val="es-419"/>
              </w:rPr>
            </w:pPr>
          </w:p>
        </w:tc>
        <w:tc>
          <w:tcPr>
            <w:tcW w:w="4643" w:type="dxa"/>
            <w:shd w:val="clear" w:color="auto" w:fill="auto"/>
          </w:tcPr>
          <w:p w14:paraId="0984588A" w14:textId="24029157" w:rsidR="00E06BD7" w:rsidRPr="0081034A" w:rsidRDefault="00E06BD7" w:rsidP="00E06BD7">
            <w:pPr>
              <w:ind w:left="-4"/>
              <w:rPr>
                <w:rFonts w:ascii="Arial" w:hAnsi="Arial"/>
                <w:sz w:val="20"/>
                <w:lang w:val="es-419"/>
              </w:rPr>
            </w:pPr>
            <w:r w:rsidRPr="000C16D1">
              <w:rPr>
                <w:rFonts w:ascii="Arial" w:hAnsi="Arial"/>
                <w:sz w:val="20"/>
                <w:lang w:val="es-419"/>
              </w:rPr>
              <w:t>4.3.</w:t>
            </w:r>
            <w:r>
              <w:rPr>
                <w:rFonts w:ascii="Arial" w:hAnsi="Arial"/>
                <w:sz w:val="20"/>
                <w:lang w:val="es-419"/>
              </w:rPr>
              <w:t xml:space="preserve">   </w:t>
            </w:r>
            <w:r w:rsidRPr="000C16D1">
              <w:rPr>
                <w:rFonts w:ascii="Arial" w:hAnsi="Arial"/>
                <w:sz w:val="20"/>
                <w:lang w:val="es-419"/>
              </w:rPr>
              <w:t>Que la Administración Nacional de Telecomunicaciones haya iniciado la implementación de medidas para apoyar el acceso a internet a la población ante la crisis sanitaria COVID-19</w:t>
            </w:r>
            <w:r w:rsidR="008410D7">
              <w:rPr>
                <w:rFonts w:ascii="Arial" w:hAnsi="Arial"/>
                <w:sz w:val="20"/>
                <w:lang w:val="es-419"/>
              </w:rPr>
              <w:t>.</w:t>
            </w:r>
          </w:p>
        </w:tc>
        <w:tc>
          <w:tcPr>
            <w:tcW w:w="3239" w:type="dxa"/>
            <w:shd w:val="clear" w:color="auto" w:fill="auto"/>
          </w:tcPr>
          <w:p w14:paraId="354566DF" w14:textId="77777777" w:rsidR="00E06BD7" w:rsidRDefault="00E06BD7" w:rsidP="00E06BD7">
            <w:pPr>
              <w:rPr>
                <w:rFonts w:ascii="Arial" w:eastAsia="MS Mincho" w:hAnsi="Arial"/>
                <w:iCs/>
                <w:sz w:val="20"/>
                <w:szCs w:val="20"/>
                <w:lang w:val="es-ES_tradnl"/>
              </w:rPr>
            </w:pPr>
            <w:r>
              <w:rPr>
                <w:rFonts w:ascii="Arial" w:eastAsia="MS Mincho" w:hAnsi="Arial"/>
                <w:iCs/>
                <w:sz w:val="20"/>
                <w:szCs w:val="20"/>
                <w:lang w:val="es-ES_tradnl"/>
              </w:rPr>
              <w:t>Comunicados de ANTEL publicados en su página web: (</w:t>
            </w:r>
            <w:hyperlink r:id="rId13" w:history="1">
              <w:r w:rsidRPr="00BC4C1C">
                <w:rPr>
                  <w:rStyle w:val="Hyperlink"/>
                  <w:rFonts w:ascii="Arial" w:eastAsia="MS Mincho" w:hAnsi="Arial"/>
                  <w:iCs/>
                  <w:sz w:val="20"/>
                  <w:szCs w:val="20"/>
                  <w:lang w:val="es-ES_tradnl"/>
                </w:rPr>
                <w:t>https://www.antel.com.uy/personas-y-hogares/novedades/te-regalamos-50-gigas-para-tu-universal-hogares</w:t>
              </w:r>
            </w:hyperlink>
            <w:r>
              <w:rPr>
                <w:rFonts w:ascii="Arial" w:eastAsia="MS Mincho" w:hAnsi="Arial"/>
                <w:iCs/>
                <w:sz w:val="20"/>
                <w:szCs w:val="20"/>
                <w:lang w:val="es-ES_tradnl"/>
              </w:rPr>
              <w:t xml:space="preserve">), y </w:t>
            </w:r>
            <w:hyperlink r:id="rId14" w:history="1">
              <w:r w:rsidRPr="00042603">
                <w:rPr>
                  <w:rStyle w:val="Hyperlink"/>
                  <w:rFonts w:ascii="Arial" w:eastAsia="MS Mincho" w:hAnsi="Arial"/>
                  <w:iCs/>
                  <w:sz w:val="20"/>
                  <w:szCs w:val="20"/>
                  <w:lang w:val="es-ES_tradnl"/>
                </w:rPr>
                <w:t>https://www.antel.com.uy/documents/20182/1895475/Antel-medidas-Covid19.pdf/3d2b4acf-b6a8-41f5-ad05-df823e880299</w:t>
              </w:r>
            </w:hyperlink>
            <w:r>
              <w:rPr>
                <w:rFonts w:ascii="Arial" w:eastAsia="MS Mincho" w:hAnsi="Arial"/>
                <w:iCs/>
                <w:sz w:val="20"/>
                <w:szCs w:val="20"/>
                <w:lang w:val="es-ES_tradnl"/>
              </w:rPr>
              <w:t>.</w:t>
            </w:r>
          </w:p>
          <w:p w14:paraId="42885074" w14:textId="77777777" w:rsidR="00E06BD7" w:rsidRDefault="00E06BD7" w:rsidP="00E06BD7">
            <w:pPr>
              <w:rPr>
                <w:rFonts w:ascii="Arial" w:eastAsia="MS Mincho" w:hAnsi="Arial"/>
                <w:iCs/>
                <w:sz w:val="20"/>
                <w:szCs w:val="20"/>
                <w:lang w:val="es-ES_tradnl"/>
              </w:rPr>
            </w:pPr>
          </w:p>
        </w:tc>
        <w:tc>
          <w:tcPr>
            <w:tcW w:w="2223" w:type="dxa"/>
            <w:shd w:val="clear" w:color="auto" w:fill="auto"/>
          </w:tcPr>
          <w:p w14:paraId="02834B02" w14:textId="77777777" w:rsidR="00E06BD7" w:rsidRDefault="00E06BD7" w:rsidP="00E06BD7">
            <w:pPr>
              <w:jc w:val="both"/>
              <w:rPr>
                <w:rFonts w:ascii="Arial" w:eastAsia="MS Mincho" w:hAnsi="Arial" w:cs="Times New Roman"/>
                <w:sz w:val="20"/>
                <w:lang w:val="pt-BR"/>
              </w:rPr>
            </w:pPr>
            <w:r w:rsidRPr="000C16D1">
              <w:rPr>
                <w:rFonts w:ascii="Arial" w:eastAsia="MS Mincho" w:hAnsi="Arial" w:cs="Times New Roman"/>
                <w:sz w:val="20"/>
                <w:lang w:val="pt-BR"/>
              </w:rPr>
              <w:t>Cumplido</w:t>
            </w:r>
            <w:r>
              <w:rPr>
                <w:rFonts w:ascii="Arial" w:eastAsia="MS Mincho" w:hAnsi="Arial" w:cs="Times New Roman"/>
                <w:sz w:val="20"/>
                <w:lang w:val="pt-BR"/>
              </w:rPr>
              <w:t xml:space="preserve"> </w:t>
            </w:r>
          </w:p>
          <w:p w14:paraId="01E14F8A" w14:textId="77777777" w:rsidR="00E06BD7" w:rsidRPr="000C16D1" w:rsidRDefault="00E06BD7" w:rsidP="00E06BD7">
            <w:pPr>
              <w:jc w:val="both"/>
              <w:rPr>
                <w:rFonts w:ascii="Arial" w:eastAsia="MS Mincho" w:hAnsi="Arial" w:cs="Times New Roman"/>
                <w:sz w:val="20"/>
                <w:lang w:val="pt-BR"/>
              </w:rPr>
            </w:pPr>
            <w:r w:rsidRPr="000C16D1">
              <w:rPr>
                <w:rFonts w:ascii="Arial" w:eastAsia="MS Mincho" w:hAnsi="Arial" w:cs="Times New Roman"/>
                <w:sz w:val="20"/>
                <w:lang w:val="pt-BR"/>
              </w:rPr>
              <w:t>(I trimestre</w:t>
            </w:r>
            <w:r>
              <w:rPr>
                <w:rFonts w:ascii="Arial" w:eastAsia="MS Mincho" w:hAnsi="Arial" w:cs="Times New Roman"/>
                <w:sz w:val="20"/>
                <w:lang w:val="pt-BR"/>
              </w:rPr>
              <w:t>,</w:t>
            </w:r>
            <w:r w:rsidRPr="000C16D1">
              <w:rPr>
                <w:rFonts w:ascii="Arial" w:eastAsia="MS Mincho" w:hAnsi="Arial" w:cs="Times New Roman"/>
                <w:sz w:val="20"/>
                <w:lang w:val="pt-BR"/>
              </w:rPr>
              <w:t xml:space="preserve"> 2020)</w:t>
            </w:r>
          </w:p>
          <w:p w14:paraId="3BB5235F" w14:textId="77777777" w:rsidR="00E06BD7" w:rsidRPr="000C16D1" w:rsidRDefault="00E06BD7" w:rsidP="00E06BD7">
            <w:pPr>
              <w:ind w:left="-4"/>
              <w:jc w:val="both"/>
              <w:rPr>
                <w:rFonts w:ascii="Arial" w:eastAsia="MS Mincho" w:hAnsi="Arial" w:cs="Times New Roman"/>
                <w:sz w:val="20"/>
                <w:lang w:val="es-ES_tradnl"/>
              </w:rPr>
            </w:pPr>
          </w:p>
        </w:tc>
        <w:tc>
          <w:tcPr>
            <w:tcW w:w="1468" w:type="dxa"/>
            <w:shd w:val="clear" w:color="auto" w:fill="auto"/>
          </w:tcPr>
          <w:p w14:paraId="2F1AD3DE" w14:textId="77777777" w:rsidR="00E06BD7" w:rsidRDefault="00E06BD7" w:rsidP="00E06BD7">
            <w:pPr>
              <w:jc w:val="both"/>
              <w:rPr>
                <w:rFonts w:ascii="Arial" w:eastAsia="MS Mincho" w:hAnsi="Arial" w:cs="Times New Roman"/>
                <w:sz w:val="20"/>
                <w:szCs w:val="20"/>
                <w:lang w:val="es-ES_tradnl"/>
              </w:rPr>
            </w:pPr>
            <w:r>
              <w:rPr>
                <w:rFonts w:ascii="Arial" w:eastAsia="MS Mincho" w:hAnsi="Arial" w:cs="Times New Roman"/>
                <w:sz w:val="20"/>
                <w:szCs w:val="20"/>
                <w:lang w:val="es-ES_tradnl"/>
              </w:rPr>
              <w:t>ANTEL</w:t>
            </w:r>
          </w:p>
        </w:tc>
      </w:tr>
      <w:tr w:rsidR="00E06BD7" w:rsidRPr="0081034A" w14:paraId="3CAFAF51" w14:textId="77777777" w:rsidTr="00E06BD7">
        <w:trPr>
          <w:trHeight w:val="476"/>
        </w:trPr>
        <w:tc>
          <w:tcPr>
            <w:tcW w:w="1739" w:type="dxa"/>
            <w:vMerge/>
          </w:tcPr>
          <w:p w14:paraId="06AA466F" w14:textId="77777777" w:rsidR="00E06BD7" w:rsidRPr="000C16D1" w:rsidRDefault="00E06BD7" w:rsidP="00E06BD7">
            <w:pPr>
              <w:widowControl/>
              <w:spacing w:line="259" w:lineRule="auto"/>
              <w:contextualSpacing/>
              <w:rPr>
                <w:rFonts w:ascii="Arial" w:hAnsi="Arial"/>
                <w:sz w:val="20"/>
                <w:lang w:val="es-419"/>
              </w:rPr>
            </w:pPr>
          </w:p>
        </w:tc>
        <w:tc>
          <w:tcPr>
            <w:tcW w:w="4643" w:type="dxa"/>
            <w:shd w:val="clear" w:color="auto" w:fill="auto"/>
          </w:tcPr>
          <w:p w14:paraId="4D5CD722" w14:textId="77777777" w:rsidR="00E06BD7" w:rsidRPr="0081034A" w:rsidRDefault="00E06BD7" w:rsidP="00E06BD7">
            <w:pPr>
              <w:ind w:left="-4"/>
              <w:rPr>
                <w:rFonts w:ascii="Arial" w:hAnsi="Arial"/>
                <w:sz w:val="20"/>
                <w:lang w:val="es-419"/>
              </w:rPr>
            </w:pPr>
            <w:r w:rsidRPr="000C16D1">
              <w:rPr>
                <w:rFonts w:ascii="Arial" w:hAnsi="Arial"/>
                <w:sz w:val="20"/>
                <w:lang w:val="es-419"/>
              </w:rPr>
              <w:t>4.4.</w:t>
            </w:r>
            <w:r>
              <w:rPr>
                <w:rFonts w:ascii="Arial" w:hAnsi="Arial"/>
                <w:sz w:val="20"/>
                <w:lang w:val="es-419"/>
              </w:rPr>
              <w:t xml:space="preserve">    </w:t>
            </w:r>
            <w:r w:rsidRPr="00CC1FF9">
              <w:rPr>
                <w:rFonts w:ascii="Arial" w:hAnsi="Arial"/>
                <w:sz w:val="20"/>
                <w:lang w:val="es-CO"/>
              </w:rPr>
              <w:t>Que la Dirección General Impositiva del MEF haya establecido un mecanismo alternativo destinado a facilitar los trámites de declaración del Impuesto a la Renta de las Personas Físicas, permitiendo la recepción de las declaraciones juradas de no residentes en formato digital.</w:t>
            </w:r>
          </w:p>
        </w:tc>
        <w:tc>
          <w:tcPr>
            <w:tcW w:w="3239" w:type="dxa"/>
            <w:shd w:val="clear" w:color="auto" w:fill="auto"/>
          </w:tcPr>
          <w:p w14:paraId="7DB5FFC6" w14:textId="77777777" w:rsidR="00E06BD7" w:rsidRDefault="00E06BD7" w:rsidP="00E06BD7">
            <w:pPr>
              <w:rPr>
                <w:rFonts w:ascii="Arial" w:eastAsia="MS Mincho" w:hAnsi="Arial"/>
                <w:iCs/>
                <w:sz w:val="20"/>
                <w:szCs w:val="20"/>
                <w:lang w:val="es-ES_tradnl"/>
              </w:rPr>
            </w:pPr>
            <w:r>
              <w:rPr>
                <w:rFonts w:ascii="Arial" w:eastAsia="MS Mincho" w:hAnsi="Arial" w:cs="Times New Roman"/>
                <w:sz w:val="20"/>
                <w:szCs w:val="20"/>
                <w:lang w:val="es-ES"/>
              </w:rPr>
              <w:t>Copia de la p</w:t>
            </w:r>
            <w:r w:rsidRPr="00756C46">
              <w:rPr>
                <w:rFonts w:ascii="Arial" w:eastAsia="MS Mincho" w:hAnsi="Arial" w:cs="Times New Roman"/>
                <w:sz w:val="20"/>
                <w:szCs w:val="20"/>
                <w:lang w:val="es-ES"/>
              </w:rPr>
              <w:t xml:space="preserve">ublicación </w:t>
            </w:r>
            <w:r>
              <w:rPr>
                <w:rFonts w:ascii="Arial" w:eastAsia="MS Mincho" w:hAnsi="Arial" w:cs="Times New Roman"/>
                <w:sz w:val="20"/>
                <w:szCs w:val="20"/>
                <w:lang w:val="es-ES"/>
              </w:rPr>
              <w:t xml:space="preserve">en el </w:t>
            </w:r>
            <w:r>
              <w:rPr>
                <w:rFonts w:ascii="Arial" w:eastAsia="MS Mincho" w:hAnsi="Arial"/>
                <w:sz w:val="20"/>
                <w:szCs w:val="20"/>
                <w:lang w:val="es-ES_tradnl"/>
              </w:rPr>
              <w:t xml:space="preserve">Diario Oficial de la República Oriental del Uruguay </w:t>
            </w:r>
            <w:r>
              <w:rPr>
                <w:rFonts w:ascii="Arial" w:eastAsia="MS Mincho" w:hAnsi="Arial"/>
                <w:iCs/>
                <w:sz w:val="20"/>
                <w:szCs w:val="20"/>
                <w:lang w:val="es-ES_tradnl"/>
              </w:rPr>
              <w:t xml:space="preserve">de la Resolución </w:t>
            </w:r>
            <w:r w:rsidRPr="000C16D1">
              <w:rPr>
                <w:rFonts w:ascii="Arial" w:eastAsia="MS Mincho" w:hAnsi="Arial" w:cs="Times New Roman"/>
                <w:sz w:val="20"/>
                <w:lang w:val="es-ES_tradnl"/>
              </w:rPr>
              <w:t xml:space="preserve">632/2020 </w:t>
            </w:r>
            <w:r>
              <w:rPr>
                <w:rFonts w:ascii="Arial" w:eastAsia="MS Mincho" w:hAnsi="Arial"/>
                <w:iCs/>
                <w:sz w:val="20"/>
                <w:szCs w:val="20"/>
                <w:lang w:val="es-ES_tradnl"/>
              </w:rPr>
              <w:t>de la DGI del MEF.</w:t>
            </w:r>
          </w:p>
        </w:tc>
        <w:tc>
          <w:tcPr>
            <w:tcW w:w="2223" w:type="dxa"/>
            <w:shd w:val="clear" w:color="auto" w:fill="auto"/>
          </w:tcPr>
          <w:p w14:paraId="4A22599F" w14:textId="77777777" w:rsidR="00E06BD7" w:rsidRPr="000C16D1" w:rsidRDefault="00E06BD7" w:rsidP="00E06BD7">
            <w:pPr>
              <w:jc w:val="both"/>
              <w:rPr>
                <w:rFonts w:ascii="Arial" w:eastAsia="MS Mincho" w:hAnsi="Arial" w:cs="Times New Roman"/>
                <w:sz w:val="20"/>
                <w:lang w:val="es-ES_tradnl"/>
              </w:rPr>
            </w:pPr>
            <w:r w:rsidRPr="000C16D1">
              <w:rPr>
                <w:rFonts w:ascii="Arial" w:eastAsia="MS Mincho" w:hAnsi="Arial" w:cs="Times New Roman"/>
                <w:sz w:val="20"/>
                <w:lang w:val="es-ES_tradnl"/>
              </w:rPr>
              <w:t>Cumplido</w:t>
            </w:r>
          </w:p>
          <w:p w14:paraId="22D50AFF" w14:textId="77777777" w:rsidR="00E06BD7" w:rsidRPr="000C16D1" w:rsidRDefault="00E06BD7" w:rsidP="00E06BD7">
            <w:pPr>
              <w:ind w:left="-4"/>
              <w:jc w:val="both"/>
              <w:rPr>
                <w:rFonts w:ascii="Arial" w:eastAsia="MS Mincho" w:hAnsi="Arial" w:cs="Times New Roman"/>
                <w:sz w:val="20"/>
                <w:lang w:val="es-ES_tradnl"/>
              </w:rPr>
            </w:pPr>
            <w:r w:rsidRPr="000C16D1">
              <w:rPr>
                <w:rFonts w:ascii="Arial" w:eastAsia="MS Mincho" w:hAnsi="Arial" w:cs="Times New Roman"/>
                <w:sz w:val="20"/>
                <w:lang w:val="es-ES_tradnl"/>
              </w:rPr>
              <w:t>(II trimestre</w:t>
            </w:r>
            <w:r>
              <w:rPr>
                <w:rFonts w:ascii="Arial" w:eastAsia="MS Mincho" w:hAnsi="Arial" w:cs="Times New Roman"/>
                <w:sz w:val="20"/>
                <w:lang w:val="es-ES_tradnl"/>
              </w:rPr>
              <w:t xml:space="preserve">, </w:t>
            </w:r>
            <w:r w:rsidRPr="000C16D1">
              <w:rPr>
                <w:rFonts w:ascii="Arial" w:eastAsia="MS Mincho" w:hAnsi="Arial" w:cs="Times New Roman"/>
                <w:sz w:val="20"/>
                <w:lang w:val="es-ES_tradnl"/>
              </w:rPr>
              <w:t>2020)</w:t>
            </w:r>
          </w:p>
          <w:p w14:paraId="62139122" w14:textId="77777777" w:rsidR="00E06BD7" w:rsidRPr="000C16D1" w:rsidRDefault="00E06BD7" w:rsidP="00E06BD7">
            <w:pPr>
              <w:ind w:left="-4"/>
              <w:jc w:val="both"/>
              <w:rPr>
                <w:rFonts w:ascii="Arial" w:eastAsia="MS Mincho" w:hAnsi="Arial" w:cs="Times New Roman"/>
                <w:sz w:val="20"/>
                <w:lang w:val="es-ES_tradnl"/>
              </w:rPr>
            </w:pPr>
          </w:p>
        </w:tc>
        <w:tc>
          <w:tcPr>
            <w:tcW w:w="1468" w:type="dxa"/>
            <w:shd w:val="clear" w:color="auto" w:fill="auto"/>
          </w:tcPr>
          <w:p w14:paraId="23B39D8B" w14:textId="77777777" w:rsidR="00E06BD7" w:rsidRDefault="00E06BD7" w:rsidP="00E06BD7">
            <w:pPr>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tc>
      </w:tr>
      <w:tr w:rsidR="00E06BD7" w:rsidRPr="00A4411A" w14:paraId="15E1BB19" w14:textId="77777777" w:rsidTr="00E06BD7">
        <w:tc>
          <w:tcPr>
            <w:tcW w:w="13312" w:type="dxa"/>
            <w:gridSpan w:val="5"/>
            <w:shd w:val="clear" w:color="auto" w:fill="auto"/>
          </w:tcPr>
          <w:p w14:paraId="3AE59DC1" w14:textId="77777777" w:rsidR="00E06BD7" w:rsidRPr="00746F85" w:rsidRDefault="00E06BD7" w:rsidP="00E06BD7">
            <w:pPr>
              <w:spacing w:before="60" w:after="60"/>
              <w:rPr>
                <w:rFonts w:ascii="Arial" w:eastAsia="MS Mincho" w:hAnsi="Arial" w:cs="Times New Roman"/>
                <w:b/>
                <w:sz w:val="20"/>
                <w:lang w:val="es-ES_tradnl"/>
              </w:rPr>
            </w:pPr>
            <w:r w:rsidRPr="0025608E">
              <w:rPr>
                <w:rFonts w:ascii="Arial" w:eastAsia="MS Mincho" w:hAnsi="Arial" w:cs="Times New Roman"/>
                <w:b/>
                <w:sz w:val="20"/>
                <w:lang w:val="es-ES_tradnl"/>
              </w:rPr>
              <w:t>Componente 5: Fortalecimiento económico y fiscal para el periodo post pandemia</w:t>
            </w:r>
          </w:p>
        </w:tc>
      </w:tr>
      <w:tr w:rsidR="00E06BD7" w:rsidRPr="00BF698D" w14:paraId="666BA65C" w14:textId="77777777" w:rsidTr="00E06BD7">
        <w:trPr>
          <w:trHeight w:val="1212"/>
        </w:trPr>
        <w:tc>
          <w:tcPr>
            <w:tcW w:w="1739" w:type="dxa"/>
            <w:vMerge w:val="restart"/>
            <w:shd w:val="clear" w:color="auto" w:fill="auto"/>
          </w:tcPr>
          <w:p w14:paraId="0FD37A96" w14:textId="77777777" w:rsidR="00E06BD7" w:rsidRPr="00746F85" w:rsidRDefault="00E06BD7" w:rsidP="00E06BD7">
            <w:pPr>
              <w:spacing w:before="60" w:after="60"/>
              <w:ind w:left="-4"/>
              <w:jc w:val="both"/>
              <w:rPr>
                <w:rFonts w:ascii="Arial" w:eastAsia="MS Mincho" w:hAnsi="Arial" w:cs="Times New Roman"/>
                <w:sz w:val="20"/>
                <w:szCs w:val="20"/>
                <w:lang w:val="es-ES"/>
              </w:rPr>
            </w:pPr>
            <w:r w:rsidRPr="00E65658">
              <w:rPr>
                <w:rFonts w:ascii="Arial" w:eastAsiaTheme="minorEastAsia" w:hAnsi="Arial"/>
                <w:sz w:val="20"/>
                <w:szCs w:val="20"/>
                <w:lang w:val="es-ES_tradnl"/>
              </w:rPr>
              <w:t>Promover la recuperación económica y fiscal en el periodo post pandemia.</w:t>
            </w:r>
          </w:p>
        </w:tc>
        <w:tc>
          <w:tcPr>
            <w:tcW w:w="4643" w:type="dxa"/>
            <w:shd w:val="clear" w:color="auto" w:fill="auto"/>
          </w:tcPr>
          <w:p w14:paraId="3F12916D" w14:textId="77777777" w:rsidR="00E06BD7" w:rsidRPr="00EA520E" w:rsidRDefault="00E06BD7" w:rsidP="00E06BD7">
            <w:pPr>
              <w:ind w:left="-4"/>
              <w:rPr>
                <w:rFonts w:ascii="Arial" w:hAnsi="Arial"/>
                <w:sz w:val="20"/>
                <w:szCs w:val="20"/>
                <w:lang w:val="es-ES"/>
              </w:rPr>
            </w:pPr>
            <w:r w:rsidRPr="0025608E">
              <w:rPr>
                <w:rFonts w:ascii="Arial" w:hAnsi="Arial"/>
                <w:sz w:val="20"/>
                <w:szCs w:val="20"/>
                <w:lang w:val="es-ES"/>
              </w:rPr>
              <w:t>5.1</w:t>
            </w:r>
            <w:r>
              <w:rPr>
                <w:rFonts w:ascii="Arial" w:hAnsi="Arial"/>
                <w:sz w:val="20"/>
                <w:szCs w:val="20"/>
                <w:lang w:val="es-ES"/>
              </w:rPr>
              <w:t xml:space="preserve">.   </w:t>
            </w:r>
            <w:r w:rsidRPr="0025608E">
              <w:rPr>
                <w:rFonts w:ascii="Arial" w:hAnsi="Arial"/>
                <w:sz w:val="20"/>
                <w:szCs w:val="20"/>
                <w:lang w:val="es-ES"/>
              </w:rPr>
              <w:t xml:space="preserve">Que se encuentre en funcionamiento un grupo de trabajo </w:t>
            </w:r>
            <w:r w:rsidRPr="00A6261A">
              <w:rPr>
                <w:rFonts w:ascii="Arial" w:hAnsi="Arial"/>
                <w:sz w:val="20"/>
                <w:szCs w:val="20"/>
                <w:lang w:val="es-ES"/>
              </w:rPr>
              <w:t>interinstitucional para</w:t>
            </w:r>
            <w:r w:rsidRPr="0025608E">
              <w:rPr>
                <w:rFonts w:ascii="Arial" w:hAnsi="Arial"/>
                <w:sz w:val="20"/>
                <w:szCs w:val="20"/>
                <w:lang w:val="es-ES"/>
              </w:rPr>
              <w:t xml:space="preserve"> </w:t>
            </w:r>
            <w:r>
              <w:rPr>
                <w:rFonts w:ascii="Arial" w:hAnsi="Arial"/>
                <w:sz w:val="20"/>
                <w:szCs w:val="20"/>
                <w:lang w:val="es-ES"/>
              </w:rPr>
              <w:t xml:space="preserve">enfrentar la permanente evaluación de las medidas implementadas y a implementar, y </w:t>
            </w:r>
            <w:r w:rsidRPr="0025608E">
              <w:rPr>
                <w:rFonts w:ascii="Arial" w:hAnsi="Arial"/>
                <w:sz w:val="20"/>
                <w:szCs w:val="20"/>
                <w:lang w:val="es-ES"/>
              </w:rPr>
              <w:t>guiar la</w:t>
            </w:r>
            <w:r>
              <w:rPr>
                <w:rFonts w:ascii="Arial" w:hAnsi="Arial"/>
                <w:sz w:val="20"/>
                <w:szCs w:val="20"/>
                <w:lang w:val="es-ES"/>
              </w:rPr>
              <w:t xml:space="preserve">s acciones a tomar para el fortalecimiento </w:t>
            </w:r>
            <w:r w:rsidRPr="0025608E">
              <w:rPr>
                <w:rFonts w:ascii="Arial" w:hAnsi="Arial"/>
                <w:sz w:val="20"/>
                <w:szCs w:val="20"/>
                <w:lang w:val="es-ES"/>
              </w:rPr>
              <w:t>económico y fiscal</w:t>
            </w:r>
            <w:r>
              <w:rPr>
                <w:rFonts w:ascii="Arial" w:hAnsi="Arial"/>
                <w:sz w:val="20"/>
                <w:szCs w:val="20"/>
                <w:lang w:val="es-ES"/>
              </w:rPr>
              <w:t xml:space="preserve"> en el mediano plazo.</w:t>
            </w:r>
            <w:r w:rsidRPr="0025608E">
              <w:rPr>
                <w:rFonts w:ascii="Arial" w:hAnsi="Arial"/>
                <w:sz w:val="20"/>
                <w:szCs w:val="20"/>
                <w:lang w:val="es-ES"/>
              </w:rPr>
              <w:t xml:space="preserve"> </w:t>
            </w:r>
          </w:p>
        </w:tc>
        <w:tc>
          <w:tcPr>
            <w:tcW w:w="3239" w:type="dxa"/>
            <w:shd w:val="clear" w:color="auto" w:fill="auto"/>
          </w:tcPr>
          <w:p w14:paraId="4661E0A2" w14:textId="77777777" w:rsidR="00E06BD7" w:rsidRPr="00BF698D" w:rsidRDefault="00E06BD7" w:rsidP="00E06BD7">
            <w:pPr>
              <w:jc w:val="both"/>
              <w:rPr>
                <w:rFonts w:ascii="Arial" w:eastAsia="MS Mincho" w:hAnsi="Arial" w:cs="Times New Roman"/>
                <w:sz w:val="20"/>
                <w:szCs w:val="20"/>
                <w:lang w:val="es-ES"/>
              </w:rPr>
            </w:pPr>
            <w:r w:rsidRPr="00BF698D">
              <w:rPr>
                <w:rFonts w:ascii="Arial" w:eastAsia="MS Mincho" w:hAnsi="Arial" w:cs="Times New Roman"/>
                <w:sz w:val="20"/>
                <w:szCs w:val="20"/>
                <w:lang w:val="es-ES"/>
              </w:rPr>
              <w:t>Acta de Reuni</w:t>
            </w:r>
            <w:r>
              <w:rPr>
                <w:rFonts w:ascii="Arial" w:eastAsia="MS Mincho" w:hAnsi="Arial" w:cs="Times New Roman"/>
                <w:sz w:val="20"/>
                <w:szCs w:val="20"/>
                <w:lang w:val="es-ES"/>
              </w:rPr>
              <w:t>ó</w:t>
            </w:r>
            <w:r w:rsidRPr="00BF698D">
              <w:rPr>
                <w:rFonts w:ascii="Arial" w:eastAsia="MS Mincho" w:hAnsi="Arial" w:cs="Times New Roman"/>
                <w:sz w:val="20"/>
                <w:szCs w:val="20"/>
                <w:lang w:val="es-ES"/>
              </w:rPr>
              <w:t xml:space="preserve">n del </w:t>
            </w:r>
            <w:r>
              <w:rPr>
                <w:rFonts w:ascii="Arial" w:eastAsia="MS Mincho" w:hAnsi="Arial" w:cs="Times New Roman"/>
                <w:sz w:val="20"/>
                <w:szCs w:val="20"/>
                <w:lang w:val="es-ES"/>
              </w:rPr>
              <w:t>grupo de trabajo con participación interinstitucional</w:t>
            </w:r>
            <w:r w:rsidRPr="00BF698D">
              <w:rPr>
                <w:rFonts w:ascii="Arial" w:eastAsia="MS Mincho" w:hAnsi="Arial" w:cs="Times New Roman"/>
                <w:sz w:val="20"/>
                <w:szCs w:val="20"/>
                <w:lang w:val="es-ES"/>
              </w:rPr>
              <w:t>.</w:t>
            </w:r>
          </w:p>
          <w:p w14:paraId="33F37F1E" w14:textId="77777777" w:rsidR="00E06BD7" w:rsidRPr="00746F85" w:rsidRDefault="00E06BD7" w:rsidP="00E06BD7">
            <w:pPr>
              <w:jc w:val="both"/>
              <w:rPr>
                <w:rFonts w:ascii="Arial" w:eastAsia="MS Mincho" w:hAnsi="Arial" w:cs="Times New Roman"/>
                <w:sz w:val="20"/>
                <w:szCs w:val="20"/>
                <w:lang w:val="es-ES"/>
              </w:rPr>
            </w:pPr>
          </w:p>
        </w:tc>
        <w:tc>
          <w:tcPr>
            <w:tcW w:w="2223" w:type="dxa"/>
            <w:shd w:val="clear" w:color="auto" w:fill="auto"/>
          </w:tcPr>
          <w:p w14:paraId="1F607AB1" w14:textId="77777777" w:rsidR="00E06BD7" w:rsidRDefault="00E06BD7" w:rsidP="00E06BD7">
            <w:pPr>
              <w:ind w:left="-4"/>
              <w:rPr>
                <w:rFonts w:ascii="Arial" w:eastAsia="MS Mincho" w:hAnsi="Arial" w:cs="Times New Roman"/>
                <w:sz w:val="20"/>
                <w:lang w:val="es-ES_tradnl"/>
              </w:rPr>
            </w:pPr>
            <w:r w:rsidRPr="00BF698D">
              <w:rPr>
                <w:rFonts w:ascii="Arial" w:eastAsia="MS Mincho" w:hAnsi="Arial" w:cs="Times New Roman"/>
                <w:sz w:val="20"/>
                <w:lang w:val="es-ES_tradnl"/>
              </w:rPr>
              <w:t>Cumplido</w:t>
            </w:r>
            <w:r>
              <w:rPr>
                <w:rFonts w:ascii="Arial" w:eastAsia="MS Mincho" w:hAnsi="Arial" w:cs="Times New Roman"/>
                <w:sz w:val="20"/>
                <w:lang w:val="es-ES_tradnl"/>
              </w:rPr>
              <w:t xml:space="preserve"> </w:t>
            </w:r>
          </w:p>
          <w:p w14:paraId="534F9524" w14:textId="77777777" w:rsidR="00E06BD7" w:rsidRPr="00497EC7" w:rsidRDefault="00E06BD7" w:rsidP="00E06BD7">
            <w:pPr>
              <w:ind w:left="-4"/>
              <w:rPr>
                <w:rFonts w:ascii="Arial" w:eastAsia="MS Mincho" w:hAnsi="Arial" w:cs="Times New Roman"/>
                <w:sz w:val="20"/>
                <w:lang w:val="es-ES_tradnl"/>
              </w:rPr>
            </w:pPr>
            <w:r w:rsidRPr="00BF698D">
              <w:rPr>
                <w:rFonts w:ascii="Arial" w:eastAsia="MS Mincho" w:hAnsi="Arial" w:cs="Times New Roman"/>
                <w:sz w:val="20"/>
                <w:lang w:val="es-ES_tradnl"/>
              </w:rPr>
              <w:t>(II trimestre</w:t>
            </w:r>
            <w:r>
              <w:rPr>
                <w:rFonts w:ascii="Arial" w:eastAsia="MS Mincho" w:hAnsi="Arial" w:cs="Times New Roman"/>
                <w:sz w:val="20"/>
                <w:lang w:val="es-ES_tradnl"/>
              </w:rPr>
              <w:t xml:space="preserve">, </w:t>
            </w:r>
            <w:r w:rsidRPr="00BF698D">
              <w:rPr>
                <w:rFonts w:ascii="Arial" w:eastAsia="MS Mincho" w:hAnsi="Arial" w:cs="Times New Roman"/>
                <w:sz w:val="20"/>
                <w:lang w:val="es-ES_tradnl"/>
              </w:rPr>
              <w:t>2020)</w:t>
            </w:r>
            <w:r>
              <w:rPr>
                <w:rFonts w:ascii="Arial" w:eastAsia="MS Mincho" w:hAnsi="Arial" w:cs="Times New Roman"/>
                <w:sz w:val="20"/>
                <w:lang w:val="es-ES_tradnl"/>
              </w:rPr>
              <w:t xml:space="preserve"> </w:t>
            </w:r>
          </w:p>
        </w:tc>
        <w:tc>
          <w:tcPr>
            <w:tcW w:w="1468" w:type="dxa"/>
            <w:shd w:val="clear" w:color="auto" w:fill="auto"/>
          </w:tcPr>
          <w:p w14:paraId="2F1972CD" w14:textId="77777777" w:rsidR="00E06BD7" w:rsidRDefault="00E06BD7" w:rsidP="00E06BD7">
            <w:pPr>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p w14:paraId="7E55EB73" w14:textId="77777777" w:rsidR="00E06BD7" w:rsidRDefault="00E06BD7" w:rsidP="00E06BD7">
            <w:pPr>
              <w:ind w:left="-4"/>
              <w:jc w:val="both"/>
              <w:rPr>
                <w:rFonts w:ascii="Arial" w:eastAsia="MS Mincho" w:hAnsi="Arial" w:cs="Times New Roman"/>
                <w:sz w:val="20"/>
                <w:szCs w:val="20"/>
                <w:lang w:val="es-ES_tradnl"/>
              </w:rPr>
            </w:pPr>
          </w:p>
          <w:p w14:paraId="413697D5" w14:textId="77777777" w:rsidR="00E06BD7" w:rsidRPr="00746F85" w:rsidRDefault="00E06BD7" w:rsidP="00E06BD7">
            <w:pPr>
              <w:jc w:val="both"/>
              <w:rPr>
                <w:rFonts w:ascii="Arial" w:eastAsia="MS Mincho" w:hAnsi="Arial" w:cs="Times New Roman"/>
                <w:sz w:val="20"/>
                <w:szCs w:val="20"/>
                <w:lang w:val="es-ES_tradnl"/>
              </w:rPr>
            </w:pPr>
          </w:p>
        </w:tc>
      </w:tr>
      <w:tr w:rsidR="00E06BD7" w:rsidRPr="0025608E" w14:paraId="163AFDB2" w14:textId="77777777" w:rsidTr="00E06BD7">
        <w:trPr>
          <w:trHeight w:val="1007"/>
        </w:trPr>
        <w:tc>
          <w:tcPr>
            <w:tcW w:w="1739" w:type="dxa"/>
            <w:vMerge/>
          </w:tcPr>
          <w:p w14:paraId="4ADA0B69" w14:textId="77777777" w:rsidR="00E06BD7" w:rsidRPr="00BF698D" w:rsidRDefault="00E06BD7" w:rsidP="00E06BD7">
            <w:pPr>
              <w:spacing w:before="60" w:after="60"/>
              <w:ind w:left="-4"/>
              <w:jc w:val="both"/>
              <w:rPr>
                <w:rFonts w:ascii="Arial" w:eastAsiaTheme="minorEastAsia" w:hAnsi="Arial"/>
                <w:sz w:val="20"/>
                <w:szCs w:val="20"/>
                <w:lang w:val="es-ES_tradnl"/>
              </w:rPr>
            </w:pPr>
          </w:p>
        </w:tc>
        <w:tc>
          <w:tcPr>
            <w:tcW w:w="4643" w:type="dxa"/>
            <w:shd w:val="clear" w:color="auto" w:fill="auto"/>
          </w:tcPr>
          <w:p w14:paraId="29F49BE1" w14:textId="77777777" w:rsidR="00E06BD7" w:rsidRPr="00BF698D" w:rsidRDefault="00E06BD7" w:rsidP="00E06BD7">
            <w:pPr>
              <w:widowControl/>
              <w:contextualSpacing/>
              <w:rPr>
                <w:rFonts w:ascii="Arial" w:hAnsi="Arial"/>
                <w:sz w:val="20"/>
                <w:szCs w:val="20"/>
                <w:lang w:val="es-ES"/>
              </w:rPr>
            </w:pPr>
            <w:r w:rsidRPr="00BF698D">
              <w:rPr>
                <w:rFonts w:ascii="Arial" w:hAnsi="Arial"/>
                <w:sz w:val="20"/>
                <w:szCs w:val="20"/>
                <w:lang w:val="es-ES"/>
              </w:rPr>
              <w:t>5.2</w:t>
            </w:r>
            <w:r>
              <w:rPr>
                <w:rFonts w:ascii="Arial" w:hAnsi="Arial"/>
                <w:sz w:val="20"/>
                <w:szCs w:val="20"/>
                <w:lang w:val="es-ES"/>
              </w:rPr>
              <w:t xml:space="preserve">.   </w:t>
            </w:r>
            <w:r w:rsidRPr="00BF698D">
              <w:rPr>
                <w:rFonts w:ascii="Arial" w:hAnsi="Arial"/>
                <w:sz w:val="20"/>
                <w:szCs w:val="20"/>
                <w:lang w:val="es-ES"/>
              </w:rPr>
              <w:t>Que se haya elaborado un documento técnico que establezca las estimaciones de costos fiscales del paquete de reformas para enfrentar la crisis sanitaria COVID-19.</w:t>
            </w:r>
          </w:p>
        </w:tc>
        <w:tc>
          <w:tcPr>
            <w:tcW w:w="3239" w:type="dxa"/>
            <w:shd w:val="clear" w:color="auto" w:fill="auto"/>
          </w:tcPr>
          <w:p w14:paraId="280CCD53" w14:textId="77777777" w:rsidR="00E06BD7" w:rsidRPr="00BF698D" w:rsidRDefault="00E06BD7" w:rsidP="00E06BD7">
            <w:pPr>
              <w:jc w:val="both"/>
              <w:rPr>
                <w:rFonts w:ascii="Arial" w:eastAsia="MS Mincho" w:hAnsi="Arial" w:cs="Times New Roman"/>
                <w:sz w:val="20"/>
                <w:szCs w:val="20"/>
                <w:lang w:val="es-ES"/>
              </w:rPr>
            </w:pPr>
            <w:r w:rsidRPr="00627DF3">
              <w:rPr>
                <w:rFonts w:ascii="Arial" w:eastAsia="MS Mincho" w:hAnsi="Arial" w:cs="Times New Roman"/>
                <w:sz w:val="20"/>
                <w:szCs w:val="20"/>
                <w:lang w:val="es-ES"/>
              </w:rPr>
              <w:t>Informe técnico emitido por la Unidad de Macroeconomía del MEF con las estimaciones de costos fiscales del paquete de reformas para enfrentar la crisis sanitaria COVID-19</w:t>
            </w:r>
            <w:r>
              <w:rPr>
                <w:rFonts w:ascii="Arial" w:eastAsia="MS Mincho" w:hAnsi="Arial" w:cs="Times New Roman"/>
                <w:sz w:val="20"/>
                <w:szCs w:val="20"/>
                <w:lang w:val="es-ES"/>
              </w:rPr>
              <w:t>.</w:t>
            </w:r>
          </w:p>
        </w:tc>
        <w:tc>
          <w:tcPr>
            <w:tcW w:w="2223" w:type="dxa"/>
            <w:shd w:val="clear" w:color="auto" w:fill="auto"/>
          </w:tcPr>
          <w:p w14:paraId="0E2DA0AD" w14:textId="77777777" w:rsidR="00E06BD7" w:rsidRDefault="00E06BD7" w:rsidP="00E06BD7">
            <w:pPr>
              <w:ind w:left="-4"/>
              <w:rPr>
                <w:rFonts w:ascii="Arial" w:eastAsia="MS Mincho" w:hAnsi="Arial" w:cs="Times New Roman"/>
                <w:sz w:val="20"/>
                <w:lang w:val="es-ES_tradnl"/>
              </w:rPr>
            </w:pPr>
            <w:r>
              <w:rPr>
                <w:rFonts w:ascii="Arial" w:eastAsia="MS Mincho" w:hAnsi="Arial" w:cs="Times New Roman"/>
                <w:sz w:val="20"/>
                <w:lang w:val="es-ES_tradnl"/>
              </w:rPr>
              <w:t xml:space="preserve">Cumplido </w:t>
            </w:r>
          </w:p>
          <w:p w14:paraId="0779D72E" w14:textId="77777777" w:rsidR="00E06BD7" w:rsidRPr="00BF698D" w:rsidRDefault="00E06BD7" w:rsidP="00E06BD7">
            <w:pPr>
              <w:ind w:left="-4"/>
              <w:rPr>
                <w:rFonts w:ascii="Arial" w:eastAsia="MS Mincho" w:hAnsi="Arial" w:cs="Times New Roman"/>
                <w:sz w:val="20"/>
                <w:lang w:val="es-ES_tradnl"/>
              </w:rPr>
            </w:pPr>
            <w:r>
              <w:rPr>
                <w:rFonts w:ascii="Arial" w:eastAsia="MS Mincho" w:hAnsi="Arial" w:cs="Times New Roman"/>
                <w:sz w:val="20"/>
                <w:lang w:val="es-ES_tradnl"/>
              </w:rPr>
              <w:t>(II trimestre, 2020)</w:t>
            </w:r>
            <w:r w:rsidRPr="0025608E">
              <w:rPr>
                <w:rFonts w:ascii="Arial" w:eastAsia="MS Mincho" w:hAnsi="Arial" w:cs="Times New Roman"/>
                <w:sz w:val="20"/>
                <w:lang w:val="es-ES_tradnl"/>
              </w:rPr>
              <w:t xml:space="preserve"> </w:t>
            </w:r>
          </w:p>
        </w:tc>
        <w:tc>
          <w:tcPr>
            <w:tcW w:w="1468" w:type="dxa"/>
            <w:shd w:val="clear" w:color="auto" w:fill="auto"/>
          </w:tcPr>
          <w:p w14:paraId="6840BA61" w14:textId="77777777" w:rsidR="00E06BD7" w:rsidRDefault="00E06BD7" w:rsidP="00E06BD7">
            <w:pPr>
              <w:ind w:left="-4"/>
              <w:jc w:val="both"/>
              <w:rPr>
                <w:rFonts w:ascii="Arial" w:eastAsia="MS Mincho" w:hAnsi="Arial" w:cs="Times New Roman"/>
                <w:sz w:val="20"/>
                <w:szCs w:val="20"/>
                <w:lang w:val="es-ES_tradnl"/>
              </w:rPr>
            </w:pPr>
            <w:r>
              <w:rPr>
                <w:rFonts w:ascii="Arial" w:eastAsia="MS Mincho" w:hAnsi="Arial" w:cs="Times New Roman"/>
                <w:sz w:val="20"/>
                <w:szCs w:val="20"/>
                <w:lang w:val="es-ES_tradnl"/>
              </w:rPr>
              <w:t>MEF</w:t>
            </w:r>
          </w:p>
        </w:tc>
      </w:tr>
    </w:tbl>
    <w:p w14:paraId="1949D6AF" w14:textId="77777777" w:rsidR="00E06BD7" w:rsidRDefault="00E06BD7" w:rsidP="00E50F9D">
      <w:pPr>
        <w:pStyle w:val="Heading1"/>
        <w:spacing w:before="74" w:line="365" w:lineRule="auto"/>
        <w:ind w:left="90" w:right="90" w:hanging="90"/>
        <w:jc w:val="center"/>
        <w:rPr>
          <w:spacing w:val="-1"/>
          <w:sz w:val="22"/>
          <w:szCs w:val="22"/>
          <w:lang w:val="es-419"/>
        </w:rPr>
      </w:pPr>
    </w:p>
    <w:p w14:paraId="3738045D" w14:textId="77777777" w:rsidR="00B14DB4" w:rsidRPr="00E50F9D" w:rsidRDefault="00B14DB4" w:rsidP="00497EC7">
      <w:pPr>
        <w:pStyle w:val="Heading1"/>
        <w:spacing w:before="74" w:line="365" w:lineRule="auto"/>
        <w:ind w:left="0" w:right="90"/>
        <w:rPr>
          <w:b w:val="0"/>
          <w:bCs w:val="0"/>
          <w:sz w:val="22"/>
          <w:szCs w:val="22"/>
          <w:lang w:val="es-419"/>
        </w:rPr>
      </w:pPr>
    </w:p>
    <w:sectPr w:rsidR="00B14DB4" w:rsidRPr="00E50F9D" w:rsidSect="005735D1">
      <w:headerReference w:type="default" r:id="rId15"/>
      <w:footerReference w:type="default" r:id="rId16"/>
      <w:type w:val="continuous"/>
      <w:pgSz w:w="15840" w:h="12240" w:orient="landscape"/>
      <w:pgMar w:top="1440" w:right="1170" w:bottom="1440" w:left="1800" w:header="74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35EEF" w14:textId="77777777" w:rsidR="00DC1FA1" w:rsidRDefault="00DC1FA1">
      <w:r>
        <w:separator/>
      </w:r>
    </w:p>
  </w:endnote>
  <w:endnote w:type="continuationSeparator" w:id="0">
    <w:p w14:paraId="04549F50" w14:textId="77777777" w:rsidR="00DC1FA1" w:rsidRDefault="00DC1FA1">
      <w:r>
        <w:continuationSeparator/>
      </w:r>
    </w:p>
  </w:endnote>
  <w:endnote w:type="continuationNotice" w:id="1">
    <w:p w14:paraId="1F43B8D7" w14:textId="77777777" w:rsidR="00DC1FA1" w:rsidRDefault="00DC1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36E0D" w14:textId="77777777" w:rsidR="00236C74" w:rsidRDefault="00236C7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9FD23" w14:textId="77777777" w:rsidR="00DC1FA1" w:rsidRDefault="00DC1FA1">
      <w:r>
        <w:separator/>
      </w:r>
    </w:p>
  </w:footnote>
  <w:footnote w:type="continuationSeparator" w:id="0">
    <w:p w14:paraId="1BB716E8" w14:textId="77777777" w:rsidR="00DC1FA1" w:rsidRDefault="00DC1FA1">
      <w:r>
        <w:continuationSeparator/>
      </w:r>
    </w:p>
  </w:footnote>
  <w:footnote w:type="continuationNotice" w:id="1">
    <w:p w14:paraId="6215A25C" w14:textId="77777777" w:rsidR="00DC1FA1" w:rsidRDefault="00DC1FA1"/>
  </w:footnote>
  <w:footnote w:id="2">
    <w:p w14:paraId="70236310" w14:textId="77777777" w:rsidR="00E06BD7" w:rsidRPr="005735D1" w:rsidRDefault="00E06BD7" w:rsidP="00E06BD7">
      <w:pPr>
        <w:pStyle w:val="FootnoteText"/>
        <w:ind w:hanging="270"/>
        <w:jc w:val="both"/>
        <w:rPr>
          <w:rFonts w:ascii="Arial" w:hAnsi="Arial" w:cs="Arial"/>
          <w:sz w:val="18"/>
          <w:szCs w:val="18"/>
          <w:lang w:val="es-ES_tradnl"/>
        </w:rPr>
      </w:pPr>
      <w:r w:rsidRPr="00BF5C20">
        <w:rPr>
          <w:rStyle w:val="FootnoteReference"/>
          <w:rFonts w:ascii="Arial" w:hAnsi="Arial" w:cs="Arial"/>
          <w:sz w:val="18"/>
          <w:szCs w:val="18"/>
        </w:rPr>
        <w:footnoteRef/>
      </w:r>
      <w:r w:rsidRPr="00BF5C20">
        <w:rPr>
          <w:rFonts w:ascii="Arial" w:hAnsi="Arial" w:cs="Arial"/>
          <w:sz w:val="18"/>
          <w:szCs w:val="18"/>
        </w:rPr>
        <w:t xml:space="preserve"> </w:t>
      </w:r>
      <w:r w:rsidRPr="00BF5C20">
        <w:rPr>
          <w:rFonts w:ascii="Arial" w:hAnsi="Arial" w:cs="Arial"/>
          <w:sz w:val="18"/>
          <w:szCs w:val="18"/>
        </w:rPr>
        <w:tab/>
      </w:r>
      <w:r w:rsidRPr="005735D1">
        <w:rPr>
          <w:rFonts w:ascii="Arial" w:eastAsia="SimSun" w:hAnsi="Arial" w:cs="Arial"/>
          <w:sz w:val="18"/>
          <w:szCs w:val="18"/>
          <w:lang w:val="es-ES_tradnl" w:eastAsia="zh-CN"/>
        </w:rPr>
        <w:t xml:space="preserve">La presente información es de carácter meramente indicativo a la fecha del presente documento. De conformidad con lo establecido en el documento </w:t>
      </w:r>
      <w:r>
        <w:rPr>
          <w:rFonts w:ascii="Arial" w:eastAsia="SimSun" w:hAnsi="Arial" w:cs="Arial"/>
          <w:sz w:val="18"/>
          <w:szCs w:val="18"/>
          <w:lang w:val="es-ES_tradnl" w:eastAsia="zh-CN"/>
        </w:rPr>
        <w:t>CS</w:t>
      </w:r>
      <w:r w:rsidRPr="005735D1">
        <w:rPr>
          <w:rFonts w:ascii="Arial" w:eastAsia="SimSun" w:hAnsi="Arial" w:cs="Arial"/>
          <w:sz w:val="18"/>
          <w:szCs w:val="18"/>
          <w:lang w:val="es-ES_tradnl" w:eastAsia="zh-CN"/>
        </w:rPr>
        <w:noBreakHyphen/>
        <w:t>3633</w:t>
      </w:r>
      <w:r>
        <w:rPr>
          <w:rFonts w:ascii="Arial" w:eastAsia="SimSun" w:hAnsi="Arial" w:cs="Arial"/>
          <w:sz w:val="18"/>
          <w:szCs w:val="18"/>
          <w:lang w:val="es-ES_tradnl" w:eastAsia="zh-CN"/>
        </w:rPr>
        <w:noBreakHyphen/>
      </w:r>
      <w:r w:rsidRPr="005735D1">
        <w:rPr>
          <w:rFonts w:ascii="Arial" w:eastAsia="SimSun" w:hAnsi="Arial" w:cs="Arial"/>
          <w:sz w:val="18"/>
          <w:szCs w:val="18"/>
          <w:lang w:val="es-ES_tradnl" w:eastAsia="zh-CN"/>
        </w:rPr>
        <w:t>2</w:t>
      </w:r>
      <w:r>
        <w:rPr>
          <w:rFonts w:ascii="Arial" w:eastAsia="SimSun" w:hAnsi="Arial" w:cs="Arial"/>
          <w:sz w:val="18"/>
          <w:szCs w:val="18"/>
          <w:lang w:val="es-ES_tradnl" w:eastAsia="zh-CN"/>
        </w:rPr>
        <w:t> </w:t>
      </w:r>
      <w:r w:rsidRPr="005735D1">
        <w:rPr>
          <w:rFonts w:ascii="Arial" w:eastAsia="SimSun" w:hAnsi="Arial" w:cs="Arial"/>
          <w:sz w:val="18"/>
          <w:szCs w:val="18"/>
          <w:lang w:val="es-ES_tradnl" w:eastAsia="zh-CN"/>
        </w:rPr>
        <w:t>(Préstamos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D0CC2" w14:textId="5DBFD361" w:rsidR="00222C55" w:rsidRPr="00222C55" w:rsidRDefault="003E1D70" w:rsidP="00222C55">
    <w:pPr>
      <w:pStyle w:val="Header"/>
      <w:jc w:val="right"/>
      <w:rPr>
        <w:rFonts w:ascii="Arial" w:hAnsi="Arial"/>
        <w:sz w:val="18"/>
        <w:szCs w:val="18"/>
        <w:lang w:val="es-ES_tradnl"/>
      </w:rPr>
    </w:pPr>
    <w:r w:rsidRPr="00EB40D8">
      <w:rPr>
        <w:rFonts w:ascii="Arial" w:hAnsi="Arial"/>
        <w:sz w:val="18"/>
        <w:szCs w:val="18"/>
        <w:lang w:val="es-MX"/>
      </w:rPr>
      <w:t>EER</w:t>
    </w:r>
    <w:r w:rsidR="00222C55" w:rsidRPr="00222C55">
      <w:rPr>
        <w:rFonts w:ascii="Arial" w:hAnsi="Arial"/>
        <w:sz w:val="18"/>
        <w:szCs w:val="18"/>
        <w:lang w:val="es-ES_tradnl"/>
      </w:rPr>
      <w:t xml:space="preserve">#2 – </w:t>
    </w:r>
    <w:r w:rsidR="00CF6C78">
      <w:rPr>
        <w:rFonts w:ascii="Arial" w:hAnsi="Arial"/>
        <w:sz w:val="18"/>
        <w:szCs w:val="18"/>
        <w:lang w:val="es-ES_tradnl"/>
      </w:rPr>
      <w:t>UR</w:t>
    </w:r>
    <w:r w:rsidR="00222C55" w:rsidRPr="00222C55">
      <w:rPr>
        <w:rFonts w:ascii="Arial" w:hAnsi="Arial"/>
        <w:sz w:val="18"/>
        <w:szCs w:val="18"/>
        <w:lang w:val="es-ES_tradnl"/>
      </w:rPr>
      <w:t>-L1</w:t>
    </w:r>
    <w:r w:rsidR="00811414">
      <w:rPr>
        <w:rFonts w:ascii="Arial" w:hAnsi="Arial"/>
        <w:sz w:val="18"/>
        <w:szCs w:val="18"/>
        <w:lang w:val="es-ES_tradnl"/>
      </w:rPr>
      <w:t>1</w:t>
    </w:r>
    <w:r w:rsidR="00CF6C78">
      <w:rPr>
        <w:rFonts w:ascii="Arial" w:hAnsi="Arial"/>
        <w:sz w:val="18"/>
        <w:szCs w:val="18"/>
        <w:lang w:val="es-ES_tradnl"/>
      </w:rPr>
      <w:t>70</w:t>
    </w:r>
  </w:p>
  <w:p w14:paraId="158F5A60" w14:textId="77777777" w:rsidR="00222C55" w:rsidRPr="00EB40D8" w:rsidRDefault="00222C55">
    <w:pPr>
      <w:pStyle w:val="Header"/>
      <w:jc w:val="right"/>
      <w:rPr>
        <w:lang w:val="es-MX"/>
      </w:rPr>
    </w:pPr>
    <w:r w:rsidRPr="00222C55">
      <w:rPr>
        <w:rFonts w:ascii="Arial" w:hAnsi="Arial"/>
        <w:sz w:val="18"/>
        <w:szCs w:val="18"/>
        <w:lang w:val="es-ES_tradnl"/>
      </w:rPr>
      <w:t xml:space="preserve">Página </w:t>
    </w:r>
    <w:r w:rsidRPr="00222C55">
      <w:rPr>
        <w:rFonts w:ascii="Arial" w:hAnsi="Arial"/>
        <w:b/>
        <w:bCs/>
        <w:sz w:val="18"/>
        <w:szCs w:val="18"/>
        <w:lang w:val="es-ES_tradnl"/>
      </w:rPr>
      <w:fldChar w:fldCharType="begin"/>
    </w:r>
    <w:r w:rsidRPr="00222C55">
      <w:rPr>
        <w:rFonts w:ascii="Arial" w:hAnsi="Arial"/>
        <w:b/>
        <w:bCs/>
        <w:sz w:val="18"/>
        <w:szCs w:val="18"/>
        <w:lang w:val="es-ES_tradnl"/>
      </w:rPr>
      <w:instrText xml:space="preserve"> PAGE </w:instrText>
    </w:r>
    <w:r w:rsidRPr="00222C55">
      <w:rPr>
        <w:rFonts w:ascii="Arial" w:hAnsi="Arial"/>
        <w:b/>
        <w:bCs/>
        <w:sz w:val="18"/>
        <w:szCs w:val="18"/>
        <w:lang w:val="es-ES_tradnl"/>
      </w:rPr>
      <w:fldChar w:fldCharType="separate"/>
    </w:r>
    <w:r w:rsidRPr="00222C55">
      <w:rPr>
        <w:rFonts w:ascii="Arial" w:hAnsi="Arial"/>
        <w:b/>
        <w:bCs/>
        <w:sz w:val="18"/>
        <w:szCs w:val="18"/>
        <w:lang w:val="es-ES_tradnl"/>
      </w:rPr>
      <w:t>2</w:t>
    </w:r>
    <w:r w:rsidRPr="00222C55">
      <w:rPr>
        <w:rFonts w:ascii="Arial" w:hAnsi="Arial"/>
        <w:b/>
        <w:bCs/>
        <w:sz w:val="18"/>
        <w:szCs w:val="18"/>
        <w:lang w:val="es-ES_tradnl"/>
      </w:rPr>
      <w:fldChar w:fldCharType="end"/>
    </w:r>
    <w:r w:rsidRPr="00222C55">
      <w:rPr>
        <w:rFonts w:ascii="Arial" w:hAnsi="Arial"/>
        <w:sz w:val="18"/>
        <w:szCs w:val="18"/>
        <w:lang w:val="es-ES_tradnl"/>
      </w:rPr>
      <w:t xml:space="preserve"> de </w:t>
    </w:r>
    <w:r w:rsidRPr="00222C55">
      <w:rPr>
        <w:rFonts w:ascii="Arial" w:hAnsi="Arial"/>
        <w:b/>
        <w:bCs/>
        <w:sz w:val="18"/>
        <w:szCs w:val="18"/>
        <w:lang w:val="es-ES_tradnl"/>
      </w:rPr>
      <w:fldChar w:fldCharType="begin"/>
    </w:r>
    <w:r w:rsidRPr="00222C55">
      <w:rPr>
        <w:rFonts w:ascii="Arial" w:hAnsi="Arial"/>
        <w:b/>
        <w:bCs/>
        <w:sz w:val="18"/>
        <w:szCs w:val="18"/>
        <w:lang w:val="es-ES_tradnl"/>
      </w:rPr>
      <w:instrText xml:space="preserve"> NUMPAGES  </w:instrText>
    </w:r>
    <w:r w:rsidRPr="00222C55">
      <w:rPr>
        <w:rFonts w:ascii="Arial" w:hAnsi="Arial"/>
        <w:b/>
        <w:bCs/>
        <w:sz w:val="18"/>
        <w:szCs w:val="18"/>
        <w:lang w:val="es-ES_tradnl"/>
      </w:rPr>
      <w:fldChar w:fldCharType="separate"/>
    </w:r>
    <w:r w:rsidRPr="00222C55">
      <w:rPr>
        <w:rFonts w:ascii="Arial" w:hAnsi="Arial"/>
        <w:b/>
        <w:bCs/>
        <w:sz w:val="18"/>
        <w:szCs w:val="18"/>
        <w:lang w:val="es-ES_tradnl"/>
      </w:rPr>
      <w:t>2</w:t>
    </w:r>
    <w:r w:rsidRPr="00222C55">
      <w:rPr>
        <w:rFonts w:ascii="Arial" w:hAnsi="Arial"/>
        <w:b/>
        <w:bCs/>
        <w:sz w:val="18"/>
        <w:szCs w:val="18"/>
        <w:lang w:val="es-ES_tradnl"/>
      </w:rPr>
      <w:fldChar w:fldCharType="end"/>
    </w:r>
  </w:p>
  <w:p w14:paraId="378ADDEE" w14:textId="77777777" w:rsidR="00C5205A" w:rsidRPr="00EB40D8" w:rsidRDefault="00C5205A" w:rsidP="00222C55">
    <w:pPr>
      <w:pStyle w:val="Header"/>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0AFB"/>
    <w:multiLevelType w:val="hybridMultilevel"/>
    <w:tmpl w:val="44CCC400"/>
    <w:lvl w:ilvl="0" w:tplc="9FB463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63A"/>
    <w:multiLevelType w:val="hybridMultilevel"/>
    <w:tmpl w:val="7E1EDCD8"/>
    <w:lvl w:ilvl="0" w:tplc="1E90D7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531C0"/>
    <w:multiLevelType w:val="multilevel"/>
    <w:tmpl w:val="561E4C62"/>
    <w:lvl w:ilvl="0">
      <w:start w:val="4"/>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B3478"/>
    <w:multiLevelType w:val="hybridMultilevel"/>
    <w:tmpl w:val="F4B21518"/>
    <w:lvl w:ilvl="0" w:tplc="BC70CEEE">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4" w15:restartNumberingAfterBreak="0">
    <w:nsid w:val="16F7268E"/>
    <w:multiLevelType w:val="multilevel"/>
    <w:tmpl w:val="7E3415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10F61D5"/>
    <w:multiLevelType w:val="multilevel"/>
    <w:tmpl w:val="B5A283B4"/>
    <w:lvl w:ilvl="0">
      <w:start w:val="3"/>
      <w:numFmt w:val="decimal"/>
      <w:lvlText w:val="%1"/>
      <w:lvlJc w:val="left"/>
      <w:pPr>
        <w:ind w:left="435" w:hanging="435"/>
      </w:pPr>
      <w:rPr>
        <w:rFonts w:eastAsiaTheme="minorEastAsia" w:hint="default"/>
      </w:rPr>
    </w:lvl>
    <w:lvl w:ilvl="1">
      <w:start w:val="1"/>
      <w:numFmt w:val="decimal"/>
      <w:lvlText w:val="%1.%2"/>
      <w:lvlJc w:val="left"/>
      <w:pPr>
        <w:ind w:left="435" w:hanging="43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 w15:restartNumberingAfterBreak="0">
    <w:nsid w:val="21EA3404"/>
    <w:multiLevelType w:val="multilevel"/>
    <w:tmpl w:val="8D4AE57E"/>
    <w:lvl w:ilvl="0">
      <w:start w:val="9"/>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41AF8"/>
    <w:multiLevelType w:val="multilevel"/>
    <w:tmpl w:val="B5A283B4"/>
    <w:lvl w:ilvl="0">
      <w:start w:val="3"/>
      <w:numFmt w:val="decimal"/>
      <w:lvlText w:val="%1"/>
      <w:lvlJc w:val="left"/>
      <w:pPr>
        <w:ind w:left="435" w:hanging="435"/>
      </w:pPr>
      <w:rPr>
        <w:rFonts w:eastAsiaTheme="minorEastAsia" w:hint="default"/>
      </w:rPr>
    </w:lvl>
    <w:lvl w:ilvl="1">
      <w:start w:val="1"/>
      <w:numFmt w:val="decimal"/>
      <w:lvlText w:val="%1.%2"/>
      <w:lvlJc w:val="left"/>
      <w:pPr>
        <w:ind w:left="435" w:hanging="43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 w15:restartNumberingAfterBreak="0">
    <w:nsid w:val="263157A8"/>
    <w:multiLevelType w:val="multilevel"/>
    <w:tmpl w:val="D1F2DBE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C17BD6"/>
    <w:multiLevelType w:val="multilevel"/>
    <w:tmpl w:val="DBD62214"/>
    <w:lvl w:ilvl="0">
      <w:start w:val="6"/>
      <w:numFmt w:val="decimal"/>
      <w:lvlText w:val="%1."/>
      <w:lvlJc w:val="left"/>
      <w:pPr>
        <w:ind w:left="504" w:hanging="504"/>
      </w:pPr>
      <w:rPr>
        <w:rFonts w:eastAsiaTheme="minorHAnsi" w:hint="default"/>
        <w:b w:val="0"/>
        <w:bCs w:val="0"/>
        <w:sz w:val="20"/>
        <w:szCs w:val="20"/>
      </w:rPr>
    </w:lvl>
    <w:lvl w:ilvl="1">
      <w:start w:val="1"/>
      <w:numFmt w:val="decimal"/>
      <w:lvlText w:val="%1.%2."/>
      <w:lvlJc w:val="left"/>
      <w:pPr>
        <w:ind w:left="504" w:hanging="504"/>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0" w15:restartNumberingAfterBreak="0">
    <w:nsid w:val="2F645A47"/>
    <w:multiLevelType w:val="hybridMultilevel"/>
    <w:tmpl w:val="A8BEF136"/>
    <w:lvl w:ilvl="0" w:tplc="619AC686">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1" w15:restartNumberingAfterBreak="0">
    <w:nsid w:val="2FF46F20"/>
    <w:multiLevelType w:val="multilevel"/>
    <w:tmpl w:val="29588008"/>
    <w:lvl w:ilvl="0">
      <w:start w:val="7"/>
      <w:numFmt w:val="decimal"/>
      <w:lvlText w:val="%1."/>
      <w:lvlJc w:val="left"/>
      <w:pPr>
        <w:ind w:left="504" w:hanging="504"/>
      </w:pPr>
      <w:rPr>
        <w:rFonts w:hint="default"/>
        <w:b w:val="0"/>
        <w:bCs w:val="0"/>
        <w:sz w:val="20"/>
        <w:szCs w:val="20"/>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DE1E01"/>
    <w:multiLevelType w:val="hybridMultilevel"/>
    <w:tmpl w:val="B282C5C8"/>
    <w:lvl w:ilvl="0" w:tplc="ADC4AD30">
      <w:start w:val="1"/>
      <w:numFmt w:val="low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A29DA"/>
    <w:multiLevelType w:val="hybridMultilevel"/>
    <w:tmpl w:val="89DA0A6C"/>
    <w:lvl w:ilvl="0" w:tplc="52BA3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6E7AFA"/>
    <w:multiLevelType w:val="multilevel"/>
    <w:tmpl w:val="58D43D24"/>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9B03D2"/>
    <w:multiLevelType w:val="hybridMultilevel"/>
    <w:tmpl w:val="F66E779E"/>
    <w:lvl w:ilvl="0" w:tplc="5D388028">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6" w15:restartNumberingAfterBreak="0">
    <w:nsid w:val="38AC6244"/>
    <w:multiLevelType w:val="multilevel"/>
    <w:tmpl w:val="0EA064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0E02CF"/>
    <w:multiLevelType w:val="hybridMultilevel"/>
    <w:tmpl w:val="9662A69C"/>
    <w:lvl w:ilvl="0" w:tplc="4B324604">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8" w15:restartNumberingAfterBreak="0">
    <w:nsid w:val="46BA124D"/>
    <w:multiLevelType w:val="hybridMultilevel"/>
    <w:tmpl w:val="13B2F6AE"/>
    <w:lvl w:ilvl="0" w:tplc="4A5E7070">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A6B232C"/>
    <w:multiLevelType w:val="multilevel"/>
    <w:tmpl w:val="29588008"/>
    <w:lvl w:ilvl="0">
      <w:start w:val="7"/>
      <w:numFmt w:val="decimal"/>
      <w:lvlText w:val="%1."/>
      <w:lvlJc w:val="left"/>
      <w:pPr>
        <w:ind w:left="504" w:hanging="504"/>
      </w:pPr>
      <w:rPr>
        <w:rFonts w:hint="default"/>
        <w:b w:val="0"/>
        <w:bCs w:val="0"/>
        <w:sz w:val="20"/>
        <w:szCs w:val="20"/>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256C82"/>
    <w:multiLevelType w:val="hybridMultilevel"/>
    <w:tmpl w:val="FE849CEC"/>
    <w:lvl w:ilvl="0" w:tplc="A1DE54A8">
      <w:start w:val="1"/>
      <w:numFmt w:val="bullet"/>
      <w:lvlText w:val="▪"/>
      <w:lvlJc w:val="left"/>
      <w:pPr>
        <w:ind w:left="459" w:hanging="360"/>
      </w:pPr>
      <w:rPr>
        <w:rFonts w:ascii="Microsoft Sans Serif" w:eastAsia="Microsoft Sans Serif" w:hAnsi="Microsoft Sans Serif" w:hint="default"/>
        <w:w w:val="129"/>
        <w:sz w:val="20"/>
        <w:szCs w:val="20"/>
      </w:rPr>
    </w:lvl>
    <w:lvl w:ilvl="1" w:tplc="45C4F898">
      <w:start w:val="1"/>
      <w:numFmt w:val="bullet"/>
      <w:lvlText w:val="•"/>
      <w:lvlJc w:val="left"/>
      <w:pPr>
        <w:ind w:left="871" w:hanging="360"/>
      </w:pPr>
      <w:rPr>
        <w:rFonts w:hint="default"/>
      </w:rPr>
    </w:lvl>
    <w:lvl w:ilvl="2" w:tplc="645EDDB0">
      <w:start w:val="1"/>
      <w:numFmt w:val="bullet"/>
      <w:lvlText w:val="•"/>
      <w:lvlJc w:val="left"/>
      <w:pPr>
        <w:ind w:left="1283" w:hanging="360"/>
      </w:pPr>
      <w:rPr>
        <w:rFonts w:hint="default"/>
      </w:rPr>
    </w:lvl>
    <w:lvl w:ilvl="3" w:tplc="5A946AC2">
      <w:start w:val="1"/>
      <w:numFmt w:val="bullet"/>
      <w:lvlText w:val="•"/>
      <w:lvlJc w:val="left"/>
      <w:pPr>
        <w:ind w:left="1695" w:hanging="360"/>
      </w:pPr>
      <w:rPr>
        <w:rFonts w:hint="default"/>
      </w:rPr>
    </w:lvl>
    <w:lvl w:ilvl="4" w:tplc="FD928A46">
      <w:start w:val="1"/>
      <w:numFmt w:val="bullet"/>
      <w:lvlText w:val="•"/>
      <w:lvlJc w:val="left"/>
      <w:pPr>
        <w:ind w:left="2107" w:hanging="360"/>
      </w:pPr>
      <w:rPr>
        <w:rFonts w:hint="default"/>
      </w:rPr>
    </w:lvl>
    <w:lvl w:ilvl="5" w:tplc="006C6B18">
      <w:start w:val="1"/>
      <w:numFmt w:val="bullet"/>
      <w:lvlText w:val="•"/>
      <w:lvlJc w:val="left"/>
      <w:pPr>
        <w:ind w:left="2519" w:hanging="360"/>
      </w:pPr>
      <w:rPr>
        <w:rFonts w:hint="default"/>
      </w:rPr>
    </w:lvl>
    <w:lvl w:ilvl="6" w:tplc="FBFCA8D4">
      <w:start w:val="1"/>
      <w:numFmt w:val="bullet"/>
      <w:lvlText w:val="•"/>
      <w:lvlJc w:val="left"/>
      <w:pPr>
        <w:ind w:left="2931" w:hanging="360"/>
      </w:pPr>
      <w:rPr>
        <w:rFonts w:hint="default"/>
      </w:rPr>
    </w:lvl>
    <w:lvl w:ilvl="7" w:tplc="5F5CBCB0">
      <w:start w:val="1"/>
      <w:numFmt w:val="bullet"/>
      <w:lvlText w:val="•"/>
      <w:lvlJc w:val="left"/>
      <w:pPr>
        <w:ind w:left="3343" w:hanging="360"/>
      </w:pPr>
      <w:rPr>
        <w:rFonts w:hint="default"/>
      </w:rPr>
    </w:lvl>
    <w:lvl w:ilvl="8" w:tplc="2D0A5CA4">
      <w:start w:val="1"/>
      <w:numFmt w:val="bullet"/>
      <w:lvlText w:val="•"/>
      <w:lvlJc w:val="left"/>
      <w:pPr>
        <w:ind w:left="3755" w:hanging="360"/>
      </w:pPr>
      <w:rPr>
        <w:rFonts w:hint="default"/>
      </w:rPr>
    </w:lvl>
  </w:abstractNum>
  <w:abstractNum w:abstractNumId="21" w15:restartNumberingAfterBreak="0">
    <w:nsid w:val="57E95600"/>
    <w:multiLevelType w:val="multilevel"/>
    <w:tmpl w:val="F0E8BB98"/>
    <w:lvl w:ilvl="0">
      <w:start w:val="3"/>
      <w:numFmt w:val="decimal"/>
      <w:lvlText w:val="%1."/>
      <w:lvlJc w:val="left"/>
      <w:pPr>
        <w:ind w:left="495" w:hanging="495"/>
      </w:pPr>
      <w:rPr>
        <w:rFonts w:eastAsiaTheme="minorEastAsia" w:hint="default"/>
      </w:rPr>
    </w:lvl>
    <w:lvl w:ilvl="1">
      <w:start w:val="1"/>
      <w:numFmt w:val="decimal"/>
      <w:lvlText w:val="%1.%2."/>
      <w:lvlJc w:val="left"/>
      <w:pPr>
        <w:ind w:left="495" w:hanging="49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2" w15:restartNumberingAfterBreak="0">
    <w:nsid w:val="60AC001C"/>
    <w:multiLevelType w:val="hybridMultilevel"/>
    <w:tmpl w:val="686E9AD8"/>
    <w:lvl w:ilvl="0" w:tplc="84C06432">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3" w15:restartNumberingAfterBreak="0">
    <w:nsid w:val="63BB4D28"/>
    <w:multiLevelType w:val="hybridMultilevel"/>
    <w:tmpl w:val="541C1430"/>
    <w:lvl w:ilvl="0" w:tplc="30F0E2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E08A8"/>
    <w:multiLevelType w:val="hybridMultilevel"/>
    <w:tmpl w:val="106C6386"/>
    <w:lvl w:ilvl="0" w:tplc="AC8038D6">
      <w:start w:val="1"/>
      <w:numFmt w:val="decimal"/>
      <w:lvlText w:val="3.%1"/>
      <w:lvlJc w:val="left"/>
      <w:pPr>
        <w:ind w:left="7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B6BF5"/>
    <w:multiLevelType w:val="hybridMultilevel"/>
    <w:tmpl w:val="E962D6C6"/>
    <w:lvl w:ilvl="0" w:tplc="3D3223A6">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6" w15:restartNumberingAfterBreak="0">
    <w:nsid w:val="677255AB"/>
    <w:multiLevelType w:val="hybridMultilevel"/>
    <w:tmpl w:val="03E01422"/>
    <w:lvl w:ilvl="0" w:tplc="91BC3F12">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7" w15:restartNumberingAfterBreak="0">
    <w:nsid w:val="6CFE0EC4"/>
    <w:multiLevelType w:val="multilevel"/>
    <w:tmpl w:val="6E16D776"/>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D867E98"/>
    <w:multiLevelType w:val="multilevel"/>
    <w:tmpl w:val="BAACECA6"/>
    <w:lvl w:ilvl="0">
      <w:start w:val="2"/>
      <w:numFmt w:val="decimal"/>
      <w:lvlText w:val="%1."/>
      <w:lvlJc w:val="left"/>
      <w:pPr>
        <w:ind w:left="495" w:hanging="495"/>
      </w:pPr>
      <w:rPr>
        <w:rFonts w:eastAsia="Calibri" w:cs="Arial" w:hint="default"/>
      </w:rPr>
    </w:lvl>
    <w:lvl w:ilvl="1">
      <w:start w:val="1"/>
      <w:numFmt w:val="decimal"/>
      <w:lvlText w:val="%1.%2."/>
      <w:lvlJc w:val="left"/>
      <w:pPr>
        <w:ind w:left="495" w:hanging="495"/>
      </w:pPr>
      <w:rPr>
        <w:rFonts w:eastAsia="Calibri" w:cs="Arial" w:hint="default"/>
      </w:rPr>
    </w:lvl>
    <w:lvl w:ilvl="2">
      <w:start w:val="1"/>
      <w:numFmt w:val="decimal"/>
      <w:lvlText w:val="%1.%2.%3."/>
      <w:lvlJc w:val="left"/>
      <w:pPr>
        <w:ind w:left="720" w:hanging="720"/>
      </w:pPr>
      <w:rPr>
        <w:rFonts w:eastAsia="Calibri" w:cs="Arial" w:hint="default"/>
      </w:rPr>
    </w:lvl>
    <w:lvl w:ilvl="3">
      <w:start w:val="1"/>
      <w:numFmt w:val="decimal"/>
      <w:lvlText w:val="%1.%2.%3.%4."/>
      <w:lvlJc w:val="left"/>
      <w:pPr>
        <w:ind w:left="720" w:hanging="720"/>
      </w:pPr>
      <w:rPr>
        <w:rFonts w:eastAsia="Calibri" w:cs="Arial" w:hint="default"/>
      </w:rPr>
    </w:lvl>
    <w:lvl w:ilvl="4">
      <w:start w:val="1"/>
      <w:numFmt w:val="decimal"/>
      <w:lvlText w:val="%1.%2.%3.%4.%5."/>
      <w:lvlJc w:val="left"/>
      <w:pPr>
        <w:ind w:left="1080" w:hanging="1080"/>
      </w:pPr>
      <w:rPr>
        <w:rFonts w:eastAsia="Calibri" w:cs="Arial" w:hint="default"/>
      </w:rPr>
    </w:lvl>
    <w:lvl w:ilvl="5">
      <w:start w:val="1"/>
      <w:numFmt w:val="decimal"/>
      <w:lvlText w:val="%1.%2.%3.%4.%5.%6."/>
      <w:lvlJc w:val="left"/>
      <w:pPr>
        <w:ind w:left="1080" w:hanging="1080"/>
      </w:pPr>
      <w:rPr>
        <w:rFonts w:eastAsia="Calibri" w:cs="Arial" w:hint="default"/>
      </w:rPr>
    </w:lvl>
    <w:lvl w:ilvl="6">
      <w:start w:val="1"/>
      <w:numFmt w:val="decimal"/>
      <w:lvlText w:val="%1.%2.%3.%4.%5.%6.%7."/>
      <w:lvlJc w:val="left"/>
      <w:pPr>
        <w:ind w:left="1440" w:hanging="1440"/>
      </w:pPr>
      <w:rPr>
        <w:rFonts w:eastAsia="Calibri" w:cs="Arial" w:hint="default"/>
      </w:rPr>
    </w:lvl>
    <w:lvl w:ilvl="7">
      <w:start w:val="1"/>
      <w:numFmt w:val="decimal"/>
      <w:lvlText w:val="%1.%2.%3.%4.%5.%6.%7.%8."/>
      <w:lvlJc w:val="left"/>
      <w:pPr>
        <w:ind w:left="1440" w:hanging="1440"/>
      </w:pPr>
      <w:rPr>
        <w:rFonts w:eastAsia="Calibri" w:cs="Arial" w:hint="default"/>
      </w:rPr>
    </w:lvl>
    <w:lvl w:ilvl="8">
      <w:start w:val="1"/>
      <w:numFmt w:val="decimal"/>
      <w:lvlText w:val="%1.%2.%3.%4.%5.%6.%7.%8.%9."/>
      <w:lvlJc w:val="left"/>
      <w:pPr>
        <w:ind w:left="1800" w:hanging="1800"/>
      </w:pPr>
      <w:rPr>
        <w:rFonts w:eastAsia="Calibri" w:cs="Arial" w:hint="default"/>
      </w:rPr>
    </w:lvl>
  </w:abstractNum>
  <w:abstractNum w:abstractNumId="29" w15:restartNumberingAfterBreak="0">
    <w:nsid w:val="7402425C"/>
    <w:multiLevelType w:val="multilevel"/>
    <w:tmpl w:val="27E8387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C85B00"/>
    <w:multiLevelType w:val="multilevel"/>
    <w:tmpl w:val="9722A1DA"/>
    <w:lvl w:ilvl="0">
      <w:start w:val="3"/>
      <w:numFmt w:val="decimal"/>
      <w:lvlText w:val="%1"/>
      <w:lvlJc w:val="left"/>
      <w:pPr>
        <w:ind w:left="360" w:hanging="360"/>
      </w:pPr>
      <w:rPr>
        <w:rFonts w:hint="default"/>
      </w:rPr>
    </w:lvl>
    <w:lvl w:ilvl="1">
      <w:start w:val="1"/>
      <w:numFmt w:val="decimal"/>
      <w:lvlText w:val="%1.%2"/>
      <w:lvlJc w:val="left"/>
      <w:pPr>
        <w:ind w:left="448" w:hanging="360"/>
      </w:pPr>
      <w:rPr>
        <w:rFonts w:hint="default"/>
      </w:rPr>
    </w:lvl>
    <w:lvl w:ilvl="2">
      <w:start w:val="1"/>
      <w:numFmt w:val="decimal"/>
      <w:lvlText w:val="%1.%2.%3"/>
      <w:lvlJc w:val="left"/>
      <w:pPr>
        <w:ind w:left="89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432" w:hanging="1080"/>
      </w:pPr>
      <w:rPr>
        <w:rFonts w:hint="default"/>
      </w:rPr>
    </w:lvl>
    <w:lvl w:ilvl="5">
      <w:start w:val="1"/>
      <w:numFmt w:val="decimal"/>
      <w:lvlText w:val="%1.%2.%3.%4.%5.%6"/>
      <w:lvlJc w:val="left"/>
      <w:pPr>
        <w:ind w:left="152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056" w:hanging="1440"/>
      </w:pPr>
      <w:rPr>
        <w:rFonts w:hint="default"/>
      </w:rPr>
    </w:lvl>
    <w:lvl w:ilvl="8">
      <w:start w:val="1"/>
      <w:numFmt w:val="decimal"/>
      <w:lvlText w:val="%1.%2.%3.%4.%5.%6.%7.%8.%9"/>
      <w:lvlJc w:val="left"/>
      <w:pPr>
        <w:ind w:left="2504" w:hanging="1800"/>
      </w:pPr>
      <w:rPr>
        <w:rFonts w:hint="default"/>
      </w:rPr>
    </w:lvl>
  </w:abstractNum>
  <w:abstractNum w:abstractNumId="31" w15:restartNumberingAfterBreak="0">
    <w:nsid w:val="7666685D"/>
    <w:multiLevelType w:val="hybridMultilevel"/>
    <w:tmpl w:val="0F92C068"/>
    <w:lvl w:ilvl="0" w:tplc="00EA87AC">
      <w:start w:val="1"/>
      <w:numFmt w:val="bullet"/>
      <w:lvlText w:val="▪"/>
      <w:lvlJc w:val="left"/>
      <w:pPr>
        <w:ind w:left="459" w:hanging="360"/>
      </w:pPr>
      <w:rPr>
        <w:rFonts w:ascii="Microsoft Sans Serif" w:eastAsia="Microsoft Sans Serif" w:hAnsi="Microsoft Sans Serif" w:hint="default"/>
        <w:w w:val="129"/>
        <w:sz w:val="20"/>
        <w:szCs w:val="20"/>
      </w:rPr>
    </w:lvl>
    <w:lvl w:ilvl="1" w:tplc="7AB4BCC8">
      <w:start w:val="1"/>
      <w:numFmt w:val="bullet"/>
      <w:lvlText w:val="•"/>
      <w:lvlJc w:val="left"/>
      <w:pPr>
        <w:ind w:left="871" w:hanging="360"/>
      </w:pPr>
      <w:rPr>
        <w:rFonts w:hint="default"/>
      </w:rPr>
    </w:lvl>
    <w:lvl w:ilvl="2" w:tplc="DD2A5608">
      <w:start w:val="1"/>
      <w:numFmt w:val="bullet"/>
      <w:lvlText w:val="•"/>
      <w:lvlJc w:val="left"/>
      <w:pPr>
        <w:ind w:left="1283" w:hanging="360"/>
      </w:pPr>
      <w:rPr>
        <w:rFonts w:hint="default"/>
      </w:rPr>
    </w:lvl>
    <w:lvl w:ilvl="3" w:tplc="CA34C120">
      <w:start w:val="1"/>
      <w:numFmt w:val="bullet"/>
      <w:lvlText w:val="•"/>
      <w:lvlJc w:val="left"/>
      <w:pPr>
        <w:ind w:left="1695" w:hanging="360"/>
      </w:pPr>
      <w:rPr>
        <w:rFonts w:hint="default"/>
      </w:rPr>
    </w:lvl>
    <w:lvl w:ilvl="4" w:tplc="75E67C14">
      <w:start w:val="1"/>
      <w:numFmt w:val="bullet"/>
      <w:lvlText w:val="•"/>
      <w:lvlJc w:val="left"/>
      <w:pPr>
        <w:ind w:left="2107" w:hanging="360"/>
      </w:pPr>
      <w:rPr>
        <w:rFonts w:hint="default"/>
      </w:rPr>
    </w:lvl>
    <w:lvl w:ilvl="5" w:tplc="9E9A252E">
      <w:start w:val="1"/>
      <w:numFmt w:val="bullet"/>
      <w:lvlText w:val="•"/>
      <w:lvlJc w:val="left"/>
      <w:pPr>
        <w:ind w:left="2519" w:hanging="360"/>
      </w:pPr>
      <w:rPr>
        <w:rFonts w:hint="default"/>
      </w:rPr>
    </w:lvl>
    <w:lvl w:ilvl="6" w:tplc="C17E7C68">
      <w:start w:val="1"/>
      <w:numFmt w:val="bullet"/>
      <w:lvlText w:val="•"/>
      <w:lvlJc w:val="left"/>
      <w:pPr>
        <w:ind w:left="2931" w:hanging="360"/>
      </w:pPr>
      <w:rPr>
        <w:rFonts w:hint="default"/>
      </w:rPr>
    </w:lvl>
    <w:lvl w:ilvl="7" w:tplc="332A2C84">
      <w:start w:val="1"/>
      <w:numFmt w:val="bullet"/>
      <w:lvlText w:val="•"/>
      <w:lvlJc w:val="left"/>
      <w:pPr>
        <w:ind w:left="3343" w:hanging="360"/>
      </w:pPr>
      <w:rPr>
        <w:rFonts w:hint="default"/>
      </w:rPr>
    </w:lvl>
    <w:lvl w:ilvl="8" w:tplc="21F644EC">
      <w:start w:val="1"/>
      <w:numFmt w:val="bullet"/>
      <w:lvlText w:val="•"/>
      <w:lvlJc w:val="left"/>
      <w:pPr>
        <w:ind w:left="3755" w:hanging="360"/>
      </w:pPr>
      <w:rPr>
        <w:rFonts w:hint="default"/>
      </w:rPr>
    </w:lvl>
  </w:abstractNum>
  <w:abstractNum w:abstractNumId="32" w15:restartNumberingAfterBreak="0">
    <w:nsid w:val="79EA57BC"/>
    <w:multiLevelType w:val="hybridMultilevel"/>
    <w:tmpl w:val="A05C8ED0"/>
    <w:lvl w:ilvl="0" w:tplc="85ACBA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694DB3"/>
    <w:multiLevelType w:val="hybridMultilevel"/>
    <w:tmpl w:val="ABC05614"/>
    <w:lvl w:ilvl="0" w:tplc="0A42CD18">
      <w:start w:val="1"/>
      <w:numFmt w:val="upperLetter"/>
      <w:lvlText w:val="%1."/>
      <w:lvlJc w:val="left"/>
      <w:pPr>
        <w:ind w:left="448" w:hanging="360"/>
      </w:pPr>
      <w:rPr>
        <w:rFonts w:hint="default"/>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34" w15:restartNumberingAfterBreak="0">
    <w:nsid w:val="7BB34D8C"/>
    <w:multiLevelType w:val="multilevel"/>
    <w:tmpl w:val="6DE45C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D7848FA"/>
    <w:multiLevelType w:val="multilevel"/>
    <w:tmpl w:val="C7302F44"/>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F4A0885"/>
    <w:multiLevelType w:val="hybridMultilevel"/>
    <w:tmpl w:val="64602FA4"/>
    <w:lvl w:ilvl="0" w:tplc="408226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0"/>
  </w:num>
  <w:num w:numId="3">
    <w:abstractNumId w:val="24"/>
  </w:num>
  <w:num w:numId="4">
    <w:abstractNumId w:val="8"/>
  </w:num>
  <w:num w:numId="5">
    <w:abstractNumId w:val="30"/>
  </w:num>
  <w:num w:numId="6">
    <w:abstractNumId w:val="33"/>
  </w:num>
  <w:num w:numId="7">
    <w:abstractNumId w:val="34"/>
  </w:num>
  <w:num w:numId="8">
    <w:abstractNumId w:val="7"/>
  </w:num>
  <w:num w:numId="9">
    <w:abstractNumId w:val="5"/>
  </w:num>
  <w:num w:numId="10">
    <w:abstractNumId w:val="21"/>
  </w:num>
  <w:num w:numId="11">
    <w:abstractNumId w:val="2"/>
  </w:num>
  <w:num w:numId="12">
    <w:abstractNumId w:val="14"/>
  </w:num>
  <w:num w:numId="13">
    <w:abstractNumId w:val="9"/>
  </w:num>
  <w:num w:numId="14">
    <w:abstractNumId w:val="19"/>
  </w:num>
  <w:num w:numId="15">
    <w:abstractNumId w:val="11"/>
  </w:num>
  <w:num w:numId="16">
    <w:abstractNumId w:val="6"/>
  </w:num>
  <w:num w:numId="17">
    <w:abstractNumId w:val="13"/>
  </w:num>
  <w:num w:numId="18">
    <w:abstractNumId w:val="26"/>
  </w:num>
  <w:num w:numId="19">
    <w:abstractNumId w:val="3"/>
  </w:num>
  <w:num w:numId="20">
    <w:abstractNumId w:val="32"/>
  </w:num>
  <w:num w:numId="21">
    <w:abstractNumId w:val="23"/>
  </w:num>
  <w:num w:numId="22">
    <w:abstractNumId w:val="0"/>
  </w:num>
  <w:num w:numId="23">
    <w:abstractNumId w:val="25"/>
  </w:num>
  <w:num w:numId="24">
    <w:abstractNumId w:val="10"/>
  </w:num>
  <w:num w:numId="25">
    <w:abstractNumId w:val="18"/>
  </w:num>
  <w:num w:numId="26">
    <w:abstractNumId w:val="28"/>
  </w:num>
  <w:num w:numId="27">
    <w:abstractNumId w:val="12"/>
  </w:num>
  <w:num w:numId="28">
    <w:abstractNumId w:val="22"/>
  </w:num>
  <w:num w:numId="29">
    <w:abstractNumId w:val="1"/>
  </w:num>
  <w:num w:numId="30">
    <w:abstractNumId w:val="35"/>
  </w:num>
  <w:num w:numId="31">
    <w:abstractNumId w:val="27"/>
  </w:num>
  <w:num w:numId="32">
    <w:abstractNumId w:val="36"/>
  </w:num>
  <w:num w:numId="33">
    <w:abstractNumId w:val="15"/>
  </w:num>
  <w:num w:numId="34">
    <w:abstractNumId w:val="17"/>
  </w:num>
  <w:num w:numId="35">
    <w:abstractNumId w:val="4"/>
  </w:num>
  <w:num w:numId="36">
    <w:abstractNumId w:val="29"/>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74"/>
    <w:rsid w:val="00000722"/>
    <w:rsid w:val="000009CD"/>
    <w:rsid w:val="00001E47"/>
    <w:rsid w:val="00002AB4"/>
    <w:rsid w:val="00003689"/>
    <w:rsid w:val="00003807"/>
    <w:rsid w:val="00005FA4"/>
    <w:rsid w:val="00006EFA"/>
    <w:rsid w:val="0001001F"/>
    <w:rsid w:val="00011051"/>
    <w:rsid w:val="000121BB"/>
    <w:rsid w:val="000144C5"/>
    <w:rsid w:val="00016187"/>
    <w:rsid w:val="00022C9C"/>
    <w:rsid w:val="000236C3"/>
    <w:rsid w:val="00024FCC"/>
    <w:rsid w:val="00025B6E"/>
    <w:rsid w:val="00032D89"/>
    <w:rsid w:val="0003347C"/>
    <w:rsid w:val="0003662F"/>
    <w:rsid w:val="0004028D"/>
    <w:rsid w:val="00042EBC"/>
    <w:rsid w:val="000446B4"/>
    <w:rsid w:val="00044BF6"/>
    <w:rsid w:val="000452B1"/>
    <w:rsid w:val="00046ABD"/>
    <w:rsid w:val="00051403"/>
    <w:rsid w:val="000539D3"/>
    <w:rsid w:val="00053D5A"/>
    <w:rsid w:val="000541F0"/>
    <w:rsid w:val="00056D52"/>
    <w:rsid w:val="0006142A"/>
    <w:rsid w:val="00064124"/>
    <w:rsid w:val="00065DBF"/>
    <w:rsid w:val="000665B4"/>
    <w:rsid w:val="00066DE3"/>
    <w:rsid w:val="000678AC"/>
    <w:rsid w:val="0007009F"/>
    <w:rsid w:val="0007059C"/>
    <w:rsid w:val="00071356"/>
    <w:rsid w:val="00071808"/>
    <w:rsid w:val="00071C4A"/>
    <w:rsid w:val="0007201D"/>
    <w:rsid w:val="00076203"/>
    <w:rsid w:val="00080014"/>
    <w:rsid w:val="00081038"/>
    <w:rsid w:val="00082318"/>
    <w:rsid w:val="0008371F"/>
    <w:rsid w:val="000857B9"/>
    <w:rsid w:val="00090B24"/>
    <w:rsid w:val="00091ACC"/>
    <w:rsid w:val="000930F1"/>
    <w:rsid w:val="00095A2E"/>
    <w:rsid w:val="00095C66"/>
    <w:rsid w:val="000A26B7"/>
    <w:rsid w:val="000A3738"/>
    <w:rsid w:val="000A4883"/>
    <w:rsid w:val="000A5D0C"/>
    <w:rsid w:val="000A6CB6"/>
    <w:rsid w:val="000B005A"/>
    <w:rsid w:val="000B0FBD"/>
    <w:rsid w:val="000B0FF2"/>
    <w:rsid w:val="000B46E8"/>
    <w:rsid w:val="000C0687"/>
    <w:rsid w:val="000C068D"/>
    <w:rsid w:val="000C0FF6"/>
    <w:rsid w:val="000C16D1"/>
    <w:rsid w:val="000C49F4"/>
    <w:rsid w:val="000C519A"/>
    <w:rsid w:val="000C5956"/>
    <w:rsid w:val="000C7D45"/>
    <w:rsid w:val="000D3E73"/>
    <w:rsid w:val="000D6D43"/>
    <w:rsid w:val="000D6DE3"/>
    <w:rsid w:val="000E116A"/>
    <w:rsid w:val="000E5168"/>
    <w:rsid w:val="000E5DEB"/>
    <w:rsid w:val="000F0056"/>
    <w:rsid w:val="000F0257"/>
    <w:rsid w:val="000F1515"/>
    <w:rsid w:val="000F385B"/>
    <w:rsid w:val="00102570"/>
    <w:rsid w:val="001028F6"/>
    <w:rsid w:val="00103E8A"/>
    <w:rsid w:val="00111490"/>
    <w:rsid w:val="00112670"/>
    <w:rsid w:val="00113BE5"/>
    <w:rsid w:val="001146E2"/>
    <w:rsid w:val="00114AFB"/>
    <w:rsid w:val="00120BE8"/>
    <w:rsid w:val="00121082"/>
    <w:rsid w:val="00126794"/>
    <w:rsid w:val="00132B40"/>
    <w:rsid w:val="0013300E"/>
    <w:rsid w:val="0013465E"/>
    <w:rsid w:val="001346D0"/>
    <w:rsid w:val="00135546"/>
    <w:rsid w:val="001364CB"/>
    <w:rsid w:val="00142CF1"/>
    <w:rsid w:val="001511EB"/>
    <w:rsid w:val="001517F6"/>
    <w:rsid w:val="001529A7"/>
    <w:rsid w:val="001602AF"/>
    <w:rsid w:val="00160D1C"/>
    <w:rsid w:val="001667C8"/>
    <w:rsid w:val="00170053"/>
    <w:rsid w:val="00171349"/>
    <w:rsid w:val="00171D32"/>
    <w:rsid w:val="00173F2F"/>
    <w:rsid w:val="00175117"/>
    <w:rsid w:val="001766E7"/>
    <w:rsid w:val="00177346"/>
    <w:rsid w:val="001779A4"/>
    <w:rsid w:val="00177A6D"/>
    <w:rsid w:val="00180ADC"/>
    <w:rsid w:val="0018133E"/>
    <w:rsid w:val="001866FA"/>
    <w:rsid w:val="00187A34"/>
    <w:rsid w:val="00196CA7"/>
    <w:rsid w:val="001A03AD"/>
    <w:rsid w:val="001A3182"/>
    <w:rsid w:val="001A3CC5"/>
    <w:rsid w:val="001C16EE"/>
    <w:rsid w:val="001C1B72"/>
    <w:rsid w:val="001C264B"/>
    <w:rsid w:val="001C429B"/>
    <w:rsid w:val="001C46D6"/>
    <w:rsid w:val="001C4A02"/>
    <w:rsid w:val="001C4DD2"/>
    <w:rsid w:val="001C5B4E"/>
    <w:rsid w:val="001C5B72"/>
    <w:rsid w:val="001C77BC"/>
    <w:rsid w:val="001D257B"/>
    <w:rsid w:val="001D5545"/>
    <w:rsid w:val="001D6FFA"/>
    <w:rsid w:val="001E06F3"/>
    <w:rsid w:val="001E0EB6"/>
    <w:rsid w:val="001E1FD8"/>
    <w:rsid w:val="001E2EDE"/>
    <w:rsid w:val="001E30CE"/>
    <w:rsid w:val="001E4B43"/>
    <w:rsid w:val="001E7F55"/>
    <w:rsid w:val="001F520C"/>
    <w:rsid w:val="002005B3"/>
    <w:rsid w:val="002015FA"/>
    <w:rsid w:val="00201903"/>
    <w:rsid w:val="00202672"/>
    <w:rsid w:val="0020310B"/>
    <w:rsid w:val="00204AD3"/>
    <w:rsid w:val="0021038A"/>
    <w:rsid w:val="002134EA"/>
    <w:rsid w:val="00213A04"/>
    <w:rsid w:val="002200B4"/>
    <w:rsid w:val="002223E8"/>
    <w:rsid w:val="00222C55"/>
    <w:rsid w:val="00223CF4"/>
    <w:rsid w:val="00225DC9"/>
    <w:rsid w:val="0022791E"/>
    <w:rsid w:val="00230DD3"/>
    <w:rsid w:val="002314F1"/>
    <w:rsid w:val="002327F1"/>
    <w:rsid w:val="00233DB2"/>
    <w:rsid w:val="00236C74"/>
    <w:rsid w:val="002374C7"/>
    <w:rsid w:val="00244523"/>
    <w:rsid w:val="0024644A"/>
    <w:rsid w:val="00246ECE"/>
    <w:rsid w:val="00247764"/>
    <w:rsid w:val="0025236B"/>
    <w:rsid w:val="002526C2"/>
    <w:rsid w:val="0025608E"/>
    <w:rsid w:val="00257F0E"/>
    <w:rsid w:val="00270597"/>
    <w:rsid w:val="00271727"/>
    <w:rsid w:val="00274E7E"/>
    <w:rsid w:val="002756A5"/>
    <w:rsid w:val="002756CD"/>
    <w:rsid w:val="00276A8F"/>
    <w:rsid w:val="0027748E"/>
    <w:rsid w:val="00277B70"/>
    <w:rsid w:val="0028187E"/>
    <w:rsid w:val="00281F16"/>
    <w:rsid w:val="002879A2"/>
    <w:rsid w:val="0029043B"/>
    <w:rsid w:val="0029093D"/>
    <w:rsid w:val="00295354"/>
    <w:rsid w:val="00297D29"/>
    <w:rsid w:val="00297E43"/>
    <w:rsid w:val="002A0695"/>
    <w:rsid w:val="002A1046"/>
    <w:rsid w:val="002A18CF"/>
    <w:rsid w:val="002A20DF"/>
    <w:rsid w:val="002A2729"/>
    <w:rsid w:val="002B2DFD"/>
    <w:rsid w:val="002B50FA"/>
    <w:rsid w:val="002C07FA"/>
    <w:rsid w:val="002C2E3A"/>
    <w:rsid w:val="002C546A"/>
    <w:rsid w:val="002C6673"/>
    <w:rsid w:val="002D41D2"/>
    <w:rsid w:val="002D42AD"/>
    <w:rsid w:val="002D6378"/>
    <w:rsid w:val="002D70CF"/>
    <w:rsid w:val="002D7881"/>
    <w:rsid w:val="002D7A7F"/>
    <w:rsid w:val="002E33EE"/>
    <w:rsid w:val="002E794B"/>
    <w:rsid w:val="002F4487"/>
    <w:rsid w:val="002F4F63"/>
    <w:rsid w:val="00302040"/>
    <w:rsid w:val="00302A68"/>
    <w:rsid w:val="0030309D"/>
    <w:rsid w:val="00307814"/>
    <w:rsid w:val="0031043A"/>
    <w:rsid w:val="00311CC6"/>
    <w:rsid w:val="00317E46"/>
    <w:rsid w:val="00317F33"/>
    <w:rsid w:val="00320905"/>
    <w:rsid w:val="003219FA"/>
    <w:rsid w:val="00323E8A"/>
    <w:rsid w:val="00327387"/>
    <w:rsid w:val="00341C83"/>
    <w:rsid w:val="003422C7"/>
    <w:rsid w:val="00346525"/>
    <w:rsid w:val="00351272"/>
    <w:rsid w:val="00351E4A"/>
    <w:rsid w:val="00353890"/>
    <w:rsid w:val="00355127"/>
    <w:rsid w:val="003551B7"/>
    <w:rsid w:val="00355CE5"/>
    <w:rsid w:val="00357F20"/>
    <w:rsid w:val="003634B1"/>
    <w:rsid w:val="0036577B"/>
    <w:rsid w:val="003658AB"/>
    <w:rsid w:val="0036755E"/>
    <w:rsid w:val="003704F2"/>
    <w:rsid w:val="00370C0C"/>
    <w:rsid w:val="0037365A"/>
    <w:rsid w:val="00374F7F"/>
    <w:rsid w:val="00377354"/>
    <w:rsid w:val="00386400"/>
    <w:rsid w:val="003879AE"/>
    <w:rsid w:val="003879E1"/>
    <w:rsid w:val="00387EEF"/>
    <w:rsid w:val="003903D3"/>
    <w:rsid w:val="00390F9A"/>
    <w:rsid w:val="00391388"/>
    <w:rsid w:val="003928AD"/>
    <w:rsid w:val="0039690D"/>
    <w:rsid w:val="003A05ED"/>
    <w:rsid w:val="003A0EAF"/>
    <w:rsid w:val="003A18A7"/>
    <w:rsid w:val="003A3397"/>
    <w:rsid w:val="003A43AA"/>
    <w:rsid w:val="003A6887"/>
    <w:rsid w:val="003B3539"/>
    <w:rsid w:val="003B3B0D"/>
    <w:rsid w:val="003B3DEC"/>
    <w:rsid w:val="003B59E3"/>
    <w:rsid w:val="003C1521"/>
    <w:rsid w:val="003C274B"/>
    <w:rsid w:val="003C2930"/>
    <w:rsid w:val="003C48E2"/>
    <w:rsid w:val="003C4BAA"/>
    <w:rsid w:val="003C557C"/>
    <w:rsid w:val="003C5CC6"/>
    <w:rsid w:val="003C669F"/>
    <w:rsid w:val="003D002E"/>
    <w:rsid w:val="003D2E56"/>
    <w:rsid w:val="003D548E"/>
    <w:rsid w:val="003D6A78"/>
    <w:rsid w:val="003D7478"/>
    <w:rsid w:val="003E0691"/>
    <w:rsid w:val="003E1D70"/>
    <w:rsid w:val="003E5F06"/>
    <w:rsid w:val="003F11E6"/>
    <w:rsid w:val="003F123B"/>
    <w:rsid w:val="003F1F48"/>
    <w:rsid w:val="003F3552"/>
    <w:rsid w:val="003F3BA5"/>
    <w:rsid w:val="003F4897"/>
    <w:rsid w:val="003F6A22"/>
    <w:rsid w:val="0040114A"/>
    <w:rsid w:val="00401F14"/>
    <w:rsid w:val="004056F3"/>
    <w:rsid w:val="00406AC1"/>
    <w:rsid w:val="00410284"/>
    <w:rsid w:val="0041199E"/>
    <w:rsid w:val="00413829"/>
    <w:rsid w:val="00415E22"/>
    <w:rsid w:val="004164E9"/>
    <w:rsid w:val="00416A6E"/>
    <w:rsid w:val="00420052"/>
    <w:rsid w:val="00420317"/>
    <w:rsid w:val="00420EF2"/>
    <w:rsid w:val="00421072"/>
    <w:rsid w:val="004210A5"/>
    <w:rsid w:val="00422B67"/>
    <w:rsid w:val="00427452"/>
    <w:rsid w:val="004321CA"/>
    <w:rsid w:val="0043487D"/>
    <w:rsid w:val="00434F0F"/>
    <w:rsid w:val="004351EA"/>
    <w:rsid w:val="00436036"/>
    <w:rsid w:val="004361EC"/>
    <w:rsid w:val="004415BD"/>
    <w:rsid w:val="00442968"/>
    <w:rsid w:val="004448DA"/>
    <w:rsid w:val="00451273"/>
    <w:rsid w:val="00451472"/>
    <w:rsid w:val="0045661B"/>
    <w:rsid w:val="00456D15"/>
    <w:rsid w:val="00457281"/>
    <w:rsid w:val="00462662"/>
    <w:rsid w:val="00462762"/>
    <w:rsid w:val="00462933"/>
    <w:rsid w:val="0046293A"/>
    <w:rsid w:val="004644AF"/>
    <w:rsid w:val="00465144"/>
    <w:rsid w:val="00471B1F"/>
    <w:rsid w:val="00471DE1"/>
    <w:rsid w:val="004728B3"/>
    <w:rsid w:val="00473139"/>
    <w:rsid w:val="00474C64"/>
    <w:rsid w:val="00480164"/>
    <w:rsid w:val="0048307F"/>
    <w:rsid w:val="004832A5"/>
    <w:rsid w:val="00484CB3"/>
    <w:rsid w:val="00487B63"/>
    <w:rsid w:val="00487CCD"/>
    <w:rsid w:val="0049317E"/>
    <w:rsid w:val="00497EC7"/>
    <w:rsid w:val="004A1377"/>
    <w:rsid w:val="004A2DDB"/>
    <w:rsid w:val="004A57D9"/>
    <w:rsid w:val="004A6E41"/>
    <w:rsid w:val="004A73E7"/>
    <w:rsid w:val="004B2272"/>
    <w:rsid w:val="004B29D9"/>
    <w:rsid w:val="004B3876"/>
    <w:rsid w:val="004B4460"/>
    <w:rsid w:val="004B50D3"/>
    <w:rsid w:val="004B7A4E"/>
    <w:rsid w:val="004C0CE2"/>
    <w:rsid w:val="004C2524"/>
    <w:rsid w:val="004C2978"/>
    <w:rsid w:val="004C50D2"/>
    <w:rsid w:val="004D3951"/>
    <w:rsid w:val="004D3B22"/>
    <w:rsid w:val="004D4405"/>
    <w:rsid w:val="004D4C70"/>
    <w:rsid w:val="004E065E"/>
    <w:rsid w:val="004E0FAF"/>
    <w:rsid w:val="004E3171"/>
    <w:rsid w:val="004E3B6C"/>
    <w:rsid w:val="004E7557"/>
    <w:rsid w:val="004E7C55"/>
    <w:rsid w:val="004F4C0C"/>
    <w:rsid w:val="004F6491"/>
    <w:rsid w:val="004F72D9"/>
    <w:rsid w:val="00501478"/>
    <w:rsid w:val="00504D59"/>
    <w:rsid w:val="00506816"/>
    <w:rsid w:val="00507B26"/>
    <w:rsid w:val="00510151"/>
    <w:rsid w:val="005112B6"/>
    <w:rsid w:val="00512E2A"/>
    <w:rsid w:val="00516BF4"/>
    <w:rsid w:val="00524865"/>
    <w:rsid w:val="00526CEA"/>
    <w:rsid w:val="005311BA"/>
    <w:rsid w:val="00537F58"/>
    <w:rsid w:val="005426AA"/>
    <w:rsid w:val="00544A41"/>
    <w:rsid w:val="005451E6"/>
    <w:rsid w:val="0054568F"/>
    <w:rsid w:val="00555189"/>
    <w:rsid w:val="0056074D"/>
    <w:rsid w:val="00560CE7"/>
    <w:rsid w:val="00561531"/>
    <w:rsid w:val="005616F4"/>
    <w:rsid w:val="005627C7"/>
    <w:rsid w:val="00563126"/>
    <w:rsid w:val="005635D3"/>
    <w:rsid w:val="005646A0"/>
    <w:rsid w:val="00567618"/>
    <w:rsid w:val="00567AAC"/>
    <w:rsid w:val="00567B45"/>
    <w:rsid w:val="005708F4"/>
    <w:rsid w:val="00571A6A"/>
    <w:rsid w:val="005735D1"/>
    <w:rsid w:val="00573B86"/>
    <w:rsid w:val="0058222B"/>
    <w:rsid w:val="00584A30"/>
    <w:rsid w:val="00590208"/>
    <w:rsid w:val="005911CC"/>
    <w:rsid w:val="005921A4"/>
    <w:rsid w:val="00592F50"/>
    <w:rsid w:val="00595741"/>
    <w:rsid w:val="0059630B"/>
    <w:rsid w:val="005977C3"/>
    <w:rsid w:val="005A3007"/>
    <w:rsid w:val="005B0F86"/>
    <w:rsid w:val="005B157E"/>
    <w:rsid w:val="005B4E76"/>
    <w:rsid w:val="005B5D80"/>
    <w:rsid w:val="005B60CC"/>
    <w:rsid w:val="005C2689"/>
    <w:rsid w:val="005C325E"/>
    <w:rsid w:val="005C55A3"/>
    <w:rsid w:val="005C63BE"/>
    <w:rsid w:val="005D093C"/>
    <w:rsid w:val="005D1278"/>
    <w:rsid w:val="005D25AE"/>
    <w:rsid w:val="005D6FE9"/>
    <w:rsid w:val="005E3276"/>
    <w:rsid w:val="005E6F3F"/>
    <w:rsid w:val="005F14FE"/>
    <w:rsid w:val="005F2B30"/>
    <w:rsid w:val="005F346D"/>
    <w:rsid w:val="005F4CF6"/>
    <w:rsid w:val="005F6367"/>
    <w:rsid w:val="006037BF"/>
    <w:rsid w:val="0060776D"/>
    <w:rsid w:val="00607AF0"/>
    <w:rsid w:val="00607F3A"/>
    <w:rsid w:val="00612926"/>
    <w:rsid w:val="006130B9"/>
    <w:rsid w:val="00614A1D"/>
    <w:rsid w:val="00615183"/>
    <w:rsid w:val="00615319"/>
    <w:rsid w:val="00617209"/>
    <w:rsid w:val="00622E63"/>
    <w:rsid w:val="00623677"/>
    <w:rsid w:val="0062451B"/>
    <w:rsid w:val="0062495B"/>
    <w:rsid w:val="00626FCB"/>
    <w:rsid w:val="00627AD6"/>
    <w:rsid w:val="00630348"/>
    <w:rsid w:val="00632D80"/>
    <w:rsid w:val="0063376F"/>
    <w:rsid w:val="00635DB3"/>
    <w:rsid w:val="006366AC"/>
    <w:rsid w:val="00640720"/>
    <w:rsid w:val="00644D90"/>
    <w:rsid w:val="006453EB"/>
    <w:rsid w:val="00650A0B"/>
    <w:rsid w:val="00650B08"/>
    <w:rsid w:val="00651B73"/>
    <w:rsid w:val="00654858"/>
    <w:rsid w:val="0065683E"/>
    <w:rsid w:val="00657661"/>
    <w:rsid w:val="00657AD2"/>
    <w:rsid w:val="00661C15"/>
    <w:rsid w:val="00661E90"/>
    <w:rsid w:val="00662E60"/>
    <w:rsid w:val="00664BF4"/>
    <w:rsid w:val="00664C6A"/>
    <w:rsid w:val="0066547C"/>
    <w:rsid w:val="0066660B"/>
    <w:rsid w:val="00670150"/>
    <w:rsid w:val="0067318B"/>
    <w:rsid w:val="00673297"/>
    <w:rsid w:val="00673FF5"/>
    <w:rsid w:val="00674877"/>
    <w:rsid w:val="00675361"/>
    <w:rsid w:val="00675882"/>
    <w:rsid w:val="00682A8C"/>
    <w:rsid w:val="00683520"/>
    <w:rsid w:val="006860DB"/>
    <w:rsid w:val="006863CD"/>
    <w:rsid w:val="006871AA"/>
    <w:rsid w:val="0068784C"/>
    <w:rsid w:val="00692241"/>
    <w:rsid w:val="00692BD3"/>
    <w:rsid w:val="00694C36"/>
    <w:rsid w:val="0069688A"/>
    <w:rsid w:val="00697644"/>
    <w:rsid w:val="006A2304"/>
    <w:rsid w:val="006A518D"/>
    <w:rsid w:val="006A5D64"/>
    <w:rsid w:val="006A5FA7"/>
    <w:rsid w:val="006B1AC3"/>
    <w:rsid w:val="006C4E4D"/>
    <w:rsid w:val="006D067C"/>
    <w:rsid w:val="006D09D8"/>
    <w:rsid w:val="006D12EB"/>
    <w:rsid w:val="006D2980"/>
    <w:rsid w:val="006D3FE0"/>
    <w:rsid w:val="006D744A"/>
    <w:rsid w:val="006D7DCD"/>
    <w:rsid w:val="006D7EAF"/>
    <w:rsid w:val="006E0C0E"/>
    <w:rsid w:val="006E0C6D"/>
    <w:rsid w:val="006E24B2"/>
    <w:rsid w:val="006E45C7"/>
    <w:rsid w:val="006E7138"/>
    <w:rsid w:val="006F1D87"/>
    <w:rsid w:val="006F33E3"/>
    <w:rsid w:val="006F51B3"/>
    <w:rsid w:val="006F666F"/>
    <w:rsid w:val="007000FB"/>
    <w:rsid w:val="00701253"/>
    <w:rsid w:val="00703223"/>
    <w:rsid w:val="007054E9"/>
    <w:rsid w:val="0070594F"/>
    <w:rsid w:val="007146EB"/>
    <w:rsid w:val="00716154"/>
    <w:rsid w:val="00716E2C"/>
    <w:rsid w:val="007206DF"/>
    <w:rsid w:val="00721067"/>
    <w:rsid w:val="0072356D"/>
    <w:rsid w:val="007238F1"/>
    <w:rsid w:val="007239D5"/>
    <w:rsid w:val="00726225"/>
    <w:rsid w:val="00727D74"/>
    <w:rsid w:val="00730044"/>
    <w:rsid w:val="00732159"/>
    <w:rsid w:val="007351AC"/>
    <w:rsid w:val="00736698"/>
    <w:rsid w:val="00736AE2"/>
    <w:rsid w:val="00741289"/>
    <w:rsid w:val="00741335"/>
    <w:rsid w:val="00741740"/>
    <w:rsid w:val="00743DD0"/>
    <w:rsid w:val="007456BA"/>
    <w:rsid w:val="00745DF5"/>
    <w:rsid w:val="0074602D"/>
    <w:rsid w:val="00746F85"/>
    <w:rsid w:val="00751336"/>
    <w:rsid w:val="00751669"/>
    <w:rsid w:val="007521FC"/>
    <w:rsid w:val="007522FA"/>
    <w:rsid w:val="00752A20"/>
    <w:rsid w:val="00755DF1"/>
    <w:rsid w:val="00756C46"/>
    <w:rsid w:val="007600B9"/>
    <w:rsid w:val="007606C4"/>
    <w:rsid w:val="007607D8"/>
    <w:rsid w:val="00761468"/>
    <w:rsid w:val="00764F84"/>
    <w:rsid w:val="00765754"/>
    <w:rsid w:val="00770457"/>
    <w:rsid w:val="00772E4E"/>
    <w:rsid w:val="0077336A"/>
    <w:rsid w:val="007735F2"/>
    <w:rsid w:val="00776185"/>
    <w:rsid w:val="007873E7"/>
    <w:rsid w:val="00787DB8"/>
    <w:rsid w:val="00791421"/>
    <w:rsid w:val="0079579F"/>
    <w:rsid w:val="007A0515"/>
    <w:rsid w:val="007A19D3"/>
    <w:rsid w:val="007A19FE"/>
    <w:rsid w:val="007A6B0F"/>
    <w:rsid w:val="007B0961"/>
    <w:rsid w:val="007B2185"/>
    <w:rsid w:val="007B284C"/>
    <w:rsid w:val="007B33DB"/>
    <w:rsid w:val="007B3B01"/>
    <w:rsid w:val="007B3F54"/>
    <w:rsid w:val="007B3F8A"/>
    <w:rsid w:val="007B4351"/>
    <w:rsid w:val="007B7976"/>
    <w:rsid w:val="007C0FB0"/>
    <w:rsid w:val="007C1E99"/>
    <w:rsid w:val="007C23B7"/>
    <w:rsid w:val="007C32F3"/>
    <w:rsid w:val="007C581B"/>
    <w:rsid w:val="007C60C6"/>
    <w:rsid w:val="007D14EF"/>
    <w:rsid w:val="007D2CBD"/>
    <w:rsid w:val="007D379B"/>
    <w:rsid w:val="007D5139"/>
    <w:rsid w:val="007D7310"/>
    <w:rsid w:val="007D7622"/>
    <w:rsid w:val="007E03FA"/>
    <w:rsid w:val="007E0788"/>
    <w:rsid w:val="007E0EAA"/>
    <w:rsid w:val="007E165F"/>
    <w:rsid w:val="007E1677"/>
    <w:rsid w:val="007E2274"/>
    <w:rsid w:val="007E410D"/>
    <w:rsid w:val="007E4C52"/>
    <w:rsid w:val="007E5123"/>
    <w:rsid w:val="007E597F"/>
    <w:rsid w:val="007E6EB3"/>
    <w:rsid w:val="007F39F4"/>
    <w:rsid w:val="007F4293"/>
    <w:rsid w:val="007F6213"/>
    <w:rsid w:val="007F79EA"/>
    <w:rsid w:val="008014D8"/>
    <w:rsid w:val="00801559"/>
    <w:rsid w:val="00802426"/>
    <w:rsid w:val="008042D3"/>
    <w:rsid w:val="008051D4"/>
    <w:rsid w:val="00805CE7"/>
    <w:rsid w:val="0081034A"/>
    <w:rsid w:val="00811297"/>
    <w:rsid w:val="00811333"/>
    <w:rsid w:val="00811414"/>
    <w:rsid w:val="0081453B"/>
    <w:rsid w:val="00814CCE"/>
    <w:rsid w:val="008156CC"/>
    <w:rsid w:val="0081749A"/>
    <w:rsid w:val="00817E58"/>
    <w:rsid w:val="00821F38"/>
    <w:rsid w:val="00822AD3"/>
    <w:rsid w:val="008234D1"/>
    <w:rsid w:val="008252B1"/>
    <w:rsid w:val="008253B3"/>
    <w:rsid w:val="008265E0"/>
    <w:rsid w:val="008269A7"/>
    <w:rsid w:val="008273C2"/>
    <w:rsid w:val="008307C5"/>
    <w:rsid w:val="00830D0A"/>
    <w:rsid w:val="00832507"/>
    <w:rsid w:val="0083572A"/>
    <w:rsid w:val="00835D88"/>
    <w:rsid w:val="00836484"/>
    <w:rsid w:val="008410D7"/>
    <w:rsid w:val="00841BCC"/>
    <w:rsid w:val="00841F0C"/>
    <w:rsid w:val="00841F2B"/>
    <w:rsid w:val="00842680"/>
    <w:rsid w:val="00844442"/>
    <w:rsid w:val="008451A7"/>
    <w:rsid w:val="00850385"/>
    <w:rsid w:val="00850C60"/>
    <w:rsid w:val="008537FC"/>
    <w:rsid w:val="0085730A"/>
    <w:rsid w:val="0085755A"/>
    <w:rsid w:val="00857FD7"/>
    <w:rsid w:val="0086019A"/>
    <w:rsid w:val="00861021"/>
    <w:rsid w:val="00861E03"/>
    <w:rsid w:val="0086251B"/>
    <w:rsid w:val="0086531F"/>
    <w:rsid w:val="0086784B"/>
    <w:rsid w:val="008728AD"/>
    <w:rsid w:val="00874495"/>
    <w:rsid w:val="0087770B"/>
    <w:rsid w:val="00881101"/>
    <w:rsid w:val="00884F18"/>
    <w:rsid w:val="008851E6"/>
    <w:rsid w:val="00885F77"/>
    <w:rsid w:val="00887DB6"/>
    <w:rsid w:val="008905D7"/>
    <w:rsid w:val="00891862"/>
    <w:rsid w:val="00893441"/>
    <w:rsid w:val="00894B0C"/>
    <w:rsid w:val="008A32DC"/>
    <w:rsid w:val="008A52A1"/>
    <w:rsid w:val="008A5852"/>
    <w:rsid w:val="008A7E63"/>
    <w:rsid w:val="008B1DFA"/>
    <w:rsid w:val="008B41AA"/>
    <w:rsid w:val="008B5B3D"/>
    <w:rsid w:val="008B6475"/>
    <w:rsid w:val="008C641B"/>
    <w:rsid w:val="008D008D"/>
    <w:rsid w:val="008D12DA"/>
    <w:rsid w:val="008D3479"/>
    <w:rsid w:val="008D4FC9"/>
    <w:rsid w:val="008D5D6E"/>
    <w:rsid w:val="008E1BD7"/>
    <w:rsid w:val="008E3229"/>
    <w:rsid w:val="008E4514"/>
    <w:rsid w:val="008E4BE6"/>
    <w:rsid w:val="008E4DF9"/>
    <w:rsid w:val="008E53B0"/>
    <w:rsid w:val="008F1984"/>
    <w:rsid w:val="008F226E"/>
    <w:rsid w:val="008F22D8"/>
    <w:rsid w:val="008F3658"/>
    <w:rsid w:val="00900654"/>
    <w:rsid w:val="00902D05"/>
    <w:rsid w:val="009034F1"/>
    <w:rsid w:val="00907DE6"/>
    <w:rsid w:val="00912082"/>
    <w:rsid w:val="0092020E"/>
    <w:rsid w:val="00920E98"/>
    <w:rsid w:val="00921D31"/>
    <w:rsid w:val="00923B35"/>
    <w:rsid w:val="009250C7"/>
    <w:rsid w:val="00925D42"/>
    <w:rsid w:val="00927FCF"/>
    <w:rsid w:val="00931E1E"/>
    <w:rsid w:val="009409FD"/>
    <w:rsid w:val="00940B86"/>
    <w:rsid w:val="0094151F"/>
    <w:rsid w:val="0094253C"/>
    <w:rsid w:val="00945400"/>
    <w:rsid w:val="0095012A"/>
    <w:rsid w:val="00950761"/>
    <w:rsid w:val="009508C4"/>
    <w:rsid w:val="00951DA9"/>
    <w:rsid w:val="00954202"/>
    <w:rsid w:val="009552AB"/>
    <w:rsid w:val="00957298"/>
    <w:rsid w:val="00957EC3"/>
    <w:rsid w:val="00960BA2"/>
    <w:rsid w:val="0096119C"/>
    <w:rsid w:val="00961574"/>
    <w:rsid w:val="00965F2A"/>
    <w:rsid w:val="009677CE"/>
    <w:rsid w:val="00971652"/>
    <w:rsid w:val="00972098"/>
    <w:rsid w:val="00973A7F"/>
    <w:rsid w:val="00975124"/>
    <w:rsid w:val="00975B4E"/>
    <w:rsid w:val="00975F8C"/>
    <w:rsid w:val="00977ACD"/>
    <w:rsid w:val="00981759"/>
    <w:rsid w:val="00981DB7"/>
    <w:rsid w:val="009831CB"/>
    <w:rsid w:val="00983DFC"/>
    <w:rsid w:val="009902A2"/>
    <w:rsid w:val="0099654E"/>
    <w:rsid w:val="009B04A3"/>
    <w:rsid w:val="009B0F92"/>
    <w:rsid w:val="009B0F9A"/>
    <w:rsid w:val="009B1CA5"/>
    <w:rsid w:val="009B3007"/>
    <w:rsid w:val="009B67A6"/>
    <w:rsid w:val="009C4455"/>
    <w:rsid w:val="009C452C"/>
    <w:rsid w:val="009C5CFE"/>
    <w:rsid w:val="009C669F"/>
    <w:rsid w:val="009C7009"/>
    <w:rsid w:val="009C7A77"/>
    <w:rsid w:val="009D039B"/>
    <w:rsid w:val="009D2C67"/>
    <w:rsid w:val="009D5022"/>
    <w:rsid w:val="009D72FB"/>
    <w:rsid w:val="009E0E24"/>
    <w:rsid w:val="009E0F05"/>
    <w:rsid w:val="009E27BA"/>
    <w:rsid w:val="009E3811"/>
    <w:rsid w:val="009E57C7"/>
    <w:rsid w:val="009E719B"/>
    <w:rsid w:val="009E7B68"/>
    <w:rsid w:val="009E7F11"/>
    <w:rsid w:val="009F1883"/>
    <w:rsid w:val="009F40BA"/>
    <w:rsid w:val="009F516F"/>
    <w:rsid w:val="009F5F6A"/>
    <w:rsid w:val="00A03840"/>
    <w:rsid w:val="00A041A7"/>
    <w:rsid w:val="00A04955"/>
    <w:rsid w:val="00A05F6F"/>
    <w:rsid w:val="00A13C5B"/>
    <w:rsid w:val="00A14A0F"/>
    <w:rsid w:val="00A16E58"/>
    <w:rsid w:val="00A171AA"/>
    <w:rsid w:val="00A17ADB"/>
    <w:rsid w:val="00A22CB0"/>
    <w:rsid w:val="00A233A2"/>
    <w:rsid w:val="00A27437"/>
    <w:rsid w:val="00A31A69"/>
    <w:rsid w:val="00A31B6B"/>
    <w:rsid w:val="00A34587"/>
    <w:rsid w:val="00A35026"/>
    <w:rsid w:val="00A3768C"/>
    <w:rsid w:val="00A37F7B"/>
    <w:rsid w:val="00A416EC"/>
    <w:rsid w:val="00A43484"/>
    <w:rsid w:val="00A462CB"/>
    <w:rsid w:val="00A46AA9"/>
    <w:rsid w:val="00A46F30"/>
    <w:rsid w:val="00A47AB6"/>
    <w:rsid w:val="00A5005A"/>
    <w:rsid w:val="00A51BF9"/>
    <w:rsid w:val="00A549F4"/>
    <w:rsid w:val="00A54FE3"/>
    <w:rsid w:val="00A56030"/>
    <w:rsid w:val="00A56BB3"/>
    <w:rsid w:val="00A572F8"/>
    <w:rsid w:val="00A6261A"/>
    <w:rsid w:val="00A641FC"/>
    <w:rsid w:val="00A64B8D"/>
    <w:rsid w:val="00A657D9"/>
    <w:rsid w:val="00A711E6"/>
    <w:rsid w:val="00A71AD7"/>
    <w:rsid w:val="00A7287B"/>
    <w:rsid w:val="00A73442"/>
    <w:rsid w:val="00A74EAB"/>
    <w:rsid w:val="00A75281"/>
    <w:rsid w:val="00A81946"/>
    <w:rsid w:val="00A830B9"/>
    <w:rsid w:val="00A86000"/>
    <w:rsid w:val="00A86FCE"/>
    <w:rsid w:val="00A92F93"/>
    <w:rsid w:val="00A93681"/>
    <w:rsid w:val="00A954E3"/>
    <w:rsid w:val="00AA1A61"/>
    <w:rsid w:val="00AA1E67"/>
    <w:rsid w:val="00AA24B2"/>
    <w:rsid w:val="00AB06B7"/>
    <w:rsid w:val="00AB11D8"/>
    <w:rsid w:val="00AB13FE"/>
    <w:rsid w:val="00AB2458"/>
    <w:rsid w:val="00AB31E9"/>
    <w:rsid w:val="00AB5C97"/>
    <w:rsid w:val="00AB64A3"/>
    <w:rsid w:val="00AB7737"/>
    <w:rsid w:val="00AB7EB5"/>
    <w:rsid w:val="00AC0458"/>
    <w:rsid w:val="00AC1145"/>
    <w:rsid w:val="00AC2A3D"/>
    <w:rsid w:val="00AC6270"/>
    <w:rsid w:val="00AD0EA4"/>
    <w:rsid w:val="00AD131C"/>
    <w:rsid w:val="00AD3D5E"/>
    <w:rsid w:val="00AD4572"/>
    <w:rsid w:val="00AD4972"/>
    <w:rsid w:val="00AD6B43"/>
    <w:rsid w:val="00AD7C38"/>
    <w:rsid w:val="00AE0278"/>
    <w:rsid w:val="00AE0B98"/>
    <w:rsid w:val="00AE1CEC"/>
    <w:rsid w:val="00AE3756"/>
    <w:rsid w:val="00AE3F4E"/>
    <w:rsid w:val="00AE526E"/>
    <w:rsid w:val="00AE7023"/>
    <w:rsid w:val="00AE7AB6"/>
    <w:rsid w:val="00AE7F04"/>
    <w:rsid w:val="00AF1D7D"/>
    <w:rsid w:val="00AF4391"/>
    <w:rsid w:val="00AF463D"/>
    <w:rsid w:val="00AF5E94"/>
    <w:rsid w:val="00AF6492"/>
    <w:rsid w:val="00B01560"/>
    <w:rsid w:val="00B07F7B"/>
    <w:rsid w:val="00B12501"/>
    <w:rsid w:val="00B12505"/>
    <w:rsid w:val="00B12A10"/>
    <w:rsid w:val="00B14DB4"/>
    <w:rsid w:val="00B1523B"/>
    <w:rsid w:val="00B20DFC"/>
    <w:rsid w:val="00B213CE"/>
    <w:rsid w:val="00B231B1"/>
    <w:rsid w:val="00B24E30"/>
    <w:rsid w:val="00B2683C"/>
    <w:rsid w:val="00B275C0"/>
    <w:rsid w:val="00B3477E"/>
    <w:rsid w:val="00B34B30"/>
    <w:rsid w:val="00B4151A"/>
    <w:rsid w:val="00B4163B"/>
    <w:rsid w:val="00B41BDC"/>
    <w:rsid w:val="00B445E8"/>
    <w:rsid w:val="00B44960"/>
    <w:rsid w:val="00B44CBE"/>
    <w:rsid w:val="00B45119"/>
    <w:rsid w:val="00B46E1D"/>
    <w:rsid w:val="00B47864"/>
    <w:rsid w:val="00B51D73"/>
    <w:rsid w:val="00B51EAB"/>
    <w:rsid w:val="00B54147"/>
    <w:rsid w:val="00B54B78"/>
    <w:rsid w:val="00B56ED6"/>
    <w:rsid w:val="00B606CD"/>
    <w:rsid w:val="00B60F2C"/>
    <w:rsid w:val="00B630DD"/>
    <w:rsid w:val="00B63C44"/>
    <w:rsid w:val="00B63FAA"/>
    <w:rsid w:val="00B6471B"/>
    <w:rsid w:val="00B66FD5"/>
    <w:rsid w:val="00B6750E"/>
    <w:rsid w:val="00B721DF"/>
    <w:rsid w:val="00B734A8"/>
    <w:rsid w:val="00B73EE3"/>
    <w:rsid w:val="00B73FC4"/>
    <w:rsid w:val="00B742A1"/>
    <w:rsid w:val="00B773AD"/>
    <w:rsid w:val="00B8089B"/>
    <w:rsid w:val="00B81267"/>
    <w:rsid w:val="00B81C34"/>
    <w:rsid w:val="00B82F07"/>
    <w:rsid w:val="00B90769"/>
    <w:rsid w:val="00B916FE"/>
    <w:rsid w:val="00B91EAF"/>
    <w:rsid w:val="00B950C4"/>
    <w:rsid w:val="00B954F8"/>
    <w:rsid w:val="00B962F8"/>
    <w:rsid w:val="00B97427"/>
    <w:rsid w:val="00BA1049"/>
    <w:rsid w:val="00BA2AA8"/>
    <w:rsid w:val="00BA3510"/>
    <w:rsid w:val="00BA3C29"/>
    <w:rsid w:val="00BA493D"/>
    <w:rsid w:val="00BB12D4"/>
    <w:rsid w:val="00BB41A4"/>
    <w:rsid w:val="00BC1679"/>
    <w:rsid w:val="00BC4EF6"/>
    <w:rsid w:val="00BC515F"/>
    <w:rsid w:val="00BC55CA"/>
    <w:rsid w:val="00BC5BA0"/>
    <w:rsid w:val="00BC797F"/>
    <w:rsid w:val="00BD297E"/>
    <w:rsid w:val="00BD50D5"/>
    <w:rsid w:val="00BD5E7C"/>
    <w:rsid w:val="00BD5F00"/>
    <w:rsid w:val="00BD69AD"/>
    <w:rsid w:val="00BE21D9"/>
    <w:rsid w:val="00BE2D22"/>
    <w:rsid w:val="00BE35D7"/>
    <w:rsid w:val="00BF1457"/>
    <w:rsid w:val="00BF2582"/>
    <w:rsid w:val="00BF4D68"/>
    <w:rsid w:val="00BF5539"/>
    <w:rsid w:val="00BF5D54"/>
    <w:rsid w:val="00BF66EA"/>
    <w:rsid w:val="00BF698D"/>
    <w:rsid w:val="00C0173B"/>
    <w:rsid w:val="00C0468B"/>
    <w:rsid w:val="00C05E7F"/>
    <w:rsid w:val="00C118DC"/>
    <w:rsid w:val="00C15ADC"/>
    <w:rsid w:val="00C15E10"/>
    <w:rsid w:val="00C1738F"/>
    <w:rsid w:val="00C22447"/>
    <w:rsid w:val="00C252FB"/>
    <w:rsid w:val="00C26351"/>
    <w:rsid w:val="00C263F0"/>
    <w:rsid w:val="00C30B9C"/>
    <w:rsid w:val="00C30CDF"/>
    <w:rsid w:val="00C33381"/>
    <w:rsid w:val="00C3368A"/>
    <w:rsid w:val="00C364F1"/>
    <w:rsid w:val="00C37DA4"/>
    <w:rsid w:val="00C43DA3"/>
    <w:rsid w:val="00C445F6"/>
    <w:rsid w:val="00C46817"/>
    <w:rsid w:val="00C46D72"/>
    <w:rsid w:val="00C5123F"/>
    <w:rsid w:val="00C5205A"/>
    <w:rsid w:val="00C52222"/>
    <w:rsid w:val="00C53988"/>
    <w:rsid w:val="00C5425D"/>
    <w:rsid w:val="00C54E1E"/>
    <w:rsid w:val="00C56B0D"/>
    <w:rsid w:val="00C577DD"/>
    <w:rsid w:val="00C626D4"/>
    <w:rsid w:val="00C62D74"/>
    <w:rsid w:val="00C64614"/>
    <w:rsid w:val="00C659A5"/>
    <w:rsid w:val="00C65CF8"/>
    <w:rsid w:val="00C71029"/>
    <w:rsid w:val="00C73941"/>
    <w:rsid w:val="00C75638"/>
    <w:rsid w:val="00C800EB"/>
    <w:rsid w:val="00C807D9"/>
    <w:rsid w:val="00C80D20"/>
    <w:rsid w:val="00C82195"/>
    <w:rsid w:val="00C832CC"/>
    <w:rsid w:val="00C84951"/>
    <w:rsid w:val="00C84E7F"/>
    <w:rsid w:val="00C873AE"/>
    <w:rsid w:val="00C92E49"/>
    <w:rsid w:val="00C93AF6"/>
    <w:rsid w:val="00C9459D"/>
    <w:rsid w:val="00C945EC"/>
    <w:rsid w:val="00C94CFA"/>
    <w:rsid w:val="00C97D3B"/>
    <w:rsid w:val="00CA3848"/>
    <w:rsid w:val="00CA7707"/>
    <w:rsid w:val="00CB03CE"/>
    <w:rsid w:val="00CB18AB"/>
    <w:rsid w:val="00CB2BFF"/>
    <w:rsid w:val="00CB356F"/>
    <w:rsid w:val="00CB399D"/>
    <w:rsid w:val="00CB651F"/>
    <w:rsid w:val="00CB6BE0"/>
    <w:rsid w:val="00CC1C48"/>
    <w:rsid w:val="00CC1FF9"/>
    <w:rsid w:val="00CC7250"/>
    <w:rsid w:val="00CC7D37"/>
    <w:rsid w:val="00CD70AF"/>
    <w:rsid w:val="00CE0EEE"/>
    <w:rsid w:val="00CE4EBF"/>
    <w:rsid w:val="00CE64F2"/>
    <w:rsid w:val="00CE6DA4"/>
    <w:rsid w:val="00CF2BC4"/>
    <w:rsid w:val="00CF3309"/>
    <w:rsid w:val="00CF4BAF"/>
    <w:rsid w:val="00CF6C78"/>
    <w:rsid w:val="00CF79AA"/>
    <w:rsid w:val="00D01C7F"/>
    <w:rsid w:val="00D02421"/>
    <w:rsid w:val="00D0273D"/>
    <w:rsid w:val="00D04429"/>
    <w:rsid w:val="00D07CE9"/>
    <w:rsid w:val="00D12DD7"/>
    <w:rsid w:val="00D145CB"/>
    <w:rsid w:val="00D15366"/>
    <w:rsid w:val="00D22F33"/>
    <w:rsid w:val="00D23958"/>
    <w:rsid w:val="00D2746E"/>
    <w:rsid w:val="00D34883"/>
    <w:rsid w:val="00D34BD0"/>
    <w:rsid w:val="00D362DA"/>
    <w:rsid w:val="00D3676B"/>
    <w:rsid w:val="00D40098"/>
    <w:rsid w:val="00D43B8B"/>
    <w:rsid w:val="00D44562"/>
    <w:rsid w:val="00D44CBB"/>
    <w:rsid w:val="00D4558F"/>
    <w:rsid w:val="00D45C60"/>
    <w:rsid w:val="00D4714E"/>
    <w:rsid w:val="00D50A3A"/>
    <w:rsid w:val="00D5173E"/>
    <w:rsid w:val="00D51F62"/>
    <w:rsid w:val="00D523C7"/>
    <w:rsid w:val="00D524F4"/>
    <w:rsid w:val="00D53980"/>
    <w:rsid w:val="00D54531"/>
    <w:rsid w:val="00D56BA2"/>
    <w:rsid w:val="00D601FB"/>
    <w:rsid w:val="00D6047F"/>
    <w:rsid w:val="00D6377F"/>
    <w:rsid w:val="00D63FDA"/>
    <w:rsid w:val="00D65A71"/>
    <w:rsid w:val="00D663AF"/>
    <w:rsid w:val="00D70719"/>
    <w:rsid w:val="00D82512"/>
    <w:rsid w:val="00D848A8"/>
    <w:rsid w:val="00D84F2C"/>
    <w:rsid w:val="00D851C2"/>
    <w:rsid w:val="00D85527"/>
    <w:rsid w:val="00D86489"/>
    <w:rsid w:val="00D9215D"/>
    <w:rsid w:val="00D92314"/>
    <w:rsid w:val="00D93319"/>
    <w:rsid w:val="00D94274"/>
    <w:rsid w:val="00D96CBE"/>
    <w:rsid w:val="00D97AFD"/>
    <w:rsid w:val="00DA162E"/>
    <w:rsid w:val="00DA1BCC"/>
    <w:rsid w:val="00DA1D1A"/>
    <w:rsid w:val="00DA22F6"/>
    <w:rsid w:val="00DA2DE9"/>
    <w:rsid w:val="00DA4B9A"/>
    <w:rsid w:val="00DA6144"/>
    <w:rsid w:val="00DA693C"/>
    <w:rsid w:val="00DA7FEF"/>
    <w:rsid w:val="00DB0D5F"/>
    <w:rsid w:val="00DB1B65"/>
    <w:rsid w:val="00DB44EB"/>
    <w:rsid w:val="00DB5567"/>
    <w:rsid w:val="00DC1FA1"/>
    <w:rsid w:val="00DC73EE"/>
    <w:rsid w:val="00DD029D"/>
    <w:rsid w:val="00DD0336"/>
    <w:rsid w:val="00DD1A88"/>
    <w:rsid w:val="00DD4FB5"/>
    <w:rsid w:val="00DD60CF"/>
    <w:rsid w:val="00DD6EEC"/>
    <w:rsid w:val="00DE1D7B"/>
    <w:rsid w:val="00DE2C94"/>
    <w:rsid w:val="00DE2F0F"/>
    <w:rsid w:val="00DE6A03"/>
    <w:rsid w:val="00DE7B93"/>
    <w:rsid w:val="00DE7BB1"/>
    <w:rsid w:val="00DF07BE"/>
    <w:rsid w:val="00DF19F7"/>
    <w:rsid w:val="00DF1B5A"/>
    <w:rsid w:val="00DF2A31"/>
    <w:rsid w:val="00DF3D2E"/>
    <w:rsid w:val="00DF40F3"/>
    <w:rsid w:val="00E00228"/>
    <w:rsid w:val="00E0176F"/>
    <w:rsid w:val="00E0241D"/>
    <w:rsid w:val="00E06BD7"/>
    <w:rsid w:val="00E10377"/>
    <w:rsid w:val="00E11E53"/>
    <w:rsid w:val="00E209A9"/>
    <w:rsid w:val="00E21E85"/>
    <w:rsid w:val="00E235EE"/>
    <w:rsid w:val="00E2413A"/>
    <w:rsid w:val="00E27A2A"/>
    <w:rsid w:val="00E27DA0"/>
    <w:rsid w:val="00E30854"/>
    <w:rsid w:val="00E30FC4"/>
    <w:rsid w:val="00E313B7"/>
    <w:rsid w:val="00E371E0"/>
    <w:rsid w:val="00E43EE3"/>
    <w:rsid w:val="00E47793"/>
    <w:rsid w:val="00E47AF4"/>
    <w:rsid w:val="00E47FAB"/>
    <w:rsid w:val="00E50C4E"/>
    <w:rsid w:val="00E50F9D"/>
    <w:rsid w:val="00E51454"/>
    <w:rsid w:val="00E51DAB"/>
    <w:rsid w:val="00E52295"/>
    <w:rsid w:val="00E529B3"/>
    <w:rsid w:val="00E53314"/>
    <w:rsid w:val="00E5335E"/>
    <w:rsid w:val="00E54396"/>
    <w:rsid w:val="00E56A5E"/>
    <w:rsid w:val="00E573E1"/>
    <w:rsid w:val="00E6076B"/>
    <w:rsid w:val="00E62E79"/>
    <w:rsid w:val="00E65658"/>
    <w:rsid w:val="00E66F48"/>
    <w:rsid w:val="00E735CD"/>
    <w:rsid w:val="00E7388C"/>
    <w:rsid w:val="00E74910"/>
    <w:rsid w:val="00E75226"/>
    <w:rsid w:val="00E759FF"/>
    <w:rsid w:val="00E7656F"/>
    <w:rsid w:val="00E839AF"/>
    <w:rsid w:val="00E8411C"/>
    <w:rsid w:val="00E85DAD"/>
    <w:rsid w:val="00E8715A"/>
    <w:rsid w:val="00E9078E"/>
    <w:rsid w:val="00E972BF"/>
    <w:rsid w:val="00EA520E"/>
    <w:rsid w:val="00EA7069"/>
    <w:rsid w:val="00EA7E48"/>
    <w:rsid w:val="00EB0F2A"/>
    <w:rsid w:val="00EB232F"/>
    <w:rsid w:val="00EB40D8"/>
    <w:rsid w:val="00EB6A5C"/>
    <w:rsid w:val="00EB72B4"/>
    <w:rsid w:val="00EC1110"/>
    <w:rsid w:val="00EC3FAB"/>
    <w:rsid w:val="00EC50E9"/>
    <w:rsid w:val="00EC5306"/>
    <w:rsid w:val="00EC5917"/>
    <w:rsid w:val="00ED0B9C"/>
    <w:rsid w:val="00ED2BA1"/>
    <w:rsid w:val="00ED3603"/>
    <w:rsid w:val="00EE190C"/>
    <w:rsid w:val="00EE215B"/>
    <w:rsid w:val="00EE37B2"/>
    <w:rsid w:val="00EE3C52"/>
    <w:rsid w:val="00EE3F03"/>
    <w:rsid w:val="00EE7177"/>
    <w:rsid w:val="00EE78AC"/>
    <w:rsid w:val="00EF03BE"/>
    <w:rsid w:val="00EF05F2"/>
    <w:rsid w:val="00EF0A3E"/>
    <w:rsid w:val="00EF0A9F"/>
    <w:rsid w:val="00EF180E"/>
    <w:rsid w:val="00EF20ED"/>
    <w:rsid w:val="00EF47FF"/>
    <w:rsid w:val="00F02D02"/>
    <w:rsid w:val="00F049B6"/>
    <w:rsid w:val="00F04B81"/>
    <w:rsid w:val="00F1181A"/>
    <w:rsid w:val="00F13AEA"/>
    <w:rsid w:val="00F14D3B"/>
    <w:rsid w:val="00F17717"/>
    <w:rsid w:val="00F21AA6"/>
    <w:rsid w:val="00F22037"/>
    <w:rsid w:val="00F22B04"/>
    <w:rsid w:val="00F2305C"/>
    <w:rsid w:val="00F24428"/>
    <w:rsid w:val="00F24590"/>
    <w:rsid w:val="00F25EB1"/>
    <w:rsid w:val="00F26EC0"/>
    <w:rsid w:val="00F27E60"/>
    <w:rsid w:val="00F30C83"/>
    <w:rsid w:val="00F33B86"/>
    <w:rsid w:val="00F33FC7"/>
    <w:rsid w:val="00F357D5"/>
    <w:rsid w:val="00F365B7"/>
    <w:rsid w:val="00F366E0"/>
    <w:rsid w:val="00F379BD"/>
    <w:rsid w:val="00F40F58"/>
    <w:rsid w:val="00F45967"/>
    <w:rsid w:val="00F47AA3"/>
    <w:rsid w:val="00F5099B"/>
    <w:rsid w:val="00F52549"/>
    <w:rsid w:val="00F55924"/>
    <w:rsid w:val="00F560EF"/>
    <w:rsid w:val="00F647A8"/>
    <w:rsid w:val="00F65D72"/>
    <w:rsid w:val="00F66722"/>
    <w:rsid w:val="00F66B5E"/>
    <w:rsid w:val="00F70D44"/>
    <w:rsid w:val="00F74A1B"/>
    <w:rsid w:val="00F76308"/>
    <w:rsid w:val="00F763DC"/>
    <w:rsid w:val="00F76BCA"/>
    <w:rsid w:val="00F80BA6"/>
    <w:rsid w:val="00F8344B"/>
    <w:rsid w:val="00F841B1"/>
    <w:rsid w:val="00F84687"/>
    <w:rsid w:val="00F853E0"/>
    <w:rsid w:val="00F86944"/>
    <w:rsid w:val="00F87ABD"/>
    <w:rsid w:val="00F900BA"/>
    <w:rsid w:val="00F9389B"/>
    <w:rsid w:val="00F967B2"/>
    <w:rsid w:val="00F96E23"/>
    <w:rsid w:val="00FA04F4"/>
    <w:rsid w:val="00FA0673"/>
    <w:rsid w:val="00FA1226"/>
    <w:rsid w:val="00FA1B7B"/>
    <w:rsid w:val="00FA4859"/>
    <w:rsid w:val="00FA4962"/>
    <w:rsid w:val="00FA5924"/>
    <w:rsid w:val="00FA6A37"/>
    <w:rsid w:val="00FA6BBF"/>
    <w:rsid w:val="00FB0DC5"/>
    <w:rsid w:val="00FB31C0"/>
    <w:rsid w:val="00FB350C"/>
    <w:rsid w:val="00FB671E"/>
    <w:rsid w:val="00FC1A8D"/>
    <w:rsid w:val="00FC1EF6"/>
    <w:rsid w:val="00FC3568"/>
    <w:rsid w:val="00FC4106"/>
    <w:rsid w:val="00FC5403"/>
    <w:rsid w:val="00FD118C"/>
    <w:rsid w:val="00FD18DF"/>
    <w:rsid w:val="00FD56CC"/>
    <w:rsid w:val="00FD6B23"/>
    <w:rsid w:val="00FD7AD7"/>
    <w:rsid w:val="00FE0AD3"/>
    <w:rsid w:val="00FE37D1"/>
    <w:rsid w:val="00FE38C6"/>
    <w:rsid w:val="00FE51E1"/>
    <w:rsid w:val="00FE5CF8"/>
    <w:rsid w:val="00FE6427"/>
    <w:rsid w:val="00FE7F68"/>
    <w:rsid w:val="00FF0918"/>
    <w:rsid w:val="00FF1860"/>
    <w:rsid w:val="00FF2C84"/>
    <w:rsid w:val="00FF5497"/>
    <w:rsid w:val="00FF77F2"/>
    <w:rsid w:val="00FF7F94"/>
    <w:rsid w:val="0CEE15DA"/>
    <w:rsid w:val="3AC4FB51"/>
    <w:rsid w:val="44F382F1"/>
    <w:rsid w:val="64FF72FE"/>
    <w:rsid w:val="726B54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B8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s-ES_tradnl" w:eastAsia="es-ES_tradnl"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pPr>
    <w:rPr>
      <w:sz w:val="22"/>
      <w:szCs w:val="22"/>
      <w:lang w:val="en-US" w:eastAsia="en-US"/>
    </w:rPr>
  </w:style>
  <w:style w:type="paragraph" w:styleId="Heading1">
    <w:name w:val="heading 1"/>
    <w:basedOn w:val="Normal"/>
    <w:uiPriority w:val="1"/>
    <w:qFormat/>
    <w:pPr>
      <w:spacing w:before="3"/>
      <w:ind w:left="2405"/>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BodyText">
    <w:name w:val="Body Text"/>
    <w:basedOn w:val="Normal"/>
    <w:uiPriority w:val="1"/>
    <w:qFormat/>
    <w:pPr>
      <w:spacing w:before="40"/>
      <w:ind w:left="459" w:hanging="36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94274"/>
    <w:pPr>
      <w:tabs>
        <w:tab w:val="center" w:pos="4680"/>
        <w:tab w:val="right" w:pos="9360"/>
      </w:tabs>
    </w:pPr>
  </w:style>
  <w:style w:type="character" w:customStyle="1" w:styleId="HeaderChar">
    <w:name w:val="Header Char"/>
    <w:basedOn w:val="DefaultParagraphFont"/>
    <w:link w:val="Header"/>
    <w:uiPriority w:val="99"/>
    <w:rsid w:val="00D94274"/>
  </w:style>
  <w:style w:type="paragraph" w:styleId="Footer">
    <w:name w:val="footer"/>
    <w:basedOn w:val="Normal"/>
    <w:link w:val="FooterChar"/>
    <w:uiPriority w:val="99"/>
    <w:unhideWhenUsed/>
    <w:rsid w:val="00D94274"/>
    <w:pPr>
      <w:tabs>
        <w:tab w:val="center" w:pos="4680"/>
        <w:tab w:val="right" w:pos="9360"/>
      </w:tabs>
    </w:pPr>
  </w:style>
  <w:style w:type="character" w:customStyle="1" w:styleId="FooterChar">
    <w:name w:val="Footer Char"/>
    <w:basedOn w:val="DefaultParagraphFont"/>
    <w:link w:val="Footer"/>
    <w:uiPriority w:val="99"/>
    <w:rsid w:val="00D94274"/>
  </w:style>
  <w:style w:type="paragraph" w:styleId="BalloonText">
    <w:name w:val="Balloon Text"/>
    <w:basedOn w:val="Normal"/>
    <w:link w:val="BalloonTextChar"/>
    <w:uiPriority w:val="99"/>
    <w:semiHidden/>
    <w:unhideWhenUsed/>
    <w:rsid w:val="00975124"/>
    <w:rPr>
      <w:rFonts w:ascii="Segoe UI" w:hAnsi="Segoe UI" w:cs="Segoe UI"/>
      <w:sz w:val="18"/>
      <w:szCs w:val="18"/>
    </w:rPr>
  </w:style>
  <w:style w:type="character" w:customStyle="1" w:styleId="BalloonTextChar">
    <w:name w:val="Balloon Text Char"/>
    <w:link w:val="BalloonText"/>
    <w:uiPriority w:val="99"/>
    <w:semiHidden/>
    <w:rsid w:val="00975124"/>
    <w:rPr>
      <w:rFonts w:ascii="Segoe UI" w:hAnsi="Segoe UI" w:cs="Segoe UI"/>
      <w:sz w:val="18"/>
      <w:szCs w:val="18"/>
    </w:rPr>
  </w:style>
  <w:style w:type="character" w:styleId="Hyperlink">
    <w:name w:val="Hyperlink"/>
    <w:uiPriority w:val="99"/>
    <w:unhideWhenUsed/>
    <w:rsid w:val="005451E6"/>
    <w:rPr>
      <w:color w:val="0000FF"/>
      <w:u w:val="single"/>
    </w:rPr>
  </w:style>
  <w:style w:type="character" w:styleId="UnresolvedMention">
    <w:name w:val="Unresolved Mention"/>
    <w:uiPriority w:val="99"/>
    <w:semiHidden/>
    <w:unhideWhenUsed/>
    <w:rsid w:val="005451E6"/>
    <w:rPr>
      <w:color w:val="605E5C"/>
      <w:shd w:val="clear" w:color="auto" w:fill="E1DFDD"/>
    </w:rPr>
  </w:style>
  <w:style w:type="character" w:styleId="FollowedHyperlink">
    <w:name w:val="FollowedHyperlink"/>
    <w:uiPriority w:val="99"/>
    <w:semiHidden/>
    <w:unhideWhenUsed/>
    <w:rsid w:val="00451273"/>
    <w:rPr>
      <w:color w:val="800080"/>
      <w:u w:val="single"/>
    </w:rPr>
  </w:style>
  <w:style w:type="character" w:styleId="CommentReference">
    <w:name w:val="annotation reference"/>
    <w:uiPriority w:val="99"/>
    <w:semiHidden/>
    <w:unhideWhenUsed/>
    <w:rsid w:val="007B284C"/>
    <w:rPr>
      <w:sz w:val="16"/>
      <w:szCs w:val="16"/>
    </w:rPr>
  </w:style>
  <w:style w:type="paragraph" w:styleId="CommentText">
    <w:name w:val="annotation text"/>
    <w:basedOn w:val="Normal"/>
    <w:link w:val="CommentTextChar"/>
    <w:uiPriority w:val="99"/>
    <w:semiHidden/>
    <w:unhideWhenUsed/>
    <w:rsid w:val="007B284C"/>
    <w:rPr>
      <w:sz w:val="20"/>
      <w:szCs w:val="20"/>
    </w:rPr>
  </w:style>
  <w:style w:type="character" w:customStyle="1" w:styleId="CommentTextChar">
    <w:name w:val="Comment Text Char"/>
    <w:link w:val="CommentText"/>
    <w:uiPriority w:val="99"/>
    <w:semiHidden/>
    <w:rsid w:val="007B284C"/>
    <w:rPr>
      <w:sz w:val="20"/>
      <w:szCs w:val="20"/>
    </w:rPr>
  </w:style>
  <w:style w:type="paragraph" w:styleId="CommentSubject">
    <w:name w:val="annotation subject"/>
    <w:basedOn w:val="CommentText"/>
    <w:next w:val="CommentText"/>
    <w:link w:val="CommentSubjectChar"/>
    <w:uiPriority w:val="99"/>
    <w:semiHidden/>
    <w:unhideWhenUsed/>
    <w:rsid w:val="007B284C"/>
    <w:rPr>
      <w:b/>
      <w:bCs/>
    </w:rPr>
  </w:style>
  <w:style w:type="character" w:customStyle="1" w:styleId="CommentSubjectChar">
    <w:name w:val="Comment Subject Char"/>
    <w:link w:val="CommentSubject"/>
    <w:uiPriority w:val="99"/>
    <w:semiHidden/>
    <w:rsid w:val="007B284C"/>
    <w:rPr>
      <w:b/>
      <w:bCs/>
      <w:sz w:val="20"/>
      <w:szCs w:val="20"/>
    </w:rPr>
  </w:style>
  <w:style w:type="table" w:styleId="TableGrid">
    <w:name w:val="Table Grid"/>
    <w:basedOn w:val="TableNormal"/>
    <w:uiPriority w:val="59"/>
    <w:rsid w:val="00112670"/>
    <w:rPr>
      <w:rFonts w:eastAsia="MS Mincho" w:cs="Times New Roman"/>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nota pie Car Car,Nota de rodapé,Char,Footnote Text Char1 Char,Footnote Text Char Char Char,Footnote Text Char Char Char Char Char Char,ADB,single space,FOOTNOTES,footnote text,ft,f,Texto de rodapé"/>
    <w:basedOn w:val="Normal"/>
    <w:link w:val="FootnoteTextChar"/>
    <w:unhideWhenUsed/>
    <w:qFormat/>
    <w:rsid w:val="00112670"/>
    <w:pPr>
      <w:widowControl/>
    </w:pPr>
    <w:rPr>
      <w:rFonts w:eastAsia="MS Mincho" w:cs="Times New Roman"/>
      <w:sz w:val="20"/>
      <w:szCs w:val="20"/>
      <w:lang w:val="es-AR"/>
    </w:rPr>
  </w:style>
  <w:style w:type="character" w:customStyle="1" w:styleId="FootnoteTextChar">
    <w:name w:val="Footnote Text Char"/>
    <w:aliases w:val="fn Char,foottextfra Char,footnote Char,F Char,Texto nota pie Car Car Char,Nota de rodapé Char,Char Char,Footnote Text Char1 Char Char,Footnote Text Char Char Char Char,Footnote Text Char Char Char Char Char Char Char,ADB Char,ft Char"/>
    <w:link w:val="FootnoteText"/>
    <w:rsid w:val="00112670"/>
    <w:rPr>
      <w:rFonts w:eastAsia="MS Mincho" w:cs="Times New Roman"/>
      <w:lang w:val="es-AR"/>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link w:val="Char2"/>
    <w:uiPriority w:val="99"/>
    <w:unhideWhenUsed/>
    <w:qFormat/>
    <w:rsid w:val="00112670"/>
    <w:rPr>
      <w:vertAlign w:val="superscript"/>
    </w:rPr>
  </w:style>
  <w:style w:type="paragraph" w:customStyle="1" w:styleId="Char2">
    <w:name w:val="Char2"/>
    <w:basedOn w:val="Normal"/>
    <w:link w:val="FootnoteReference"/>
    <w:uiPriority w:val="99"/>
    <w:rsid w:val="00112670"/>
    <w:pPr>
      <w:widowControl/>
      <w:spacing w:after="160" w:line="240" w:lineRule="exact"/>
    </w:pPr>
    <w:rPr>
      <w:sz w:val="20"/>
      <w:szCs w:val="20"/>
      <w:vertAlign w:val="superscript"/>
    </w:rPr>
  </w:style>
  <w:style w:type="paragraph" w:styleId="NormalWeb">
    <w:name w:val="Normal (Web)"/>
    <w:basedOn w:val="Normal"/>
    <w:uiPriority w:val="99"/>
    <w:unhideWhenUsed/>
    <w:rsid w:val="003879E1"/>
    <w:pPr>
      <w:widowControl/>
      <w:spacing w:before="100" w:beforeAutospacing="1" w:after="100" w:afterAutospacing="1"/>
    </w:pPr>
    <w:rPr>
      <w:rFonts w:eastAsiaTheme="minorHAnsi" w:cs="Calibri"/>
      <w:color w:val="00000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040950">
      <w:bodyDiv w:val="1"/>
      <w:marLeft w:val="0"/>
      <w:marRight w:val="0"/>
      <w:marTop w:val="0"/>
      <w:marBottom w:val="0"/>
      <w:divBdr>
        <w:top w:val="none" w:sz="0" w:space="0" w:color="auto"/>
        <w:left w:val="none" w:sz="0" w:space="0" w:color="auto"/>
        <w:bottom w:val="none" w:sz="0" w:space="0" w:color="auto"/>
        <w:right w:val="none" w:sz="0" w:space="0" w:color="auto"/>
      </w:divBdr>
    </w:div>
    <w:div w:id="764233887">
      <w:bodyDiv w:val="1"/>
      <w:marLeft w:val="0"/>
      <w:marRight w:val="0"/>
      <w:marTop w:val="0"/>
      <w:marBottom w:val="0"/>
      <w:divBdr>
        <w:top w:val="none" w:sz="0" w:space="0" w:color="auto"/>
        <w:left w:val="none" w:sz="0" w:space="0" w:color="auto"/>
        <w:bottom w:val="none" w:sz="0" w:space="0" w:color="auto"/>
        <w:right w:val="none" w:sz="0" w:space="0" w:color="auto"/>
      </w:divBdr>
    </w:div>
    <w:div w:id="1076973920">
      <w:bodyDiv w:val="1"/>
      <w:marLeft w:val="0"/>
      <w:marRight w:val="0"/>
      <w:marTop w:val="0"/>
      <w:marBottom w:val="0"/>
      <w:divBdr>
        <w:top w:val="none" w:sz="0" w:space="0" w:color="auto"/>
        <w:left w:val="none" w:sz="0" w:space="0" w:color="auto"/>
        <w:bottom w:val="none" w:sz="0" w:space="0" w:color="auto"/>
        <w:right w:val="none" w:sz="0" w:space="0" w:color="auto"/>
      </w:divBdr>
      <w:divsChild>
        <w:div w:id="351611664">
          <w:marLeft w:val="120"/>
          <w:marRight w:val="0"/>
          <w:marTop w:val="0"/>
          <w:marBottom w:val="0"/>
          <w:divBdr>
            <w:top w:val="none" w:sz="0" w:space="0" w:color="auto"/>
            <w:left w:val="none" w:sz="0" w:space="0" w:color="auto"/>
            <w:bottom w:val="none" w:sz="0" w:space="0" w:color="auto"/>
            <w:right w:val="none" w:sz="0" w:space="0" w:color="auto"/>
          </w:divBdr>
        </w:div>
        <w:div w:id="1264531865">
          <w:marLeft w:val="0"/>
          <w:marRight w:val="0"/>
          <w:marTop w:val="0"/>
          <w:marBottom w:val="0"/>
          <w:divBdr>
            <w:top w:val="none" w:sz="0" w:space="0" w:color="auto"/>
            <w:left w:val="none" w:sz="0" w:space="0" w:color="auto"/>
            <w:bottom w:val="none" w:sz="0" w:space="0" w:color="auto"/>
            <w:right w:val="none" w:sz="0" w:space="0" w:color="auto"/>
          </w:divBdr>
          <w:divsChild>
            <w:div w:id="1095515116">
              <w:marLeft w:val="0"/>
              <w:marRight w:val="0"/>
              <w:marTop w:val="0"/>
              <w:marBottom w:val="0"/>
              <w:divBdr>
                <w:top w:val="none" w:sz="0" w:space="0" w:color="auto"/>
                <w:left w:val="none" w:sz="0" w:space="0" w:color="auto"/>
                <w:bottom w:val="none" w:sz="0" w:space="0" w:color="auto"/>
                <w:right w:val="none" w:sz="0" w:space="0" w:color="auto"/>
              </w:divBdr>
              <w:divsChild>
                <w:div w:id="182864499">
                  <w:marLeft w:val="0"/>
                  <w:marRight w:val="0"/>
                  <w:marTop w:val="0"/>
                  <w:marBottom w:val="0"/>
                  <w:divBdr>
                    <w:top w:val="none" w:sz="0" w:space="0" w:color="auto"/>
                    <w:left w:val="none" w:sz="0" w:space="0" w:color="auto"/>
                    <w:bottom w:val="none" w:sz="0" w:space="0" w:color="auto"/>
                    <w:right w:val="none" w:sz="0" w:space="0" w:color="auto"/>
                  </w:divBdr>
                </w:div>
                <w:div w:id="362557871">
                  <w:marLeft w:val="0"/>
                  <w:marRight w:val="0"/>
                  <w:marTop w:val="0"/>
                  <w:marBottom w:val="0"/>
                  <w:divBdr>
                    <w:top w:val="none" w:sz="0" w:space="0" w:color="auto"/>
                    <w:left w:val="none" w:sz="0" w:space="0" w:color="auto"/>
                    <w:bottom w:val="none" w:sz="0" w:space="0" w:color="auto"/>
                    <w:right w:val="none" w:sz="0" w:space="0" w:color="auto"/>
                  </w:divBdr>
                </w:div>
              </w:divsChild>
            </w:div>
            <w:div w:id="1636640969">
              <w:marLeft w:val="0"/>
              <w:marRight w:val="0"/>
              <w:marTop w:val="0"/>
              <w:marBottom w:val="0"/>
              <w:divBdr>
                <w:top w:val="none" w:sz="0" w:space="0" w:color="auto"/>
                <w:left w:val="none" w:sz="0" w:space="0" w:color="auto"/>
                <w:bottom w:val="none" w:sz="0" w:space="0" w:color="auto"/>
                <w:right w:val="none" w:sz="0" w:space="0" w:color="auto"/>
              </w:divBdr>
              <w:divsChild>
                <w:div w:id="360009826">
                  <w:marLeft w:val="0"/>
                  <w:marRight w:val="0"/>
                  <w:marTop w:val="0"/>
                  <w:marBottom w:val="0"/>
                  <w:divBdr>
                    <w:top w:val="none" w:sz="0" w:space="0" w:color="auto"/>
                    <w:left w:val="none" w:sz="0" w:space="0" w:color="auto"/>
                    <w:bottom w:val="none" w:sz="0" w:space="0" w:color="auto"/>
                    <w:right w:val="none" w:sz="0" w:space="0" w:color="auto"/>
                  </w:divBdr>
                  <w:divsChild>
                    <w:div w:id="609631050">
                      <w:marLeft w:val="0"/>
                      <w:marRight w:val="0"/>
                      <w:marTop w:val="0"/>
                      <w:marBottom w:val="0"/>
                      <w:divBdr>
                        <w:top w:val="none" w:sz="0" w:space="0" w:color="auto"/>
                        <w:left w:val="none" w:sz="0" w:space="0" w:color="auto"/>
                        <w:bottom w:val="none" w:sz="0" w:space="0" w:color="auto"/>
                        <w:right w:val="none" w:sz="0" w:space="0" w:color="auto"/>
                      </w:divBdr>
                      <w:divsChild>
                        <w:div w:id="1512531115">
                          <w:marLeft w:val="0"/>
                          <w:marRight w:val="0"/>
                          <w:marTop w:val="0"/>
                          <w:marBottom w:val="0"/>
                          <w:divBdr>
                            <w:top w:val="none" w:sz="0" w:space="0" w:color="auto"/>
                            <w:left w:val="none" w:sz="0" w:space="0" w:color="auto"/>
                            <w:bottom w:val="none" w:sz="0" w:space="0" w:color="auto"/>
                            <w:right w:val="none" w:sz="0" w:space="0" w:color="auto"/>
                          </w:divBdr>
                          <w:divsChild>
                            <w:div w:id="88553225">
                              <w:marLeft w:val="0"/>
                              <w:marRight w:val="0"/>
                              <w:marTop w:val="0"/>
                              <w:marBottom w:val="0"/>
                              <w:divBdr>
                                <w:top w:val="none" w:sz="0" w:space="0" w:color="auto"/>
                                <w:left w:val="none" w:sz="0" w:space="0" w:color="auto"/>
                                <w:bottom w:val="none" w:sz="0" w:space="0" w:color="auto"/>
                                <w:right w:val="none" w:sz="0" w:space="0" w:color="auto"/>
                              </w:divBdr>
                              <w:divsChild>
                                <w:div w:id="821193706">
                                  <w:marLeft w:val="0"/>
                                  <w:marRight w:val="0"/>
                                  <w:marTop w:val="0"/>
                                  <w:marBottom w:val="0"/>
                                  <w:divBdr>
                                    <w:top w:val="none" w:sz="0" w:space="0" w:color="auto"/>
                                    <w:left w:val="none" w:sz="0" w:space="0" w:color="auto"/>
                                    <w:bottom w:val="none" w:sz="0" w:space="0" w:color="auto"/>
                                    <w:right w:val="none" w:sz="0" w:space="0" w:color="auto"/>
                                  </w:divBdr>
                                  <w:divsChild>
                                    <w:div w:id="15504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536833">
      <w:bodyDiv w:val="1"/>
      <w:marLeft w:val="0"/>
      <w:marRight w:val="0"/>
      <w:marTop w:val="0"/>
      <w:marBottom w:val="0"/>
      <w:divBdr>
        <w:top w:val="none" w:sz="0" w:space="0" w:color="auto"/>
        <w:left w:val="none" w:sz="0" w:space="0" w:color="auto"/>
        <w:bottom w:val="none" w:sz="0" w:space="0" w:color="auto"/>
        <w:right w:val="none" w:sz="0" w:space="0" w:color="auto"/>
      </w:divBdr>
    </w:div>
    <w:div w:id="203974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antel.com.uy/personas-y-hogares/novedades/te-regalamos-50-gigas-para-tu-universal-hogar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antel.com.uy/documents/20182/1895475/Antel-medidas-Covid19.pdf/3d2b4acf-b6a8-41f5-ad05-df823e880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6140CF1C3D757469E24373DDF530D88" ma:contentTypeVersion="0" ma:contentTypeDescription="A content type to manage public (operations) IDB documents" ma:contentTypeScope="" ma:versionID="13c0465b969d15bb78138c82a1632286">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EZSHARE-806711787-6</_dlc_DocId>
    <Document_x0020_Author xmlns="cdc7663a-08f0-4737-9e8c-148ce897a09c">Gomez Reino Juan Luis</Document_x0020_Author>
    <TaxCatchAll xmlns="cdc7663a-08f0-4737-9e8c-148ce897a09c">
      <Value>40</Value>
      <Value>32</Value>
      <Value>1</Value>
      <Value>252</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TermName>
          <TermId xmlns="http://schemas.microsoft.com/office/infopath/2007/PartnerControls">5d9b6fdd-d595-4446-a0eb-c14b465f6d0e</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UR-L1170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RM-FIS</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https://idbg.sharepoint.com/teams/EZ-UR-LON/UR-L1170/_layouts/15/DocIdRedir.aspx?ID=EZSHARE-806711787-6</Url>
      <Description>EZSHARE-806711787-6</Description>
    </_dlc_DocIdUrl>
    <Phase xmlns="cdc7663a-08f0-4737-9e8c-148ce897a09c">ACTIVE</Phase>
    <Other_x0020_Author xmlns="cdc7663a-08f0-4737-9e8c-148ce897a09c">Lorena Kevish</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878C0D2B359B341AEFCD254A525CA81" ma:contentTypeVersion="0" ma:contentTypeDescription="The base project type from which other project content types inherit their information." ma:contentTypeScope="" ma:versionID="bd0235f494e5d944ab67fb89e0281318">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DEE2B3-F7B8-4EB0-B85B-2A3C9D5C90D2}"/>
</file>

<file path=customXml/itemProps2.xml><?xml version="1.0" encoding="utf-8"?>
<ds:datastoreItem xmlns:ds="http://schemas.openxmlformats.org/officeDocument/2006/customXml" ds:itemID="{782C9842-2219-4A69-9665-900CA4399691}">
  <ds:schemaRefs>
    <ds:schemaRef ds:uri="http://schemas.microsoft.com/sharepoint/events"/>
  </ds:schemaRefs>
</ds:datastoreItem>
</file>

<file path=customXml/itemProps3.xml><?xml version="1.0" encoding="utf-8"?>
<ds:datastoreItem xmlns:ds="http://schemas.openxmlformats.org/officeDocument/2006/customXml" ds:itemID="{A2C12FE4-C29C-401A-8A6C-EF7F83970010}"/>
</file>

<file path=customXml/itemProps4.xml><?xml version="1.0" encoding="utf-8"?>
<ds:datastoreItem xmlns:ds="http://schemas.openxmlformats.org/officeDocument/2006/customXml" ds:itemID="{BBD0EEA1-33D7-48B0-8E0A-1950B1310A8F}">
  <ds:schemaRefs>
    <ds:schemaRef ds:uri="http://schemas.microsoft.com/sharepoint/v3/contenttype/forms"/>
  </ds:schemaRefs>
</ds:datastoreItem>
</file>

<file path=customXml/itemProps5.xml><?xml version="1.0" encoding="utf-8"?>
<ds:datastoreItem xmlns:ds="http://schemas.openxmlformats.org/officeDocument/2006/customXml" ds:itemID="{C2EC23B3-2F0C-4F69-99EF-580C05D6FFCB}">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983001F5-7723-43A5-B8BE-7C1293950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10227</Characters>
  <Application>Microsoft Office Word</Application>
  <DocSecurity>4</DocSecurity>
  <Lines>85</Lines>
  <Paragraphs>23</Paragraphs>
  <ScaleCrop>false</ScaleCrop>
  <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2020-04-28T00:16:00Z</dcterms:created>
  <dcterms:modified xsi:type="dcterms:W3CDTF">2020-05-12T00:38:00Z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252;#RM-FIS|6e15b5e0-ae82-4b06-920a-eef6dd27cc8b</vt:lpwstr>
  </property>
  <property fmtid="{D5CDD505-2E9C-101B-9397-08002B2CF9AE}" pid="6" name="Country">
    <vt:lpwstr>32;#UR|5d9b6fdd-d595-4446-a0eb-c14b465f6d0e</vt:lpwstr>
  </property>
  <property fmtid="{D5CDD505-2E9C-101B-9397-08002B2CF9AE}" pid="7" name="_dlc_DocIdItemGuid">
    <vt:lpwstr>08ef4c89-1f5e-43b6-968c-67b21d1a0d1b</vt:lpwstr>
  </property>
  <property fmtid="{D5CDD505-2E9C-101B-9397-08002B2CF9AE}" pid="8" name="Fund IDB">
    <vt:lpwstr/>
  </property>
  <property fmtid="{D5CDD505-2E9C-101B-9397-08002B2CF9AE}" pid="9" name="Sector IDB">
    <vt:lpwstr>40;#RM|c8fda4a7-691a-4c65-b227-9825197b5cd2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2" name="Disclosure Activity">
    <vt:lpwstr>Electronic Links</vt:lpwstr>
  </property>
  <property fmtid="{D5CDD505-2E9C-101B-9397-08002B2CF9AE}" pid="13" name="ContentTypeId">
    <vt:lpwstr>0x0101001A458A224826124E8B45B1D613300CFC0006140CF1C3D757469E24373DDF530D88</vt:lpwstr>
  </property>
</Properties>
</file>