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11B" w:rsidRPr="00D2491C" w:rsidRDefault="00682716" w:rsidP="00CF6C4D">
      <w:pPr>
        <w:spacing w:before="120" w:after="120" w:line="240" w:lineRule="auto"/>
        <w:jc w:val="center"/>
        <w:rPr>
          <w:b/>
        </w:rPr>
      </w:pPr>
      <w:r>
        <w:rPr>
          <w:b/>
        </w:rPr>
        <w:t xml:space="preserve">Draft </w:t>
      </w:r>
      <w:r w:rsidR="00124040">
        <w:rPr>
          <w:b/>
        </w:rPr>
        <w:t>TC</w:t>
      </w:r>
      <w:r w:rsidR="00340BC1" w:rsidRPr="00D2491C">
        <w:rPr>
          <w:b/>
        </w:rPr>
        <w:t xml:space="preserve"> ABSTRACT</w:t>
      </w:r>
    </w:p>
    <w:p w:rsidR="0095711B" w:rsidRPr="0095711B" w:rsidRDefault="0095711B" w:rsidP="001F65F7">
      <w:pPr>
        <w:pStyle w:val="ListParagraph"/>
        <w:numPr>
          <w:ilvl w:val="0"/>
          <w:numId w:val="5"/>
        </w:numPr>
        <w:spacing w:before="120" w:after="120"/>
        <w:jc w:val="center"/>
        <w:rPr>
          <w:b/>
        </w:rPr>
      </w:pPr>
      <w:r w:rsidRPr="0095711B">
        <w:rPr>
          <w:b/>
        </w:rPr>
        <w:t>Basic project data</w:t>
      </w:r>
    </w:p>
    <w:tbl>
      <w:tblPr>
        <w:tblStyle w:val="TableGrid"/>
        <w:tblW w:w="0" w:type="auto"/>
        <w:tblInd w:w="46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57"/>
        <w:gridCol w:w="4631"/>
      </w:tblGrid>
      <w:tr w:rsidR="00F2521F" w:rsidRPr="00F2521F" w:rsidTr="00F2521F">
        <w:tc>
          <w:tcPr>
            <w:tcW w:w="4050" w:type="dxa"/>
          </w:tcPr>
          <w:p w:rsidR="00F2521F" w:rsidRPr="00F2521F" w:rsidRDefault="00F2521F" w:rsidP="00CF6C4D">
            <w:pPr>
              <w:pStyle w:val="ListParagraph"/>
              <w:numPr>
                <w:ilvl w:val="0"/>
                <w:numId w:val="2"/>
              </w:numPr>
              <w:ind w:left="162" w:hanging="162"/>
              <w:jc w:val="both"/>
            </w:pPr>
            <w:r w:rsidRPr="00F2521F">
              <w:t>Country/Region:</w:t>
            </w:r>
          </w:p>
        </w:tc>
        <w:tc>
          <w:tcPr>
            <w:tcW w:w="5058" w:type="dxa"/>
          </w:tcPr>
          <w:p w:rsidR="00F2521F" w:rsidRPr="00F2521F" w:rsidRDefault="00685144" w:rsidP="00CF6C4D">
            <w:pPr>
              <w:ind w:left="360"/>
            </w:pPr>
            <w:r>
              <w:t>Regional</w:t>
            </w:r>
          </w:p>
        </w:tc>
      </w:tr>
      <w:tr w:rsidR="00F2521F" w:rsidRPr="00F2521F" w:rsidTr="00F2521F">
        <w:tc>
          <w:tcPr>
            <w:tcW w:w="4050" w:type="dxa"/>
          </w:tcPr>
          <w:p w:rsidR="00F2521F" w:rsidRPr="00F2521F" w:rsidRDefault="00F2521F" w:rsidP="00CF6C4D">
            <w:pPr>
              <w:pStyle w:val="ListParagraph"/>
              <w:numPr>
                <w:ilvl w:val="0"/>
                <w:numId w:val="2"/>
              </w:numPr>
              <w:ind w:left="162" w:hanging="162"/>
              <w:jc w:val="both"/>
            </w:pPr>
            <w:r w:rsidRPr="00F2521F">
              <w:t>TC Name:</w:t>
            </w:r>
          </w:p>
        </w:tc>
        <w:tc>
          <w:tcPr>
            <w:tcW w:w="5058" w:type="dxa"/>
          </w:tcPr>
          <w:p w:rsidR="00F2521F" w:rsidRPr="00F2521F" w:rsidRDefault="00685144" w:rsidP="00CF6C4D">
            <w:pPr>
              <w:ind w:left="360"/>
            </w:pPr>
            <w:r>
              <w:t xml:space="preserve">Evaluation of Korean </w:t>
            </w:r>
            <w:r w:rsidR="00815100">
              <w:t xml:space="preserve">Trust </w:t>
            </w:r>
            <w:r>
              <w:t>Funds (KPK, KPR, KPC)</w:t>
            </w:r>
          </w:p>
        </w:tc>
      </w:tr>
      <w:tr w:rsidR="00F2521F" w:rsidRPr="00F2521F" w:rsidTr="00F2521F">
        <w:tc>
          <w:tcPr>
            <w:tcW w:w="4050" w:type="dxa"/>
          </w:tcPr>
          <w:p w:rsidR="00F2521F" w:rsidRPr="00F2521F" w:rsidRDefault="00F2521F" w:rsidP="00CF6C4D">
            <w:pPr>
              <w:pStyle w:val="ListParagraph"/>
              <w:numPr>
                <w:ilvl w:val="0"/>
                <w:numId w:val="2"/>
              </w:numPr>
              <w:ind w:left="162" w:hanging="162"/>
              <w:jc w:val="both"/>
            </w:pPr>
            <w:r w:rsidRPr="00F2521F">
              <w:t>TC Number:</w:t>
            </w:r>
          </w:p>
        </w:tc>
        <w:tc>
          <w:tcPr>
            <w:tcW w:w="5058" w:type="dxa"/>
          </w:tcPr>
          <w:p w:rsidR="00F2521F" w:rsidRPr="00F2521F" w:rsidRDefault="00A77B69" w:rsidP="00CF6C4D">
            <w:pPr>
              <w:ind w:left="360"/>
            </w:pPr>
            <w:r>
              <w:t>RG-T2669</w:t>
            </w:r>
          </w:p>
        </w:tc>
      </w:tr>
      <w:tr w:rsidR="00F2521F" w:rsidRPr="00F2521F" w:rsidTr="00F2521F">
        <w:tc>
          <w:tcPr>
            <w:tcW w:w="4050" w:type="dxa"/>
          </w:tcPr>
          <w:p w:rsidR="00F2521F" w:rsidRPr="00F2521F" w:rsidRDefault="00F2521F" w:rsidP="00CF6C4D">
            <w:pPr>
              <w:pStyle w:val="ListParagraph"/>
              <w:numPr>
                <w:ilvl w:val="0"/>
                <w:numId w:val="2"/>
              </w:numPr>
              <w:ind w:left="162" w:hanging="162"/>
              <w:jc w:val="both"/>
            </w:pPr>
            <w:r w:rsidRPr="00F2521F">
              <w:t>Team Leader/Members:</w:t>
            </w:r>
          </w:p>
        </w:tc>
        <w:tc>
          <w:tcPr>
            <w:tcW w:w="5058" w:type="dxa"/>
          </w:tcPr>
          <w:p w:rsidR="00F2521F" w:rsidRPr="00F2521F" w:rsidRDefault="00456234" w:rsidP="00456234">
            <w:pPr>
              <w:ind w:left="360"/>
            </w:pPr>
            <w:r>
              <w:t>Mins</w:t>
            </w:r>
            <w:r w:rsidR="00685144">
              <w:t>eok Hong (</w:t>
            </w:r>
            <w:r>
              <w:t>ORP</w:t>
            </w:r>
            <w:r w:rsidR="00685144">
              <w:t xml:space="preserve">/GCM), Team Leader; </w:t>
            </w:r>
            <w:r w:rsidR="00D36DEC">
              <w:t>Chan</w:t>
            </w:r>
            <w:r>
              <w:t>g Yeon You (ORP</w:t>
            </w:r>
            <w:r w:rsidR="00D36DEC">
              <w:t xml:space="preserve">/GCM); </w:t>
            </w:r>
            <w:r w:rsidR="00685144">
              <w:t>Su Hyun Kim (</w:t>
            </w:r>
            <w:r>
              <w:t>ORP</w:t>
            </w:r>
            <w:r w:rsidR="00685144">
              <w:t>/GCM)</w:t>
            </w:r>
            <w:r>
              <w:t>; Yan Tang (ORP/GCM)</w:t>
            </w:r>
          </w:p>
        </w:tc>
      </w:tr>
      <w:tr w:rsidR="00F2521F" w:rsidRPr="00F2521F" w:rsidTr="00F2521F">
        <w:tc>
          <w:tcPr>
            <w:tcW w:w="4050" w:type="dxa"/>
          </w:tcPr>
          <w:p w:rsidR="00F2521F" w:rsidRPr="00F2521F" w:rsidRDefault="00F2521F" w:rsidP="00CF6C4D">
            <w:pPr>
              <w:pStyle w:val="ListParagraph"/>
              <w:numPr>
                <w:ilvl w:val="0"/>
                <w:numId w:val="2"/>
              </w:numPr>
              <w:ind w:left="162" w:hanging="162"/>
              <w:jc w:val="both"/>
            </w:pPr>
            <w:r>
              <w:t>Indicate if: Operational Support, Client S</w:t>
            </w:r>
            <w:r w:rsidRPr="00F2521F">
              <w:t xml:space="preserve">upport, </w:t>
            </w:r>
            <w:r>
              <w:t>or Research &amp; D</w:t>
            </w:r>
            <w:r w:rsidRPr="00F2521F">
              <w:t>issemination.</w:t>
            </w:r>
          </w:p>
        </w:tc>
        <w:tc>
          <w:tcPr>
            <w:tcW w:w="5058" w:type="dxa"/>
          </w:tcPr>
          <w:p w:rsidR="00F2521F" w:rsidRPr="00F2521F" w:rsidRDefault="00685144" w:rsidP="00CF6C4D">
            <w:pPr>
              <w:ind w:left="360"/>
            </w:pPr>
            <w:r>
              <w:t>Research &amp; Dissemination (RD)</w:t>
            </w:r>
          </w:p>
        </w:tc>
      </w:tr>
      <w:tr w:rsidR="00F2521F" w:rsidRPr="00F2521F" w:rsidTr="00F2521F">
        <w:tc>
          <w:tcPr>
            <w:tcW w:w="4050" w:type="dxa"/>
          </w:tcPr>
          <w:p w:rsidR="00F2521F" w:rsidRPr="00F2521F" w:rsidRDefault="00F2521F" w:rsidP="00CF6C4D">
            <w:pPr>
              <w:pStyle w:val="ListParagraph"/>
              <w:numPr>
                <w:ilvl w:val="0"/>
                <w:numId w:val="2"/>
              </w:numPr>
              <w:ind w:left="162" w:hanging="162"/>
              <w:jc w:val="both"/>
            </w:pPr>
            <w:r w:rsidRPr="00F2521F">
              <w:t>If Operational Support TC</w:t>
            </w:r>
            <w:r>
              <w:t>,</w:t>
            </w:r>
            <w:r w:rsidRPr="00F2521F">
              <w:t xml:space="preserve"> give number and name of Operation Supported by the TC:</w:t>
            </w:r>
          </w:p>
        </w:tc>
        <w:tc>
          <w:tcPr>
            <w:tcW w:w="5058" w:type="dxa"/>
          </w:tcPr>
          <w:p w:rsidR="00F2521F" w:rsidRPr="00F2521F" w:rsidRDefault="00981E4B" w:rsidP="00CF6C4D">
            <w:pPr>
              <w:ind w:left="360"/>
            </w:pPr>
            <w:r>
              <w:t>N/A</w:t>
            </w:r>
          </w:p>
        </w:tc>
      </w:tr>
      <w:tr w:rsidR="00F2521F" w:rsidRPr="00F2521F" w:rsidTr="00F2521F">
        <w:tc>
          <w:tcPr>
            <w:tcW w:w="4050" w:type="dxa"/>
          </w:tcPr>
          <w:p w:rsidR="00F2521F" w:rsidRPr="00F2521F" w:rsidRDefault="00F2521F" w:rsidP="00BC01D8">
            <w:pPr>
              <w:pStyle w:val="ListParagraph"/>
              <w:numPr>
                <w:ilvl w:val="0"/>
                <w:numId w:val="2"/>
              </w:numPr>
              <w:ind w:left="162" w:hanging="162"/>
              <w:jc w:val="both"/>
            </w:pPr>
            <w:r w:rsidRPr="00F2521F">
              <w:t>Reference to Request: (IDB docs #)</w:t>
            </w:r>
          </w:p>
        </w:tc>
        <w:tc>
          <w:tcPr>
            <w:tcW w:w="5058" w:type="dxa"/>
          </w:tcPr>
          <w:p w:rsidR="00F2521F" w:rsidRPr="00F2521F" w:rsidRDefault="00F2521F" w:rsidP="00CF6C4D">
            <w:pPr>
              <w:ind w:left="360"/>
            </w:pPr>
          </w:p>
        </w:tc>
      </w:tr>
      <w:tr w:rsidR="00F2521F" w:rsidRPr="00F2521F" w:rsidTr="00F2521F">
        <w:tc>
          <w:tcPr>
            <w:tcW w:w="4050" w:type="dxa"/>
          </w:tcPr>
          <w:p w:rsidR="00F2521F" w:rsidRPr="00F2521F" w:rsidRDefault="00F2521F" w:rsidP="00CF6C4D">
            <w:pPr>
              <w:pStyle w:val="ListParagraph"/>
              <w:numPr>
                <w:ilvl w:val="0"/>
                <w:numId w:val="2"/>
              </w:numPr>
              <w:ind w:left="162" w:hanging="162"/>
              <w:jc w:val="both"/>
            </w:pPr>
            <w:r w:rsidRPr="00F2521F">
              <w:t>Date of TC Abstract:</w:t>
            </w:r>
          </w:p>
        </w:tc>
        <w:tc>
          <w:tcPr>
            <w:tcW w:w="5058" w:type="dxa"/>
          </w:tcPr>
          <w:p w:rsidR="00F2521F" w:rsidRPr="00F2521F" w:rsidRDefault="00331713" w:rsidP="00CF6C4D">
            <w:pPr>
              <w:ind w:left="360"/>
            </w:pPr>
            <w:r>
              <w:t>June</w:t>
            </w:r>
            <w:r w:rsidR="003B3EC2">
              <w:t>, 2015</w:t>
            </w:r>
          </w:p>
        </w:tc>
      </w:tr>
      <w:tr w:rsidR="00F2521F" w:rsidRPr="00F2521F" w:rsidTr="00F2521F">
        <w:tc>
          <w:tcPr>
            <w:tcW w:w="4050" w:type="dxa"/>
          </w:tcPr>
          <w:p w:rsidR="00F2521F" w:rsidRPr="00F2521F" w:rsidRDefault="00F2521F" w:rsidP="00CF6C4D">
            <w:pPr>
              <w:pStyle w:val="ListParagraph"/>
              <w:numPr>
                <w:ilvl w:val="0"/>
                <w:numId w:val="2"/>
              </w:numPr>
              <w:ind w:left="162" w:hanging="162"/>
              <w:jc w:val="both"/>
            </w:pPr>
            <w:r w:rsidRPr="00F2521F">
              <w:t xml:space="preserve">Beneficiary </w:t>
            </w:r>
            <w:r w:rsidRPr="00F2521F">
              <w:rPr>
                <w:sz w:val="18"/>
                <w:szCs w:val="18"/>
              </w:rPr>
              <w:t>(countries or entities which are the recipient of the technical assistance)</w:t>
            </w:r>
            <w:r w:rsidRPr="00F2521F">
              <w:t>:</w:t>
            </w:r>
          </w:p>
        </w:tc>
        <w:tc>
          <w:tcPr>
            <w:tcW w:w="5058" w:type="dxa"/>
          </w:tcPr>
          <w:p w:rsidR="00F2521F" w:rsidRPr="00F2521F" w:rsidRDefault="003B3EC2" w:rsidP="00CF6C4D">
            <w:pPr>
              <w:ind w:left="360"/>
            </w:pPr>
            <w:r>
              <w:t>Regional</w:t>
            </w:r>
          </w:p>
        </w:tc>
      </w:tr>
      <w:tr w:rsidR="00F2521F" w:rsidRPr="00F2521F" w:rsidTr="00F2521F">
        <w:tc>
          <w:tcPr>
            <w:tcW w:w="4050" w:type="dxa"/>
          </w:tcPr>
          <w:p w:rsidR="00F2521F" w:rsidRPr="00F2521F" w:rsidRDefault="00F2521F" w:rsidP="00CF6C4D">
            <w:pPr>
              <w:pStyle w:val="ListParagraph"/>
              <w:numPr>
                <w:ilvl w:val="0"/>
                <w:numId w:val="2"/>
              </w:numPr>
              <w:ind w:left="162" w:hanging="162"/>
              <w:jc w:val="both"/>
            </w:pPr>
            <w:r w:rsidRPr="00F2521F">
              <w:t xml:space="preserve">Executing Agency and contact name </w:t>
            </w:r>
            <w:r w:rsidRPr="00F2521F">
              <w:rPr>
                <w:sz w:val="18"/>
                <w:szCs w:val="18"/>
              </w:rPr>
              <w:t>(Organization or entity responsible for executing the TC Program) {If Bank: Contracting entity} {If the same as Beneficiary, please indicate}</w:t>
            </w:r>
          </w:p>
        </w:tc>
        <w:tc>
          <w:tcPr>
            <w:tcW w:w="5058" w:type="dxa"/>
          </w:tcPr>
          <w:p w:rsidR="00F2521F" w:rsidRPr="00F2521F" w:rsidRDefault="00685144" w:rsidP="00CF6C4D">
            <w:pPr>
              <w:ind w:left="360"/>
            </w:pPr>
            <w:r>
              <w:t>Bank Executed</w:t>
            </w:r>
          </w:p>
        </w:tc>
      </w:tr>
      <w:tr w:rsidR="00F2521F" w:rsidRPr="00F2521F" w:rsidTr="00F2521F">
        <w:tc>
          <w:tcPr>
            <w:tcW w:w="4050" w:type="dxa"/>
          </w:tcPr>
          <w:p w:rsidR="00F2521F" w:rsidRPr="00F2521F" w:rsidRDefault="00F2521F" w:rsidP="00CF6C4D">
            <w:pPr>
              <w:pStyle w:val="ListParagraph"/>
              <w:numPr>
                <w:ilvl w:val="0"/>
                <w:numId w:val="2"/>
              </w:numPr>
              <w:ind w:left="162" w:hanging="162"/>
              <w:jc w:val="both"/>
            </w:pPr>
            <w:r w:rsidRPr="00F2521F">
              <w:t>IDB Funding Requested:</w:t>
            </w:r>
          </w:p>
        </w:tc>
        <w:tc>
          <w:tcPr>
            <w:tcW w:w="5058" w:type="dxa"/>
          </w:tcPr>
          <w:p w:rsidR="00F2521F" w:rsidRPr="00532A23" w:rsidRDefault="00981E4B" w:rsidP="0028203D">
            <w:pPr>
              <w:ind w:left="360"/>
              <w:rPr>
                <w:highlight w:val="yellow"/>
              </w:rPr>
            </w:pPr>
            <w:r>
              <w:t xml:space="preserve"> US$</w:t>
            </w:r>
            <w:r w:rsidR="00A77B69">
              <w:t>30</w:t>
            </w:r>
            <w:r w:rsidR="0028203D">
              <w:t>0</w:t>
            </w:r>
            <w:r>
              <w:t>,000</w:t>
            </w:r>
          </w:p>
        </w:tc>
      </w:tr>
      <w:tr w:rsidR="00F2521F" w:rsidRPr="00F2521F" w:rsidTr="00F2521F">
        <w:tc>
          <w:tcPr>
            <w:tcW w:w="4050" w:type="dxa"/>
          </w:tcPr>
          <w:p w:rsidR="00F2521F" w:rsidRPr="00F2521F" w:rsidRDefault="00F2521F" w:rsidP="00CF6C4D">
            <w:pPr>
              <w:pStyle w:val="ListParagraph"/>
              <w:numPr>
                <w:ilvl w:val="0"/>
                <w:numId w:val="2"/>
              </w:numPr>
              <w:ind w:left="162" w:hanging="162"/>
              <w:jc w:val="both"/>
            </w:pPr>
            <w:r w:rsidRPr="00F2521F">
              <w:t>Local counterpart funding, if any:</w:t>
            </w:r>
          </w:p>
        </w:tc>
        <w:tc>
          <w:tcPr>
            <w:tcW w:w="5058" w:type="dxa"/>
          </w:tcPr>
          <w:p w:rsidR="00F2521F" w:rsidRPr="00532A23" w:rsidRDefault="00532A23" w:rsidP="00CF6C4D">
            <w:pPr>
              <w:ind w:left="360"/>
              <w:rPr>
                <w:highlight w:val="yellow"/>
              </w:rPr>
            </w:pPr>
            <w:r w:rsidRPr="00532A23">
              <w:t>N/A</w:t>
            </w:r>
          </w:p>
        </w:tc>
      </w:tr>
      <w:tr w:rsidR="00F2521F" w:rsidRPr="00F2521F" w:rsidTr="00F2521F">
        <w:tc>
          <w:tcPr>
            <w:tcW w:w="4050" w:type="dxa"/>
          </w:tcPr>
          <w:p w:rsidR="00F2521F" w:rsidRPr="00F2521F" w:rsidRDefault="00F2521F" w:rsidP="00CF6C4D">
            <w:pPr>
              <w:pStyle w:val="ListParagraph"/>
              <w:numPr>
                <w:ilvl w:val="0"/>
                <w:numId w:val="2"/>
              </w:numPr>
              <w:ind w:left="162" w:hanging="162"/>
              <w:jc w:val="both"/>
            </w:pPr>
            <w:r w:rsidRPr="00F2521F">
              <w:t xml:space="preserve">Disbursement period </w:t>
            </w:r>
            <w:r w:rsidRPr="00F2521F">
              <w:rPr>
                <w:sz w:val="18"/>
                <w:szCs w:val="18"/>
              </w:rPr>
              <w:t>(which includes execution period)</w:t>
            </w:r>
            <w:r w:rsidRPr="00F2521F">
              <w:t>:</w:t>
            </w:r>
          </w:p>
        </w:tc>
        <w:tc>
          <w:tcPr>
            <w:tcW w:w="5058" w:type="dxa"/>
          </w:tcPr>
          <w:p w:rsidR="00F2521F" w:rsidRPr="00F2521F" w:rsidRDefault="00685144" w:rsidP="00CF6C4D">
            <w:pPr>
              <w:ind w:left="360"/>
            </w:pPr>
            <w:r>
              <w:t>10 months</w:t>
            </w:r>
          </w:p>
        </w:tc>
      </w:tr>
      <w:tr w:rsidR="00F2521F" w:rsidRPr="00F2521F" w:rsidTr="00F2521F">
        <w:tc>
          <w:tcPr>
            <w:tcW w:w="4050" w:type="dxa"/>
          </w:tcPr>
          <w:p w:rsidR="00F2521F" w:rsidRPr="00F2521F" w:rsidRDefault="00F2521F" w:rsidP="00CF6C4D">
            <w:pPr>
              <w:pStyle w:val="ListParagraph"/>
              <w:numPr>
                <w:ilvl w:val="0"/>
                <w:numId w:val="2"/>
              </w:numPr>
              <w:ind w:left="162" w:hanging="162"/>
              <w:jc w:val="both"/>
            </w:pPr>
            <w:r w:rsidRPr="00F2521F">
              <w:t>Required start date:</w:t>
            </w:r>
          </w:p>
        </w:tc>
        <w:tc>
          <w:tcPr>
            <w:tcW w:w="5058" w:type="dxa"/>
          </w:tcPr>
          <w:p w:rsidR="00F2521F" w:rsidRPr="00F2521F" w:rsidRDefault="00685144" w:rsidP="00CF6C4D">
            <w:pPr>
              <w:ind w:left="360"/>
            </w:pPr>
            <w:r>
              <w:t>August 1, 2015</w:t>
            </w:r>
          </w:p>
        </w:tc>
      </w:tr>
      <w:tr w:rsidR="00F2521F" w:rsidRPr="00F2521F" w:rsidTr="00F2521F">
        <w:tc>
          <w:tcPr>
            <w:tcW w:w="4050" w:type="dxa"/>
          </w:tcPr>
          <w:p w:rsidR="00F2521F" w:rsidRPr="00F2521F" w:rsidRDefault="00F2521F" w:rsidP="00CF6C4D">
            <w:pPr>
              <w:pStyle w:val="ListParagraph"/>
              <w:numPr>
                <w:ilvl w:val="0"/>
                <w:numId w:val="2"/>
              </w:numPr>
              <w:ind w:left="162" w:hanging="162"/>
              <w:jc w:val="both"/>
            </w:pPr>
            <w:r w:rsidRPr="00F2521F">
              <w:t xml:space="preserve">Types of consultants </w:t>
            </w:r>
            <w:r w:rsidRPr="00F2521F">
              <w:rPr>
                <w:sz w:val="18"/>
                <w:szCs w:val="18"/>
              </w:rPr>
              <w:t>(firm or individual consultants)</w:t>
            </w:r>
            <w:r w:rsidRPr="00F2521F">
              <w:t>:</w:t>
            </w:r>
          </w:p>
        </w:tc>
        <w:tc>
          <w:tcPr>
            <w:tcW w:w="5058" w:type="dxa"/>
          </w:tcPr>
          <w:p w:rsidR="00F2521F" w:rsidRPr="00F2521F" w:rsidRDefault="00981E4B" w:rsidP="00CF6C4D">
            <w:pPr>
              <w:ind w:left="360"/>
            </w:pPr>
            <w:r>
              <w:t>Firm and individual consultants</w:t>
            </w:r>
          </w:p>
        </w:tc>
      </w:tr>
      <w:tr w:rsidR="00F2521F" w:rsidRPr="00F2521F" w:rsidTr="00F2521F">
        <w:tc>
          <w:tcPr>
            <w:tcW w:w="4050" w:type="dxa"/>
          </w:tcPr>
          <w:p w:rsidR="00F2521F" w:rsidRPr="00F2521F" w:rsidRDefault="00F2521F" w:rsidP="00CF6C4D">
            <w:pPr>
              <w:pStyle w:val="ListParagraph"/>
              <w:numPr>
                <w:ilvl w:val="0"/>
                <w:numId w:val="2"/>
              </w:numPr>
              <w:ind w:left="162" w:hanging="162"/>
              <w:jc w:val="both"/>
            </w:pPr>
            <w:r w:rsidRPr="00F2521F">
              <w:t>Prepared by Unit:</w:t>
            </w:r>
          </w:p>
        </w:tc>
        <w:tc>
          <w:tcPr>
            <w:tcW w:w="5058" w:type="dxa"/>
          </w:tcPr>
          <w:p w:rsidR="00F2521F" w:rsidRPr="00F2521F" w:rsidRDefault="0006708D" w:rsidP="00CF6C4D">
            <w:pPr>
              <w:ind w:left="360"/>
            </w:pPr>
            <w:r>
              <w:t>ORP</w:t>
            </w:r>
            <w:r w:rsidR="00685144">
              <w:t>/GCM</w:t>
            </w:r>
          </w:p>
        </w:tc>
      </w:tr>
      <w:tr w:rsidR="00F2521F" w:rsidRPr="00F2521F" w:rsidTr="00F2521F">
        <w:tc>
          <w:tcPr>
            <w:tcW w:w="4050" w:type="dxa"/>
          </w:tcPr>
          <w:p w:rsidR="00F2521F" w:rsidRPr="00F2521F" w:rsidRDefault="00F2521F" w:rsidP="00CF6C4D">
            <w:pPr>
              <w:pStyle w:val="ListParagraph"/>
              <w:numPr>
                <w:ilvl w:val="0"/>
                <w:numId w:val="2"/>
              </w:numPr>
              <w:ind w:left="162" w:hanging="162"/>
              <w:jc w:val="both"/>
            </w:pPr>
            <w:r w:rsidRPr="00F2521F">
              <w:t>Unit of Disbursement Responsibility:</w:t>
            </w:r>
          </w:p>
        </w:tc>
        <w:tc>
          <w:tcPr>
            <w:tcW w:w="5058" w:type="dxa"/>
          </w:tcPr>
          <w:p w:rsidR="00F2521F" w:rsidRPr="00F2521F" w:rsidRDefault="0006708D" w:rsidP="00CF6C4D">
            <w:pPr>
              <w:ind w:left="360"/>
            </w:pPr>
            <w:r>
              <w:t>ORP</w:t>
            </w:r>
            <w:r w:rsidR="003B3EC2">
              <w:t>/GCM</w:t>
            </w:r>
          </w:p>
        </w:tc>
      </w:tr>
      <w:tr w:rsidR="00F2521F" w:rsidRPr="00F2521F" w:rsidTr="00F2521F">
        <w:tc>
          <w:tcPr>
            <w:tcW w:w="4050" w:type="dxa"/>
          </w:tcPr>
          <w:p w:rsidR="00F2521F" w:rsidRDefault="00F2521F" w:rsidP="00CF6C4D">
            <w:pPr>
              <w:pStyle w:val="ListParagraph"/>
              <w:numPr>
                <w:ilvl w:val="0"/>
                <w:numId w:val="2"/>
              </w:numPr>
              <w:ind w:left="162" w:hanging="162"/>
              <w:jc w:val="both"/>
            </w:pPr>
            <w:r w:rsidRPr="00F2521F">
              <w:t>Included in Country Strategy</w:t>
            </w:r>
            <w:r>
              <w:t xml:space="preserve"> (y/n);</w:t>
            </w:r>
          </w:p>
          <w:p w:rsidR="00F2521F" w:rsidRPr="00F2521F" w:rsidRDefault="00F2521F" w:rsidP="00CF6C4D">
            <w:pPr>
              <w:pStyle w:val="ListParagraph"/>
              <w:numPr>
                <w:ilvl w:val="0"/>
                <w:numId w:val="2"/>
              </w:numPr>
              <w:ind w:left="162" w:hanging="162"/>
              <w:jc w:val="both"/>
            </w:pPr>
            <w:r w:rsidRPr="00F2521F">
              <w:t>TC included in CPD (y/n):</w:t>
            </w:r>
          </w:p>
        </w:tc>
        <w:tc>
          <w:tcPr>
            <w:tcW w:w="5058" w:type="dxa"/>
          </w:tcPr>
          <w:p w:rsidR="00F2521F" w:rsidRDefault="00981E4B" w:rsidP="00CF6C4D">
            <w:pPr>
              <w:ind w:left="360"/>
            </w:pPr>
            <w:r>
              <w:t>No</w:t>
            </w:r>
          </w:p>
          <w:p w:rsidR="00981E4B" w:rsidRPr="00F2521F" w:rsidRDefault="00981E4B" w:rsidP="00CF6C4D">
            <w:pPr>
              <w:ind w:left="360"/>
            </w:pPr>
            <w:r>
              <w:t>No</w:t>
            </w:r>
          </w:p>
        </w:tc>
      </w:tr>
      <w:tr w:rsidR="00F2521F" w:rsidTr="00F2521F">
        <w:tc>
          <w:tcPr>
            <w:tcW w:w="4050" w:type="dxa"/>
          </w:tcPr>
          <w:p w:rsidR="00F2521F" w:rsidRDefault="00F2521F" w:rsidP="00CF6C4D">
            <w:pPr>
              <w:pStyle w:val="ListParagraph"/>
              <w:numPr>
                <w:ilvl w:val="0"/>
                <w:numId w:val="2"/>
              </w:numPr>
              <w:ind w:left="162" w:hanging="162"/>
              <w:jc w:val="both"/>
            </w:pPr>
            <w:r w:rsidRPr="00F2521F">
              <w:t>GCI-9 Sector Priority:</w:t>
            </w:r>
          </w:p>
        </w:tc>
        <w:tc>
          <w:tcPr>
            <w:tcW w:w="5058" w:type="dxa"/>
          </w:tcPr>
          <w:p w:rsidR="00F2521F" w:rsidRPr="00F2521F" w:rsidRDefault="003B3EC2" w:rsidP="00CF6C4D">
            <w:pPr>
              <w:ind w:left="360"/>
            </w:pPr>
            <w:r>
              <w:t>YES</w:t>
            </w:r>
          </w:p>
        </w:tc>
      </w:tr>
    </w:tbl>
    <w:p w:rsidR="00CF6C4D" w:rsidRPr="00CF6C4D" w:rsidRDefault="00C43E24" w:rsidP="001F65F7">
      <w:pPr>
        <w:pStyle w:val="ListParagraph"/>
        <w:numPr>
          <w:ilvl w:val="0"/>
          <w:numId w:val="5"/>
        </w:numPr>
        <w:spacing w:before="120" w:after="120"/>
        <w:jc w:val="center"/>
        <w:rPr>
          <w:b/>
        </w:rPr>
      </w:pPr>
      <w:r>
        <w:rPr>
          <w:b/>
        </w:rPr>
        <w:t>Objective and Justification</w:t>
      </w:r>
    </w:p>
    <w:p w:rsidR="008234DF" w:rsidRDefault="00D36DEC" w:rsidP="008234DF">
      <w:pPr>
        <w:pStyle w:val="ListParagraph"/>
        <w:numPr>
          <w:ilvl w:val="1"/>
          <w:numId w:val="5"/>
        </w:numPr>
        <w:spacing w:before="120" w:after="120"/>
        <w:ind w:left="360" w:hanging="540"/>
        <w:jc w:val="both"/>
      </w:pPr>
      <w:r>
        <w:t>Since the</w:t>
      </w:r>
      <w:r w:rsidR="008234DF" w:rsidRPr="008234DF">
        <w:t xml:space="preserve"> Republic of Korea became the 47th member of the Inter-American Development Bank (“IDB”</w:t>
      </w:r>
      <w:r w:rsidR="00E81EDB">
        <w:t xml:space="preserve"> or “Bank”</w:t>
      </w:r>
      <w:r w:rsidR="008234DF" w:rsidRPr="008234DF">
        <w:t>) as of March 2005</w:t>
      </w:r>
      <w:r>
        <w:t xml:space="preserve">, </w:t>
      </w:r>
      <w:r w:rsidR="008234DF" w:rsidRPr="008234DF">
        <w:t>through the Ministry of Finance and Strategy (MOSF)</w:t>
      </w:r>
      <w:r w:rsidR="00331713">
        <w:t>,</w:t>
      </w:r>
      <w:r w:rsidR="008234DF" w:rsidRPr="008234DF">
        <w:t xml:space="preserve"> Korea has contributed to three Trust Funds (the “Funds”) to the IDB. </w:t>
      </w:r>
    </w:p>
    <w:p w:rsidR="00616C85" w:rsidRPr="008234DF" w:rsidRDefault="00616C85" w:rsidP="00616C85">
      <w:pPr>
        <w:pStyle w:val="ListParagraph"/>
        <w:spacing w:before="120" w:after="120"/>
        <w:ind w:left="360"/>
        <w:jc w:val="both"/>
      </w:pPr>
    </w:p>
    <w:p w:rsidR="008234DF" w:rsidRDefault="008234DF" w:rsidP="00892B3D">
      <w:pPr>
        <w:pStyle w:val="ListParagraph"/>
        <w:numPr>
          <w:ilvl w:val="1"/>
          <w:numId w:val="5"/>
        </w:numPr>
        <w:spacing w:before="120" w:after="120"/>
        <w:ind w:left="360" w:hanging="540"/>
        <w:jc w:val="both"/>
      </w:pPr>
      <w:r w:rsidRPr="008234DF">
        <w:t xml:space="preserve">The Knowledge Partnership Korea Fund for Technology and Innovation (“KPK”) was founded to benefit IDB’s developing member countries in Latin American and the Caribbean (“LAC”) in the preparation of projects and for such other activities related to technology and innovation. The total contribution for KPK is US$50million. The Korea Poverty Reduction </w:t>
      </w:r>
      <w:r w:rsidRPr="008234DF">
        <w:lastRenderedPageBreak/>
        <w:t xml:space="preserve">Fund was established (“KPR”) for the amount of US$50million to benefit IDB’s developing member countries in the preparation of projects and for such other activities related to poverty reduction.  The Public Capacity Building Korea Fund for Economic Development (“KPC”) was created with IDB and Korea’s </w:t>
      </w:r>
      <w:r w:rsidR="007A7496">
        <w:t xml:space="preserve">vision </w:t>
      </w:r>
      <w:r w:rsidRPr="008234DF">
        <w:t>to strengthen their cooperation in the areas of public sector management and in all fiscal sectors, including taxation, treasury, fiscal management, statistics, e-government  as well as national planning and budgeting. The total contribution to the IDB</w:t>
      </w:r>
      <w:r w:rsidR="00F65529">
        <w:t xml:space="preserve"> a</w:t>
      </w:r>
      <w:r w:rsidRPr="008234DF">
        <w:t xml:space="preserve">s of end of 2014 is approximately $24 million. </w:t>
      </w:r>
    </w:p>
    <w:p w:rsidR="00FD0FA3" w:rsidRDefault="00FD0FA3" w:rsidP="00FD0FA3">
      <w:pPr>
        <w:pStyle w:val="ListParagraph"/>
        <w:spacing w:before="120" w:after="120"/>
        <w:ind w:left="360"/>
        <w:jc w:val="both"/>
      </w:pPr>
    </w:p>
    <w:p w:rsidR="00F65529" w:rsidRDefault="00F65529" w:rsidP="008234DF">
      <w:pPr>
        <w:pStyle w:val="ListParagraph"/>
        <w:numPr>
          <w:ilvl w:val="1"/>
          <w:numId w:val="5"/>
        </w:numPr>
        <w:spacing w:before="120" w:after="120"/>
        <w:ind w:left="360" w:hanging="540"/>
        <w:jc w:val="both"/>
      </w:pPr>
      <w:r>
        <w:t xml:space="preserve">With these Funds as of end of 2014, </w:t>
      </w:r>
      <w:r w:rsidR="00372A02">
        <w:t xml:space="preserve">more than 360 </w:t>
      </w:r>
      <w:r>
        <w:t>TC operations were approved for the total</w:t>
      </w:r>
      <w:r w:rsidR="00E3404C">
        <w:t xml:space="preserve"> amount of approximately </w:t>
      </w:r>
      <w:r w:rsidR="00E3404C" w:rsidRPr="00E3404C">
        <w:t xml:space="preserve">US$87.3 </w:t>
      </w:r>
      <w:r w:rsidRPr="00E3404C">
        <w:t xml:space="preserve">million. </w:t>
      </w:r>
      <w:r w:rsidR="00AD79D9" w:rsidRPr="00E3404C">
        <w:t xml:space="preserve">Out of this, </w:t>
      </w:r>
      <w:r w:rsidR="00462A5F">
        <w:t xml:space="preserve">73% of the </w:t>
      </w:r>
      <w:r w:rsidR="00AD79D9" w:rsidRPr="00E3404C">
        <w:t xml:space="preserve">projects have been completed. </w:t>
      </w:r>
      <w:r w:rsidR="00FD0FA3" w:rsidRPr="00E3404C">
        <w:t>The TCs were implemen</w:t>
      </w:r>
      <w:r w:rsidR="00696B31" w:rsidRPr="00E3404C">
        <w:t xml:space="preserve">ted in </w:t>
      </w:r>
      <w:r w:rsidR="004B3076" w:rsidRPr="00E3404C">
        <w:t>24</w:t>
      </w:r>
      <w:r w:rsidR="00696B31" w:rsidRPr="00E3404C">
        <w:t xml:space="preserve"> countries ranging </w:t>
      </w:r>
      <w:r w:rsidR="007A7496">
        <w:t>in</w:t>
      </w:r>
      <w:r w:rsidR="00FD0FA3" w:rsidRPr="00E3404C">
        <w:t xml:space="preserve"> amount</w:t>
      </w:r>
      <w:r w:rsidR="007A7496">
        <w:t>s</w:t>
      </w:r>
      <w:r w:rsidR="00FD0FA3" w:rsidRPr="00E3404C">
        <w:t xml:space="preserve"> </w:t>
      </w:r>
      <w:r w:rsidR="007A7496">
        <w:t xml:space="preserve">from </w:t>
      </w:r>
      <w:r w:rsidR="00FD0FA3" w:rsidRPr="00E3404C">
        <w:t>US$</w:t>
      </w:r>
      <w:r w:rsidR="00E3404C" w:rsidRPr="00E3404C">
        <w:t>27,000</w:t>
      </w:r>
      <w:r w:rsidR="00FD0FA3" w:rsidRPr="00E3404C">
        <w:t xml:space="preserve"> to US$</w:t>
      </w:r>
      <w:r w:rsidR="00E3404C" w:rsidRPr="00E3404C">
        <w:t>1 million</w:t>
      </w:r>
      <w:r w:rsidR="00FD0FA3" w:rsidRPr="00E3404C">
        <w:t>.</w:t>
      </w:r>
      <w:r w:rsidR="00374BAC">
        <w:t xml:space="preserve"> </w:t>
      </w:r>
    </w:p>
    <w:p w:rsidR="008234DF" w:rsidRDefault="008234DF" w:rsidP="008234DF">
      <w:pPr>
        <w:pStyle w:val="ListParagraph"/>
        <w:spacing w:before="120" w:after="120"/>
        <w:ind w:left="360"/>
        <w:jc w:val="both"/>
      </w:pPr>
    </w:p>
    <w:p w:rsidR="003D4F9C" w:rsidRDefault="00CE1D2B" w:rsidP="00372A02">
      <w:pPr>
        <w:pStyle w:val="ListParagraph"/>
        <w:numPr>
          <w:ilvl w:val="1"/>
          <w:numId w:val="5"/>
        </w:numPr>
        <w:spacing w:before="120" w:after="120"/>
        <w:ind w:left="360" w:hanging="540"/>
        <w:jc w:val="both"/>
      </w:pPr>
      <w:r w:rsidRPr="00CE1D2B">
        <w:t xml:space="preserve">During the </w:t>
      </w:r>
      <w:r>
        <w:t xml:space="preserve">2015 </w:t>
      </w:r>
      <w:r w:rsidR="00216050">
        <w:t>IDB-IIC Annual Meeting in Busan, MOSF and IDB agreed to comprehensively evaluate the performance of the Korean trus</w:t>
      </w:r>
      <w:r w:rsidR="00E81EDB">
        <w:t>t Funds with a focus on the trust</w:t>
      </w:r>
      <w:r w:rsidR="00216050">
        <w:t xml:space="preserve"> funds’ contribution to </w:t>
      </w:r>
      <w:r w:rsidR="007A7496">
        <w:t xml:space="preserve">the </w:t>
      </w:r>
      <w:r w:rsidR="00216050">
        <w:t>socioeconomic development in LAC as well as Korea-LAC cooperation. Based on the results of such evaluation, which would be reviewed by the Bank and MOSF, discussions will take place regarding further cooperation mechanism</w:t>
      </w:r>
      <w:r w:rsidR="007A7496">
        <w:t>s</w:t>
      </w:r>
      <w:r w:rsidR="00216050">
        <w:t xml:space="preserve">, including the possibility of </w:t>
      </w:r>
      <w:r w:rsidR="007A7496">
        <w:t xml:space="preserve">revision of </w:t>
      </w:r>
      <w:r w:rsidR="00216050">
        <w:t>trust fund operational plans, terms and procedures, and replenishment in 2016.</w:t>
      </w:r>
      <w:r w:rsidR="003D0FA8">
        <w:t xml:space="preserve"> </w:t>
      </w:r>
      <w:r w:rsidR="00F641F1">
        <w:t xml:space="preserve">Hence this </w:t>
      </w:r>
      <w:r w:rsidR="007A7496">
        <w:t xml:space="preserve">operation </w:t>
      </w:r>
      <w:r w:rsidR="00F641F1">
        <w:t>aims to address this request by conducting an evaluation of all TC operations financed by the three Korean Trust Funds in the IDB</w:t>
      </w:r>
      <w:r w:rsidR="007A7496">
        <w:t>,</w:t>
      </w:r>
      <w:r w:rsidR="00F641F1">
        <w:t xml:space="preserve"> </w:t>
      </w:r>
      <w:r w:rsidR="00F641F1" w:rsidRPr="0091119E">
        <w:t>whether they are completed or currently under implementation.</w:t>
      </w:r>
      <w:r w:rsidR="00E57D1D" w:rsidRPr="0091119E">
        <w:t xml:space="preserve"> </w:t>
      </w:r>
    </w:p>
    <w:p w:rsidR="00F641F1" w:rsidRDefault="00F641F1" w:rsidP="00A86AD1">
      <w:pPr>
        <w:spacing w:after="0" w:line="240" w:lineRule="auto"/>
      </w:pPr>
    </w:p>
    <w:p w:rsidR="00E878F3" w:rsidRDefault="00E878F3" w:rsidP="00CF6C4D">
      <w:pPr>
        <w:pStyle w:val="ListParagraph"/>
        <w:numPr>
          <w:ilvl w:val="1"/>
          <w:numId w:val="5"/>
        </w:numPr>
        <w:spacing w:before="120" w:after="120"/>
        <w:ind w:left="360" w:hanging="540"/>
        <w:jc w:val="both"/>
      </w:pPr>
      <w:r>
        <w:t xml:space="preserve">The </w:t>
      </w:r>
      <w:r w:rsidR="007A7496">
        <w:t xml:space="preserve">IDB’s </w:t>
      </w:r>
      <w:r>
        <w:t xml:space="preserve">ninth general increase </w:t>
      </w:r>
      <w:r w:rsidR="007A7496">
        <w:t>of</w:t>
      </w:r>
      <w:r>
        <w:t xml:space="preserve"> resources </w:t>
      </w:r>
      <w:r w:rsidR="00B94B8A">
        <w:t xml:space="preserve">(GCI-9) </w:t>
      </w:r>
      <w:r>
        <w:t xml:space="preserve">indicates that </w:t>
      </w:r>
      <w:bookmarkStart w:id="0" w:name="_GoBack"/>
      <w:bookmarkEnd w:id="0"/>
      <w:r>
        <w:t xml:space="preserve">the Bank </w:t>
      </w:r>
      <w:r w:rsidR="00B94B8A">
        <w:t xml:space="preserve">will focus on outputs and results of its operations as well as assess the operations effectiveness and efficiency through close monitoring. In </w:t>
      </w:r>
      <w:r w:rsidR="007D694B">
        <w:t xml:space="preserve">line with such effort, this TC </w:t>
      </w:r>
      <w:r w:rsidR="0040738A">
        <w:t>will assess the outputs, outcomes, effectiveness, and efficiency of the activities financed by the three Korean Trust Funds.</w:t>
      </w:r>
    </w:p>
    <w:p w:rsidR="00CF6C4D" w:rsidRDefault="00CF6C4D" w:rsidP="00CF6C4D">
      <w:pPr>
        <w:pStyle w:val="ListParagraph"/>
      </w:pPr>
    </w:p>
    <w:p w:rsidR="0095711B" w:rsidRPr="0095711B" w:rsidRDefault="00D95606" w:rsidP="006C710C">
      <w:pPr>
        <w:pStyle w:val="ListParagraph"/>
        <w:numPr>
          <w:ilvl w:val="0"/>
          <w:numId w:val="5"/>
        </w:numPr>
        <w:spacing w:before="120" w:after="120" w:line="360" w:lineRule="auto"/>
        <w:jc w:val="center"/>
        <w:rPr>
          <w:b/>
        </w:rPr>
      </w:pPr>
      <w:r>
        <w:rPr>
          <w:b/>
        </w:rPr>
        <w:t>D</w:t>
      </w:r>
      <w:r w:rsidR="0095711B" w:rsidRPr="0095711B">
        <w:rPr>
          <w:b/>
        </w:rPr>
        <w:t xml:space="preserve">escription </w:t>
      </w:r>
      <w:r w:rsidR="00A12C27">
        <w:rPr>
          <w:b/>
        </w:rPr>
        <w:t>of activities</w:t>
      </w:r>
      <w:r w:rsidR="00F2521F">
        <w:rPr>
          <w:b/>
        </w:rPr>
        <w:t xml:space="preserve"> and outputs</w:t>
      </w:r>
    </w:p>
    <w:p w:rsidR="005D21B2" w:rsidRDefault="007F117A" w:rsidP="007F117A">
      <w:pPr>
        <w:pStyle w:val="ListParagraph"/>
        <w:numPr>
          <w:ilvl w:val="1"/>
          <w:numId w:val="5"/>
        </w:numPr>
        <w:spacing w:before="120" w:after="120"/>
        <w:ind w:left="360" w:hanging="540"/>
        <w:jc w:val="both"/>
      </w:pPr>
      <w:r w:rsidRPr="007F117A">
        <w:rPr>
          <w:b/>
        </w:rPr>
        <w:t xml:space="preserve">Component 1: </w:t>
      </w:r>
      <w:r w:rsidR="00C737E4" w:rsidRPr="007F117A">
        <w:rPr>
          <w:b/>
        </w:rPr>
        <w:t xml:space="preserve">Three </w:t>
      </w:r>
      <w:r>
        <w:rPr>
          <w:b/>
        </w:rPr>
        <w:t xml:space="preserve">Korean </w:t>
      </w:r>
      <w:r w:rsidR="00C737E4" w:rsidRPr="007F117A">
        <w:rPr>
          <w:b/>
        </w:rPr>
        <w:t>Trust Fund</w:t>
      </w:r>
      <w:r w:rsidR="00372A02">
        <w:rPr>
          <w:b/>
        </w:rPr>
        <w:t>s’</w:t>
      </w:r>
      <w:r w:rsidR="00C737E4" w:rsidRPr="007F117A">
        <w:rPr>
          <w:b/>
        </w:rPr>
        <w:t xml:space="preserve"> </w:t>
      </w:r>
      <w:r>
        <w:rPr>
          <w:b/>
        </w:rPr>
        <w:t xml:space="preserve">Activity </w:t>
      </w:r>
      <w:r w:rsidR="00D620AF" w:rsidRPr="007F117A">
        <w:rPr>
          <w:b/>
        </w:rPr>
        <w:t>Evaluation</w:t>
      </w:r>
      <w:r w:rsidR="005B7C2B">
        <w:t xml:space="preserve"> – The project team will conduct a call for proposal and select the consultant or </w:t>
      </w:r>
      <w:r w:rsidR="00DA4475">
        <w:t xml:space="preserve">consulting </w:t>
      </w:r>
      <w:r w:rsidR="005B7C2B">
        <w:t xml:space="preserve">firm </w:t>
      </w:r>
      <w:r w:rsidR="00DA4475">
        <w:t xml:space="preserve">(“Consultant”) </w:t>
      </w:r>
      <w:r w:rsidR="005B7C2B">
        <w:t xml:space="preserve">that will carry out the evaluation. </w:t>
      </w:r>
      <w:r w:rsidR="005D21B2">
        <w:t xml:space="preserve"> The consultancy will evaluate (i.e. describe, analyze, explain and propose improvements on):</w:t>
      </w:r>
    </w:p>
    <w:p w:rsidR="005D21B2" w:rsidRDefault="005D21B2" w:rsidP="005D21B2">
      <w:pPr>
        <w:pStyle w:val="ListParagraph"/>
        <w:spacing w:before="120" w:after="120"/>
        <w:ind w:left="1080"/>
        <w:jc w:val="both"/>
      </w:pPr>
      <w:r>
        <w:t>i.</w:t>
      </w:r>
      <w:r>
        <w:tab/>
        <w:t xml:space="preserve">Fund relevance – Assess whether the activities financed by the Funds have assisted in achieving the Funds’ objectives. </w:t>
      </w:r>
    </w:p>
    <w:p w:rsidR="005D21B2" w:rsidRDefault="005D21B2" w:rsidP="005D21B2">
      <w:pPr>
        <w:pStyle w:val="ListParagraph"/>
        <w:spacing w:before="120" w:after="120"/>
        <w:ind w:left="1080"/>
        <w:jc w:val="both"/>
      </w:pPr>
      <w:r>
        <w:t>ii.</w:t>
      </w:r>
      <w:r>
        <w:tab/>
        <w:t xml:space="preserve">Fund effectiveness – Evaluate results and the impact of the Fund-financed activities in the region. Assess whether the Funds succeeded in augmenting the technical capacity of the beneficiaries and/or the IDB to engage in the themes supported by the Funds. Look into whether the results obtained at the IDB and in the Region are sustainable. See what major internal and external factors have </w:t>
      </w:r>
      <w:r>
        <w:lastRenderedPageBreak/>
        <w:t xml:space="preserve">enhanced or limited the effectiveness of the Funds and how these factors </w:t>
      </w:r>
      <w:r w:rsidR="003D0FA8">
        <w:t xml:space="preserve">were </w:t>
      </w:r>
      <w:r>
        <w:t>addressed.</w:t>
      </w:r>
    </w:p>
    <w:p w:rsidR="005D21B2" w:rsidRDefault="005D21B2" w:rsidP="005D21B2">
      <w:pPr>
        <w:pStyle w:val="ListParagraph"/>
        <w:spacing w:before="120" w:after="120"/>
        <w:ind w:left="1080"/>
        <w:jc w:val="both"/>
      </w:pPr>
      <w:r>
        <w:t>iii.</w:t>
      </w:r>
      <w:r>
        <w:tab/>
        <w:t xml:space="preserve">Fund performance – Assess outputs and outcomes of Fund-financed activities. State any lessons </w:t>
      </w:r>
      <w:proofErr w:type="gramStart"/>
      <w:r>
        <w:t>learned,</w:t>
      </w:r>
      <w:proofErr w:type="gramEnd"/>
      <w:r>
        <w:t xml:space="preserve"> opportunities and challenges from the Funds’ execution.</w:t>
      </w:r>
    </w:p>
    <w:p w:rsidR="005D21B2" w:rsidRDefault="005D21B2" w:rsidP="005D21B2">
      <w:pPr>
        <w:pStyle w:val="ListParagraph"/>
        <w:spacing w:before="120" w:after="120"/>
        <w:ind w:left="1080"/>
        <w:jc w:val="both"/>
      </w:pPr>
      <w:r>
        <w:t>iv.</w:t>
      </w:r>
      <w:r>
        <w:tab/>
        <w:t>Transpar</w:t>
      </w:r>
      <w:r w:rsidR="00DA4475">
        <w:t xml:space="preserve">ency of Fund Activity execution – </w:t>
      </w:r>
      <w:r w:rsidR="003D0FA8">
        <w:t xml:space="preserve">Explore </w:t>
      </w:r>
      <w:r>
        <w:t>whether Fund approved TC operations are executed in a transparent manner. Assure the all TC budgets are used according</w:t>
      </w:r>
      <w:r w:rsidR="00625089">
        <w:t xml:space="preserve"> to</w:t>
      </w:r>
      <w:r>
        <w:t xml:space="preserve"> the TC document description. </w:t>
      </w:r>
    </w:p>
    <w:p w:rsidR="005D21B2" w:rsidRDefault="005D21B2" w:rsidP="005D21B2">
      <w:pPr>
        <w:pStyle w:val="ListParagraph"/>
        <w:spacing w:before="120" w:after="120"/>
        <w:ind w:left="1080"/>
        <w:jc w:val="both"/>
      </w:pPr>
      <w:r>
        <w:t>v.</w:t>
      </w:r>
      <w:r>
        <w:tab/>
        <w:t xml:space="preserve">Fund Institutional Performance – Look into how the collaboration between the IDB and the Korean Trust Funds/MOSF worked. Evaluate whether the Funds’ activities affected the stature of Korea in LAC region and the international community. State what are the main strategic areas, procedures and arrangements </w:t>
      </w:r>
      <w:r w:rsidR="00625089">
        <w:t xml:space="preserve">that could </w:t>
      </w:r>
      <w:r>
        <w:t xml:space="preserve">maximize the impact of the collaboration between the IDB and </w:t>
      </w:r>
      <w:proofErr w:type="gramStart"/>
      <w:r>
        <w:t>MOSF.</w:t>
      </w:r>
      <w:proofErr w:type="gramEnd"/>
    </w:p>
    <w:p w:rsidR="00354502" w:rsidRDefault="00354502" w:rsidP="005D21B2">
      <w:pPr>
        <w:pStyle w:val="ListParagraph"/>
        <w:spacing w:before="120" w:after="120"/>
        <w:ind w:left="1080"/>
        <w:jc w:val="both"/>
      </w:pPr>
    </w:p>
    <w:p w:rsidR="003D7FEF" w:rsidRPr="00DA4475" w:rsidRDefault="003D7FEF" w:rsidP="00DA4475">
      <w:pPr>
        <w:pStyle w:val="ListParagraph"/>
        <w:numPr>
          <w:ilvl w:val="1"/>
          <w:numId w:val="5"/>
        </w:numPr>
        <w:spacing w:before="120" w:after="120"/>
        <w:ind w:left="360" w:hanging="540"/>
        <w:jc w:val="both"/>
      </w:pPr>
      <w:r w:rsidRPr="00DA4475">
        <w:t xml:space="preserve">As part of the project proposal, the Consultant will have to provide a work plan and methodology outline detailing the elected method for carrying out the evaluation (the final methodology will be subject to approval by the IDB’s team and the MOSF). The methodology </w:t>
      </w:r>
      <w:r w:rsidR="00625089">
        <w:t>should</w:t>
      </w:r>
      <w:r w:rsidRPr="00DA4475">
        <w:t xml:space="preserve"> to involve the following instruments:</w:t>
      </w:r>
    </w:p>
    <w:p w:rsidR="003D7FEF" w:rsidRDefault="00DA4475" w:rsidP="003D7FEF">
      <w:pPr>
        <w:pStyle w:val="ListParagraph"/>
        <w:spacing w:before="120" w:after="120"/>
        <w:ind w:left="1080"/>
        <w:jc w:val="both"/>
      </w:pPr>
      <w:r>
        <w:t>i.</w:t>
      </w:r>
      <w:r w:rsidR="003D7FEF">
        <w:tab/>
        <w:t>A desk review in Washington of relevant documentation. This will include the review of relevant materials such as agreements, operational guidelines, TC Abstracts</w:t>
      </w:r>
      <w:r w:rsidR="00FF25E6">
        <w:t xml:space="preserve">, </w:t>
      </w:r>
      <w:r w:rsidR="003D7FEF">
        <w:t xml:space="preserve">TC Documents </w:t>
      </w:r>
      <w:r w:rsidR="009E1955">
        <w:t>(</w:t>
      </w:r>
      <w:r w:rsidR="003D7FEF">
        <w:t>Plan of Operations</w:t>
      </w:r>
      <w:r w:rsidR="009E1955">
        <w:t>)</w:t>
      </w:r>
      <w:r w:rsidR="003D7FEF">
        <w:t xml:space="preserve">, project outcome documents, previous evaluations, terms of reference, etc. </w:t>
      </w:r>
    </w:p>
    <w:p w:rsidR="003D7FEF" w:rsidRDefault="00DA4475" w:rsidP="003D7FEF">
      <w:pPr>
        <w:pStyle w:val="ListParagraph"/>
        <w:spacing w:before="120" w:after="120"/>
        <w:ind w:left="1080"/>
        <w:jc w:val="both"/>
      </w:pPr>
      <w:r>
        <w:t>ii</w:t>
      </w:r>
      <w:r w:rsidR="003D7FEF">
        <w:t>.</w:t>
      </w:r>
      <w:r w:rsidR="003D7FEF">
        <w:tab/>
        <w:t xml:space="preserve">Interviews with: a) key officials of MOSF; b) a sample of IDB’s project team leaders and members, both at Headquarters, as well as in the selected regional country locations; c) a sample of project beneficiaries; d) IDB’s officials in charge of grant management at </w:t>
      </w:r>
      <w:r w:rsidR="009E1955">
        <w:t>ORP</w:t>
      </w:r>
      <w:r w:rsidR="003D7FEF">
        <w:t xml:space="preserve">/GCM, including trust fund </w:t>
      </w:r>
      <w:r w:rsidR="009E1955">
        <w:t>coordinators</w:t>
      </w:r>
      <w:r w:rsidR="003D7FEF">
        <w:t xml:space="preserve">; e) other IDB’s staff, which will be jointly identified by the IDB’s team and the </w:t>
      </w:r>
      <w:r w:rsidR="009E1955">
        <w:t>Consultant</w:t>
      </w:r>
      <w:r w:rsidR="003D7FEF">
        <w:t>.</w:t>
      </w:r>
    </w:p>
    <w:p w:rsidR="003D7FEF" w:rsidRDefault="00DA4475" w:rsidP="003D7FEF">
      <w:pPr>
        <w:pStyle w:val="ListParagraph"/>
        <w:spacing w:before="120" w:after="120"/>
        <w:ind w:left="1080"/>
        <w:jc w:val="both"/>
      </w:pPr>
      <w:r>
        <w:t>iii</w:t>
      </w:r>
      <w:r w:rsidR="003D7FEF">
        <w:t>.</w:t>
      </w:r>
      <w:r w:rsidR="003D7FEF">
        <w:tab/>
        <w:t>A questionnaire survey for project team leaders and executing agencies.</w:t>
      </w:r>
      <w:r w:rsidR="00C73852">
        <w:t xml:space="preserve"> The survey will include </w:t>
      </w:r>
      <w:r w:rsidR="000846AD">
        <w:t>question</w:t>
      </w:r>
      <w:r w:rsidR="00605964">
        <w:t>s</w:t>
      </w:r>
      <w:r w:rsidR="000846AD">
        <w:t xml:space="preserve"> that will help </w:t>
      </w:r>
      <w:r w:rsidR="00605964">
        <w:t xml:space="preserve">the </w:t>
      </w:r>
      <w:r w:rsidR="000846AD">
        <w:t xml:space="preserve">Consultant and project team to access the progress of the TC, it’s outcomes and outputs, and how the TC has contributed </w:t>
      </w:r>
      <w:r w:rsidR="00605964">
        <w:t xml:space="preserve">to help </w:t>
      </w:r>
      <w:r w:rsidR="000846AD">
        <w:t>the Korean Funds achieve it</w:t>
      </w:r>
      <w:r w:rsidR="00AD40F1">
        <w:t>s</w:t>
      </w:r>
      <w:r w:rsidR="000846AD">
        <w:t xml:space="preserve"> goals.</w:t>
      </w:r>
    </w:p>
    <w:p w:rsidR="0072516C" w:rsidRDefault="00DA4475" w:rsidP="003D7FEF">
      <w:pPr>
        <w:pStyle w:val="ListParagraph"/>
        <w:spacing w:before="120" w:after="120"/>
        <w:ind w:left="1080"/>
        <w:jc w:val="both"/>
      </w:pPr>
      <w:r>
        <w:t>iv</w:t>
      </w:r>
      <w:r w:rsidR="003D7FEF">
        <w:t>.</w:t>
      </w:r>
      <w:r w:rsidR="003D7FEF">
        <w:tab/>
        <w:t>Field assessment in at least three countries</w:t>
      </w:r>
      <w:r w:rsidR="00605964">
        <w:t xml:space="preserve"> where there is a high concentration of Korean Fund approved project activities.</w:t>
      </w:r>
      <w:r w:rsidR="003D7FEF">
        <w:t xml:space="preserve"> The countries and projects will be jointly identified by the IDB’s team and the Consultant.</w:t>
      </w:r>
    </w:p>
    <w:p w:rsidR="00354502" w:rsidRDefault="00354502" w:rsidP="003D7FEF">
      <w:pPr>
        <w:pStyle w:val="ListParagraph"/>
        <w:spacing w:before="120" w:after="120"/>
        <w:ind w:left="1080"/>
        <w:jc w:val="both"/>
      </w:pPr>
    </w:p>
    <w:p w:rsidR="00C737E4" w:rsidRDefault="007F117A" w:rsidP="007F117A">
      <w:pPr>
        <w:pStyle w:val="ListParagraph"/>
        <w:numPr>
          <w:ilvl w:val="1"/>
          <w:numId w:val="5"/>
        </w:numPr>
        <w:spacing w:before="120" w:after="120"/>
        <w:ind w:left="360" w:hanging="540"/>
        <w:jc w:val="both"/>
      </w:pPr>
      <w:r w:rsidRPr="007F117A">
        <w:rPr>
          <w:b/>
        </w:rPr>
        <w:t xml:space="preserve">Component 2: </w:t>
      </w:r>
      <w:r w:rsidR="00C737E4" w:rsidRPr="007F117A">
        <w:rPr>
          <w:b/>
        </w:rPr>
        <w:t>Translation of Evaluation to Korean</w:t>
      </w:r>
      <w:r w:rsidR="00354502">
        <w:t xml:space="preserve"> – </w:t>
      </w:r>
      <w:r w:rsidR="002D0BCB">
        <w:t>The</w:t>
      </w:r>
      <w:r w:rsidR="00354502">
        <w:t xml:space="preserve"> final evaluation report </w:t>
      </w:r>
      <w:r w:rsidR="002D0BCB">
        <w:t xml:space="preserve">and any additional materials </w:t>
      </w:r>
      <w:r w:rsidR="00354502">
        <w:t xml:space="preserve">should be translated into Korean. </w:t>
      </w:r>
      <w:r w:rsidR="00406A7A">
        <w:t>In case the C</w:t>
      </w:r>
      <w:r w:rsidR="00354502">
        <w:t xml:space="preserve">onsultant </w:t>
      </w:r>
      <w:r w:rsidR="008F31FB">
        <w:t>does not have the capacity to produce the evaluation in Korean</w:t>
      </w:r>
      <w:r w:rsidR="00406A7A">
        <w:t xml:space="preserve"> or do the translation themselves</w:t>
      </w:r>
      <w:r w:rsidR="008F31FB">
        <w:t>, the IDB project team will contract translators to conduct this work. It is important that the translation in Korean is done in a professional manner since the report will be used to discuss the replenishment of the Korean Funds and will be circulated in MOSF as well as other Korean authorities.</w:t>
      </w:r>
      <w:r w:rsidR="00354502">
        <w:t xml:space="preserve"> </w:t>
      </w:r>
    </w:p>
    <w:p w:rsidR="00420A0E" w:rsidRDefault="00420A0E" w:rsidP="00420A0E">
      <w:pPr>
        <w:pStyle w:val="ListParagraph"/>
        <w:spacing w:before="120" w:after="120"/>
        <w:ind w:left="1080"/>
        <w:jc w:val="both"/>
      </w:pPr>
    </w:p>
    <w:p w:rsidR="00A86AD1" w:rsidRDefault="00A86AD1" w:rsidP="00A86AD1">
      <w:pPr>
        <w:pStyle w:val="ListParagraph"/>
        <w:spacing w:before="120" w:after="120"/>
        <w:ind w:left="360"/>
        <w:jc w:val="both"/>
      </w:pPr>
    </w:p>
    <w:p w:rsidR="00DC1E68" w:rsidRPr="00A12C27" w:rsidRDefault="0095711B" w:rsidP="001F65F7">
      <w:pPr>
        <w:pStyle w:val="ListParagraph"/>
        <w:numPr>
          <w:ilvl w:val="0"/>
          <w:numId w:val="5"/>
        </w:numPr>
        <w:spacing w:before="120" w:after="120"/>
        <w:jc w:val="center"/>
        <w:rPr>
          <w:b/>
        </w:rPr>
      </w:pPr>
      <w:r w:rsidRPr="00A12C27">
        <w:rPr>
          <w:b/>
        </w:rPr>
        <w:t>Budget</w:t>
      </w:r>
    </w:p>
    <w:p w:rsidR="0095711B" w:rsidRDefault="004C6E7E" w:rsidP="00CF6C4D">
      <w:pPr>
        <w:pStyle w:val="ListParagraph"/>
        <w:numPr>
          <w:ilvl w:val="1"/>
          <w:numId w:val="5"/>
        </w:numPr>
        <w:spacing w:before="120" w:after="120"/>
        <w:ind w:left="360" w:hanging="540"/>
        <w:jc w:val="both"/>
      </w:pPr>
      <w:r>
        <w:t>The following table shows the indicat</w:t>
      </w:r>
      <w:r w:rsidR="00067C26">
        <w:t>ive budget for the TC execution:</w:t>
      </w:r>
    </w:p>
    <w:p w:rsidR="00067C26" w:rsidRDefault="00067C26" w:rsidP="00067C26">
      <w:pPr>
        <w:pStyle w:val="ListParagraph"/>
        <w:spacing w:before="120" w:after="120"/>
        <w:ind w:left="360"/>
        <w:jc w:val="both"/>
      </w:pPr>
    </w:p>
    <w:p w:rsidR="00682716" w:rsidRPr="004C6E7E" w:rsidRDefault="00682716" w:rsidP="004C6E7E">
      <w:pPr>
        <w:pStyle w:val="ListParagraph"/>
        <w:spacing w:before="120" w:after="120" w:line="240" w:lineRule="auto"/>
        <w:ind w:left="360"/>
        <w:contextualSpacing w:val="0"/>
        <w:jc w:val="center"/>
        <w:rPr>
          <w:b/>
        </w:rPr>
      </w:pPr>
      <w:r w:rsidRPr="00F6363D">
        <w:rPr>
          <w:b/>
        </w:rPr>
        <w:t>Indicative Budget</w:t>
      </w:r>
      <w:r>
        <w:rPr>
          <w:b/>
        </w:rPr>
        <w:t xml:space="preserve"> </w:t>
      </w:r>
    </w:p>
    <w:tbl>
      <w:tblPr>
        <w:tblStyle w:val="TableGrid"/>
        <w:tblW w:w="0" w:type="auto"/>
        <w:jc w:val="center"/>
        <w:tblInd w:w="360" w:type="dxa"/>
        <w:tblLook w:val="04A0" w:firstRow="1" w:lastRow="0" w:firstColumn="1" w:lastColumn="0" w:noHBand="0" w:noVBand="1"/>
      </w:tblPr>
      <w:tblGrid>
        <w:gridCol w:w="2041"/>
        <w:gridCol w:w="2297"/>
        <w:gridCol w:w="1350"/>
        <w:gridCol w:w="1458"/>
      </w:tblGrid>
      <w:tr w:rsidR="00AF3439" w:rsidRPr="0023302F" w:rsidTr="00FC63D2">
        <w:trPr>
          <w:jc w:val="center"/>
        </w:trPr>
        <w:tc>
          <w:tcPr>
            <w:tcW w:w="2041" w:type="dxa"/>
            <w:shd w:val="clear" w:color="auto" w:fill="B8CCE4" w:themeFill="accent1" w:themeFillTint="66"/>
          </w:tcPr>
          <w:p w:rsidR="00AF3439" w:rsidRPr="0023302F" w:rsidRDefault="00AF3439" w:rsidP="00CF6C4D">
            <w:pPr>
              <w:pStyle w:val="ListParagraph"/>
              <w:ind w:left="0"/>
              <w:contextualSpacing w:val="0"/>
              <w:jc w:val="center"/>
              <w:rPr>
                <w:b/>
                <w:sz w:val="20"/>
                <w:szCs w:val="20"/>
              </w:rPr>
            </w:pPr>
            <w:r w:rsidRPr="0023302F">
              <w:rPr>
                <w:b/>
                <w:sz w:val="20"/>
                <w:szCs w:val="20"/>
              </w:rPr>
              <w:t>Activity/Component</w:t>
            </w:r>
          </w:p>
        </w:tc>
        <w:tc>
          <w:tcPr>
            <w:tcW w:w="2297" w:type="dxa"/>
            <w:shd w:val="clear" w:color="auto" w:fill="B8CCE4" w:themeFill="accent1" w:themeFillTint="66"/>
          </w:tcPr>
          <w:p w:rsidR="00AF3439" w:rsidRPr="0023302F" w:rsidRDefault="00AF3439" w:rsidP="00CF6C4D">
            <w:pPr>
              <w:pStyle w:val="ListParagraph"/>
              <w:ind w:left="0"/>
              <w:contextualSpacing w:val="0"/>
              <w:jc w:val="center"/>
              <w:rPr>
                <w:b/>
                <w:sz w:val="20"/>
                <w:szCs w:val="20"/>
              </w:rPr>
            </w:pPr>
            <w:r w:rsidRPr="0023302F">
              <w:rPr>
                <w:b/>
                <w:sz w:val="20"/>
                <w:szCs w:val="20"/>
              </w:rPr>
              <w:t>Description</w:t>
            </w:r>
          </w:p>
        </w:tc>
        <w:tc>
          <w:tcPr>
            <w:tcW w:w="1350" w:type="dxa"/>
            <w:shd w:val="clear" w:color="auto" w:fill="B8CCE4" w:themeFill="accent1" w:themeFillTint="66"/>
          </w:tcPr>
          <w:p w:rsidR="00AF3439" w:rsidRPr="0023302F" w:rsidRDefault="00AF3439" w:rsidP="00CF6C4D">
            <w:pPr>
              <w:pStyle w:val="ListParagraph"/>
              <w:ind w:left="0"/>
              <w:contextualSpacing w:val="0"/>
              <w:jc w:val="center"/>
              <w:rPr>
                <w:b/>
                <w:sz w:val="20"/>
                <w:szCs w:val="20"/>
              </w:rPr>
            </w:pPr>
            <w:r>
              <w:rPr>
                <w:b/>
                <w:sz w:val="20"/>
                <w:szCs w:val="20"/>
              </w:rPr>
              <w:t>IDB/Fund</w:t>
            </w:r>
            <w:r w:rsidRPr="0023302F">
              <w:rPr>
                <w:b/>
                <w:sz w:val="20"/>
                <w:szCs w:val="20"/>
              </w:rPr>
              <w:t xml:space="preserve"> F</w:t>
            </w:r>
            <w:r>
              <w:rPr>
                <w:b/>
                <w:sz w:val="20"/>
                <w:szCs w:val="20"/>
              </w:rPr>
              <w:t>unding</w:t>
            </w:r>
          </w:p>
        </w:tc>
        <w:tc>
          <w:tcPr>
            <w:tcW w:w="1458" w:type="dxa"/>
            <w:shd w:val="clear" w:color="auto" w:fill="B8CCE4" w:themeFill="accent1" w:themeFillTint="66"/>
          </w:tcPr>
          <w:p w:rsidR="00AF3439" w:rsidRPr="0023302F" w:rsidRDefault="00AF3439" w:rsidP="00CF6C4D">
            <w:pPr>
              <w:pStyle w:val="ListParagraph"/>
              <w:ind w:left="0"/>
              <w:contextualSpacing w:val="0"/>
              <w:jc w:val="center"/>
              <w:rPr>
                <w:b/>
                <w:sz w:val="20"/>
                <w:szCs w:val="20"/>
              </w:rPr>
            </w:pPr>
            <w:r>
              <w:rPr>
                <w:b/>
                <w:sz w:val="20"/>
                <w:szCs w:val="20"/>
              </w:rPr>
              <w:t>Total Funding</w:t>
            </w:r>
          </w:p>
        </w:tc>
      </w:tr>
      <w:tr w:rsidR="00AF3439" w:rsidRPr="0023302F" w:rsidTr="00FC63D2">
        <w:trPr>
          <w:jc w:val="center"/>
        </w:trPr>
        <w:tc>
          <w:tcPr>
            <w:tcW w:w="2041" w:type="dxa"/>
          </w:tcPr>
          <w:p w:rsidR="00AF3439" w:rsidRPr="00C83F0E" w:rsidRDefault="00AF3439" w:rsidP="00C83F0E">
            <w:pPr>
              <w:rPr>
                <w:b/>
                <w:sz w:val="20"/>
                <w:szCs w:val="20"/>
              </w:rPr>
            </w:pPr>
            <w:r w:rsidRPr="00C83F0E">
              <w:rPr>
                <w:b/>
                <w:sz w:val="20"/>
                <w:szCs w:val="20"/>
              </w:rPr>
              <w:t>1.</w:t>
            </w:r>
            <w:r>
              <w:rPr>
                <w:b/>
                <w:sz w:val="20"/>
                <w:szCs w:val="20"/>
              </w:rPr>
              <w:t xml:space="preserve"> </w:t>
            </w:r>
            <w:r w:rsidRPr="00C83F0E">
              <w:rPr>
                <w:b/>
                <w:sz w:val="20"/>
                <w:szCs w:val="20"/>
              </w:rPr>
              <w:t>Trust Fund Evaluation</w:t>
            </w:r>
          </w:p>
        </w:tc>
        <w:tc>
          <w:tcPr>
            <w:tcW w:w="2297" w:type="dxa"/>
            <w:vAlign w:val="center"/>
          </w:tcPr>
          <w:p w:rsidR="00AF3439" w:rsidRPr="0023302F" w:rsidRDefault="00AF3439" w:rsidP="001E366A">
            <w:pPr>
              <w:pStyle w:val="ListParagraph"/>
              <w:ind w:left="0"/>
              <w:contextualSpacing w:val="0"/>
              <w:rPr>
                <w:b/>
                <w:sz w:val="20"/>
                <w:szCs w:val="20"/>
              </w:rPr>
            </w:pPr>
            <w:r>
              <w:rPr>
                <w:b/>
                <w:sz w:val="20"/>
                <w:szCs w:val="20"/>
              </w:rPr>
              <w:t>Hire independent consultant to carry out evaluation</w:t>
            </w:r>
          </w:p>
        </w:tc>
        <w:tc>
          <w:tcPr>
            <w:tcW w:w="1350" w:type="dxa"/>
          </w:tcPr>
          <w:p w:rsidR="00AF3439" w:rsidRPr="0023302F" w:rsidRDefault="00AF3439" w:rsidP="00CF6C4D">
            <w:pPr>
              <w:pStyle w:val="ListParagraph"/>
              <w:ind w:left="0"/>
              <w:contextualSpacing w:val="0"/>
              <w:jc w:val="center"/>
              <w:rPr>
                <w:b/>
                <w:sz w:val="20"/>
                <w:szCs w:val="20"/>
              </w:rPr>
            </w:pPr>
            <w:r>
              <w:rPr>
                <w:b/>
                <w:sz w:val="20"/>
                <w:szCs w:val="20"/>
              </w:rPr>
              <w:t>US$2</w:t>
            </w:r>
            <w:r w:rsidR="00A77B69">
              <w:rPr>
                <w:b/>
                <w:sz w:val="20"/>
                <w:szCs w:val="20"/>
              </w:rPr>
              <w:t>4</w:t>
            </w:r>
            <w:r>
              <w:rPr>
                <w:b/>
                <w:sz w:val="20"/>
                <w:szCs w:val="20"/>
              </w:rPr>
              <w:t>0,000</w:t>
            </w:r>
          </w:p>
        </w:tc>
        <w:tc>
          <w:tcPr>
            <w:tcW w:w="1458" w:type="dxa"/>
          </w:tcPr>
          <w:p w:rsidR="00AF3439" w:rsidRPr="0023302F" w:rsidRDefault="00AF3439" w:rsidP="00CF6C4D">
            <w:pPr>
              <w:pStyle w:val="ListParagraph"/>
              <w:ind w:left="0"/>
              <w:contextualSpacing w:val="0"/>
              <w:jc w:val="center"/>
              <w:rPr>
                <w:b/>
                <w:sz w:val="20"/>
                <w:szCs w:val="20"/>
              </w:rPr>
            </w:pPr>
            <w:r>
              <w:rPr>
                <w:b/>
                <w:sz w:val="20"/>
                <w:szCs w:val="20"/>
              </w:rPr>
              <w:t>US$2</w:t>
            </w:r>
            <w:r w:rsidR="00A77B69">
              <w:rPr>
                <w:b/>
                <w:sz w:val="20"/>
                <w:szCs w:val="20"/>
              </w:rPr>
              <w:t>4</w:t>
            </w:r>
            <w:r>
              <w:rPr>
                <w:b/>
                <w:sz w:val="20"/>
                <w:szCs w:val="20"/>
              </w:rPr>
              <w:t>0,000</w:t>
            </w:r>
          </w:p>
        </w:tc>
      </w:tr>
      <w:tr w:rsidR="00AF3439" w:rsidRPr="0023302F" w:rsidTr="00FC63D2">
        <w:trPr>
          <w:jc w:val="center"/>
        </w:trPr>
        <w:tc>
          <w:tcPr>
            <w:tcW w:w="2041" w:type="dxa"/>
          </w:tcPr>
          <w:p w:rsidR="00AF3439" w:rsidRPr="0023302F" w:rsidRDefault="00AF3439" w:rsidP="00D620AF">
            <w:pPr>
              <w:rPr>
                <w:b/>
                <w:sz w:val="20"/>
                <w:szCs w:val="20"/>
              </w:rPr>
            </w:pPr>
            <w:r>
              <w:rPr>
                <w:b/>
                <w:sz w:val="20"/>
                <w:szCs w:val="20"/>
              </w:rPr>
              <w:t>2. Translation of document into Korean</w:t>
            </w:r>
          </w:p>
        </w:tc>
        <w:tc>
          <w:tcPr>
            <w:tcW w:w="2297" w:type="dxa"/>
            <w:vAlign w:val="center"/>
          </w:tcPr>
          <w:p w:rsidR="00AF3439" w:rsidRPr="0023302F" w:rsidRDefault="00AF3439" w:rsidP="006003DD">
            <w:pPr>
              <w:pStyle w:val="ListParagraph"/>
              <w:ind w:left="0"/>
              <w:contextualSpacing w:val="0"/>
              <w:rPr>
                <w:b/>
                <w:sz w:val="20"/>
                <w:szCs w:val="20"/>
              </w:rPr>
            </w:pPr>
            <w:r>
              <w:rPr>
                <w:b/>
                <w:sz w:val="20"/>
                <w:szCs w:val="20"/>
              </w:rPr>
              <w:t>Professional translation of evaluation report</w:t>
            </w:r>
          </w:p>
        </w:tc>
        <w:tc>
          <w:tcPr>
            <w:tcW w:w="1350" w:type="dxa"/>
          </w:tcPr>
          <w:p w:rsidR="00AF3439" w:rsidRPr="0023302F" w:rsidRDefault="00AF3439" w:rsidP="00C73852">
            <w:pPr>
              <w:pStyle w:val="ListParagraph"/>
              <w:ind w:left="0"/>
              <w:contextualSpacing w:val="0"/>
              <w:jc w:val="center"/>
              <w:rPr>
                <w:b/>
                <w:sz w:val="20"/>
                <w:szCs w:val="20"/>
              </w:rPr>
            </w:pPr>
            <w:r>
              <w:rPr>
                <w:b/>
                <w:sz w:val="20"/>
                <w:szCs w:val="20"/>
              </w:rPr>
              <w:t>US$</w:t>
            </w:r>
            <w:r w:rsidR="00C73852">
              <w:rPr>
                <w:b/>
                <w:sz w:val="20"/>
                <w:szCs w:val="20"/>
              </w:rPr>
              <w:t>20</w:t>
            </w:r>
            <w:r>
              <w:rPr>
                <w:b/>
                <w:sz w:val="20"/>
                <w:szCs w:val="20"/>
              </w:rPr>
              <w:t>,000</w:t>
            </w:r>
          </w:p>
        </w:tc>
        <w:tc>
          <w:tcPr>
            <w:tcW w:w="1458" w:type="dxa"/>
          </w:tcPr>
          <w:p w:rsidR="00AF3439" w:rsidRPr="0023302F" w:rsidRDefault="00AF3439" w:rsidP="009E1955">
            <w:pPr>
              <w:pStyle w:val="ListParagraph"/>
              <w:ind w:left="0"/>
              <w:contextualSpacing w:val="0"/>
              <w:jc w:val="center"/>
              <w:rPr>
                <w:b/>
                <w:sz w:val="20"/>
                <w:szCs w:val="20"/>
              </w:rPr>
            </w:pPr>
            <w:r>
              <w:rPr>
                <w:b/>
                <w:sz w:val="20"/>
                <w:szCs w:val="20"/>
              </w:rPr>
              <w:t>US$</w:t>
            </w:r>
            <w:r w:rsidR="009E1955">
              <w:rPr>
                <w:b/>
                <w:sz w:val="20"/>
                <w:szCs w:val="20"/>
              </w:rPr>
              <w:t>20</w:t>
            </w:r>
            <w:r>
              <w:rPr>
                <w:b/>
                <w:sz w:val="20"/>
                <w:szCs w:val="20"/>
              </w:rPr>
              <w:t>,000</w:t>
            </w:r>
          </w:p>
        </w:tc>
      </w:tr>
      <w:tr w:rsidR="00AF3439" w:rsidRPr="0023302F" w:rsidTr="00FC63D2">
        <w:trPr>
          <w:jc w:val="center"/>
        </w:trPr>
        <w:tc>
          <w:tcPr>
            <w:tcW w:w="2041" w:type="dxa"/>
          </w:tcPr>
          <w:p w:rsidR="00AF3439" w:rsidRPr="0023302F" w:rsidRDefault="00C73852" w:rsidP="00C73852">
            <w:pPr>
              <w:rPr>
                <w:b/>
                <w:sz w:val="20"/>
                <w:szCs w:val="20"/>
              </w:rPr>
            </w:pPr>
            <w:r>
              <w:rPr>
                <w:b/>
                <w:sz w:val="20"/>
                <w:szCs w:val="20"/>
              </w:rPr>
              <w:t>Management of the evaluation</w:t>
            </w:r>
          </w:p>
        </w:tc>
        <w:tc>
          <w:tcPr>
            <w:tcW w:w="2297" w:type="dxa"/>
            <w:vAlign w:val="center"/>
          </w:tcPr>
          <w:p w:rsidR="00AF3439" w:rsidRPr="0023302F" w:rsidRDefault="00605964" w:rsidP="0098703B">
            <w:pPr>
              <w:pStyle w:val="ListParagraph"/>
              <w:ind w:left="0"/>
              <w:contextualSpacing w:val="0"/>
              <w:rPr>
                <w:b/>
                <w:sz w:val="20"/>
                <w:szCs w:val="20"/>
              </w:rPr>
            </w:pPr>
            <w:r>
              <w:rPr>
                <w:b/>
                <w:sz w:val="20"/>
                <w:szCs w:val="20"/>
              </w:rPr>
              <w:t xml:space="preserve">Any cost that accompanies the management of the evaluation activities </w:t>
            </w:r>
          </w:p>
        </w:tc>
        <w:tc>
          <w:tcPr>
            <w:tcW w:w="1350" w:type="dxa"/>
          </w:tcPr>
          <w:p w:rsidR="00AF3439" w:rsidRPr="0023302F" w:rsidRDefault="00AF3439" w:rsidP="00C73852">
            <w:pPr>
              <w:pStyle w:val="ListParagraph"/>
              <w:ind w:left="0"/>
              <w:contextualSpacing w:val="0"/>
              <w:jc w:val="center"/>
              <w:rPr>
                <w:b/>
                <w:sz w:val="20"/>
                <w:szCs w:val="20"/>
              </w:rPr>
            </w:pPr>
            <w:r>
              <w:rPr>
                <w:b/>
                <w:sz w:val="20"/>
                <w:szCs w:val="20"/>
              </w:rPr>
              <w:t>US$</w:t>
            </w:r>
            <w:r w:rsidR="00C73852">
              <w:rPr>
                <w:b/>
                <w:sz w:val="20"/>
                <w:szCs w:val="20"/>
              </w:rPr>
              <w:t>30</w:t>
            </w:r>
            <w:r>
              <w:rPr>
                <w:b/>
                <w:sz w:val="20"/>
                <w:szCs w:val="20"/>
              </w:rPr>
              <w:t>,000</w:t>
            </w:r>
          </w:p>
        </w:tc>
        <w:tc>
          <w:tcPr>
            <w:tcW w:w="1458" w:type="dxa"/>
          </w:tcPr>
          <w:p w:rsidR="00AF3439" w:rsidRPr="0023302F" w:rsidRDefault="00AF3439" w:rsidP="00C73852">
            <w:pPr>
              <w:pStyle w:val="ListParagraph"/>
              <w:ind w:left="0"/>
              <w:contextualSpacing w:val="0"/>
              <w:jc w:val="center"/>
              <w:rPr>
                <w:b/>
                <w:sz w:val="20"/>
                <w:szCs w:val="20"/>
              </w:rPr>
            </w:pPr>
            <w:r>
              <w:rPr>
                <w:b/>
                <w:sz w:val="20"/>
                <w:szCs w:val="20"/>
              </w:rPr>
              <w:t>US$</w:t>
            </w:r>
            <w:r w:rsidR="00C73852">
              <w:rPr>
                <w:b/>
                <w:sz w:val="20"/>
                <w:szCs w:val="20"/>
              </w:rPr>
              <w:t>30</w:t>
            </w:r>
            <w:r>
              <w:rPr>
                <w:b/>
                <w:sz w:val="20"/>
                <w:szCs w:val="20"/>
              </w:rPr>
              <w:t>,000</w:t>
            </w:r>
          </w:p>
        </w:tc>
      </w:tr>
      <w:tr w:rsidR="00C73852" w:rsidRPr="0023302F" w:rsidTr="00FC63D2">
        <w:trPr>
          <w:jc w:val="center"/>
        </w:trPr>
        <w:tc>
          <w:tcPr>
            <w:tcW w:w="2041" w:type="dxa"/>
          </w:tcPr>
          <w:p w:rsidR="00C73852" w:rsidRDefault="00C73852" w:rsidP="00D620AF">
            <w:pPr>
              <w:rPr>
                <w:b/>
                <w:sz w:val="20"/>
                <w:szCs w:val="20"/>
              </w:rPr>
            </w:pPr>
            <w:r>
              <w:rPr>
                <w:b/>
                <w:sz w:val="20"/>
                <w:szCs w:val="20"/>
              </w:rPr>
              <w:t>Contingency</w:t>
            </w:r>
          </w:p>
        </w:tc>
        <w:tc>
          <w:tcPr>
            <w:tcW w:w="2297" w:type="dxa"/>
            <w:vAlign w:val="center"/>
          </w:tcPr>
          <w:p w:rsidR="00C73852" w:rsidRDefault="00605964" w:rsidP="0098703B">
            <w:pPr>
              <w:pStyle w:val="ListParagraph"/>
              <w:ind w:left="0"/>
              <w:contextualSpacing w:val="0"/>
              <w:rPr>
                <w:b/>
                <w:sz w:val="20"/>
                <w:szCs w:val="20"/>
              </w:rPr>
            </w:pPr>
            <w:r>
              <w:rPr>
                <w:b/>
                <w:sz w:val="20"/>
                <w:szCs w:val="20"/>
              </w:rPr>
              <w:t>Other cost</w:t>
            </w:r>
            <w:r w:rsidR="009E1955">
              <w:rPr>
                <w:b/>
                <w:sz w:val="20"/>
                <w:szCs w:val="20"/>
              </w:rPr>
              <w:t>s</w:t>
            </w:r>
          </w:p>
        </w:tc>
        <w:tc>
          <w:tcPr>
            <w:tcW w:w="1350" w:type="dxa"/>
          </w:tcPr>
          <w:p w:rsidR="00C73852" w:rsidRDefault="00C73852" w:rsidP="00E550D3">
            <w:pPr>
              <w:pStyle w:val="ListParagraph"/>
              <w:ind w:left="0"/>
              <w:contextualSpacing w:val="0"/>
              <w:jc w:val="center"/>
              <w:rPr>
                <w:b/>
                <w:sz w:val="20"/>
                <w:szCs w:val="20"/>
              </w:rPr>
            </w:pPr>
            <w:r>
              <w:rPr>
                <w:b/>
                <w:sz w:val="20"/>
                <w:szCs w:val="20"/>
              </w:rPr>
              <w:t>US$10,000</w:t>
            </w:r>
          </w:p>
        </w:tc>
        <w:tc>
          <w:tcPr>
            <w:tcW w:w="1458" w:type="dxa"/>
          </w:tcPr>
          <w:p w:rsidR="00C73852" w:rsidRDefault="00C73852" w:rsidP="00AF3439">
            <w:pPr>
              <w:pStyle w:val="ListParagraph"/>
              <w:ind w:left="0"/>
              <w:contextualSpacing w:val="0"/>
              <w:jc w:val="center"/>
              <w:rPr>
                <w:b/>
                <w:sz w:val="20"/>
                <w:szCs w:val="20"/>
              </w:rPr>
            </w:pPr>
            <w:r>
              <w:rPr>
                <w:b/>
                <w:sz w:val="20"/>
                <w:szCs w:val="20"/>
              </w:rPr>
              <w:t>US$10,000</w:t>
            </w:r>
          </w:p>
        </w:tc>
      </w:tr>
      <w:tr w:rsidR="00AF3439" w:rsidRPr="0023302F" w:rsidTr="00FC63D2">
        <w:trPr>
          <w:jc w:val="center"/>
        </w:trPr>
        <w:tc>
          <w:tcPr>
            <w:tcW w:w="2041" w:type="dxa"/>
            <w:shd w:val="clear" w:color="auto" w:fill="D9D9D9" w:themeFill="background1" w:themeFillShade="D9"/>
          </w:tcPr>
          <w:p w:rsidR="00AF3439" w:rsidRDefault="00AF3439" w:rsidP="00C83F0E">
            <w:pPr>
              <w:rPr>
                <w:b/>
                <w:sz w:val="20"/>
                <w:szCs w:val="20"/>
              </w:rPr>
            </w:pPr>
            <w:r>
              <w:rPr>
                <w:b/>
                <w:sz w:val="20"/>
                <w:szCs w:val="20"/>
              </w:rPr>
              <w:t>Total</w:t>
            </w:r>
          </w:p>
        </w:tc>
        <w:tc>
          <w:tcPr>
            <w:tcW w:w="2297" w:type="dxa"/>
            <w:shd w:val="clear" w:color="auto" w:fill="D9D9D9" w:themeFill="background1" w:themeFillShade="D9"/>
          </w:tcPr>
          <w:p w:rsidR="00AF3439" w:rsidRDefault="00AF3439" w:rsidP="00CF6C4D">
            <w:pPr>
              <w:pStyle w:val="ListParagraph"/>
              <w:ind w:left="0"/>
              <w:contextualSpacing w:val="0"/>
              <w:jc w:val="center"/>
              <w:rPr>
                <w:b/>
                <w:sz w:val="20"/>
                <w:szCs w:val="20"/>
              </w:rPr>
            </w:pPr>
          </w:p>
        </w:tc>
        <w:tc>
          <w:tcPr>
            <w:tcW w:w="1350" w:type="dxa"/>
            <w:shd w:val="clear" w:color="auto" w:fill="D9D9D9" w:themeFill="background1" w:themeFillShade="D9"/>
          </w:tcPr>
          <w:p w:rsidR="00AF3439" w:rsidRDefault="00AF3439" w:rsidP="00C73852">
            <w:pPr>
              <w:pStyle w:val="ListParagraph"/>
              <w:ind w:left="0"/>
              <w:contextualSpacing w:val="0"/>
              <w:jc w:val="center"/>
              <w:rPr>
                <w:b/>
                <w:sz w:val="20"/>
                <w:szCs w:val="20"/>
              </w:rPr>
            </w:pPr>
            <w:r>
              <w:rPr>
                <w:b/>
                <w:sz w:val="20"/>
                <w:szCs w:val="20"/>
              </w:rPr>
              <w:t>US$</w:t>
            </w:r>
            <w:r w:rsidR="00A77B69">
              <w:rPr>
                <w:b/>
                <w:sz w:val="20"/>
                <w:szCs w:val="20"/>
              </w:rPr>
              <w:t>30</w:t>
            </w:r>
            <w:r w:rsidR="00C73852">
              <w:rPr>
                <w:b/>
                <w:sz w:val="20"/>
                <w:szCs w:val="20"/>
              </w:rPr>
              <w:t>0</w:t>
            </w:r>
            <w:r w:rsidR="00E550D3">
              <w:rPr>
                <w:b/>
                <w:sz w:val="20"/>
                <w:szCs w:val="20"/>
              </w:rPr>
              <w:t>,000</w:t>
            </w:r>
          </w:p>
        </w:tc>
        <w:tc>
          <w:tcPr>
            <w:tcW w:w="1458" w:type="dxa"/>
            <w:shd w:val="clear" w:color="auto" w:fill="D9D9D9" w:themeFill="background1" w:themeFillShade="D9"/>
          </w:tcPr>
          <w:p w:rsidR="00AF3439" w:rsidRDefault="0028203D" w:rsidP="00C73852">
            <w:pPr>
              <w:pStyle w:val="ListParagraph"/>
              <w:ind w:left="0"/>
              <w:contextualSpacing w:val="0"/>
              <w:jc w:val="center"/>
              <w:rPr>
                <w:b/>
                <w:sz w:val="20"/>
                <w:szCs w:val="20"/>
              </w:rPr>
            </w:pPr>
            <w:r>
              <w:rPr>
                <w:b/>
                <w:sz w:val="20"/>
                <w:szCs w:val="20"/>
              </w:rPr>
              <w:t>US</w:t>
            </w:r>
            <w:r w:rsidR="00AF3439">
              <w:rPr>
                <w:b/>
                <w:sz w:val="20"/>
                <w:szCs w:val="20"/>
              </w:rPr>
              <w:t>$</w:t>
            </w:r>
            <w:r w:rsidR="00A77B69">
              <w:rPr>
                <w:b/>
                <w:sz w:val="20"/>
                <w:szCs w:val="20"/>
              </w:rPr>
              <w:t>30</w:t>
            </w:r>
            <w:r w:rsidR="00C73852">
              <w:rPr>
                <w:b/>
                <w:sz w:val="20"/>
                <w:szCs w:val="20"/>
              </w:rPr>
              <w:t>0</w:t>
            </w:r>
            <w:r w:rsidR="00E550D3">
              <w:rPr>
                <w:b/>
                <w:sz w:val="20"/>
                <w:szCs w:val="20"/>
              </w:rPr>
              <w:t>,000</w:t>
            </w:r>
          </w:p>
        </w:tc>
      </w:tr>
    </w:tbl>
    <w:p w:rsidR="00406A7A" w:rsidRPr="00406A7A" w:rsidRDefault="0095711B" w:rsidP="00406A7A">
      <w:pPr>
        <w:pStyle w:val="ListParagraph"/>
        <w:numPr>
          <w:ilvl w:val="0"/>
          <w:numId w:val="5"/>
        </w:numPr>
        <w:spacing w:before="120" w:after="120" w:line="480" w:lineRule="auto"/>
        <w:jc w:val="center"/>
        <w:rPr>
          <w:b/>
        </w:rPr>
      </w:pPr>
      <w:r w:rsidRPr="0095711B">
        <w:rPr>
          <w:b/>
        </w:rPr>
        <w:t>Executing agency and execution structure</w:t>
      </w:r>
    </w:p>
    <w:p w:rsidR="0061621D" w:rsidRDefault="00605964" w:rsidP="00CF6C4D">
      <w:pPr>
        <w:pStyle w:val="ListParagraph"/>
        <w:numPr>
          <w:ilvl w:val="1"/>
          <w:numId w:val="5"/>
        </w:numPr>
        <w:spacing w:before="120" w:after="120"/>
        <w:ind w:left="360" w:hanging="540"/>
        <w:jc w:val="both"/>
      </w:pPr>
      <w:r>
        <w:t xml:space="preserve">As the TC aims to conduct an independent evaluation of the Korean Funds’ activities, the Bank is the appropriate agency to implement the TC including </w:t>
      </w:r>
      <w:r w:rsidR="009B30F5">
        <w:t>the hiring of specific services for the evaluation and translation. In addition, the project team is closely in contact with the MOSF which will facilitate the coordination and communication of the evaluation process with the Donor. For these reasons, the IDB will be able to complete</w:t>
      </w:r>
      <w:r w:rsidR="0061621D">
        <w:t xml:space="preserve"> the task at hand in a cost-efficient manner while ensuring quality of the outputs.</w:t>
      </w:r>
    </w:p>
    <w:p w:rsidR="00CF6C4D" w:rsidRDefault="00CF6C4D" w:rsidP="00CF6C4D">
      <w:pPr>
        <w:pStyle w:val="ListParagraph"/>
        <w:spacing w:before="120" w:after="120"/>
        <w:ind w:left="360"/>
        <w:jc w:val="both"/>
      </w:pPr>
    </w:p>
    <w:p w:rsidR="000F7906" w:rsidRPr="003E62BC" w:rsidRDefault="000F7906" w:rsidP="001F65F7">
      <w:pPr>
        <w:pStyle w:val="ListParagraph"/>
        <w:numPr>
          <w:ilvl w:val="0"/>
          <w:numId w:val="5"/>
        </w:numPr>
        <w:spacing w:before="120" w:after="120"/>
        <w:jc w:val="center"/>
        <w:rPr>
          <w:b/>
        </w:rPr>
      </w:pPr>
      <w:r w:rsidRPr="003E62BC">
        <w:rPr>
          <w:b/>
        </w:rPr>
        <w:t xml:space="preserve">Project Risks and </w:t>
      </w:r>
      <w:r w:rsidR="0095711B" w:rsidRPr="003E62BC">
        <w:rPr>
          <w:b/>
        </w:rPr>
        <w:t xml:space="preserve"> issues</w:t>
      </w:r>
    </w:p>
    <w:p w:rsidR="00CF6C4D" w:rsidRDefault="00406A7A" w:rsidP="0059232A">
      <w:pPr>
        <w:pStyle w:val="ListParagraph"/>
        <w:numPr>
          <w:ilvl w:val="1"/>
          <w:numId w:val="5"/>
        </w:numPr>
        <w:spacing w:before="120" w:after="120"/>
        <w:ind w:left="360" w:hanging="540"/>
        <w:jc w:val="both"/>
      </w:pPr>
      <w:r>
        <w:t>A</w:t>
      </w:r>
      <w:r w:rsidR="007F7275">
        <w:t xml:space="preserve"> risk that the project team identified is </w:t>
      </w:r>
      <w:r w:rsidR="009E1955">
        <w:t xml:space="preserve">if </w:t>
      </w:r>
      <w:r w:rsidR="007F7275">
        <w:t xml:space="preserve">the consultant does not conduct </w:t>
      </w:r>
      <w:r>
        <w:t>the evaluation in a satisfactory manner</w:t>
      </w:r>
      <w:r w:rsidR="007F7275">
        <w:t>. In order to address this risk, project team will request that the consultant deliver</w:t>
      </w:r>
      <w:r w:rsidR="009E1955">
        <w:t>s</w:t>
      </w:r>
      <w:r w:rsidR="007F7275">
        <w:t xml:space="preserve"> periodic report</w:t>
      </w:r>
      <w:r w:rsidR="009E1955">
        <w:t>s</w:t>
      </w:r>
      <w:r w:rsidR="007F7275">
        <w:t xml:space="preserve"> every 6 weeks which will also be shared with MOSF. </w:t>
      </w:r>
    </w:p>
    <w:p w:rsidR="009A3AAB" w:rsidRDefault="009A3AAB" w:rsidP="009A3AAB">
      <w:pPr>
        <w:pStyle w:val="ListParagraph"/>
        <w:spacing w:before="120" w:after="120"/>
        <w:ind w:left="360"/>
        <w:jc w:val="both"/>
      </w:pPr>
    </w:p>
    <w:p w:rsidR="009A3AAB" w:rsidRPr="009A3AAB" w:rsidRDefault="009A3AAB" w:rsidP="009A3AAB">
      <w:pPr>
        <w:pStyle w:val="ListParagraph"/>
        <w:numPr>
          <w:ilvl w:val="0"/>
          <w:numId w:val="5"/>
        </w:numPr>
        <w:spacing w:before="120" w:after="120"/>
        <w:jc w:val="center"/>
        <w:rPr>
          <w:b/>
        </w:rPr>
      </w:pPr>
      <w:r w:rsidRPr="009A3AAB">
        <w:rPr>
          <w:b/>
        </w:rPr>
        <w:t>Environmental and Social Classification</w:t>
      </w:r>
    </w:p>
    <w:p w:rsidR="009A3AAB" w:rsidRDefault="009A3AAB" w:rsidP="009A3AAB">
      <w:pPr>
        <w:pStyle w:val="ListParagraph"/>
        <w:numPr>
          <w:ilvl w:val="1"/>
          <w:numId w:val="5"/>
        </w:numPr>
        <w:spacing w:before="120" w:after="120"/>
        <w:ind w:left="360" w:hanging="540"/>
        <w:jc w:val="both"/>
      </w:pPr>
      <w:r>
        <w:t>As an evaluation TC, this project is not expected to generate negative environmental or social impact. During the process of selecting consultants, environmental and gender issues will be considered. According to the above classification and safeguards the operation has been classified as category “</w:t>
      </w:r>
      <w:hyperlink r:id="rId9" w:history="1">
        <w:r w:rsidRPr="009A3AAB">
          <w:rPr>
            <w:rStyle w:val="Hyperlink"/>
          </w:rPr>
          <w:t>C</w:t>
        </w:r>
      </w:hyperlink>
      <w:r>
        <w:t xml:space="preserve">”. </w:t>
      </w:r>
    </w:p>
    <w:p w:rsidR="0059232A" w:rsidRPr="0059232A" w:rsidRDefault="0059232A" w:rsidP="0059232A">
      <w:pPr>
        <w:pStyle w:val="ListParagraph"/>
        <w:spacing w:before="120" w:after="120"/>
        <w:ind w:left="360"/>
        <w:jc w:val="both"/>
      </w:pPr>
    </w:p>
    <w:p w:rsidR="00C854FE" w:rsidRDefault="00C854FE" w:rsidP="00CF6C4D">
      <w:pPr>
        <w:spacing w:before="120" w:after="120"/>
      </w:pPr>
    </w:p>
    <w:sectPr w:rsidR="00C854FE" w:rsidSect="00CF6C4D">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04A" w:rsidRDefault="0050104A" w:rsidP="0095711B">
      <w:pPr>
        <w:spacing w:after="0" w:line="240" w:lineRule="auto"/>
      </w:pPr>
      <w:r>
        <w:separator/>
      </w:r>
    </w:p>
  </w:endnote>
  <w:endnote w:type="continuationSeparator" w:id="0">
    <w:p w:rsidR="0050104A" w:rsidRDefault="0050104A" w:rsidP="00957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3875126"/>
      <w:docPartObj>
        <w:docPartGallery w:val="Page Numbers (Bottom of Page)"/>
        <w:docPartUnique/>
      </w:docPartObj>
    </w:sdtPr>
    <w:sdtEndPr/>
    <w:sdtContent>
      <w:p w:rsidR="0095711B" w:rsidRDefault="00CF6C4D">
        <w:pPr>
          <w:pStyle w:val="Footer"/>
          <w:jc w:val="center"/>
        </w:pPr>
        <w:r>
          <w:fldChar w:fldCharType="begin"/>
        </w:r>
        <w:r>
          <w:instrText xml:space="preserve"> PAGE   \* MERGEFORMAT </w:instrText>
        </w:r>
        <w:r>
          <w:fldChar w:fldCharType="separate"/>
        </w:r>
        <w:r w:rsidR="006C710C">
          <w:rPr>
            <w:noProof/>
          </w:rPr>
          <w:t>1</w:t>
        </w:r>
        <w:r>
          <w:rPr>
            <w:noProof/>
          </w:rPr>
          <w:fldChar w:fldCharType="end"/>
        </w:r>
      </w:p>
    </w:sdtContent>
  </w:sdt>
  <w:p w:rsidR="0095711B" w:rsidRDefault="009571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04A" w:rsidRDefault="0050104A" w:rsidP="0095711B">
      <w:pPr>
        <w:spacing w:after="0" w:line="240" w:lineRule="auto"/>
      </w:pPr>
      <w:r>
        <w:separator/>
      </w:r>
    </w:p>
  </w:footnote>
  <w:footnote w:type="continuationSeparator" w:id="0">
    <w:p w:rsidR="0050104A" w:rsidRDefault="0050104A" w:rsidP="009571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640A9"/>
    <w:multiLevelType w:val="multilevel"/>
    <w:tmpl w:val="B5FC1B6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2">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
    <w:nsid w:val="2A357707"/>
    <w:multiLevelType w:val="hybridMultilevel"/>
    <w:tmpl w:val="F0F6CC06"/>
    <w:lvl w:ilvl="0" w:tplc="A9361E2A">
      <w:start w:val="1"/>
      <w:numFmt w:val="decimal"/>
      <w:lvlText w:val="%1."/>
      <w:lvlJc w:val="left"/>
      <w:pPr>
        <w:ind w:left="1080" w:hanging="72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85A11"/>
    <w:multiLevelType w:val="hybridMultilevel"/>
    <w:tmpl w:val="D4B0E836"/>
    <w:lvl w:ilvl="0" w:tplc="500E8AA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F94135"/>
    <w:multiLevelType w:val="hybridMultilevel"/>
    <w:tmpl w:val="A0FEA2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6B3379"/>
    <w:multiLevelType w:val="hybridMultilevel"/>
    <w:tmpl w:val="1F10FB7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3DA472B"/>
    <w:multiLevelType w:val="multilevel"/>
    <w:tmpl w:val="385ED50E"/>
    <w:lvl w:ilvl="0">
      <w:start w:val="1"/>
      <w:numFmt w:val="upperRoman"/>
      <w:lvlText w:val="%1."/>
      <w:lvlJc w:val="right"/>
      <w:pPr>
        <w:ind w:left="36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2880" w:hanging="108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3960" w:hanging="1440"/>
      </w:pPr>
      <w:rPr>
        <w:rFonts w:hint="default"/>
        <w:b w:val="0"/>
      </w:rPr>
    </w:lvl>
    <w:lvl w:ilvl="8">
      <w:start w:val="1"/>
      <w:numFmt w:val="decimal"/>
      <w:isLgl/>
      <w:lvlText w:val="%1.%2.%3.%4.%5.%6.%7.%8.%9"/>
      <w:lvlJc w:val="left"/>
      <w:pPr>
        <w:ind w:left="4680" w:hanging="1800"/>
      </w:pPr>
      <w:rPr>
        <w:rFonts w:hint="default"/>
        <w:b w:val="0"/>
      </w:rPr>
    </w:lvl>
  </w:abstractNum>
  <w:abstractNum w:abstractNumId="12">
    <w:nsid w:val="7B1E107F"/>
    <w:multiLevelType w:val="hybridMultilevel"/>
    <w:tmpl w:val="33688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9"/>
  </w:num>
  <w:num w:numId="4">
    <w:abstractNumId w:val="13"/>
  </w:num>
  <w:num w:numId="5">
    <w:abstractNumId w:val="11"/>
  </w:num>
  <w:num w:numId="6">
    <w:abstractNumId w:val="1"/>
  </w:num>
  <w:num w:numId="7">
    <w:abstractNumId w:val="2"/>
  </w:num>
  <w:num w:numId="8">
    <w:abstractNumId w:val="4"/>
  </w:num>
  <w:num w:numId="9">
    <w:abstractNumId w:val="7"/>
  </w:num>
  <w:num w:numId="10">
    <w:abstractNumId w:val="3"/>
  </w:num>
  <w:num w:numId="11">
    <w:abstractNumId w:val="5"/>
  </w:num>
  <w:num w:numId="12">
    <w:abstractNumId w:val="12"/>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NotTrackFormatting/>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11B"/>
    <w:rsid w:val="000269F9"/>
    <w:rsid w:val="00066EC6"/>
    <w:rsid w:val="0006708D"/>
    <w:rsid w:val="00067C26"/>
    <w:rsid w:val="000725A9"/>
    <w:rsid w:val="000846AD"/>
    <w:rsid w:val="00086CFF"/>
    <w:rsid w:val="000F39D2"/>
    <w:rsid w:val="000F7906"/>
    <w:rsid w:val="00102DAE"/>
    <w:rsid w:val="00124040"/>
    <w:rsid w:val="001316E2"/>
    <w:rsid w:val="0017216B"/>
    <w:rsid w:val="00186FB6"/>
    <w:rsid w:val="001A33CC"/>
    <w:rsid w:val="001C18FD"/>
    <w:rsid w:val="001E366A"/>
    <w:rsid w:val="001F41CA"/>
    <w:rsid w:val="001F65F7"/>
    <w:rsid w:val="001F7044"/>
    <w:rsid w:val="001F7559"/>
    <w:rsid w:val="00210317"/>
    <w:rsid w:val="00216050"/>
    <w:rsid w:val="00225B5A"/>
    <w:rsid w:val="00236249"/>
    <w:rsid w:val="00244A9D"/>
    <w:rsid w:val="0028127C"/>
    <w:rsid w:val="0028203D"/>
    <w:rsid w:val="002D0BCB"/>
    <w:rsid w:val="003243A9"/>
    <w:rsid w:val="00331713"/>
    <w:rsid w:val="00335B4C"/>
    <w:rsid w:val="00340BC1"/>
    <w:rsid w:val="00346E79"/>
    <w:rsid w:val="00354502"/>
    <w:rsid w:val="003622D9"/>
    <w:rsid w:val="0037186A"/>
    <w:rsid w:val="00372A02"/>
    <w:rsid w:val="00374BAC"/>
    <w:rsid w:val="003B3EC2"/>
    <w:rsid w:val="003D0FA8"/>
    <w:rsid w:val="003D2892"/>
    <w:rsid w:val="003D4F9C"/>
    <w:rsid w:val="003D609D"/>
    <w:rsid w:val="003D7FEF"/>
    <w:rsid w:val="003E2AF5"/>
    <w:rsid w:val="003E62BC"/>
    <w:rsid w:val="00406A7A"/>
    <w:rsid w:val="0040738A"/>
    <w:rsid w:val="00416432"/>
    <w:rsid w:val="00420A0E"/>
    <w:rsid w:val="00420BFB"/>
    <w:rsid w:val="004311D4"/>
    <w:rsid w:val="00456234"/>
    <w:rsid w:val="00462A5F"/>
    <w:rsid w:val="00482240"/>
    <w:rsid w:val="00486B5B"/>
    <w:rsid w:val="004B3076"/>
    <w:rsid w:val="004C6E7E"/>
    <w:rsid w:val="004E57D8"/>
    <w:rsid w:val="004E746A"/>
    <w:rsid w:val="004F386F"/>
    <w:rsid w:val="0050104A"/>
    <w:rsid w:val="00520F58"/>
    <w:rsid w:val="00531E51"/>
    <w:rsid w:val="00532A23"/>
    <w:rsid w:val="005364CE"/>
    <w:rsid w:val="0058137A"/>
    <w:rsid w:val="00584597"/>
    <w:rsid w:val="0059232A"/>
    <w:rsid w:val="005A1056"/>
    <w:rsid w:val="005A3A6C"/>
    <w:rsid w:val="005B7C2B"/>
    <w:rsid w:val="005D21B2"/>
    <w:rsid w:val="005D5D18"/>
    <w:rsid w:val="006003DD"/>
    <w:rsid w:val="00605964"/>
    <w:rsid w:val="006150D2"/>
    <w:rsid w:val="0061621D"/>
    <w:rsid w:val="00616C85"/>
    <w:rsid w:val="006240CA"/>
    <w:rsid w:val="006247F9"/>
    <w:rsid w:val="00625089"/>
    <w:rsid w:val="00641ED4"/>
    <w:rsid w:val="00675E7A"/>
    <w:rsid w:val="00682716"/>
    <w:rsid w:val="00685144"/>
    <w:rsid w:val="00696B31"/>
    <w:rsid w:val="006C710C"/>
    <w:rsid w:val="00702A56"/>
    <w:rsid w:val="0072516C"/>
    <w:rsid w:val="00746260"/>
    <w:rsid w:val="007727F8"/>
    <w:rsid w:val="007A7496"/>
    <w:rsid w:val="007B6B61"/>
    <w:rsid w:val="007D694B"/>
    <w:rsid w:val="007E368A"/>
    <w:rsid w:val="007F117A"/>
    <w:rsid w:val="007F6EF0"/>
    <w:rsid w:val="007F7275"/>
    <w:rsid w:val="00801037"/>
    <w:rsid w:val="00801D9C"/>
    <w:rsid w:val="008052A0"/>
    <w:rsid w:val="00807C07"/>
    <w:rsid w:val="00815100"/>
    <w:rsid w:val="008234DF"/>
    <w:rsid w:val="0085224C"/>
    <w:rsid w:val="00865A6F"/>
    <w:rsid w:val="00870323"/>
    <w:rsid w:val="008813B9"/>
    <w:rsid w:val="008902BA"/>
    <w:rsid w:val="00892B3D"/>
    <w:rsid w:val="008F31FB"/>
    <w:rsid w:val="0091119E"/>
    <w:rsid w:val="00933A84"/>
    <w:rsid w:val="0095122E"/>
    <w:rsid w:val="0095711B"/>
    <w:rsid w:val="00967F24"/>
    <w:rsid w:val="00981E4B"/>
    <w:rsid w:val="0098703B"/>
    <w:rsid w:val="009A3AAB"/>
    <w:rsid w:val="009B30F5"/>
    <w:rsid w:val="009E1955"/>
    <w:rsid w:val="009F3492"/>
    <w:rsid w:val="00A10CD5"/>
    <w:rsid w:val="00A12C27"/>
    <w:rsid w:val="00A13EE1"/>
    <w:rsid w:val="00A20379"/>
    <w:rsid w:val="00A2474F"/>
    <w:rsid w:val="00A31212"/>
    <w:rsid w:val="00A368DF"/>
    <w:rsid w:val="00A37C9C"/>
    <w:rsid w:val="00A57185"/>
    <w:rsid w:val="00A77B69"/>
    <w:rsid w:val="00A86AD1"/>
    <w:rsid w:val="00A876E7"/>
    <w:rsid w:val="00AD3653"/>
    <w:rsid w:val="00AD40F1"/>
    <w:rsid w:val="00AD79D9"/>
    <w:rsid w:val="00AE1792"/>
    <w:rsid w:val="00AF2F55"/>
    <w:rsid w:val="00AF3439"/>
    <w:rsid w:val="00B13125"/>
    <w:rsid w:val="00B307EC"/>
    <w:rsid w:val="00B347ED"/>
    <w:rsid w:val="00B8359F"/>
    <w:rsid w:val="00B94B8A"/>
    <w:rsid w:val="00BB0F9F"/>
    <w:rsid w:val="00BB2778"/>
    <w:rsid w:val="00BB612A"/>
    <w:rsid w:val="00BC01D8"/>
    <w:rsid w:val="00C43E24"/>
    <w:rsid w:val="00C457AE"/>
    <w:rsid w:val="00C56202"/>
    <w:rsid w:val="00C5730B"/>
    <w:rsid w:val="00C737E4"/>
    <w:rsid w:val="00C73852"/>
    <w:rsid w:val="00C83F0E"/>
    <w:rsid w:val="00C854FE"/>
    <w:rsid w:val="00CA0A96"/>
    <w:rsid w:val="00CA272D"/>
    <w:rsid w:val="00CD109E"/>
    <w:rsid w:val="00CE1D2B"/>
    <w:rsid w:val="00CF6C4D"/>
    <w:rsid w:val="00D2491C"/>
    <w:rsid w:val="00D327DC"/>
    <w:rsid w:val="00D36DEC"/>
    <w:rsid w:val="00D620AF"/>
    <w:rsid w:val="00D800CE"/>
    <w:rsid w:val="00D81922"/>
    <w:rsid w:val="00D95606"/>
    <w:rsid w:val="00DA4475"/>
    <w:rsid w:val="00DB5AEB"/>
    <w:rsid w:val="00DC1E68"/>
    <w:rsid w:val="00DF3C6E"/>
    <w:rsid w:val="00DF475D"/>
    <w:rsid w:val="00E3404C"/>
    <w:rsid w:val="00E44DC0"/>
    <w:rsid w:val="00E5259A"/>
    <w:rsid w:val="00E550D3"/>
    <w:rsid w:val="00E57D1D"/>
    <w:rsid w:val="00E65098"/>
    <w:rsid w:val="00E6675A"/>
    <w:rsid w:val="00E81EDB"/>
    <w:rsid w:val="00E878F3"/>
    <w:rsid w:val="00EA3919"/>
    <w:rsid w:val="00EB435F"/>
    <w:rsid w:val="00ED4EB4"/>
    <w:rsid w:val="00ED70D1"/>
    <w:rsid w:val="00EF41CE"/>
    <w:rsid w:val="00F2521F"/>
    <w:rsid w:val="00F41DD5"/>
    <w:rsid w:val="00F455F8"/>
    <w:rsid w:val="00F641F1"/>
    <w:rsid w:val="00F65529"/>
    <w:rsid w:val="00FC63D2"/>
    <w:rsid w:val="00FD0FA3"/>
    <w:rsid w:val="00FE1499"/>
    <w:rsid w:val="00FF25E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11B"/>
    <w:pPr>
      <w:ind w:left="720"/>
      <w:contextualSpacing/>
    </w:pPr>
  </w:style>
  <w:style w:type="paragraph" w:styleId="Header">
    <w:name w:val="header"/>
    <w:basedOn w:val="Normal"/>
    <w:link w:val="HeaderChar"/>
    <w:uiPriority w:val="99"/>
    <w:semiHidden/>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682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F41DD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41DD5"/>
    <w:rPr>
      <w:sz w:val="20"/>
      <w:szCs w:val="20"/>
    </w:rPr>
  </w:style>
  <w:style w:type="character" w:styleId="EndnoteReference">
    <w:name w:val="endnote reference"/>
    <w:basedOn w:val="DefaultParagraphFont"/>
    <w:uiPriority w:val="99"/>
    <w:semiHidden/>
    <w:unhideWhenUsed/>
    <w:rsid w:val="00F41DD5"/>
    <w:rPr>
      <w:vertAlign w:val="superscript"/>
    </w:rPr>
  </w:style>
  <w:style w:type="paragraph" w:styleId="FootnoteText">
    <w:name w:val="footnote text"/>
    <w:basedOn w:val="Normal"/>
    <w:link w:val="FootnoteTextChar"/>
    <w:uiPriority w:val="99"/>
    <w:semiHidden/>
    <w:unhideWhenUsed/>
    <w:rsid w:val="00C854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54FE"/>
    <w:rPr>
      <w:sz w:val="20"/>
      <w:szCs w:val="20"/>
    </w:rPr>
  </w:style>
  <w:style w:type="character" w:styleId="FootnoteReference">
    <w:name w:val="footnote reference"/>
    <w:basedOn w:val="DefaultParagraphFont"/>
    <w:uiPriority w:val="99"/>
    <w:semiHidden/>
    <w:unhideWhenUsed/>
    <w:rsid w:val="00C854FE"/>
    <w:rPr>
      <w:vertAlign w:val="superscript"/>
    </w:rPr>
  </w:style>
  <w:style w:type="character" w:styleId="Hyperlink">
    <w:name w:val="Hyperlink"/>
    <w:basedOn w:val="DefaultParagraphFont"/>
    <w:uiPriority w:val="99"/>
    <w:unhideWhenUsed/>
    <w:rsid w:val="009A3AA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11B"/>
    <w:pPr>
      <w:ind w:left="720"/>
      <w:contextualSpacing/>
    </w:pPr>
  </w:style>
  <w:style w:type="paragraph" w:styleId="Header">
    <w:name w:val="header"/>
    <w:basedOn w:val="Normal"/>
    <w:link w:val="HeaderChar"/>
    <w:uiPriority w:val="99"/>
    <w:semiHidden/>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682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F41DD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41DD5"/>
    <w:rPr>
      <w:sz w:val="20"/>
      <w:szCs w:val="20"/>
    </w:rPr>
  </w:style>
  <w:style w:type="character" w:styleId="EndnoteReference">
    <w:name w:val="endnote reference"/>
    <w:basedOn w:val="DefaultParagraphFont"/>
    <w:uiPriority w:val="99"/>
    <w:semiHidden/>
    <w:unhideWhenUsed/>
    <w:rsid w:val="00F41DD5"/>
    <w:rPr>
      <w:vertAlign w:val="superscript"/>
    </w:rPr>
  </w:style>
  <w:style w:type="paragraph" w:styleId="FootnoteText">
    <w:name w:val="footnote text"/>
    <w:basedOn w:val="Normal"/>
    <w:link w:val="FootnoteTextChar"/>
    <w:uiPriority w:val="99"/>
    <w:semiHidden/>
    <w:unhideWhenUsed/>
    <w:rsid w:val="00C854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54FE"/>
    <w:rPr>
      <w:sz w:val="20"/>
      <w:szCs w:val="20"/>
    </w:rPr>
  </w:style>
  <w:style w:type="character" w:styleId="FootnoteReference">
    <w:name w:val="footnote reference"/>
    <w:basedOn w:val="DefaultParagraphFont"/>
    <w:uiPriority w:val="99"/>
    <w:semiHidden/>
    <w:unhideWhenUsed/>
    <w:rsid w:val="00C854FE"/>
    <w:rPr>
      <w:vertAlign w:val="superscript"/>
    </w:rPr>
  </w:style>
  <w:style w:type="character" w:styleId="Hyperlink">
    <w:name w:val="Hyperlink"/>
    <w:basedOn w:val="DefaultParagraphFont"/>
    <w:uiPriority w:val="99"/>
    <w:unhideWhenUsed/>
    <w:rsid w:val="009A3A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pcdocs://IDBDOCS/39689926/R"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6164D6155DF724B84152644D2B0771F" ma:contentTypeVersion="0" ma:contentTypeDescription="A content type to manage public (operations) IDB documents" ma:contentTypeScope="" ma:versionID="bd50e930e5c724b5e5ed54b977cdf7ea">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39682956</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ORP/GCM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Kim, Su Hyun</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RG-T2669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 TC Abstract&lt;/USER_STAGE&gt;&lt;PD_OBJ_TYPE&gt;0&lt;/PD_OBJ_TYPE&gt;&lt;MAKERECORD&gt;Y&lt;/MAKERECORD&gt;&lt;/Data&gt;</Migration_x0020_Info>
    <Operation_x0020_Type xmlns="9c571b2f-e523-4ab2-ba2e-09e151a03ef4" xsi:nil="true"/>
    <Document_x0020_Language_x0020_IDB xmlns="9c571b2f-e523-4ab2-ba2e-09e151a03ef4">English</Document_x0020_Language_x0020_IDB>
    <Identifier xmlns="9c571b2f-e523-4ab2-ba2e-09e151a03ef4"> </Identifier>
    <Disclosure_x0020_Activity xmlns="9c571b2f-e523-4ab2-ba2e-09e151a03ef4"> TC Abstract</Disclosure_x0020_Activity>
    <Webtopic xmlns="9c571b2f-e523-4ab2-ba2e-09e151a03ef4">RM-PUB</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3465B984-ECD4-49C6-9519-337E975A0AE9}"/>
</file>

<file path=customXml/itemProps2.xml><?xml version="1.0" encoding="utf-8"?>
<ds:datastoreItem xmlns:ds="http://schemas.openxmlformats.org/officeDocument/2006/customXml" ds:itemID="{4F765C22-8E4F-44DB-8F55-B534AF257A1F}"/>
</file>

<file path=customXml/itemProps3.xml><?xml version="1.0" encoding="utf-8"?>
<ds:datastoreItem xmlns:ds="http://schemas.openxmlformats.org/officeDocument/2006/customXml" ds:itemID="{728BA676-9E36-463A-AAB2-A2AB4E3D3BC4}"/>
</file>

<file path=customXml/itemProps4.xml><?xml version="1.0" encoding="utf-8"?>
<ds:datastoreItem xmlns:ds="http://schemas.openxmlformats.org/officeDocument/2006/customXml" ds:itemID="{5FA05ACD-2C25-4C14-988A-2811670CFB4F}"/>
</file>

<file path=customXml/itemProps5.xml><?xml version="1.0" encoding="utf-8"?>
<ds:datastoreItem xmlns:ds="http://schemas.openxmlformats.org/officeDocument/2006/customXml" ds:itemID="{A2382CA5-697B-4861-B9C0-C1F2F9F8F7A9}"/>
</file>

<file path=customXml/itemProps6.xml><?xml version="1.0" encoding="utf-8"?>
<ds:datastoreItem xmlns:ds="http://schemas.openxmlformats.org/officeDocument/2006/customXml" ds:itemID="{990C6907-4888-464F-B62A-76C92E5327A5}"/>
</file>

<file path=docProps/app.xml><?xml version="1.0" encoding="utf-8"?>
<Properties xmlns="http://schemas.openxmlformats.org/officeDocument/2006/extended-properties" xmlns:vt="http://schemas.openxmlformats.org/officeDocument/2006/docPropsVTypes">
  <Template>Normal.dotm</Template>
  <TotalTime>1526</TotalTime>
  <Pages>4</Pages>
  <Words>1418</Words>
  <Characters>8089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RG-T2669-Korean Fund Evaluation-TC Abstract</dc:title>
  <dc:creator>Yolanda Strachan</dc:creator>
  <cp:lastModifiedBy>GCM</cp:lastModifiedBy>
  <cp:revision>91</cp:revision>
  <cp:lastPrinted>2015-05-29T15:33:00Z</cp:lastPrinted>
  <dcterms:created xsi:type="dcterms:W3CDTF">2015-05-07T18:47:00Z</dcterms:created>
  <dcterms:modified xsi:type="dcterms:W3CDTF">2015-06-22T15:12:00Z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0x01010046CF21643EE8D14686A648AA6DAD089200D6164D6155DF724B84152644D2B0771F</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