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9B94F" w14:textId="77777777" w:rsidR="004213FF" w:rsidRPr="00503A8E" w:rsidRDefault="004213FF" w:rsidP="004213FF">
      <w:pPr>
        <w:pStyle w:val="Title"/>
        <w:jc w:val="center"/>
        <w:rPr>
          <w:smallCaps/>
          <w:sz w:val="22"/>
          <w:szCs w:val="22"/>
          <w:lang w:val="es-ES_tradnl"/>
        </w:rPr>
      </w:pPr>
      <w:bookmarkStart w:id="0" w:name="OLE_LINK1"/>
      <w:bookmarkStart w:id="1" w:name="_GoBack"/>
      <w:bookmarkEnd w:id="1"/>
      <w:r w:rsidRPr="00503A8E">
        <w:rPr>
          <w:smallCaps/>
          <w:sz w:val="22"/>
          <w:szCs w:val="22"/>
          <w:lang w:val="es-ES_tradnl"/>
        </w:rPr>
        <w:t>Documento del Banco Interamericano de Desarrollo</w:t>
      </w:r>
    </w:p>
    <w:p w14:paraId="7356E9F5" w14:textId="77777777" w:rsidR="004213FF" w:rsidRPr="00503A8E" w:rsidRDefault="004213FF" w:rsidP="004213FF">
      <w:pPr>
        <w:pStyle w:val="ColorfulList-Accent11"/>
        <w:ind w:left="1080"/>
        <w:jc w:val="center"/>
        <w:rPr>
          <w:b/>
          <w:sz w:val="22"/>
          <w:szCs w:val="22"/>
          <w:lang w:val="es-ES_tradnl"/>
        </w:rPr>
      </w:pPr>
    </w:p>
    <w:p w14:paraId="685A492C" w14:textId="77777777" w:rsidR="004213FF" w:rsidRPr="00503A8E" w:rsidRDefault="004213FF" w:rsidP="004213FF">
      <w:pPr>
        <w:pStyle w:val="ColorfulList-Accent11"/>
        <w:ind w:left="1080"/>
        <w:jc w:val="center"/>
        <w:rPr>
          <w:b/>
          <w:sz w:val="22"/>
          <w:szCs w:val="22"/>
          <w:lang w:val="es-ES_tradnl"/>
        </w:rPr>
      </w:pPr>
    </w:p>
    <w:p w14:paraId="6AB60FD9" w14:textId="77777777" w:rsidR="004213FF" w:rsidRPr="00503A8E" w:rsidRDefault="004213FF" w:rsidP="004213FF">
      <w:pPr>
        <w:pStyle w:val="ColorfulList-Accent11"/>
        <w:ind w:left="1080"/>
        <w:jc w:val="center"/>
        <w:rPr>
          <w:b/>
          <w:sz w:val="22"/>
          <w:szCs w:val="22"/>
          <w:lang w:val="es-ES_tradnl"/>
        </w:rPr>
      </w:pPr>
    </w:p>
    <w:p w14:paraId="658AE321" w14:textId="77777777" w:rsidR="004213FF" w:rsidRPr="00503A8E" w:rsidRDefault="004213FF" w:rsidP="004213FF">
      <w:pPr>
        <w:pStyle w:val="ColorfulList-Accent11"/>
        <w:ind w:left="1080"/>
        <w:jc w:val="center"/>
        <w:rPr>
          <w:b/>
          <w:sz w:val="22"/>
          <w:szCs w:val="22"/>
          <w:lang w:val="es-ES_tradnl"/>
        </w:rPr>
      </w:pPr>
    </w:p>
    <w:p w14:paraId="1C384707" w14:textId="77777777" w:rsidR="004213FF" w:rsidRPr="00503A8E" w:rsidRDefault="004213FF" w:rsidP="004213FF">
      <w:pPr>
        <w:tabs>
          <w:tab w:val="left" w:pos="1440"/>
          <w:tab w:val="left" w:pos="3060"/>
        </w:tabs>
        <w:jc w:val="center"/>
        <w:rPr>
          <w:b/>
          <w:smallCaps/>
          <w:sz w:val="22"/>
          <w:szCs w:val="22"/>
          <w:lang w:val="es-ES_tradnl"/>
        </w:rPr>
      </w:pPr>
    </w:p>
    <w:p w14:paraId="36098972" w14:textId="77777777" w:rsidR="004213FF" w:rsidRPr="00503A8E" w:rsidRDefault="004213FF" w:rsidP="004213FF">
      <w:pPr>
        <w:tabs>
          <w:tab w:val="left" w:pos="1440"/>
          <w:tab w:val="left" w:pos="3060"/>
        </w:tabs>
        <w:jc w:val="center"/>
        <w:rPr>
          <w:b/>
          <w:smallCaps/>
          <w:sz w:val="22"/>
          <w:szCs w:val="22"/>
          <w:lang w:val="es-ES_tradnl"/>
        </w:rPr>
      </w:pPr>
    </w:p>
    <w:p w14:paraId="26EAB335" w14:textId="77777777" w:rsidR="004213FF" w:rsidRPr="00503A8E" w:rsidRDefault="004213FF" w:rsidP="004213FF">
      <w:pPr>
        <w:tabs>
          <w:tab w:val="left" w:pos="1440"/>
          <w:tab w:val="left" w:pos="3060"/>
        </w:tabs>
        <w:jc w:val="center"/>
        <w:rPr>
          <w:b/>
          <w:smallCaps/>
          <w:sz w:val="22"/>
          <w:szCs w:val="22"/>
          <w:lang w:val="es-ES_tradnl"/>
        </w:rPr>
      </w:pPr>
    </w:p>
    <w:p w14:paraId="14E9B519" w14:textId="77777777" w:rsidR="004213FF" w:rsidRPr="00503A8E" w:rsidRDefault="004213FF" w:rsidP="004213FF">
      <w:pPr>
        <w:tabs>
          <w:tab w:val="left" w:pos="1440"/>
          <w:tab w:val="left" w:pos="3060"/>
        </w:tabs>
        <w:jc w:val="center"/>
        <w:rPr>
          <w:b/>
          <w:smallCaps/>
          <w:sz w:val="22"/>
          <w:szCs w:val="22"/>
          <w:lang w:val="es-ES_tradnl"/>
        </w:rPr>
      </w:pPr>
    </w:p>
    <w:p w14:paraId="64D54670" w14:textId="77777777" w:rsidR="004213FF" w:rsidRPr="00503A8E" w:rsidRDefault="004213FF" w:rsidP="004213FF">
      <w:pPr>
        <w:tabs>
          <w:tab w:val="left" w:pos="1440"/>
          <w:tab w:val="left" w:pos="3060"/>
        </w:tabs>
        <w:jc w:val="center"/>
        <w:rPr>
          <w:b/>
          <w:smallCaps/>
          <w:sz w:val="22"/>
          <w:szCs w:val="22"/>
          <w:lang w:val="es-ES_tradnl"/>
        </w:rPr>
      </w:pPr>
      <w:r w:rsidRPr="00503A8E">
        <w:rPr>
          <w:b/>
          <w:smallCaps/>
          <w:sz w:val="22"/>
          <w:szCs w:val="22"/>
          <w:lang w:val="es-ES_tradnl"/>
        </w:rPr>
        <w:t>República Dominicana</w:t>
      </w:r>
    </w:p>
    <w:p w14:paraId="64FC2607" w14:textId="77777777" w:rsidR="004213FF" w:rsidRPr="00503A8E" w:rsidRDefault="004213FF" w:rsidP="004213FF">
      <w:pPr>
        <w:tabs>
          <w:tab w:val="left" w:pos="1440"/>
          <w:tab w:val="left" w:pos="3060"/>
        </w:tabs>
        <w:jc w:val="center"/>
        <w:rPr>
          <w:b/>
          <w:smallCaps/>
          <w:sz w:val="22"/>
          <w:szCs w:val="22"/>
          <w:highlight w:val="lightGray"/>
          <w:lang w:val="es-ES_tradnl"/>
        </w:rPr>
      </w:pPr>
    </w:p>
    <w:p w14:paraId="384BD799" w14:textId="77777777" w:rsidR="004213FF" w:rsidRPr="00503A8E" w:rsidRDefault="004213FF" w:rsidP="004213FF">
      <w:pPr>
        <w:tabs>
          <w:tab w:val="left" w:pos="1440"/>
          <w:tab w:val="left" w:pos="3060"/>
        </w:tabs>
        <w:jc w:val="center"/>
        <w:rPr>
          <w:b/>
          <w:smallCaps/>
          <w:sz w:val="28"/>
          <w:szCs w:val="22"/>
          <w:highlight w:val="lightGray"/>
          <w:lang w:val="es-ES_tradnl"/>
        </w:rPr>
      </w:pPr>
    </w:p>
    <w:p w14:paraId="509AE87D" w14:textId="77777777" w:rsidR="004213FF" w:rsidRPr="00503A8E" w:rsidRDefault="004213FF" w:rsidP="004213FF">
      <w:pPr>
        <w:tabs>
          <w:tab w:val="left" w:pos="1440"/>
          <w:tab w:val="left" w:pos="3060"/>
        </w:tabs>
        <w:jc w:val="center"/>
        <w:rPr>
          <w:b/>
          <w:smallCaps/>
          <w:sz w:val="28"/>
          <w:szCs w:val="22"/>
          <w:highlight w:val="lightGray"/>
          <w:lang w:val="es-ES_tradnl"/>
        </w:rPr>
      </w:pPr>
    </w:p>
    <w:p w14:paraId="61D5F06E" w14:textId="3311BB14" w:rsidR="004213FF" w:rsidRPr="00503A8E" w:rsidRDefault="004213FF" w:rsidP="004213FF">
      <w:pPr>
        <w:tabs>
          <w:tab w:val="left" w:pos="1440"/>
          <w:tab w:val="left" w:pos="3060"/>
        </w:tabs>
        <w:jc w:val="center"/>
        <w:rPr>
          <w:b/>
          <w:smallCaps/>
          <w:sz w:val="28"/>
          <w:szCs w:val="22"/>
          <w:highlight w:val="lightGray"/>
          <w:lang w:val="es-ES_tradnl"/>
        </w:rPr>
      </w:pPr>
      <w:r w:rsidRPr="00503A8E">
        <w:rPr>
          <w:b/>
          <w:smallCaps/>
          <w:sz w:val="28"/>
          <w:szCs w:val="22"/>
          <w:lang w:val="es-ES_tradnl"/>
        </w:rPr>
        <w:t>Programa de Mejora de la Productividad y la Formalización en República Dominicana</w:t>
      </w:r>
      <w:r w:rsidR="00DD4A5B" w:rsidRPr="00503A8E">
        <w:rPr>
          <w:b/>
          <w:smallCaps/>
          <w:sz w:val="28"/>
          <w:szCs w:val="22"/>
          <w:lang w:val="es-ES_tradnl"/>
        </w:rPr>
        <w:t xml:space="preserve"> II</w:t>
      </w:r>
    </w:p>
    <w:p w14:paraId="677590D0" w14:textId="77777777" w:rsidR="004213FF" w:rsidRPr="00503A8E" w:rsidRDefault="004213FF" w:rsidP="004213FF">
      <w:pPr>
        <w:tabs>
          <w:tab w:val="left" w:pos="1440"/>
          <w:tab w:val="left" w:pos="3060"/>
        </w:tabs>
        <w:jc w:val="center"/>
        <w:rPr>
          <w:b/>
          <w:smallCaps/>
          <w:sz w:val="28"/>
          <w:szCs w:val="22"/>
          <w:lang w:val="es-ES_tradnl"/>
        </w:rPr>
      </w:pPr>
    </w:p>
    <w:p w14:paraId="24416823" w14:textId="77777777" w:rsidR="004213FF" w:rsidRPr="00503A8E" w:rsidRDefault="00C521D6" w:rsidP="004213FF">
      <w:pPr>
        <w:tabs>
          <w:tab w:val="left" w:pos="1440"/>
          <w:tab w:val="left" w:pos="3060"/>
        </w:tabs>
        <w:jc w:val="center"/>
        <w:rPr>
          <w:b/>
          <w:smallCaps/>
          <w:szCs w:val="22"/>
          <w:lang w:val="es-ES_tradnl"/>
        </w:rPr>
      </w:pPr>
      <w:r w:rsidRPr="00503A8E">
        <w:rPr>
          <w:b/>
          <w:smallCaps/>
          <w:szCs w:val="22"/>
          <w:lang w:val="es-ES_tradnl"/>
        </w:rPr>
        <w:t>(DR-L1121</w:t>
      </w:r>
      <w:r w:rsidR="004213FF" w:rsidRPr="00503A8E">
        <w:rPr>
          <w:b/>
          <w:smallCaps/>
          <w:szCs w:val="22"/>
          <w:lang w:val="es-ES_tradnl"/>
        </w:rPr>
        <w:t>)</w:t>
      </w:r>
    </w:p>
    <w:p w14:paraId="7C44C1C1" w14:textId="77777777" w:rsidR="004213FF" w:rsidRPr="00503A8E" w:rsidRDefault="004213FF" w:rsidP="004213FF">
      <w:pPr>
        <w:pStyle w:val="Newpage"/>
        <w:rPr>
          <w:rFonts w:ascii="Arial" w:hAnsi="Arial"/>
          <w:b w:val="0"/>
          <w:caps/>
          <w:smallCaps w:val="0"/>
          <w:sz w:val="22"/>
          <w:szCs w:val="22"/>
        </w:rPr>
      </w:pPr>
    </w:p>
    <w:p w14:paraId="74CA0E68" w14:textId="77777777" w:rsidR="004213FF" w:rsidRPr="00503A8E" w:rsidRDefault="004213FF" w:rsidP="004213FF">
      <w:pPr>
        <w:pStyle w:val="Newpage"/>
        <w:rPr>
          <w:rFonts w:ascii="Arial" w:hAnsi="Arial"/>
          <w:b w:val="0"/>
          <w:caps/>
          <w:smallCaps w:val="0"/>
          <w:sz w:val="22"/>
          <w:szCs w:val="22"/>
        </w:rPr>
      </w:pPr>
    </w:p>
    <w:p w14:paraId="0697B162" w14:textId="77777777" w:rsidR="004213FF" w:rsidRPr="00503A8E" w:rsidRDefault="004213FF" w:rsidP="004213FF">
      <w:pPr>
        <w:pStyle w:val="Newpage"/>
        <w:rPr>
          <w:rFonts w:ascii="Arial" w:hAnsi="Arial"/>
          <w:b w:val="0"/>
          <w:caps/>
          <w:smallCaps w:val="0"/>
          <w:sz w:val="22"/>
          <w:szCs w:val="22"/>
        </w:rPr>
      </w:pPr>
    </w:p>
    <w:p w14:paraId="047CAAFC" w14:textId="77777777" w:rsidR="004213FF" w:rsidRPr="00503A8E" w:rsidRDefault="004213FF" w:rsidP="004213FF">
      <w:pPr>
        <w:tabs>
          <w:tab w:val="left" w:pos="1440"/>
          <w:tab w:val="left" w:pos="3060"/>
        </w:tabs>
        <w:jc w:val="center"/>
        <w:rPr>
          <w:smallCaps/>
          <w:sz w:val="22"/>
          <w:szCs w:val="22"/>
          <w:lang w:val="es-ES_tradnl"/>
        </w:rPr>
      </w:pPr>
    </w:p>
    <w:p w14:paraId="3DB849BB" w14:textId="38193ED4" w:rsidR="004213FF" w:rsidRPr="00503A8E" w:rsidRDefault="00DD4A5B" w:rsidP="004213FF">
      <w:pPr>
        <w:tabs>
          <w:tab w:val="left" w:pos="1440"/>
          <w:tab w:val="left" w:pos="3060"/>
        </w:tabs>
        <w:jc w:val="center"/>
        <w:outlineLvl w:val="0"/>
        <w:rPr>
          <w:b/>
          <w:smallCaps/>
          <w:sz w:val="22"/>
          <w:szCs w:val="22"/>
          <w:lang w:val="es-ES_tradnl"/>
        </w:rPr>
      </w:pPr>
      <w:r w:rsidRPr="00503A8E">
        <w:rPr>
          <w:b/>
          <w:smallCaps/>
          <w:sz w:val="22"/>
          <w:szCs w:val="22"/>
          <w:lang w:val="es-ES_tradnl"/>
        </w:rPr>
        <w:t>Plan de Monitoreo</w:t>
      </w:r>
      <w:r w:rsidR="004213FF" w:rsidRPr="00503A8E">
        <w:rPr>
          <w:b/>
          <w:smallCaps/>
          <w:sz w:val="22"/>
          <w:szCs w:val="22"/>
          <w:lang w:val="es-ES_tradnl"/>
        </w:rPr>
        <w:t xml:space="preserve"> y Evaluación</w:t>
      </w:r>
    </w:p>
    <w:p w14:paraId="61F17003" w14:textId="77777777" w:rsidR="004213FF" w:rsidRPr="00503A8E" w:rsidRDefault="004213FF" w:rsidP="004213FF">
      <w:pPr>
        <w:tabs>
          <w:tab w:val="left" w:pos="1440"/>
          <w:tab w:val="left" w:pos="3060"/>
        </w:tabs>
        <w:jc w:val="center"/>
        <w:outlineLvl w:val="0"/>
        <w:rPr>
          <w:b/>
          <w:smallCaps/>
          <w:sz w:val="22"/>
          <w:szCs w:val="22"/>
          <w:lang w:val="es-ES_tradnl"/>
        </w:rPr>
      </w:pPr>
    </w:p>
    <w:p w14:paraId="0662FE35" w14:textId="77777777" w:rsidR="004213FF" w:rsidRPr="00503A8E" w:rsidRDefault="004213FF" w:rsidP="004213FF">
      <w:pPr>
        <w:tabs>
          <w:tab w:val="left" w:pos="1440"/>
          <w:tab w:val="left" w:pos="3060"/>
        </w:tabs>
        <w:jc w:val="center"/>
        <w:outlineLvl w:val="0"/>
        <w:rPr>
          <w:b/>
          <w:smallCaps/>
          <w:sz w:val="22"/>
          <w:szCs w:val="22"/>
          <w:lang w:val="es-ES_tradnl"/>
        </w:rPr>
      </w:pPr>
    </w:p>
    <w:p w14:paraId="1EBEE5F0" w14:textId="77777777" w:rsidR="004213FF" w:rsidRPr="00503A8E" w:rsidRDefault="004213FF" w:rsidP="004213FF">
      <w:pPr>
        <w:tabs>
          <w:tab w:val="left" w:pos="1440"/>
          <w:tab w:val="left" w:pos="3060"/>
        </w:tabs>
        <w:outlineLvl w:val="0"/>
        <w:rPr>
          <w:b/>
          <w:smallCaps/>
          <w:sz w:val="22"/>
          <w:szCs w:val="22"/>
          <w:lang w:val="es-ES_tradnl"/>
        </w:rPr>
      </w:pPr>
    </w:p>
    <w:p w14:paraId="1C87E1E3" w14:textId="77777777" w:rsidR="004213FF" w:rsidRPr="00503A8E" w:rsidRDefault="004213FF" w:rsidP="004213FF">
      <w:pPr>
        <w:tabs>
          <w:tab w:val="left" w:pos="1440"/>
          <w:tab w:val="left" w:pos="3060"/>
        </w:tabs>
        <w:outlineLvl w:val="0"/>
        <w:rPr>
          <w:b/>
          <w:smallCaps/>
          <w:sz w:val="22"/>
          <w:szCs w:val="22"/>
          <w:lang w:val="es-ES_tradnl"/>
        </w:rPr>
      </w:pPr>
    </w:p>
    <w:p w14:paraId="23F16FB3" w14:textId="77777777" w:rsidR="004213FF" w:rsidRPr="00503A8E" w:rsidRDefault="004213FF" w:rsidP="004213FF">
      <w:pPr>
        <w:tabs>
          <w:tab w:val="left" w:pos="1440"/>
          <w:tab w:val="left" w:pos="3060"/>
        </w:tabs>
        <w:outlineLvl w:val="0"/>
        <w:rPr>
          <w:b/>
          <w:smallCaps/>
          <w:sz w:val="22"/>
          <w:szCs w:val="22"/>
          <w:lang w:val="es-ES_tradnl"/>
        </w:rPr>
      </w:pPr>
    </w:p>
    <w:p w14:paraId="0056DC48" w14:textId="77777777" w:rsidR="004213FF" w:rsidRPr="00503A8E" w:rsidRDefault="004213FF" w:rsidP="004213FF">
      <w:pPr>
        <w:tabs>
          <w:tab w:val="left" w:pos="1440"/>
          <w:tab w:val="left" w:pos="3060"/>
        </w:tabs>
        <w:outlineLvl w:val="0"/>
        <w:rPr>
          <w:b/>
          <w:smallCaps/>
          <w:sz w:val="22"/>
          <w:szCs w:val="22"/>
          <w:lang w:val="es-ES_tradnl"/>
        </w:rPr>
      </w:pPr>
    </w:p>
    <w:p w14:paraId="1F4D56C1" w14:textId="77777777" w:rsidR="004213FF" w:rsidRPr="00503A8E" w:rsidRDefault="004213FF" w:rsidP="004213FF">
      <w:pPr>
        <w:tabs>
          <w:tab w:val="left" w:pos="1440"/>
          <w:tab w:val="left" w:pos="3060"/>
        </w:tabs>
        <w:outlineLvl w:val="0"/>
        <w:rPr>
          <w:b/>
          <w:smallCaps/>
          <w:sz w:val="22"/>
          <w:szCs w:val="22"/>
          <w:lang w:val="es-ES_tradnl"/>
        </w:rPr>
      </w:pPr>
    </w:p>
    <w:p w14:paraId="7505DE1D" w14:textId="77777777" w:rsidR="004213FF" w:rsidRPr="00503A8E" w:rsidRDefault="004213FF" w:rsidP="004213FF">
      <w:pPr>
        <w:tabs>
          <w:tab w:val="left" w:pos="1440"/>
          <w:tab w:val="left" w:pos="3060"/>
        </w:tabs>
        <w:outlineLvl w:val="0"/>
        <w:rPr>
          <w:b/>
          <w:smallCaps/>
          <w:sz w:val="22"/>
          <w:szCs w:val="22"/>
          <w:lang w:val="es-ES_tradnl"/>
        </w:rPr>
      </w:pPr>
    </w:p>
    <w:p w14:paraId="7D26E901" w14:textId="77777777" w:rsidR="004213FF" w:rsidRPr="00503A8E" w:rsidRDefault="004213FF" w:rsidP="004213FF">
      <w:pPr>
        <w:tabs>
          <w:tab w:val="left" w:pos="1440"/>
          <w:tab w:val="left" w:pos="3060"/>
        </w:tabs>
        <w:outlineLvl w:val="0"/>
        <w:rPr>
          <w:b/>
          <w:smallCaps/>
          <w:sz w:val="22"/>
          <w:szCs w:val="22"/>
          <w:lang w:val="es-ES_tradnl"/>
        </w:rPr>
      </w:pPr>
    </w:p>
    <w:p w14:paraId="58C5CFE9" w14:textId="77777777" w:rsidR="004213FF" w:rsidRPr="00503A8E" w:rsidRDefault="004213FF" w:rsidP="004213FF">
      <w:pPr>
        <w:tabs>
          <w:tab w:val="left" w:pos="1440"/>
          <w:tab w:val="left" w:pos="3060"/>
        </w:tabs>
        <w:outlineLvl w:val="0"/>
        <w:rPr>
          <w:b/>
          <w:smallCaps/>
          <w:sz w:val="22"/>
          <w:szCs w:val="22"/>
          <w:lang w:val="es-ES_tradnl"/>
        </w:rPr>
      </w:pPr>
    </w:p>
    <w:p w14:paraId="37C603EC" w14:textId="5D00CAF4" w:rsidR="004213FF" w:rsidRDefault="004213FF" w:rsidP="004213FF">
      <w:pPr>
        <w:tabs>
          <w:tab w:val="left" w:pos="1440"/>
          <w:tab w:val="left" w:pos="3060"/>
        </w:tabs>
        <w:outlineLvl w:val="0"/>
        <w:rPr>
          <w:b/>
          <w:smallCaps/>
          <w:sz w:val="22"/>
          <w:szCs w:val="22"/>
          <w:lang w:val="es-ES_tradnl"/>
        </w:rPr>
      </w:pPr>
    </w:p>
    <w:p w14:paraId="0276EB21" w14:textId="3659B740" w:rsidR="00503A8E" w:rsidRDefault="00503A8E" w:rsidP="004213FF">
      <w:pPr>
        <w:tabs>
          <w:tab w:val="left" w:pos="1440"/>
          <w:tab w:val="left" w:pos="3060"/>
        </w:tabs>
        <w:outlineLvl w:val="0"/>
        <w:rPr>
          <w:b/>
          <w:smallCaps/>
          <w:sz w:val="22"/>
          <w:szCs w:val="22"/>
          <w:lang w:val="es-ES_tradnl"/>
        </w:rPr>
      </w:pPr>
    </w:p>
    <w:p w14:paraId="2AD7EE7D" w14:textId="77777777" w:rsidR="00503A8E" w:rsidRPr="00503A8E" w:rsidRDefault="00503A8E" w:rsidP="004213FF">
      <w:pPr>
        <w:tabs>
          <w:tab w:val="left" w:pos="1440"/>
          <w:tab w:val="left" w:pos="3060"/>
        </w:tabs>
        <w:outlineLvl w:val="0"/>
        <w:rPr>
          <w:b/>
          <w:smallCaps/>
          <w:sz w:val="22"/>
          <w:szCs w:val="22"/>
          <w:lang w:val="es-ES_tradnl"/>
        </w:rPr>
      </w:pPr>
    </w:p>
    <w:p w14:paraId="42914C40" w14:textId="77777777" w:rsidR="004213FF" w:rsidRPr="00503A8E" w:rsidRDefault="004213FF" w:rsidP="004213FF">
      <w:pPr>
        <w:tabs>
          <w:tab w:val="left" w:pos="1440"/>
          <w:tab w:val="left" w:pos="3060"/>
        </w:tabs>
        <w:outlineLvl w:val="0"/>
        <w:rPr>
          <w:b/>
          <w:smallCaps/>
          <w:sz w:val="22"/>
          <w:szCs w:val="22"/>
          <w:lang w:val="es-ES_tradnl"/>
        </w:rPr>
      </w:pPr>
    </w:p>
    <w:p w14:paraId="5B271315" w14:textId="77777777" w:rsidR="004213FF" w:rsidRPr="00503A8E" w:rsidRDefault="004213FF" w:rsidP="004213FF">
      <w:pPr>
        <w:tabs>
          <w:tab w:val="left" w:pos="1440"/>
          <w:tab w:val="left" w:pos="3060"/>
        </w:tabs>
        <w:outlineLvl w:val="0"/>
        <w:rPr>
          <w:b/>
          <w:smallCaps/>
          <w:sz w:val="22"/>
          <w:szCs w:val="22"/>
          <w:lang w:val="es-ES_tradnl"/>
        </w:rPr>
      </w:pPr>
    </w:p>
    <w:p w14:paraId="0513F2AF" w14:textId="77777777" w:rsidR="004213FF" w:rsidRPr="00503A8E" w:rsidRDefault="004213FF" w:rsidP="004213FF">
      <w:pPr>
        <w:tabs>
          <w:tab w:val="left" w:pos="1440"/>
          <w:tab w:val="left" w:pos="3060"/>
        </w:tabs>
        <w:outlineLvl w:val="0"/>
        <w:rPr>
          <w:b/>
          <w:smallCaps/>
          <w:sz w:val="22"/>
          <w:szCs w:val="22"/>
          <w:lang w:val="es-ES_tradnl"/>
        </w:rPr>
      </w:pPr>
    </w:p>
    <w:p w14:paraId="05F88546" w14:textId="7BD5F3E6" w:rsidR="004213FF" w:rsidRPr="00503A8E" w:rsidRDefault="004213FF" w:rsidP="004213FF">
      <w:pPr>
        <w:pBdr>
          <w:top w:val="single" w:sz="4" w:space="10" w:color="auto"/>
          <w:left w:val="single" w:sz="4" w:space="4" w:color="auto"/>
          <w:bottom w:val="single" w:sz="4" w:space="1" w:color="auto"/>
          <w:right w:val="single" w:sz="4" w:space="4" w:color="auto"/>
        </w:pBdr>
        <w:tabs>
          <w:tab w:val="left" w:pos="1440"/>
          <w:tab w:val="left" w:pos="3060"/>
        </w:tabs>
        <w:outlineLvl w:val="0"/>
        <w:rPr>
          <w:sz w:val="18"/>
          <w:szCs w:val="22"/>
          <w:lang w:val="es-ES_tradnl"/>
        </w:rPr>
      </w:pPr>
      <w:r w:rsidRPr="00503A8E">
        <w:rPr>
          <w:sz w:val="18"/>
          <w:szCs w:val="22"/>
          <w:lang w:val="es-ES_tradnl"/>
        </w:rPr>
        <w:t xml:space="preserve">Este documento fue preparado por </w:t>
      </w:r>
      <w:r w:rsidR="00F95F2A" w:rsidRPr="00503A8E">
        <w:rPr>
          <w:sz w:val="18"/>
          <w:szCs w:val="22"/>
          <w:lang w:val="es-ES_tradnl"/>
        </w:rPr>
        <w:t>Alejandro Tamola (IFD/CMF) y actualizado por Michael Hennessey (CTI/CDR)</w:t>
      </w:r>
      <w:r w:rsidRPr="00503A8E">
        <w:rPr>
          <w:sz w:val="18"/>
          <w:szCs w:val="22"/>
          <w:lang w:val="es-ES_tradnl"/>
        </w:rPr>
        <w:t>.</w:t>
      </w:r>
    </w:p>
    <w:p w14:paraId="2A1D8CFF" w14:textId="77777777" w:rsidR="004213FF" w:rsidRPr="00503A8E" w:rsidRDefault="004213FF" w:rsidP="004213FF">
      <w:pPr>
        <w:pStyle w:val="ColorfulList-Accent11"/>
        <w:rPr>
          <w:b/>
          <w:sz w:val="22"/>
          <w:szCs w:val="22"/>
          <w:lang w:val="es-ES_tradnl"/>
        </w:rPr>
      </w:pPr>
    </w:p>
    <w:p w14:paraId="4AB6DFD0" w14:textId="77777777" w:rsidR="004213FF" w:rsidRPr="00503A8E" w:rsidRDefault="004213FF" w:rsidP="004213FF">
      <w:pPr>
        <w:pStyle w:val="ColorfulList-Accent11"/>
        <w:ind w:left="1080"/>
        <w:jc w:val="center"/>
        <w:rPr>
          <w:b/>
          <w:sz w:val="22"/>
          <w:szCs w:val="22"/>
          <w:lang w:val="es-ES_tradnl"/>
        </w:rPr>
        <w:sectPr w:rsidR="004213FF" w:rsidRPr="00503A8E" w:rsidSect="004213FF">
          <w:headerReference w:type="default" r:id="rId8"/>
          <w:pgSz w:w="12240" w:h="15840" w:code="1"/>
          <w:pgMar w:top="1440" w:right="1800" w:bottom="1440" w:left="1800" w:header="706" w:footer="706" w:gutter="0"/>
          <w:pgNumType w:start="1"/>
          <w:cols w:space="708"/>
          <w:titlePg/>
          <w:docGrid w:linePitch="360"/>
        </w:sectPr>
      </w:pPr>
    </w:p>
    <w:p w14:paraId="64B50BD9" w14:textId="77777777" w:rsidR="004213FF" w:rsidRPr="00503A8E" w:rsidRDefault="004213FF" w:rsidP="004213FF">
      <w:pPr>
        <w:pStyle w:val="Heading1"/>
        <w:keepLines w:val="0"/>
        <w:numPr>
          <w:ilvl w:val="0"/>
          <w:numId w:val="3"/>
        </w:numPr>
        <w:spacing w:before="240" w:after="240"/>
        <w:rPr>
          <w:rFonts w:eastAsia="Times New Roman"/>
          <w:bCs w:val="0"/>
          <w:color w:val="auto"/>
          <w:sz w:val="22"/>
          <w:szCs w:val="22"/>
        </w:rPr>
      </w:pPr>
      <w:bookmarkStart w:id="2" w:name="_Toc360529028"/>
      <w:r w:rsidRPr="00503A8E">
        <w:rPr>
          <w:rFonts w:eastAsia="Times New Roman"/>
          <w:bCs w:val="0"/>
          <w:color w:val="auto"/>
          <w:sz w:val="22"/>
          <w:szCs w:val="22"/>
        </w:rPr>
        <w:lastRenderedPageBreak/>
        <w:t>Introducción</w:t>
      </w:r>
      <w:bookmarkEnd w:id="2"/>
      <w:r w:rsidRPr="00503A8E">
        <w:rPr>
          <w:rFonts w:eastAsia="Times New Roman"/>
          <w:bCs w:val="0"/>
          <w:color w:val="auto"/>
          <w:sz w:val="22"/>
          <w:szCs w:val="22"/>
        </w:rPr>
        <w:t xml:space="preserve"> </w:t>
      </w:r>
    </w:p>
    <w:bookmarkEnd w:id="0"/>
    <w:p w14:paraId="10946325" w14:textId="6B5206AC" w:rsidR="004213FF" w:rsidRPr="00503A8E" w:rsidRDefault="00503A8E" w:rsidP="004213FF">
      <w:pPr>
        <w:pStyle w:val="Heading3"/>
        <w:numPr>
          <w:ilvl w:val="0"/>
          <w:numId w:val="0"/>
        </w:numPr>
        <w:rPr>
          <w:rFonts w:ascii="Arial" w:hAnsi="Arial" w:cs="Arial"/>
          <w:sz w:val="22"/>
          <w:szCs w:val="22"/>
        </w:rPr>
      </w:pPr>
      <w:r>
        <w:rPr>
          <w:rFonts w:ascii="Arial" w:hAnsi="Arial" w:cs="Arial"/>
          <w:sz w:val="22"/>
          <w:szCs w:val="22"/>
        </w:rPr>
        <w:t xml:space="preserve">            </w:t>
      </w:r>
      <w:r w:rsidR="004213FF" w:rsidRPr="00503A8E">
        <w:rPr>
          <w:rFonts w:ascii="Arial" w:hAnsi="Arial" w:cs="Arial"/>
          <w:sz w:val="22"/>
          <w:szCs w:val="22"/>
        </w:rPr>
        <w:t>Antecedentes y objetivos del programa</w:t>
      </w:r>
    </w:p>
    <w:p w14:paraId="27AC37B8" w14:textId="41AFAD1B" w:rsidR="004213FF" w:rsidRPr="00503A8E" w:rsidRDefault="00206E32" w:rsidP="004213FF">
      <w:pPr>
        <w:pStyle w:val="Paragraph"/>
        <w:numPr>
          <w:ilvl w:val="1"/>
          <w:numId w:val="6"/>
        </w:numPr>
        <w:tabs>
          <w:tab w:val="clear" w:pos="2448"/>
          <w:tab w:val="num" w:pos="720"/>
        </w:tabs>
        <w:ind w:left="720" w:hanging="720"/>
        <w:rPr>
          <w:rFonts w:ascii="Arial" w:hAnsi="Arial"/>
          <w:bCs/>
          <w:color w:val="000000"/>
          <w:sz w:val="22"/>
          <w:szCs w:val="22"/>
          <w:lang w:val="es-ES_tradnl"/>
        </w:rPr>
      </w:pPr>
      <w:r w:rsidRPr="00503A8E">
        <w:rPr>
          <w:rFonts w:ascii="Arial" w:hAnsi="Arial"/>
          <w:b/>
          <w:bCs/>
          <w:sz w:val="22"/>
          <w:szCs w:val="22"/>
          <w:lang w:val="es-ES_tradnl"/>
        </w:rPr>
        <w:t>Objetivos de programa.</w:t>
      </w:r>
      <w:r w:rsidRPr="00503A8E">
        <w:rPr>
          <w:rFonts w:ascii="Arial" w:hAnsi="Arial"/>
          <w:bCs/>
          <w:sz w:val="22"/>
          <w:szCs w:val="22"/>
          <w:lang w:val="es-ES_tradnl"/>
        </w:rPr>
        <w:t xml:space="preserve"> </w:t>
      </w:r>
      <w:r w:rsidRPr="00503A8E">
        <w:rPr>
          <w:rFonts w:ascii="Arial" w:hAnsi="Arial"/>
          <w:sz w:val="22"/>
          <w:szCs w:val="22"/>
        </w:rPr>
        <w:t xml:space="preserve">El programa tiene como objetivo general la mejora de la productividad agregada, que se logra a través de tres objetivos específicos: (i) fortalecimiento de la regulación financiera para la mejora de la productividad; (ii) mejora del clima de negocios, la competencia y la innovación; y (iii) </w:t>
      </w:r>
      <w:r w:rsidR="007C64BB" w:rsidRPr="00503A8E">
        <w:rPr>
          <w:rFonts w:ascii="Arial" w:hAnsi="Arial"/>
          <w:bCs/>
          <w:sz w:val="22"/>
          <w:szCs w:val="22"/>
          <w:lang w:val="es-ES_tradnl"/>
        </w:rPr>
        <w:t>la mejora en las políticas de seguridad social y los incentivos a la formalidad</w:t>
      </w:r>
      <w:r w:rsidR="004213FF" w:rsidRPr="00503A8E">
        <w:rPr>
          <w:rFonts w:ascii="Arial" w:hAnsi="Arial"/>
          <w:bCs/>
          <w:color w:val="000000"/>
          <w:sz w:val="22"/>
          <w:szCs w:val="22"/>
          <w:lang w:val="es-ES_tradnl"/>
        </w:rPr>
        <w:t>.</w:t>
      </w:r>
    </w:p>
    <w:p w14:paraId="14E246F1" w14:textId="74B165C7" w:rsidR="004213FF" w:rsidRPr="00503A8E" w:rsidRDefault="00206E32" w:rsidP="00C1043D">
      <w:pPr>
        <w:pStyle w:val="Paragraph"/>
        <w:numPr>
          <w:ilvl w:val="1"/>
          <w:numId w:val="22"/>
        </w:numPr>
        <w:tabs>
          <w:tab w:val="clear" w:pos="2736"/>
          <w:tab w:val="num" w:pos="720"/>
        </w:tabs>
        <w:ind w:left="720" w:hanging="720"/>
        <w:rPr>
          <w:rFonts w:ascii="Arial" w:hAnsi="Arial"/>
          <w:sz w:val="22"/>
          <w:szCs w:val="22"/>
        </w:rPr>
      </w:pPr>
      <w:r w:rsidRPr="00503A8E">
        <w:rPr>
          <w:rFonts w:ascii="Arial" w:hAnsi="Arial"/>
          <w:b/>
          <w:sz w:val="22"/>
          <w:szCs w:val="22"/>
          <w:shd w:val="clear" w:color="auto" w:fill="FFFFFF"/>
        </w:rPr>
        <w:t>Contexto macroeconómico</w:t>
      </w:r>
      <w:r w:rsidRPr="00503A8E">
        <w:rPr>
          <w:rStyle w:val="FootnoteReference"/>
          <w:rFonts w:ascii="Arial" w:hAnsi="Arial"/>
          <w:b/>
          <w:sz w:val="22"/>
          <w:szCs w:val="22"/>
          <w:shd w:val="clear" w:color="auto" w:fill="FFFFFF"/>
        </w:rPr>
        <w:footnoteReference w:id="1"/>
      </w:r>
      <w:r w:rsidRPr="00503A8E">
        <w:rPr>
          <w:rFonts w:ascii="Arial" w:hAnsi="Arial"/>
          <w:b/>
          <w:sz w:val="22"/>
          <w:szCs w:val="22"/>
          <w:shd w:val="clear" w:color="auto" w:fill="FFFFFF"/>
        </w:rPr>
        <w:t>.</w:t>
      </w:r>
      <w:r w:rsidRPr="00503A8E">
        <w:rPr>
          <w:rFonts w:ascii="Arial" w:hAnsi="Arial"/>
          <w:sz w:val="22"/>
          <w:szCs w:val="22"/>
          <w:shd w:val="clear" w:color="auto" w:fill="FFFFFF"/>
        </w:rPr>
        <w:t xml:space="preserve"> </w:t>
      </w:r>
      <w:r w:rsidRPr="00503A8E">
        <w:rPr>
          <w:rFonts w:ascii="Arial" w:hAnsi="Arial"/>
          <w:sz w:val="22"/>
          <w:szCs w:val="22"/>
        </w:rPr>
        <w:t>Entre 1990 y 2016, República Dominicana ha sido uno de los países de la Región con mayor crecimiento del PIB (5,3%)</w:t>
      </w:r>
      <w:r w:rsidRPr="00503A8E">
        <w:rPr>
          <w:rStyle w:val="FootnoteReference"/>
          <w:rFonts w:ascii="Arial" w:hAnsi="Arial"/>
          <w:sz w:val="22"/>
          <w:szCs w:val="22"/>
        </w:rPr>
        <w:footnoteReference w:id="2"/>
      </w:r>
      <w:r w:rsidRPr="00503A8E">
        <w:rPr>
          <w:rFonts w:ascii="Arial" w:hAnsi="Arial"/>
          <w:sz w:val="22"/>
          <w:szCs w:val="22"/>
        </w:rPr>
        <w:t xml:space="preserve">. </w:t>
      </w:r>
      <w:r w:rsidRPr="00503A8E">
        <w:rPr>
          <w:rFonts w:ascii="Arial" w:hAnsi="Arial"/>
          <w:sz w:val="22"/>
          <w:szCs w:val="22"/>
          <w:shd w:val="clear" w:color="auto" w:fill="FFFFFF"/>
        </w:rPr>
        <w:t xml:space="preserve">Aunque en 2013 el crecimiento del PIB real </w:t>
      </w:r>
      <w:r w:rsidRPr="00503A8E">
        <w:rPr>
          <w:rFonts w:ascii="Arial" w:hAnsi="Arial"/>
          <w:sz w:val="22"/>
          <w:szCs w:val="22"/>
        </w:rPr>
        <w:t>de República Dominicana se redujo ligeramente a un</w:t>
      </w:r>
      <w:r w:rsidRPr="00503A8E">
        <w:rPr>
          <w:rFonts w:ascii="Arial" w:hAnsi="Arial"/>
          <w:sz w:val="22"/>
          <w:szCs w:val="22"/>
          <w:shd w:val="clear" w:color="auto" w:fill="FFFFFF"/>
        </w:rPr>
        <w:t xml:space="preserve"> 4,7%, en el periodo 2014-2016 el crecimiento volvió a acelerarse, con un promedio por encima del 7%. Dicho crecimiento superó ampliamente l</w:t>
      </w:r>
      <w:r w:rsidRPr="00503A8E">
        <w:rPr>
          <w:rFonts w:ascii="Arial" w:hAnsi="Arial"/>
          <w:sz w:val="22"/>
          <w:szCs w:val="22"/>
        </w:rPr>
        <w:t>as previsiones de crecimiento para 2014-2016 que se tenían en ocasión de la primera operación de esta serie programática (en torno al 5%), y se situó incluso por encima del crecimiento potencial a largo plazo del país, que es entre 5% y 6%</w:t>
      </w:r>
      <w:r w:rsidRPr="00503A8E">
        <w:rPr>
          <w:rStyle w:val="FootnoteReference"/>
          <w:rFonts w:ascii="Arial" w:eastAsia="Times New Roman" w:hAnsi="Arial"/>
          <w:sz w:val="22"/>
          <w:szCs w:val="22"/>
          <w:lang w:eastAsia="x-none"/>
        </w:rPr>
        <w:footnoteReference w:id="3"/>
      </w:r>
      <w:r w:rsidRPr="00503A8E">
        <w:rPr>
          <w:rFonts w:ascii="Arial" w:hAnsi="Arial"/>
          <w:sz w:val="22"/>
          <w:szCs w:val="22"/>
        </w:rPr>
        <w:t>. En 2016 el crecimiento del PIB fue de 6,6%, y la inflación fue de apenas 1.75%, muy por debajo de la meta del Banco Central de entre 3% y 5%. Shocks de oferta positivos han permitido que pese a ello la inflación se haya mantenido bajo control y se haya mejorado la posición externa del país. Se espera que el crecimiento converja hacia la tasa potencial de entre 5% y 6% de 2017 en adelante, siempre que se mantenga el ritmo de importantes reformas estructurales y de políticas, como las contempladas en la presente operación.</w:t>
      </w:r>
      <w:r w:rsidRPr="00503A8E">
        <w:rPr>
          <w:rStyle w:val="FootnoteReference"/>
          <w:rFonts w:ascii="Arial" w:hAnsi="Arial"/>
          <w:sz w:val="22"/>
          <w:szCs w:val="22"/>
        </w:rPr>
        <w:footnoteReference w:id="4"/>
      </w:r>
    </w:p>
    <w:p w14:paraId="47C84EC3" w14:textId="52BAD0CA" w:rsidR="004213FF" w:rsidRPr="00503A8E" w:rsidRDefault="004213FF" w:rsidP="004213FF">
      <w:pPr>
        <w:pStyle w:val="Paragraph"/>
        <w:numPr>
          <w:ilvl w:val="1"/>
          <w:numId w:val="6"/>
        </w:numPr>
        <w:tabs>
          <w:tab w:val="clear" w:pos="2448"/>
          <w:tab w:val="num" w:pos="720"/>
        </w:tabs>
        <w:ind w:left="720" w:hanging="720"/>
        <w:rPr>
          <w:rFonts w:ascii="Arial" w:hAnsi="Arial"/>
          <w:sz w:val="22"/>
          <w:szCs w:val="22"/>
        </w:rPr>
      </w:pPr>
      <w:r w:rsidRPr="00503A8E">
        <w:rPr>
          <w:rFonts w:ascii="Arial" w:hAnsi="Arial"/>
          <w:b/>
          <w:sz w:val="22"/>
          <w:szCs w:val="22"/>
        </w:rPr>
        <w:t xml:space="preserve">Desafío de políticas. </w:t>
      </w:r>
      <w:r w:rsidRPr="00503A8E">
        <w:rPr>
          <w:rFonts w:ascii="Arial" w:hAnsi="Arial"/>
          <w:sz w:val="22"/>
          <w:szCs w:val="22"/>
        </w:rPr>
        <w:t>Uno de los principales desafíos para el crecimiento del país es desarrollar un programa de reformas destinadas a reducir las distorsiones que impiden el crecimiento de las empresas más productivas. Entre las distorsiones señaladas por los diagnósticos internacionales y las encuestas a empresas se encuentran</w:t>
      </w:r>
      <w:r w:rsidRPr="00503A8E">
        <w:rPr>
          <w:rStyle w:val="FootnoteReference"/>
          <w:rFonts w:ascii="Arial" w:hAnsi="Arial"/>
          <w:sz w:val="22"/>
          <w:szCs w:val="22"/>
        </w:rPr>
        <w:footnoteReference w:id="5"/>
      </w:r>
      <w:r w:rsidRPr="00503A8E">
        <w:rPr>
          <w:rFonts w:ascii="Arial" w:hAnsi="Arial"/>
          <w:sz w:val="22"/>
          <w:szCs w:val="22"/>
        </w:rPr>
        <w:t xml:space="preserve">: (i) las infraestructuras, especialmente las energéticas; (ii) el nivel de capital humano; (iii) la calidad de la administración y del clima de inversión; (iv) el acceso al financiamiento; y (v) </w:t>
      </w:r>
      <w:r w:rsidR="00206E32" w:rsidRPr="00503A8E">
        <w:rPr>
          <w:rFonts w:ascii="Arial" w:hAnsi="Arial"/>
          <w:sz w:val="22"/>
          <w:szCs w:val="22"/>
        </w:rPr>
        <w:t xml:space="preserve">una mayor tasa de formalización laboral y empresarial, y la mejora </w:t>
      </w:r>
      <w:r w:rsidRPr="00503A8E">
        <w:rPr>
          <w:rFonts w:ascii="Arial" w:hAnsi="Arial"/>
          <w:sz w:val="22"/>
          <w:szCs w:val="22"/>
        </w:rPr>
        <w:t xml:space="preserve">de la seguridad social. Por motivos de alcance, este programa atenderá los tres últimos aspectos. </w:t>
      </w:r>
    </w:p>
    <w:p w14:paraId="6A82660E" w14:textId="77777777" w:rsidR="004213FF" w:rsidRPr="00503A8E" w:rsidRDefault="004213FF" w:rsidP="004213FF">
      <w:pPr>
        <w:pStyle w:val="Paragraph"/>
        <w:numPr>
          <w:ilvl w:val="1"/>
          <w:numId w:val="6"/>
        </w:numPr>
        <w:tabs>
          <w:tab w:val="clear" w:pos="2448"/>
          <w:tab w:val="num" w:pos="720"/>
        </w:tabs>
        <w:ind w:left="720" w:hanging="720"/>
        <w:rPr>
          <w:rFonts w:ascii="Arial" w:hAnsi="Arial"/>
          <w:sz w:val="22"/>
          <w:szCs w:val="22"/>
          <w:lang w:val="es-AR"/>
        </w:rPr>
      </w:pPr>
      <w:r w:rsidRPr="00503A8E">
        <w:rPr>
          <w:rFonts w:ascii="Arial" w:hAnsi="Arial"/>
          <w:b/>
          <w:sz w:val="22"/>
          <w:szCs w:val="22"/>
          <w:lang w:val="es-AR"/>
        </w:rPr>
        <w:t xml:space="preserve">Prioridades de reforma. </w:t>
      </w:r>
      <w:r w:rsidRPr="00503A8E">
        <w:rPr>
          <w:rFonts w:ascii="Arial" w:hAnsi="Arial"/>
          <w:sz w:val="22"/>
          <w:szCs w:val="22"/>
          <w:lang w:val="es-AR"/>
        </w:rPr>
        <w:t xml:space="preserve">Las causas principales que frenan el avance de la productividad se pueden agrupar en tres ejes: (i) la estabilidad, del acceso y de la eficiencia en la intermediación financiera para facilitar la expansión de los proyectos y empresas más productivos; (ii) el clima de negocios y de la competencia como elementos clave para rebajar los costes de transacción e incrementar la disciplina de mercado; (ii) las instituciones y las políticas de desarrollo productivo. Estas líneas de reforma son altamente consistentes con los </w:t>
      </w:r>
      <w:r w:rsidRPr="00503A8E">
        <w:rPr>
          <w:rFonts w:ascii="Arial" w:hAnsi="Arial"/>
          <w:sz w:val="22"/>
          <w:szCs w:val="22"/>
          <w:lang w:val="es-AR"/>
        </w:rPr>
        <w:lastRenderedPageBreak/>
        <w:t>estudios realizados sobre los efectos de las reformas estructurales sobre el crecimiento y la productividad en Centroamérica y República Dominicana</w:t>
      </w:r>
      <w:r w:rsidRPr="00503A8E">
        <w:rPr>
          <w:rStyle w:val="FootnoteReference"/>
          <w:rFonts w:ascii="Arial" w:hAnsi="Arial"/>
          <w:sz w:val="22"/>
          <w:szCs w:val="22"/>
        </w:rPr>
        <w:footnoteReference w:id="6"/>
      </w:r>
      <w:r w:rsidRPr="00503A8E">
        <w:rPr>
          <w:rFonts w:ascii="Arial" w:hAnsi="Arial"/>
          <w:sz w:val="22"/>
          <w:szCs w:val="22"/>
          <w:lang w:val="es-AR"/>
        </w:rPr>
        <w:t xml:space="preserve">. </w:t>
      </w:r>
    </w:p>
    <w:p w14:paraId="27921169" w14:textId="77777777" w:rsidR="004213FF" w:rsidRPr="00503A8E" w:rsidRDefault="004213FF" w:rsidP="004213FF">
      <w:pPr>
        <w:pStyle w:val="Heading1"/>
        <w:keepLines w:val="0"/>
        <w:numPr>
          <w:ilvl w:val="0"/>
          <w:numId w:val="3"/>
        </w:numPr>
        <w:spacing w:before="240" w:after="240"/>
        <w:rPr>
          <w:rFonts w:eastAsia="Times New Roman"/>
          <w:bCs w:val="0"/>
          <w:color w:val="auto"/>
          <w:sz w:val="22"/>
          <w:szCs w:val="22"/>
        </w:rPr>
      </w:pPr>
      <w:bookmarkStart w:id="4" w:name="_Toc360529033"/>
      <w:bookmarkStart w:id="5" w:name="_Toc165687330"/>
      <w:r w:rsidRPr="00503A8E">
        <w:rPr>
          <w:rFonts w:eastAsia="Times New Roman"/>
          <w:bCs w:val="0"/>
          <w:color w:val="auto"/>
          <w:sz w:val="22"/>
          <w:szCs w:val="22"/>
        </w:rPr>
        <w:t>Seguimiento</w:t>
      </w:r>
      <w:bookmarkEnd w:id="4"/>
    </w:p>
    <w:p w14:paraId="29B2B952" w14:textId="77777777" w:rsidR="004213FF" w:rsidRPr="00503A8E" w:rsidRDefault="004213FF" w:rsidP="004213FF">
      <w:pPr>
        <w:pStyle w:val="Heading3"/>
        <w:numPr>
          <w:ilvl w:val="0"/>
          <w:numId w:val="5"/>
        </w:numPr>
        <w:rPr>
          <w:rFonts w:ascii="Arial" w:hAnsi="Arial" w:cs="Arial"/>
          <w:sz w:val="22"/>
          <w:szCs w:val="22"/>
        </w:rPr>
      </w:pPr>
      <w:bookmarkStart w:id="6" w:name="_Toc360529034"/>
      <w:r w:rsidRPr="00503A8E">
        <w:rPr>
          <w:rFonts w:ascii="Arial" w:hAnsi="Arial" w:cs="Arial"/>
          <w:sz w:val="22"/>
          <w:szCs w:val="22"/>
        </w:rPr>
        <w:t>Indicadores de Productos</w:t>
      </w:r>
      <w:bookmarkEnd w:id="6"/>
      <w:r w:rsidRPr="00503A8E">
        <w:rPr>
          <w:rFonts w:ascii="Arial" w:hAnsi="Arial" w:cs="Arial"/>
          <w:sz w:val="22"/>
          <w:szCs w:val="22"/>
        </w:rPr>
        <w:t xml:space="preserve"> </w:t>
      </w:r>
    </w:p>
    <w:p w14:paraId="487C3FE7" w14:textId="3335D04C" w:rsidR="004213FF" w:rsidRPr="00503A8E" w:rsidRDefault="004213FF" w:rsidP="004213FF">
      <w:pPr>
        <w:pStyle w:val="21Paragraph"/>
        <w:ind w:left="720" w:hanging="720"/>
        <w:rPr>
          <w:rFonts w:ascii="Arial" w:hAnsi="Arial" w:cs="Arial"/>
          <w:sz w:val="22"/>
          <w:szCs w:val="22"/>
        </w:rPr>
      </w:pPr>
      <w:r w:rsidRPr="00503A8E">
        <w:rPr>
          <w:rFonts w:ascii="Arial" w:hAnsi="Arial" w:cs="Arial"/>
          <w:sz w:val="22"/>
          <w:szCs w:val="22"/>
        </w:rPr>
        <w:t>Los indicadores a los que se dará seguimiento como parte de la verificación del cumplimiento de las acciones del programa son aquéllos contenidos en la Matriz de Políticas, que se incluye</w:t>
      </w:r>
      <w:r w:rsidR="00473602" w:rsidRPr="00503A8E">
        <w:rPr>
          <w:rFonts w:ascii="Arial" w:hAnsi="Arial" w:cs="Arial"/>
          <w:sz w:val="22"/>
          <w:szCs w:val="22"/>
        </w:rPr>
        <w:t>n</w:t>
      </w:r>
      <w:r w:rsidRPr="00503A8E">
        <w:rPr>
          <w:rFonts w:ascii="Arial" w:hAnsi="Arial" w:cs="Arial"/>
          <w:sz w:val="22"/>
          <w:szCs w:val="22"/>
        </w:rPr>
        <w:t xml:space="preserve"> en la Propuesta de Préstamo</w:t>
      </w:r>
      <w:r w:rsidR="00C521D6" w:rsidRPr="00503A8E">
        <w:rPr>
          <w:rFonts w:ascii="Arial" w:hAnsi="Arial" w:cs="Arial"/>
          <w:sz w:val="22"/>
          <w:szCs w:val="22"/>
        </w:rPr>
        <w:t>.</w:t>
      </w:r>
    </w:p>
    <w:p w14:paraId="61AC54D6" w14:textId="63E8CA45" w:rsidR="004213FF" w:rsidRPr="00503A8E" w:rsidRDefault="004213FF" w:rsidP="004213FF">
      <w:pPr>
        <w:pStyle w:val="21Paragraph"/>
        <w:ind w:left="720" w:hanging="720"/>
        <w:rPr>
          <w:rFonts w:ascii="Arial" w:hAnsi="Arial" w:cs="Arial"/>
          <w:sz w:val="22"/>
          <w:szCs w:val="22"/>
        </w:rPr>
      </w:pPr>
      <w:r w:rsidRPr="00503A8E">
        <w:rPr>
          <w:rFonts w:ascii="Arial" w:hAnsi="Arial" w:cs="Arial"/>
          <w:sz w:val="22"/>
          <w:szCs w:val="22"/>
        </w:rPr>
        <w:t xml:space="preserve">El cumplimiento de dichos indicadores será comprobado mediante la información contenida en la Matriz de Medios de Verificación (Enlace Requerido #1 de la Propuesta de Préstamo). </w:t>
      </w:r>
      <w:r w:rsidR="00BF02DC" w:rsidRPr="00503A8E">
        <w:rPr>
          <w:rFonts w:ascii="Arial" w:hAnsi="Arial" w:cs="Arial"/>
          <w:sz w:val="22"/>
          <w:szCs w:val="22"/>
        </w:rPr>
        <w:t>D</w:t>
      </w:r>
      <w:r w:rsidRPr="00503A8E">
        <w:rPr>
          <w:rFonts w:ascii="Arial" w:hAnsi="Arial" w:cs="Arial"/>
          <w:sz w:val="22"/>
          <w:szCs w:val="22"/>
        </w:rPr>
        <w:t xml:space="preserve">icha Matriz especifica todas las acciones a ser implementadas en el programa, las entidades responsables por llevar a cabo cada una de dichas acciones, y la información específica que permitirá al Banco verificar su cumplimiento. </w:t>
      </w:r>
    </w:p>
    <w:p w14:paraId="2B3F805E" w14:textId="74A4A0B0" w:rsidR="004213FF" w:rsidRPr="00503A8E" w:rsidRDefault="004A2461" w:rsidP="004213FF">
      <w:pPr>
        <w:pStyle w:val="21Paragraph"/>
        <w:ind w:left="720" w:hanging="720"/>
        <w:rPr>
          <w:rFonts w:ascii="Arial" w:hAnsi="Arial" w:cs="Arial"/>
          <w:sz w:val="22"/>
          <w:szCs w:val="22"/>
        </w:rPr>
      </w:pPr>
      <w:r w:rsidRPr="00503A8E">
        <w:rPr>
          <w:rFonts w:ascii="Arial" w:hAnsi="Arial" w:cs="Arial"/>
          <w:sz w:val="22"/>
          <w:szCs w:val="22"/>
        </w:rPr>
        <w:t>Como esta fase del préstamo progr</w:t>
      </w:r>
      <w:r w:rsidR="0013636D" w:rsidRPr="00503A8E">
        <w:rPr>
          <w:rFonts w:ascii="Arial" w:hAnsi="Arial" w:cs="Arial"/>
          <w:sz w:val="22"/>
          <w:szCs w:val="22"/>
        </w:rPr>
        <w:t>a</w:t>
      </w:r>
      <w:r w:rsidRPr="00503A8E">
        <w:rPr>
          <w:rFonts w:ascii="Arial" w:hAnsi="Arial" w:cs="Arial"/>
          <w:sz w:val="22"/>
          <w:szCs w:val="22"/>
        </w:rPr>
        <w:t>m</w:t>
      </w:r>
      <w:r w:rsidR="0013636D" w:rsidRPr="00503A8E">
        <w:rPr>
          <w:rFonts w:ascii="Arial" w:hAnsi="Arial" w:cs="Arial"/>
          <w:sz w:val="22"/>
          <w:szCs w:val="22"/>
        </w:rPr>
        <w:t>á</w:t>
      </w:r>
      <w:r w:rsidRPr="00503A8E">
        <w:rPr>
          <w:rFonts w:ascii="Arial" w:hAnsi="Arial" w:cs="Arial"/>
          <w:sz w:val="22"/>
          <w:szCs w:val="22"/>
        </w:rPr>
        <w:t xml:space="preserve">tico será la última fase, </w:t>
      </w:r>
      <w:r w:rsidR="0013636D" w:rsidRPr="00503A8E">
        <w:rPr>
          <w:rFonts w:ascii="Arial" w:hAnsi="Arial" w:cs="Arial"/>
          <w:sz w:val="22"/>
          <w:szCs w:val="22"/>
        </w:rPr>
        <w:t>no está previsto la necesidad de dar más seguimiento en los indicadores de producto despu</w:t>
      </w:r>
      <w:r w:rsidR="00082312" w:rsidRPr="00503A8E">
        <w:rPr>
          <w:rFonts w:ascii="Arial" w:hAnsi="Arial" w:cs="Arial"/>
          <w:sz w:val="22"/>
          <w:szCs w:val="22"/>
        </w:rPr>
        <w:t>és del c</w:t>
      </w:r>
      <w:r w:rsidR="00CD4EA7" w:rsidRPr="00503A8E">
        <w:rPr>
          <w:rFonts w:ascii="Arial" w:hAnsi="Arial" w:cs="Arial"/>
          <w:sz w:val="22"/>
          <w:szCs w:val="22"/>
        </w:rPr>
        <w:t>umplimiento con los acuerdos contenidos en la Matriz de Políticas.</w:t>
      </w:r>
    </w:p>
    <w:p w14:paraId="3E2C5BD5" w14:textId="77777777" w:rsidR="004213FF" w:rsidRPr="00503A8E" w:rsidRDefault="004213FF" w:rsidP="004213FF">
      <w:pPr>
        <w:pStyle w:val="Heading3"/>
        <w:numPr>
          <w:ilvl w:val="0"/>
          <w:numId w:val="5"/>
        </w:numPr>
        <w:rPr>
          <w:rFonts w:ascii="Arial" w:hAnsi="Arial" w:cs="Arial"/>
          <w:sz w:val="22"/>
          <w:szCs w:val="22"/>
        </w:rPr>
      </w:pPr>
      <w:bookmarkStart w:id="7" w:name="_Toc360529035"/>
      <w:r w:rsidRPr="00503A8E">
        <w:rPr>
          <w:rFonts w:ascii="Arial" w:hAnsi="Arial" w:cs="Arial"/>
          <w:sz w:val="22"/>
          <w:szCs w:val="22"/>
        </w:rPr>
        <w:t>Recopilación de datos e ins</w:t>
      </w:r>
      <w:bookmarkEnd w:id="7"/>
      <w:r w:rsidRPr="00503A8E">
        <w:rPr>
          <w:rFonts w:ascii="Arial" w:hAnsi="Arial" w:cs="Arial"/>
          <w:sz w:val="22"/>
          <w:szCs w:val="22"/>
        </w:rPr>
        <w:t>trumentos</w:t>
      </w:r>
    </w:p>
    <w:p w14:paraId="46CBD15F" w14:textId="3B5BD7A2" w:rsidR="004213FF" w:rsidRPr="00503A8E" w:rsidRDefault="004213FF" w:rsidP="004213FF">
      <w:pPr>
        <w:pStyle w:val="21Paragraph"/>
        <w:ind w:left="720" w:hanging="720"/>
        <w:rPr>
          <w:rFonts w:ascii="Arial" w:hAnsi="Arial" w:cs="Arial"/>
          <w:bCs/>
          <w:iCs/>
          <w:sz w:val="22"/>
          <w:szCs w:val="22"/>
        </w:rPr>
      </w:pPr>
      <w:r w:rsidRPr="00503A8E">
        <w:rPr>
          <w:rFonts w:ascii="Arial" w:hAnsi="Arial" w:cs="Arial"/>
          <w:bCs/>
          <w:iCs/>
          <w:sz w:val="22"/>
          <w:szCs w:val="22"/>
        </w:rPr>
        <w:t>Las fuentes de información que se usarán para el seguimiento de cada indicador se detallan en la Matriz de Medios de Verificación, y el M</w:t>
      </w:r>
      <w:r w:rsidR="00BF02DC" w:rsidRPr="00503A8E">
        <w:rPr>
          <w:rFonts w:ascii="Arial" w:hAnsi="Arial" w:cs="Arial"/>
          <w:bCs/>
          <w:iCs/>
          <w:sz w:val="22"/>
          <w:szCs w:val="22"/>
        </w:rPr>
        <w:t xml:space="preserve">inisterio de </w:t>
      </w:r>
      <w:r w:rsidRPr="00503A8E">
        <w:rPr>
          <w:rFonts w:ascii="Arial" w:hAnsi="Arial" w:cs="Arial"/>
          <w:bCs/>
          <w:iCs/>
          <w:sz w:val="22"/>
          <w:szCs w:val="22"/>
        </w:rPr>
        <w:t>H</w:t>
      </w:r>
      <w:r w:rsidR="00BF02DC" w:rsidRPr="00503A8E">
        <w:rPr>
          <w:rFonts w:ascii="Arial" w:hAnsi="Arial" w:cs="Arial"/>
          <w:bCs/>
          <w:iCs/>
          <w:sz w:val="22"/>
          <w:szCs w:val="22"/>
        </w:rPr>
        <w:t>acienda (MH)</w:t>
      </w:r>
      <w:r w:rsidRPr="00503A8E">
        <w:rPr>
          <w:rFonts w:ascii="Arial" w:hAnsi="Arial" w:cs="Arial"/>
          <w:bCs/>
          <w:iCs/>
          <w:sz w:val="22"/>
          <w:szCs w:val="22"/>
        </w:rPr>
        <w:t xml:space="preserve"> será la entidad encargada de la recopilación de la información requerida para la </w:t>
      </w:r>
      <w:r w:rsidR="00261FCD" w:rsidRPr="00503A8E">
        <w:rPr>
          <w:rFonts w:ascii="Arial" w:hAnsi="Arial" w:cs="Arial"/>
          <w:bCs/>
          <w:iCs/>
          <w:sz w:val="22"/>
          <w:szCs w:val="22"/>
        </w:rPr>
        <w:t xml:space="preserve">implementación </w:t>
      </w:r>
      <w:r w:rsidRPr="00503A8E">
        <w:rPr>
          <w:rFonts w:ascii="Arial" w:hAnsi="Arial" w:cs="Arial"/>
          <w:bCs/>
          <w:iCs/>
          <w:sz w:val="22"/>
          <w:szCs w:val="22"/>
        </w:rPr>
        <w:t xml:space="preserve">del programa. La implementación de los distintos compromisos está a cargo de las entidades sectoriales, según se especifica en la Matriz de Políticas y la Matriz de Medios de Verificación.  </w:t>
      </w:r>
    </w:p>
    <w:p w14:paraId="76DFCCFF" w14:textId="194CC8E7" w:rsidR="004213FF" w:rsidRPr="00503A8E" w:rsidRDefault="004213FF" w:rsidP="00261FCD">
      <w:pPr>
        <w:pStyle w:val="21Paragraph"/>
        <w:ind w:left="720" w:hanging="720"/>
        <w:rPr>
          <w:rFonts w:ascii="Arial" w:hAnsi="Arial" w:cs="Arial"/>
          <w:bCs/>
          <w:iCs/>
          <w:sz w:val="22"/>
          <w:szCs w:val="22"/>
        </w:rPr>
      </w:pPr>
      <w:r w:rsidRPr="00503A8E">
        <w:rPr>
          <w:rFonts w:ascii="Arial" w:hAnsi="Arial" w:cs="Arial"/>
          <w:bCs/>
          <w:iCs/>
          <w:sz w:val="22"/>
          <w:szCs w:val="22"/>
        </w:rPr>
        <w:t>Los indicadores para cada uno de los subcomponentes del programa incluyen su propia métrica relevante. Además, los indicadores incluidos en la Matriz de Resultados son específicos a cada producto, son medibles, cuentan con una línea de base, se pueden alcanzar en los plazos previstos, son relevantes, y tienen un periodo definido</w:t>
      </w:r>
      <w:r w:rsidR="00BF02DC" w:rsidRPr="00503A8E">
        <w:rPr>
          <w:rFonts w:ascii="Arial" w:hAnsi="Arial" w:cs="Arial"/>
          <w:bCs/>
          <w:iCs/>
          <w:sz w:val="22"/>
          <w:szCs w:val="22"/>
        </w:rPr>
        <w:t xml:space="preserve"> (SMART)</w:t>
      </w:r>
      <w:r w:rsidRPr="00503A8E">
        <w:rPr>
          <w:rFonts w:ascii="Arial" w:hAnsi="Arial" w:cs="Arial"/>
          <w:bCs/>
          <w:iCs/>
          <w:sz w:val="22"/>
          <w:szCs w:val="22"/>
        </w:rPr>
        <w:t>.</w:t>
      </w:r>
      <w:r w:rsidR="00261FCD" w:rsidRPr="00503A8E">
        <w:rPr>
          <w:rFonts w:ascii="Arial" w:hAnsi="Arial" w:cs="Arial"/>
          <w:bCs/>
          <w:iCs/>
          <w:sz w:val="22"/>
          <w:szCs w:val="22"/>
        </w:rPr>
        <w:t xml:space="preserve"> </w:t>
      </w:r>
      <w:r w:rsidRPr="00503A8E">
        <w:rPr>
          <w:rFonts w:ascii="Arial" w:hAnsi="Arial" w:cs="Arial"/>
          <w:bCs/>
          <w:iCs/>
          <w:sz w:val="22"/>
          <w:szCs w:val="22"/>
        </w:rPr>
        <w:t>Del mismo modo, en la Matriz de Resultados se especifica los indicadores de resultados e impactos de mediano plazo que se espera alcanzar después de finalizada de la serie programática, con las fuentes de información que permitirán medir dichos resultados e impactos.</w:t>
      </w:r>
    </w:p>
    <w:p w14:paraId="02C838FE" w14:textId="35B79E72" w:rsidR="004213FF" w:rsidRPr="00503A8E" w:rsidRDefault="004213FF" w:rsidP="004213FF">
      <w:pPr>
        <w:pStyle w:val="21Paragraph"/>
        <w:ind w:left="720" w:hanging="720"/>
        <w:rPr>
          <w:rFonts w:ascii="Arial" w:hAnsi="Arial" w:cs="Arial"/>
          <w:sz w:val="22"/>
          <w:szCs w:val="22"/>
        </w:rPr>
      </w:pPr>
      <w:r w:rsidRPr="00503A8E">
        <w:rPr>
          <w:rFonts w:ascii="Arial" w:hAnsi="Arial" w:cs="Arial"/>
          <w:sz w:val="22"/>
          <w:szCs w:val="22"/>
        </w:rPr>
        <w:t xml:space="preserve">En su carácter de organismo ejecutor, el MH designará un funcionario como responsable de, entre otras tareas: (i) mantener la comunicación oficial con el Banco y entregar informes y evidencia del cumplimiento de las condiciones de la operación, y todo otro informe que el Banco pueda requerir en los plazos y condiciones acordadas; </w:t>
      </w:r>
      <w:r w:rsidR="00326E42" w:rsidRPr="00503A8E">
        <w:rPr>
          <w:rFonts w:ascii="Arial" w:hAnsi="Arial" w:cs="Arial"/>
          <w:sz w:val="22"/>
          <w:szCs w:val="22"/>
        </w:rPr>
        <w:t xml:space="preserve">y, </w:t>
      </w:r>
      <w:r w:rsidRPr="00503A8E">
        <w:rPr>
          <w:rFonts w:ascii="Arial" w:hAnsi="Arial" w:cs="Arial"/>
          <w:sz w:val="22"/>
          <w:szCs w:val="22"/>
        </w:rPr>
        <w:t>(ii) reunir, archivar y entregar al Banco toda la información, indicadores y parámetros que contribuyan a que el Banco pueda dar seguimiento, medir y evaluar los resultados del programa. En el marco de sus funciones, el MH coordinará la recepción de la evidencia de los compromisos que asumen las diversas instituciones de gobierno.</w:t>
      </w:r>
    </w:p>
    <w:p w14:paraId="2AB8A6A2" w14:textId="6AB58828" w:rsidR="004213FF" w:rsidRPr="00503A8E" w:rsidRDefault="004213FF" w:rsidP="00326E42">
      <w:pPr>
        <w:pStyle w:val="21Paragraph"/>
        <w:ind w:left="720" w:hanging="720"/>
        <w:rPr>
          <w:rFonts w:ascii="Arial" w:hAnsi="Arial" w:cs="Arial"/>
          <w:sz w:val="22"/>
          <w:szCs w:val="22"/>
        </w:rPr>
      </w:pPr>
      <w:r w:rsidRPr="00503A8E">
        <w:rPr>
          <w:rFonts w:ascii="Arial" w:hAnsi="Arial" w:cs="Arial"/>
          <w:sz w:val="22"/>
          <w:szCs w:val="22"/>
        </w:rPr>
        <w:lastRenderedPageBreak/>
        <w:t>La Tabla 1 resume el monitoreo de condiciones, y para cada condición provee de información sobre las fuentes de información</w:t>
      </w:r>
      <w:r w:rsidR="00BF02DC" w:rsidRPr="00503A8E">
        <w:rPr>
          <w:rFonts w:ascii="Arial" w:hAnsi="Arial" w:cs="Arial"/>
          <w:sz w:val="22"/>
          <w:szCs w:val="22"/>
        </w:rPr>
        <w:t xml:space="preserve"> y los</w:t>
      </w:r>
      <w:r w:rsidRPr="00503A8E">
        <w:rPr>
          <w:rFonts w:ascii="Arial" w:hAnsi="Arial" w:cs="Arial"/>
          <w:sz w:val="22"/>
          <w:szCs w:val="22"/>
        </w:rPr>
        <w:t xml:space="preserve"> medios de verificación.</w:t>
      </w:r>
    </w:p>
    <w:p w14:paraId="412516A3" w14:textId="77777777" w:rsidR="00524225" w:rsidRPr="002A0795" w:rsidRDefault="00524225" w:rsidP="00524225">
      <w:pPr>
        <w:pStyle w:val="21Paragraph"/>
        <w:numPr>
          <w:ilvl w:val="0"/>
          <w:numId w:val="0"/>
        </w:numPr>
        <w:ind w:left="1350" w:hanging="360"/>
        <w:sectPr w:rsidR="00524225" w:rsidRPr="002A0795" w:rsidSect="00B517B1">
          <w:pgSz w:w="12240" w:h="15840" w:code="1"/>
          <w:pgMar w:top="1440" w:right="1800" w:bottom="1440" w:left="1800" w:header="706" w:footer="706" w:gutter="0"/>
          <w:pgNumType w:start="1"/>
          <w:cols w:space="708"/>
          <w:titlePg/>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364"/>
        <w:gridCol w:w="2254"/>
        <w:gridCol w:w="3297"/>
        <w:gridCol w:w="4315"/>
      </w:tblGrid>
      <w:tr w:rsidR="00326E42" w:rsidRPr="00344731" w14:paraId="3BE01DF4" w14:textId="77777777" w:rsidTr="00524225">
        <w:trPr>
          <w:cantSplit/>
          <w:trHeight w:val="195"/>
          <w:tblHeader/>
          <w:jc w:val="center"/>
        </w:trPr>
        <w:tc>
          <w:tcPr>
            <w:tcW w:w="966"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1BFFC665" w14:textId="77777777" w:rsidR="00326E42" w:rsidRPr="00A03D7C" w:rsidRDefault="00326E42" w:rsidP="00B517B1">
            <w:pPr>
              <w:jc w:val="center"/>
              <w:rPr>
                <w:b/>
                <w:sz w:val="20"/>
                <w:szCs w:val="22"/>
                <w:lang w:val="es-ES_tradnl"/>
              </w:rPr>
            </w:pPr>
            <w:r w:rsidRPr="00A03D7C">
              <w:rPr>
                <w:b/>
                <w:sz w:val="20"/>
                <w:szCs w:val="22"/>
                <w:lang w:val="es-ES_tradnl"/>
              </w:rPr>
              <w:lastRenderedPageBreak/>
              <w:t>Objetivo</w:t>
            </w:r>
          </w:p>
        </w:tc>
        <w:tc>
          <w:tcPr>
            <w:tcW w:w="922" w:type="pct"/>
            <w:tcBorders>
              <w:top w:val="single" w:sz="4" w:space="0" w:color="auto"/>
              <w:left w:val="single" w:sz="4" w:space="0" w:color="auto"/>
              <w:bottom w:val="single" w:sz="4" w:space="0" w:color="auto"/>
              <w:right w:val="single" w:sz="4" w:space="0" w:color="auto"/>
            </w:tcBorders>
            <w:shd w:val="clear" w:color="auto" w:fill="8DB3E2" w:themeFill="text2" w:themeFillTint="66"/>
          </w:tcPr>
          <w:p w14:paraId="3E6AE1B0" w14:textId="77777777" w:rsidR="00326E42" w:rsidRPr="00344731" w:rsidRDefault="00326E42" w:rsidP="00B517B1">
            <w:pPr>
              <w:jc w:val="center"/>
              <w:rPr>
                <w:b/>
                <w:sz w:val="20"/>
                <w:szCs w:val="22"/>
                <w:lang w:val="es-ES_tradnl"/>
              </w:rPr>
            </w:pPr>
            <w:r>
              <w:rPr>
                <w:b/>
                <w:sz w:val="20"/>
                <w:szCs w:val="22"/>
                <w:lang w:val="es-ES_tradnl"/>
              </w:rPr>
              <w:t>Institución Responsable</w:t>
            </w:r>
          </w:p>
        </w:tc>
        <w:tc>
          <w:tcPr>
            <w:tcW w:w="1348"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5610457" w14:textId="77777777" w:rsidR="00326E42" w:rsidRPr="00A03D7C" w:rsidRDefault="00326E42" w:rsidP="00B517B1">
            <w:pPr>
              <w:jc w:val="center"/>
              <w:rPr>
                <w:b/>
                <w:sz w:val="20"/>
                <w:lang w:val="es-ES_tradnl"/>
              </w:rPr>
            </w:pPr>
            <w:r w:rsidRPr="00A03D7C">
              <w:rPr>
                <w:b/>
                <w:sz w:val="20"/>
                <w:lang w:val="es-ES_tradnl"/>
              </w:rPr>
              <w:t xml:space="preserve">Compromisos de la segunda </w:t>
            </w:r>
          </w:p>
          <w:p w14:paraId="15F04A8F" w14:textId="77777777" w:rsidR="00326E42" w:rsidRPr="00A03D7C" w:rsidRDefault="00326E42" w:rsidP="00B517B1">
            <w:pPr>
              <w:jc w:val="center"/>
              <w:rPr>
                <w:b/>
                <w:sz w:val="20"/>
                <w:szCs w:val="22"/>
                <w:lang w:val="es-ES_tradnl"/>
              </w:rPr>
            </w:pPr>
            <w:r w:rsidRPr="00A03D7C">
              <w:rPr>
                <w:b/>
                <w:sz w:val="20"/>
                <w:lang w:val="es-ES_tradnl"/>
              </w:rPr>
              <w:t>operación (DR-L1121)</w:t>
            </w:r>
          </w:p>
        </w:tc>
        <w:tc>
          <w:tcPr>
            <w:tcW w:w="1764" w:type="pct"/>
            <w:tcBorders>
              <w:top w:val="single" w:sz="4" w:space="0" w:color="auto"/>
              <w:left w:val="single" w:sz="4" w:space="0" w:color="auto"/>
              <w:bottom w:val="single" w:sz="4" w:space="0" w:color="auto"/>
              <w:right w:val="single" w:sz="4" w:space="0" w:color="auto"/>
            </w:tcBorders>
            <w:shd w:val="clear" w:color="auto" w:fill="8DB3E2" w:themeFill="text2" w:themeFillTint="66"/>
          </w:tcPr>
          <w:p w14:paraId="3E691855" w14:textId="77777777" w:rsidR="00326E42" w:rsidRPr="00A03D7C" w:rsidRDefault="00326E42" w:rsidP="00B517B1">
            <w:pPr>
              <w:jc w:val="center"/>
              <w:rPr>
                <w:b/>
                <w:sz w:val="20"/>
                <w:szCs w:val="22"/>
                <w:lang w:val="es-ES_tradnl"/>
              </w:rPr>
            </w:pPr>
            <w:r>
              <w:rPr>
                <w:b/>
                <w:sz w:val="20"/>
                <w:szCs w:val="22"/>
                <w:lang w:val="es-ES_tradnl"/>
              </w:rPr>
              <w:t>Medios de Verificación</w:t>
            </w:r>
          </w:p>
        </w:tc>
      </w:tr>
      <w:tr w:rsidR="00C34C8F" w:rsidRPr="00344731" w14:paraId="67EB45C0" w14:textId="77777777" w:rsidTr="005D63DC">
        <w:trPr>
          <w:cantSplit/>
          <w:trHeight w:val="195"/>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86E3B71" w14:textId="660EE733" w:rsidR="00C34C8F" w:rsidRDefault="00C34C8F" w:rsidP="00C34C8F">
            <w:pPr>
              <w:jc w:val="left"/>
              <w:rPr>
                <w:b/>
                <w:sz w:val="20"/>
                <w:szCs w:val="22"/>
                <w:lang w:val="es-ES_tradnl"/>
              </w:rPr>
            </w:pPr>
            <w:r w:rsidRPr="00AB7CDB">
              <w:rPr>
                <w:b/>
                <w:sz w:val="20"/>
                <w:lang w:val="es-ES_tradnl"/>
              </w:rPr>
              <w:t>Fortalecimiento de la regulación financiera para la mejora de la productividad</w:t>
            </w:r>
          </w:p>
        </w:tc>
      </w:tr>
      <w:tr w:rsidR="00825709" w:rsidRPr="00485794" w14:paraId="65667BE7" w14:textId="77777777" w:rsidTr="00524225">
        <w:trPr>
          <w:cantSplit/>
          <w:trHeight w:val="396"/>
          <w:jc w:val="center"/>
        </w:trPr>
        <w:tc>
          <w:tcPr>
            <w:tcW w:w="966" w:type="pct"/>
            <w:vMerge w:val="restart"/>
            <w:tcBorders>
              <w:top w:val="single" w:sz="4" w:space="0" w:color="auto"/>
              <w:left w:val="single" w:sz="4" w:space="0" w:color="auto"/>
              <w:right w:val="single" w:sz="4" w:space="0" w:color="auto"/>
            </w:tcBorders>
            <w:shd w:val="clear" w:color="auto" w:fill="auto"/>
          </w:tcPr>
          <w:p w14:paraId="2BA117D0" w14:textId="77777777" w:rsidR="00825709" w:rsidRPr="001D15ED" w:rsidRDefault="00825709" w:rsidP="00825709">
            <w:pPr>
              <w:pStyle w:val="ListParagraph"/>
              <w:numPr>
                <w:ilvl w:val="0"/>
                <w:numId w:val="18"/>
              </w:numPr>
              <w:spacing w:after="0"/>
              <w:ind w:right="144"/>
              <w:contextualSpacing/>
              <w:jc w:val="left"/>
              <w:rPr>
                <w:b/>
                <w:sz w:val="20"/>
                <w:szCs w:val="20"/>
                <w:lang w:val="es-ES_tradnl"/>
              </w:rPr>
            </w:pPr>
            <w:r w:rsidRPr="001D15ED">
              <w:rPr>
                <w:b/>
                <w:sz w:val="20"/>
                <w:szCs w:val="20"/>
                <w:lang w:val="es-ES_tradnl"/>
              </w:rPr>
              <w:t>Fortalecimiento regulatorio para la estabilidad financiera</w:t>
            </w:r>
          </w:p>
        </w:tc>
        <w:tc>
          <w:tcPr>
            <w:tcW w:w="922" w:type="pct"/>
            <w:tcBorders>
              <w:top w:val="single" w:sz="4" w:space="0" w:color="auto"/>
              <w:left w:val="single" w:sz="4" w:space="0" w:color="auto"/>
              <w:bottom w:val="single" w:sz="4" w:space="0" w:color="auto"/>
              <w:right w:val="single" w:sz="4" w:space="0" w:color="auto"/>
            </w:tcBorders>
          </w:tcPr>
          <w:p w14:paraId="026A3519" w14:textId="77777777" w:rsidR="00825709" w:rsidRDefault="00825709" w:rsidP="00825709">
            <w:pPr>
              <w:ind w:left="144" w:right="144"/>
              <w:rPr>
                <w:sz w:val="20"/>
                <w:szCs w:val="20"/>
                <w:lang w:val="es-ES_tradnl"/>
              </w:rPr>
            </w:pPr>
            <w:r>
              <w:rPr>
                <w:sz w:val="20"/>
                <w:szCs w:val="20"/>
                <w:lang w:val="es-ES_tradnl"/>
              </w:rPr>
              <w:t>Junta Monetaria</w:t>
            </w:r>
          </w:p>
          <w:p w14:paraId="3F83A58C" w14:textId="77777777" w:rsidR="00825709" w:rsidRDefault="00825709" w:rsidP="00825709">
            <w:pPr>
              <w:ind w:left="144" w:right="144"/>
              <w:rPr>
                <w:sz w:val="20"/>
                <w:szCs w:val="20"/>
                <w:lang w:val="es-ES_tradnl"/>
              </w:rPr>
            </w:pPr>
          </w:p>
          <w:p w14:paraId="3872BECF" w14:textId="77777777" w:rsidR="00825709" w:rsidRDefault="00825709" w:rsidP="00825709">
            <w:pPr>
              <w:ind w:left="144" w:right="144"/>
              <w:rPr>
                <w:sz w:val="20"/>
                <w:szCs w:val="20"/>
                <w:lang w:val="es-ES_tradnl"/>
              </w:rPr>
            </w:pPr>
          </w:p>
          <w:p w14:paraId="250ED89A" w14:textId="77777777" w:rsidR="00825709" w:rsidRDefault="00825709" w:rsidP="00825709">
            <w:pPr>
              <w:ind w:left="144" w:right="144"/>
              <w:rPr>
                <w:sz w:val="20"/>
                <w:szCs w:val="20"/>
                <w:lang w:val="es-ES_tradnl"/>
              </w:rPr>
            </w:pPr>
          </w:p>
          <w:p w14:paraId="459857C6" w14:textId="77777777" w:rsidR="00825709" w:rsidRDefault="00825709" w:rsidP="00825709">
            <w:pPr>
              <w:ind w:left="144" w:right="144"/>
              <w:rPr>
                <w:sz w:val="20"/>
                <w:szCs w:val="20"/>
                <w:lang w:val="es-ES_tradnl"/>
              </w:rPr>
            </w:pPr>
          </w:p>
          <w:p w14:paraId="2998AA9D" w14:textId="403A3CEA" w:rsidR="00825709" w:rsidRDefault="00825709" w:rsidP="00503A8E">
            <w:pPr>
              <w:ind w:right="144"/>
              <w:rPr>
                <w:sz w:val="20"/>
                <w:szCs w:val="20"/>
                <w:lang w:val="es-ES_tradnl"/>
              </w:rPr>
            </w:pPr>
          </w:p>
          <w:p w14:paraId="60D60041" w14:textId="77777777" w:rsidR="00825709" w:rsidRPr="00F02CC3" w:rsidRDefault="00825709" w:rsidP="00825709">
            <w:pPr>
              <w:ind w:left="144" w:right="144"/>
              <w:rPr>
                <w:sz w:val="20"/>
                <w:szCs w:val="20"/>
                <w:lang w:val="es-ES_tradnl"/>
              </w:rPr>
            </w:pPr>
            <w:r w:rsidRPr="00F02CC3">
              <w:rPr>
                <w:sz w:val="20"/>
                <w:szCs w:val="20"/>
                <w:lang w:val="es-ES_tradnl"/>
              </w:rPr>
              <w:t>Superintendencia de Bancos</w:t>
            </w:r>
          </w:p>
          <w:p w14:paraId="0CD4B8CD" w14:textId="77777777" w:rsidR="00825709" w:rsidRDefault="00825709" w:rsidP="00825709">
            <w:pPr>
              <w:ind w:left="144" w:right="144"/>
              <w:rPr>
                <w:sz w:val="20"/>
                <w:szCs w:val="20"/>
                <w:lang w:val="es-ES_tradnl"/>
              </w:rPr>
            </w:pPr>
          </w:p>
          <w:p w14:paraId="57C23543" w14:textId="77777777" w:rsidR="00825709" w:rsidRDefault="00825709" w:rsidP="00825709">
            <w:pPr>
              <w:ind w:left="144" w:right="144"/>
              <w:rPr>
                <w:sz w:val="20"/>
                <w:szCs w:val="20"/>
                <w:lang w:val="es-ES_tradnl"/>
              </w:rPr>
            </w:pPr>
          </w:p>
          <w:p w14:paraId="50822C4C" w14:textId="77777777" w:rsidR="00825709" w:rsidRPr="008E4257" w:rsidRDefault="00825709" w:rsidP="00825709">
            <w:pPr>
              <w:ind w:left="144" w:right="144"/>
              <w:rPr>
                <w:sz w:val="20"/>
                <w:szCs w:val="20"/>
                <w:lang w:val="es-ES_tradnl"/>
              </w:rPr>
            </w:pPr>
            <w:r w:rsidRPr="008E4257">
              <w:rPr>
                <w:sz w:val="20"/>
                <w:szCs w:val="20"/>
                <w:lang w:val="es-ES_tradnl"/>
              </w:rPr>
              <w:t>Superintendencia de Bancos</w:t>
            </w:r>
          </w:p>
          <w:p w14:paraId="2CEA3B19" w14:textId="77777777" w:rsidR="00825709" w:rsidRDefault="00825709" w:rsidP="00825709">
            <w:pPr>
              <w:ind w:left="144" w:right="144"/>
              <w:rPr>
                <w:sz w:val="20"/>
                <w:szCs w:val="20"/>
                <w:lang w:val="es-ES_tradnl"/>
              </w:rPr>
            </w:pPr>
          </w:p>
          <w:p w14:paraId="30E9FF9B" w14:textId="77777777" w:rsidR="00825709" w:rsidRDefault="00825709" w:rsidP="00825709">
            <w:pPr>
              <w:ind w:left="144" w:right="144"/>
              <w:rPr>
                <w:sz w:val="20"/>
                <w:szCs w:val="20"/>
                <w:lang w:val="es-ES_tradnl"/>
              </w:rPr>
            </w:pPr>
          </w:p>
          <w:p w14:paraId="1BFFA8C4" w14:textId="77777777" w:rsidR="00825709" w:rsidRDefault="00825709" w:rsidP="00825709">
            <w:pPr>
              <w:ind w:left="144" w:right="144"/>
              <w:rPr>
                <w:sz w:val="20"/>
                <w:szCs w:val="20"/>
                <w:lang w:val="es-ES_tradnl"/>
              </w:rPr>
            </w:pPr>
          </w:p>
          <w:p w14:paraId="39FA174F" w14:textId="77777777" w:rsidR="00825709" w:rsidRDefault="00825709" w:rsidP="00825709">
            <w:pPr>
              <w:ind w:left="144" w:right="144"/>
              <w:rPr>
                <w:sz w:val="20"/>
                <w:szCs w:val="20"/>
                <w:lang w:val="es-ES_tradnl"/>
              </w:rPr>
            </w:pPr>
          </w:p>
          <w:p w14:paraId="4A5CFCB4" w14:textId="77777777" w:rsidR="00825709" w:rsidRDefault="00825709" w:rsidP="00825709">
            <w:pPr>
              <w:ind w:left="144" w:right="144"/>
              <w:rPr>
                <w:sz w:val="20"/>
                <w:szCs w:val="20"/>
                <w:lang w:val="es-ES_tradnl"/>
              </w:rPr>
            </w:pPr>
          </w:p>
          <w:p w14:paraId="6C575869" w14:textId="77777777" w:rsidR="00825709" w:rsidRDefault="00825709" w:rsidP="00825709">
            <w:pPr>
              <w:ind w:left="144" w:right="144"/>
              <w:rPr>
                <w:sz w:val="20"/>
                <w:szCs w:val="20"/>
                <w:lang w:val="es-ES_tradnl"/>
              </w:rPr>
            </w:pPr>
          </w:p>
          <w:p w14:paraId="6DE797DF" w14:textId="77777777" w:rsidR="00825709" w:rsidRDefault="00825709" w:rsidP="00825709">
            <w:pPr>
              <w:ind w:left="144" w:right="144"/>
              <w:rPr>
                <w:sz w:val="20"/>
                <w:szCs w:val="20"/>
                <w:lang w:val="es-ES_tradnl"/>
              </w:rPr>
            </w:pPr>
            <w:r>
              <w:rPr>
                <w:sz w:val="20"/>
                <w:szCs w:val="20"/>
                <w:lang w:val="es-ES_tradnl"/>
              </w:rPr>
              <w:t>Junta Monetaria</w:t>
            </w:r>
          </w:p>
          <w:p w14:paraId="68BA3D38" w14:textId="77777777" w:rsidR="00825709" w:rsidRDefault="00825709" w:rsidP="00825709">
            <w:pPr>
              <w:ind w:left="144" w:right="144"/>
              <w:rPr>
                <w:sz w:val="20"/>
                <w:szCs w:val="20"/>
                <w:lang w:val="es-ES_tradnl"/>
              </w:rPr>
            </w:pPr>
          </w:p>
          <w:p w14:paraId="4BCB8D3F" w14:textId="77777777" w:rsidR="00825709" w:rsidRDefault="00825709" w:rsidP="00825709">
            <w:pPr>
              <w:ind w:left="144" w:right="144"/>
              <w:rPr>
                <w:sz w:val="20"/>
                <w:szCs w:val="20"/>
                <w:lang w:val="es-ES_tradnl"/>
              </w:rPr>
            </w:pPr>
          </w:p>
          <w:p w14:paraId="5AF6860C" w14:textId="77777777" w:rsidR="00825709" w:rsidRDefault="00825709" w:rsidP="00825709">
            <w:pPr>
              <w:ind w:left="144" w:right="144"/>
              <w:rPr>
                <w:sz w:val="20"/>
                <w:szCs w:val="20"/>
                <w:lang w:val="es-ES_tradnl"/>
              </w:rPr>
            </w:pPr>
          </w:p>
          <w:p w14:paraId="5E1B58FB" w14:textId="44B22BCE" w:rsidR="00825709" w:rsidRPr="00AB7CDB" w:rsidRDefault="00825709" w:rsidP="00825709">
            <w:pPr>
              <w:ind w:left="144" w:right="144"/>
              <w:rPr>
                <w:sz w:val="20"/>
                <w:szCs w:val="20"/>
                <w:lang w:val="es-ES_tradnl"/>
              </w:rPr>
            </w:pPr>
            <w:r w:rsidRPr="00B029CF">
              <w:rPr>
                <w:sz w:val="20"/>
                <w:szCs w:val="20"/>
                <w:lang w:val="es-ES_tradnl"/>
              </w:rPr>
              <w:t>Superintendencia de Bancos</w:t>
            </w:r>
          </w:p>
        </w:tc>
        <w:tc>
          <w:tcPr>
            <w:tcW w:w="1348" w:type="pct"/>
            <w:tcBorders>
              <w:top w:val="single" w:sz="4" w:space="0" w:color="auto"/>
              <w:left w:val="single" w:sz="4" w:space="0" w:color="auto"/>
              <w:bottom w:val="single" w:sz="4" w:space="0" w:color="auto"/>
              <w:right w:val="single" w:sz="4" w:space="0" w:color="auto"/>
            </w:tcBorders>
          </w:tcPr>
          <w:p w14:paraId="5A318DE4" w14:textId="00976E73" w:rsidR="00825709" w:rsidRPr="00AB7CDB" w:rsidRDefault="00825709" w:rsidP="00825709">
            <w:pPr>
              <w:ind w:left="144" w:right="144"/>
              <w:rPr>
                <w:sz w:val="20"/>
                <w:szCs w:val="20"/>
                <w:lang w:val="es-ES_tradnl"/>
              </w:rPr>
            </w:pPr>
            <w:r w:rsidRPr="00AB7CDB">
              <w:rPr>
                <w:sz w:val="20"/>
                <w:szCs w:val="20"/>
                <w:lang w:val="es-ES_tradnl"/>
              </w:rPr>
              <w:t>Desarrollo de la reglamentación para la supervisión basada en riesgos relativa a la evaluación de activos, riesgo de mercado, riesgo de tasa de interés</w:t>
            </w:r>
            <w:r>
              <w:rPr>
                <w:sz w:val="20"/>
                <w:szCs w:val="20"/>
                <w:lang w:val="es-ES_tradnl"/>
              </w:rPr>
              <w:t>, y de adecuación de capital.</w:t>
            </w:r>
          </w:p>
        </w:tc>
        <w:tc>
          <w:tcPr>
            <w:tcW w:w="1764" w:type="pct"/>
            <w:tcBorders>
              <w:top w:val="single" w:sz="4" w:space="0" w:color="auto"/>
              <w:left w:val="single" w:sz="4" w:space="0" w:color="auto"/>
              <w:bottom w:val="single" w:sz="4" w:space="0" w:color="auto"/>
              <w:right w:val="single" w:sz="4" w:space="0" w:color="auto"/>
            </w:tcBorders>
          </w:tcPr>
          <w:p w14:paraId="3BB3FE7A" w14:textId="77777777" w:rsidR="00825709" w:rsidRDefault="00825709" w:rsidP="00825709">
            <w:pPr>
              <w:tabs>
                <w:tab w:val="left" w:pos="567"/>
              </w:tabs>
              <w:ind w:left="109" w:right="72"/>
              <w:rPr>
                <w:sz w:val="20"/>
                <w:szCs w:val="20"/>
                <w:lang w:val="es-ES_tradnl"/>
              </w:rPr>
            </w:pPr>
            <w:r w:rsidRPr="008E4257">
              <w:rPr>
                <w:sz w:val="20"/>
                <w:szCs w:val="20"/>
                <w:lang w:val="es-ES_tradnl"/>
              </w:rPr>
              <w:t>Resolución JM 170316-03, Tercera Resolución de fecha 16 de marzo de 2017</w:t>
            </w:r>
            <w:r>
              <w:rPr>
                <w:sz w:val="20"/>
                <w:szCs w:val="20"/>
                <w:lang w:val="es-ES_tradnl"/>
              </w:rPr>
              <w:t>,</w:t>
            </w:r>
            <w:r w:rsidRPr="008E4257">
              <w:rPr>
                <w:sz w:val="20"/>
                <w:szCs w:val="20"/>
                <w:lang w:val="es-ES_tradnl"/>
              </w:rPr>
              <w:t xml:space="preserve"> que aprueba el reglamento sobre Lineamientos para la Gestión Integral de Riesgos.</w:t>
            </w:r>
          </w:p>
          <w:p w14:paraId="03365FD9" w14:textId="77777777" w:rsidR="00825709" w:rsidRPr="008E4257" w:rsidRDefault="00825709" w:rsidP="00825709">
            <w:pPr>
              <w:tabs>
                <w:tab w:val="left" w:pos="567"/>
              </w:tabs>
              <w:ind w:left="109" w:right="72"/>
              <w:rPr>
                <w:sz w:val="20"/>
                <w:szCs w:val="20"/>
                <w:lang w:val="es-ES_tradnl"/>
              </w:rPr>
            </w:pPr>
          </w:p>
          <w:p w14:paraId="5807ACEC" w14:textId="77777777" w:rsidR="00825709" w:rsidRDefault="00825709" w:rsidP="00825709">
            <w:pPr>
              <w:tabs>
                <w:tab w:val="left" w:pos="567"/>
              </w:tabs>
              <w:ind w:left="109" w:right="72"/>
              <w:rPr>
                <w:sz w:val="20"/>
                <w:szCs w:val="20"/>
                <w:lang w:val="es-ES_tradnl"/>
              </w:rPr>
            </w:pPr>
          </w:p>
          <w:p w14:paraId="3981B034" w14:textId="77777777" w:rsidR="00825709" w:rsidRDefault="00825709" w:rsidP="00825709">
            <w:pPr>
              <w:tabs>
                <w:tab w:val="left" w:pos="567"/>
              </w:tabs>
              <w:ind w:left="109" w:right="72"/>
              <w:rPr>
                <w:sz w:val="20"/>
                <w:szCs w:val="20"/>
                <w:lang w:val="es-ES_tradnl"/>
              </w:rPr>
            </w:pPr>
            <w:r>
              <w:rPr>
                <w:sz w:val="20"/>
                <w:szCs w:val="20"/>
                <w:lang w:val="es-ES_tradnl"/>
              </w:rPr>
              <w:t>Circular No. XXX, de fecha XXX, de aprobación por parte de la SIB del Instructivo de O</w:t>
            </w:r>
            <w:r w:rsidRPr="00FC49A7">
              <w:rPr>
                <w:sz w:val="20"/>
                <w:szCs w:val="20"/>
                <w:lang w:val="es-ES_tradnl"/>
              </w:rPr>
              <w:t xml:space="preserve">peraciones de </w:t>
            </w:r>
            <w:r>
              <w:rPr>
                <w:sz w:val="20"/>
                <w:szCs w:val="20"/>
                <w:lang w:val="es-ES_tradnl"/>
              </w:rPr>
              <w:t>R</w:t>
            </w:r>
            <w:r w:rsidRPr="00FC49A7">
              <w:rPr>
                <w:sz w:val="20"/>
                <w:szCs w:val="20"/>
                <w:lang w:val="es-ES_tradnl"/>
              </w:rPr>
              <w:t>eporto.</w:t>
            </w:r>
            <w:r>
              <w:rPr>
                <w:sz w:val="20"/>
                <w:szCs w:val="20"/>
                <w:lang w:val="es-ES_tradnl"/>
              </w:rPr>
              <w:t xml:space="preserve"> </w:t>
            </w:r>
          </w:p>
          <w:p w14:paraId="3F519CE6" w14:textId="77777777" w:rsidR="00825709" w:rsidRDefault="00825709" w:rsidP="00825709">
            <w:pPr>
              <w:tabs>
                <w:tab w:val="left" w:pos="567"/>
              </w:tabs>
              <w:ind w:right="72"/>
              <w:rPr>
                <w:sz w:val="20"/>
                <w:szCs w:val="20"/>
                <w:lang w:val="es-ES_tradnl"/>
              </w:rPr>
            </w:pPr>
          </w:p>
          <w:p w14:paraId="38FCED82" w14:textId="77777777" w:rsidR="00825709" w:rsidRDefault="00825709" w:rsidP="00825709">
            <w:pPr>
              <w:tabs>
                <w:tab w:val="left" w:pos="567"/>
              </w:tabs>
              <w:ind w:left="109" w:right="72"/>
              <w:rPr>
                <w:sz w:val="20"/>
                <w:szCs w:val="20"/>
                <w:lang w:val="es-ES_tradnl"/>
              </w:rPr>
            </w:pPr>
            <w:r w:rsidRPr="00F02CC3">
              <w:rPr>
                <w:sz w:val="20"/>
                <w:szCs w:val="20"/>
                <w:lang w:val="es-ES_tradnl"/>
              </w:rPr>
              <w:t>Presentación a consulta pública por parte de la SIB</w:t>
            </w:r>
            <w:r w:rsidRPr="00FC49A7">
              <w:rPr>
                <w:sz w:val="20"/>
                <w:szCs w:val="20"/>
                <w:lang w:val="es-ES_tradnl"/>
              </w:rPr>
              <w:t xml:space="preserve"> </w:t>
            </w:r>
            <w:r>
              <w:rPr>
                <w:sz w:val="20"/>
                <w:szCs w:val="20"/>
                <w:lang w:val="es-ES_tradnl"/>
              </w:rPr>
              <w:t>de:</w:t>
            </w:r>
            <w:r w:rsidRPr="00FC49A7">
              <w:rPr>
                <w:sz w:val="20"/>
                <w:szCs w:val="20"/>
                <w:lang w:val="es-ES_tradnl"/>
              </w:rPr>
              <w:t xml:space="preserve"> (i) </w:t>
            </w:r>
            <w:r>
              <w:rPr>
                <w:sz w:val="20"/>
                <w:szCs w:val="20"/>
                <w:lang w:val="es-ES_tradnl"/>
              </w:rPr>
              <w:t xml:space="preserve">el Instructivo para </w:t>
            </w:r>
            <w:r w:rsidRPr="00FC49A7">
              <w:rPr>
                <w:sz w:val="20"/>
                <w:szCs w:val="20"/>
                <w:lang w:val="es-ES_tradnl"/>
              </w:rPr>
              <w:t xml:space="preserve">el </w:t>
            </w:r>
            <w:r>
              <w:rPr>
                <w:sz w:val="20"/>
                <w:szCs w:val="20"/>
                <w:lang w:val="es-ES_tradnl"/>
              </w:rPr>
              <w:t>U</w:t>
            </w:r>
            <w:r w:rsidRPr="00FC49A7">
              <w:rPr>
                <w:sz w:val="20"/>
                <w:szCs w:val="20"/>
                <w:lang w:val="es-ES_tradnl"/>
              </w:rPr>
              <w:t xml:space="preserve">so de </w:t>
            </w:r>
            <w:r>
              <w:rPr>
                <w:sz w:val="20"/>
                <w:szCs w:val="20"/>
                <w:lang w:val="es-ES_tradnl"/>
              </w:rPr>
              <w:t>V</w:t>
            </w:r>
            <w:r w:rsidRPr="00FC49A7">
              <w:rPr>
                <w:sz w:val="20"/>
                <w:szCs w:val="20"/>
                <w:lang w:val="es-ES_tradnl"/>
              </w:rPr>
              <w:t xml:space="preserve">alor </w:t>
            </w:r>
            <w:r>
              <w:rPr>
                <w:sz w:val="20"/>
                <w:szCs w:val="20"/>
                <w:lang w:val="es-ES_tradnl"/>
              </w:rPr>
              <w:t>R</w:t>
            </w:r>
            <w:r w:rsidRPr="00FC49A7">
              <w:rPr>
                <w:sz w:val="20"/>
                <w:szCs w:val="20"/>
                <w:lang w:val="es-ES_tradnl"/>
              </w:rPr>
              <w:t xml:space="preserve">azonable de los </w:t>
            </w:r>
            <w:r>
              <w:rPr>
                <w:sz w:val="20"/>
                <w:szCs w:val="20"/>
                <w:lang w:val="es-ES_tradnl"/>
              </w:rPr>
              <w:t>I</w:t>
            </w:r>
            <w:r w:rsidRPr="00FC49A7">
              <w:rPr>
                <w:sz w:val="20"/>
                <w:szCs w:val="20"/>
                <w:lang w:val="es-ES_tradnl"/>
              </w:rPr>
              <w:t xml:space="preserve">nstrumentos </w:t>
            </w:r>
            <w:r>
              <w:rPr>
                <w:sz w:val="20"/>
                <w:szCs w:val="20"/>
                <w:lang w:val="es-ES_tradnl"/>
              </w:rPr>
              <w:t>F</w:t>
            </w:r>
            <w:r w:rsidRPr="00FC49A7">
              <w:rPr>
                <w:sz w:val="20"/>
                <w:szCs w:val="20"/>
                <w:lang w:val="es-ES_tradnl"/>
              </w:rPr>
              <w:t>inancieros</w:t>
            </w:r>
            <w:r>
              <w:rPr>
                <w:sz w:val="20"/>
                <w:szCs w:val="20"/>
                <w:lang w:val="es-ES_tradnl"/>
              </w:rPr>
              <w:t xml:space="preserve">; </w:t>
            </w:r>
            <w:r w:rsidRPr="00FC49A7">
              <w:rPr>
                <w:sz w:val="20"/>
                <w:szCs w:val="20"/>
                <w:lang w:val="es-ES_tradnl"/>
              </w:rPr>
              <w:t xml:space="preserve">(ii) </w:t>
            </w:r>
            <w:r>
              <w:rPr>
                <w:sz w:val="20"/>
                <w:szCs w:val="20"/>
                <w:lang w:val="es-ES_tradnl"/>
              </w:rPr>
              <w:t>el Instructivo de I</w:t>
            </w:r>
            <w:r w:rsidRPr="00FC49A7">
              <w:rPr>
                <w:sz w:val="20"/>
                <w:szCs w:val="20"/>
                <w:lang w:val="es-ES_tradnl"/>
              </w:rPr>
              <w:t xml:space="preserve">nstrumentos </w:t>
            </w:r>
            <w:r>
              <w:rPr>
                <w:sz w:val="20"/>
                <w:szCs w:val="20"/>
                <w:lang w:val="es-ES_tradnl"/>
              </w:rPr>
              <w:t>F</w:t>
            </w:r>
            <w:r w:rsidRPr="00FC49A7">
              <w:rPr>
                <w:sz w:val="20"/>
                <w:szCs w:val="20"/>
                <w:lang w:val="es-ES_tradnl"/>
              </w:rPr>
              <w:t xml:space="preserve">inancieros </w:t>
            </w:r>
            <w:r>
              <w:rPr>
                <w:sz w:val="20"/>
                <w:szCs w:val="20"/>
                <w:lang w:val="es-ES_tradnl"/>
              </w:rPr>
              <w:t>D</w:t>
            </w:r>
            <w:r w:rsidRPr="00FC49A7">
              <w:rPr>
                <w:sz w:val="20"/>
                <w:szCs w:val="20"/>
                <w:lang w:val="es-ES_tradnl"/>
              </w:rPr>
              <w:t>erivados</w:t>
            </w:r>
            <w:r>
              <w:rPr>
                <w:sz w:val="20"/>
                <w:szCs w:val="20"/>
                <w:lang w:val="es-ES_tradnl"/>
              </w:rPr>
              <w:t>; y (iii) las Modificaciones al Manual de Contabilidad para Instituciones Financieras.</w:t>
            </w:r>
          </w:p>
          <w:p w14:paraId="5A3078C7" w14:textId="77777777" w:rsidR="00825709" w:rsidRDefault="00825709" w:rsidP="00825709">
            <w:pPr>
              <w:tabs>
                <w:tab w:val="left" w:pos="567"/>
              </w:tabs>
              <w:ind w:left="109" w:right="72"/>
              <w:rPr>
                <w:sz w:val="20"/>
                <w:szCs w:val="20"/>
                <w:lang w:val="es-ES_tradnl"/>
              </w:rPr>
            </w:pPr>
          </w:p>
          <w:p w14:paraId="1096615B" w14:textId="77777777" w:rsidR="00825709" w:rsidRDefault="00825709" w:rsidP="00825709">
            <w:pPr>
              <w:tabs>
                <w:tab w:val="left" w:pos="567"/>
              </w:tabs>
              <w:ind w:left="109" w:right="72"/>
              <w:rPr>
                <w:sz w:val="20"/>
                <w:szCs w:val="20"/>
                <w:lang w:val="es-ES_tradnl"/>
              </w:rPr>
            </w:pPr>
            <w:bookmarkStart w:id="8" w:name="_Hlk488248621"/>
            <w:r w:rsidRPr="005D3FC7">
              <w:rPr>
                <w:sz w:val="20"/>
                <w:szCs w:val="20"/>
                <w:lang w:val="es-ES_tradnl"/>
              </w:rPr>
              <w:t xml:space="preserve">Resolución de la Junta Monetaria </w:t>
            </w:r>
            <w:r>
              <w:rPr>
                <w:sz w:val="20"/>
                <w:szCs w:val="20"/>
                <w:lang w:val="es-ES_tradnl"/>
              </w:rPr>
              <w:t xml:space="preserve">XXX </w:t>
            </w:r>
            <w:r w:rsidRPr="005D3FC7">
              <w:rPr>
                <w:sz w:val="20"/>
                <w:szCs w:val="20"/>
                <w:lang w:val="es-ES_tradnl"/>
              </w:rPr>
              <w:t>aprobando el nuevo Reglamento de Evaluación de Activos (REA).</w:t>
            </w:r>
          </w:p>
          <w:bookmarkEnd w:id="8"/>
          <w:p w14:paraId="7421AB95" w14:textId="77777777" w:rsidR="00825709" w:rsidRDefault="00825709" w:rsidP="00825709">
            <w:pPr>
              <w:tabs>
                <w:tab w:val="left" w:pos="567"/>
              </w:tabs>
              <w:ind w:left="109" w:right="72"/>
              <w:rPr>
                <w:sz w:val="20"/>
                <w:szCs w:val="20"/>
                <w:lang w:val="es-ES_tradnl"/>
              </w:rPr>
            </w:pPr>
          </w:p>
          <w:p w14:paraId="4AC076ED" w14:textId="77777777" w:rsidR="00825709" w:rsidRDefault="00825709" w:rsidP="00825709">
            <w:pPr>
              <w:tabs>
                <w:tab w:val="left" w:pos="567"/>
              </w:tabs>
              <w:ind w:left="109" w:right="72"/>
              <w:rPr>
                <w:sz w:val="20"/>
                <w:szCs w:val="20"/>
                <w:lang w:val="es-ES_tradnl"/>
              </w:rPr>
            </w:pPr>
            <w:bookmarkStart w:id="9" w:name="_Hlk488248684"/>
            <w:r>
              <w:rPr>
                <w:sz w:val="20"/>
                <w:szCs w:val="20"/>
                <w:lang w:val="es-ES_tradnl"/>
              </w:rPr>
              <w:t>Plan de Acción de la SIB para continuar con los avances en la regulación para la gestión de riesgos en las EIF.</w:t>
            </w:r>
          </w:p>
          <w:bookmarkEnd w:id="9"/>
          <w:p w14:paraId="2B4FD304" w14:textId="4C74E64D" w:rsidR="00825709" w:rsidRDefault="00825709" w:rsidP="00825709">
            <w:pPr>
              <w:tabs>
                <w:tab w:val="left" w:pos="567"/>
              </w:tabs>
              <w:ind w:left="109" w:right="72"/>
              <w:rPr>
                <w:b/>
                <w:sz w:val="20"/>
                <w:szCs w:val="20"/>
                <w:lang w:val="es-ES_tradnl"/>
              </w:rPr>
            </w:pPr>
          </w:p>
        </w:tc>
      </w:tr>
      <w:tr w:rsidR="00825709" w:rsidRPr="00485794" w14:paraId="7DB88167" w14:textId="77777777" w:rsidTr="00524225">
        <w:trPr>
          <w:cantSplit/>
          <w:trHeight w:val="396"/>
          <w:jc w:val="center"/>
        </w:trPr>
        <w:tc>
          <w:tcPr>
            <w:tcW w:w="966" w:type="pct"/>
            <w:vMerge/>
            <w:tcBorders>
              <w:left w:val="single" w:sz="4" w:space="0" w:color="auto"/>
              <w:right w:val="single" w:sz="4" w:space="0" w:color="auto"/>
            </w:tcBorders>
            <w:shd w:val="clear" w:color="auto" w:fill="auto"/>
          </w:tcPr>
          <w:p w14:paraId="27AC2E7A" w14:textId="77777777" w:rsidR="00825709" w:rsidRPr="00F06DA7" w:rsidRDefault="00825709" w:rsidP="00825709">
            <w:pPr>
              <w:ind w:left="144" w:right="144"/>
              <w:rPr>
                <w:sz w:val="22"/>
                <w:szCs w:val="22"/>
                <w:lang w:val="es-ES_tradnl"/>
              </w:rPr>
            </w:pPr>
          </w:p>
        </w:tc>
        <w:tc>
          <w:tcPr>
            <w:tcW w:w="922" w:type="pct"/>
            <w:tcBorders>
              <w:top w:val="single" w:sz="4" w:space="0" w:color="auto"/>
              <w:left w:val="single" w:sz="4" w:space="0" w:color="auto"/>
              <w:bottom w:val="single" w:sz="4" w:space="0" w:color="auto"/>
              <w:right w:val="single" w:sz="4" w:space="0" w:color="auto"/>
            </w:tcBorders>
          </w:tcPr>
          <w:p w14:paraId="6D6DEA03" w14:textId="7E2FC2E5" w:rsidR="00825709" w:rsidRPr="00F06DA7" w:rsidRDefault="00825709" w:rsidP="00825709">
            <w:pPr>
              <w:ind w:left="144" w:right="144"/>
              <w:rPr>
                <w:sz w:val="22"/>
                <w:szCs w:val="22"/>
                <w:lang w:val="es-ES_tradnl"/>
              </w:rPr>
            </w:pPr>
            <w:r>
              <w:rPr>
                <w:sz w:val="20"/>
                <w:szCs w:val="20"/>
                <w:lang w:val="es-ES_tradnl"/>
              </w:rPr>
              <w:t>Junta Monetaria</w:t>
            </w:r>
          </w:p>
        </w:tc>
        <w:tc>
          <w:tcPr>
            <w:tcW w:w="1348" w:type="pct"/>
            <w:tcBorders>
              <w:top w:val="single" w:sz="4" w:space="0" w:color="auto"/>
              <w:left w:val="single" w:sz="4" w:space="0" w:color="auto"/>
              <w:bottom w:val="single" w:sz="4" w:space="0" w:color="auto"/>
              <w:right w:val="single" w:sz="4" w:space="0" w:color="auto"/>
            </w:tcBorders>
          </w:tcPr>
          <w:p w14:paraId="6018DC28" w14:textId="121D7545" w:rsidR="00825709" w:rsidRPr="00F06DA7" w:rsidRDefault="00825709" w:rsidP="00825709">
            <w:pPr>
              <w:ind w:left="144" w:right="144"/>
              <w:rPr>
                <w:sz w:val="22"/>
                <w:szCs w:val="22"/>
                <w:lang w:val="es-ES_tradnl"/>
              </w:rPr>
            </w:pPr>
            <w:r w:rsidRPr="000E7839">
              <w:rPr>
                <w:sz w:val="20"/>
                <w:szCs w:val="20"/>
                <w:lang w:val="es-ES_tradnl"/>
              </w:rPr>
              <w:t xml:space="preserve">Aprobación </w:t>
            </w:r>
            <w:r>
              <w:rPr>
                <w:sz w:val="20"/>
                <w:szCs w:val="20"/>
                <w:lang w:val="es-ES_tradnl"/>
              </w:rPr>
              <w:t xml:space="preserve">por parte de la Junta Monetaria de </w:t>
            </w:r>
            <w:r w:rsidRPr="000E7839">
              <w:rPr>
                <w:sz w:val="20"/>
                <w:szCs w:val="20"/>
                <w:lang w:val="es-ES_tradnl"/>
              </w:rPr>
              <w:t>un nuevo Reglamento sobre Gobierno Corporativo.</w:t>
            </w:r>
          </w:p>
        </w:tc>
        <w:tc>
          <w:tcPr>
            <w:tcW w:w="1764" w:type="pct"/>
            <w:tcBorders>
              <w:top w:val="single" w:sz="4" w:space="0" w:color="auto"/>
              <w:left w:val="single" w:sz="4" w:space="0" w:color="auto"/>
              <w:bottom w:val="single" w:sz="4" w:space="0" w:color="auto"/>
              <w:right w:val="single" w:sz="4" w:space="0" w:color="auto"/>
            </w:tcBorders>
          </w:tcPr>
          <w:p w14:paraId="3BE58E1D" w14:textId="0D23F756" w:rsidR="00825709" w:rsidRPr="007B74DB" w:rsidRDefault="00825709" w:rsidP="00825709">
            <w:pPr>
              <w:tabs>
                <w:tab w:val="left" w:pos="567"/>
              </w:tabs>
              <w:ind w:left="109" w:right="72"/>
              <w:rPr>
                <w:sz w:val="20"/>
                <w:lang w:val="es-ES_tradnl"/>
              </w:rPr>
            </w:pPr>
            <w:r>
              <w:rPr>
                <w:sz w:val="20"/>
                <w:lang w:val="es-ES_tradnl"/>
              </w:rPr>
              <w:t>Resolución JM 150702-1, M</w:t>
            </w:r>
            <w:r w:rsidRPr="007B74DB">
              <w:rPr>
                <w:sz w:val="20"/>
                <w:lang w:val="es-ES_tradnl"/>
              </w:rPr>
              <w:t>odificación del Reglamento sobre</w:t>
            </w:r>
            <w:r>
              <w:rPr>
                <w:sz w:val="20"/>
                <w:lang w:val="es-ES_tradnl"/>
              </w:rPr>
              <w:t xml:space="preserve"> </w:t>
            </w:r>
            <w:r w:rsidRPr="007B74DB">
              <w:rPr>
                <w:sz w:val="20"/>
                <w:lang w:val="es-ES_tradnl"/>
              </w:rPr>
              <w:t>Gobierno Corporativo, aprobado mediante la Segunda Resolución dictada por la</w:t>
            </w:r>
            <w:r>
              <w:rPr>
                <w:sz w:val="20"/>
                <w:lang w:val="es-ES_tradnl"/>
              </w:rPr>
              <w:t xml:space="preserve"> </w:t>
            </w:r>
            <w:r w:rsidRPr="007B74DB">
              <w:rPr>
                <w:sz w:val="20"/>
                <w:lang w:val="es-ES_tradnl"/>
              </w:rPr>
              <w:t>Junta Monetaria</w:t>
            </w:r>
            <w:r>
              <w:rPr>
                <w:sz w:val="20"/>
                <w:lang w:val="es-ES_tradnl"/>
              </w:rPr>
              <w:t xml:space="preserve"> en fecha 19 de abril del 201</w:t>
            </w:r>
            <w:r w:rsidRPr="007B74DB">
              <w:rPr>
                <w:sz w:val="20"/>
                <w:lang w:val="es-ES_tradnl"/>
              </w:rPr>
              <w:t>7</w:t>
            </w:r>
            <w:r>
              <w:rPr>
                <w:sz w:val="20"/>
                <w:lang w:val="es-ES_tradnl"/>
              </w:rPr>
              <w:t>.</w:t>
            </w:r>
          </w:p>
        </w:tc>
      </w:tr>
      <w:tr w:rsidR="00825709" w:rsidRPr="00485794" w14:paraId="1C4BF2FA" w14:textId="77777777" w:rsidTr="00524225">
        <w:trPr>
          <w:cantSplit/>
          <w:trHeight w:val="396"/>
          <w:jc w:val="center"/>
        </w:trPr>
        <w:tc>
          <w:tcPr>
            <w:tcW w:w="966" w:type="pct"/>
            <w:vMerge/>
            <w:tcBorders>
              <w:left w:val="single" w:sz="4" w:space="0" w:color="auto"/>
              <w:bottom w:val="single" w:sz="4" w:space="0" w:color="auto"/>
              <w:right w:val="single" w:sz="4" w:space="0" w:color="auto"/>
            </w:tcBorders>
            <w:shd w:val="clear" w:color="auto" w:fill="auto"/>
          </w:tcPr>
          <w:p w14:paraId="2A494AD3" w14:textId="77777777" w:rsidR="00825709" w:rsidRPr="00F06DA7" w:rsidRDefault="00825709" w:rsidP="00825709">
            <w:pPr>
              <w:ind w:left="144" w:right="144"/>
              <w:rPr>
                <w:sz w:val="22"/>
                <w:szCs w:val="22"/>
                <w:lang w:val="es-ES_tradnl"/>
              </w:rPr>
            </w:pPr>
          </w:p>
        </w:tc>
        <w:tc>
          <w:tcPr>
            <w:tcW w:w="922" w:type="pct"/>
            <w:tcBorders>
              <w:top w:val="single" w:sz="4" w:space="0" w:color="auto"/>
              <w:left w:val="single" w:sz="4" w:space="0" w:color="auto"/>
              <w:bottom w:val="single" w:sz="4" w:space="0" w:color="auto"/>
              <w:right w:val="single" w:sz="4" w:space="0" w:color="auto"/>
            </w:tcBorders>
          </w:tcPr>
          <w:p w14:paraId="58C8449C" w14:textId="77777777" w:rsidR="00825709" w:rsidRPr="00D90ECD" w:rsidRDefault="00825709" w:rsidP="00825709">
            <w:pPr>
              <w:ind w:left="144" w:right="144"/>
              <w:rPr>
                <w:sz w:val="20"/>
                <w:szCs w:val="20"/>
                <w:lang w:val="es-ES_tradnl"/>
              </w:rPr>
            </w:pPr>
            <w:r>
              <w:rPr>
                <w:sz w:val="20"/>
                <w:szCs w:val="20"/>
                <w:lang w:val="es-ES_tradnl"/>
              </w:rPr>
              <w:t>Presidencia de la República.</w:t>
            </w:r>
          </w:p>
        </w:tc>
        <w:tc>
          <w:tcPr>
            <w:tcW w:w="1348" w:type="pct"/>
            <w:tcBorders>
              <w:top w:val="single" w:sz="4" w:space="0" w:color="auto"/>
              <w:left w:val="single" w:sz="4" w:space="0" w:color="auto"/>
              <w:bottom w:val="single" w:sz="4" w:space="0" w:color="auto"/>
              <w:right w:val="single" w:sz="4" w:space="0" w:color="auto"/>
            </w:tcBorders>
          </w:tcPr>
          <w:p w14:paraId="15FD0B36" w14:textId="34710DB0" w:rsidR="00825709" w:rsidRPr="000E7839" w:rsidRDefault="00825709" w:rsidP="00825709">
            <w:pPr>
              <w:ind w:left="144" w:right="144"/>
              <w:rPr>
                <w:sz w:val="22"/>
                <w:szCs w:val="22"/>
                <w:lang w:val="es-ES_tradnl"/>
              </w:rPr>
            </w:pPr>
            <w:r w:rsidRPr="001D15ED">
              <w:rPr>
                <w:sz w:val="20"/>
                <w:szCs w:val="20"/>
                <w:lang w:val="es-ES_tradnl"/>
              </w:rPr>
              <w:t xml:space="preserve">Presentación a </w:t>
            </w:r>
            <w:r w:rsidR="006210EC">
              <w:rPr>
                <w:sz w:val="20"/>
                <w:szCs w:val="20"/>
                <w:lang w:val="es-ES_tradnl"/>
              </w:rPr>
              <w:t>Junta Monetaria</w:t>
            </w:r>
            <w:r w:rsidRPr="001D15ED">
              <w:rPr>
                <w:sz w:val="20"/>
                <w:szCs w:val="20"/>
                <w:lang w:val="es-ES_tradnl"/>
              </w:rPr>
              <w:t xml:space="preserve"> de un proyecto de Ley de Cooperativas de Ahorro y Crédito.</w:t>
            </w:r>
          </w:p>
        </w:tc>
        <w:tc>
          <w:tcPr>
            <w:tcW w:w="1764" w:type="pct"/>
            <w:tcBorders>
              <w:top w:val="single" w:sz="4" w:space="0" w:color="auto"/>
              <w:left w:val="single" w:sz="4" w:space="0" w:color="auto"/>
              <w:bottom w:val="single" w:sz="4" w:space="0" w:color="auto"/>
              <w:right w:val="single" w:sz="4" w:space="0" w:color="auto"/>
            </w:tcBorders>
          </w:tcPr>
          <w:p w14:paraId="27A3D7BB" w14:textId="77777777" w:rsidR="00825709" w:rsidRPr="007B74DB" w:rsidRDefault="00825709" w:rsidP="00825709">
            <w:pPr>
              <w:tabs>
                <w:tab w:val="left" w:pos="567"/>
              </w:tabs>
              <w:ind w:left="109" w:right="72"/>
              <w:rPr>
                <w:sz w:val="20"/>
                <w:szCs w:val="20"/>
                <w:lang w:val="es-ES_tradnl"/>
              </w:rPr>
            </w:pPr>
            <w:r w:rsidRPr="007B74DB">
              <w:rPr>
                <w:sz w:val="20"/>
                <w:szCs w:val="20"/>
                <w:lang w:val="es-ES_tradnl"/>
              </w:rPr>
              <w:t>Comunicación de la Presidencia de la República</w:t>
            </w:r>
            <w:r>
              <w:rPr>
                <w:sz w:val="20"/>
                <w:szCs w:val="20"/>
                <w:lang w:val="es-ES_tradnl"/>
              </w:rPr>
              <w:t xml:space="preserve"> remitiendo al Congreso Nacional el Proyecto de Ley </w:t>
            </w:r>
            <w:r w:rsidRPr="007B74DB">
              <w:rPr>
                <w:sz w:val="20"/>
                <w:szCs w:val="20"/>
                <w:lang w:val="es-ES_tradnl"/>
              </w:rPr>
              <w:t>de Cooperativas de Ahorro y Crédito</w:t>
            </w:r>
            <w:r>
              <w:rPr>
                <w:sz w:val="20"/>
                <w:szCs w:val="20"/>
                <w:lang w:val="es-ES_tradnl"/>
              </w:rPr>
              <w:t>.</w:t>
            </w:r>
          </w:p>
        </w:tc>
      </w:tr>
      <w:tr w:rsidR="00825709" w:rsidRPr="00485794" w14:paraId="3CB13C25" w14:textId="77777777" w:rsidTr="00524225">
        <w:trPr>
          <w:cantSplit/>
          <w:trHeight w:val="396"/>
          <w:jc w:val="center"/>
        </w:trPr>
        <w:tc>
          <w:tcPr>
            <w:tcW w:w="966" w:type="pct"/>
            <w:vMerge w:val="restart"/>
            <w:tcBorders>
              <w:top w:val="single" w:sz="4" w:space="0" w:color="auto"/>
              <w:left w:val="single" w:sz="4" w:space="0" w:color="auto"/>
              <w:right w:val="single" w:sz="4" w:space="0" w:color="auto"/>
            </w:tcBorders>
            <w:shd w:val="clear" w:color="auto" w:fill="auto"/>
          </w:tcPr>
          <w:p w14:paraId="28B51173" w14:textId="6F100638" w:rsidR="00825709" w:rsidRPr="001D15ED" w:rsidRDefault="00825709" w:rsidP="00825709">
            <w:pPr>
              <w:pStyle w:val="ListParagraph"/>
              <w:numPr>
                <w:ilvl w:val="0"/>
                <w:numId w:val="17"/>
              </w:numPr>
              <w:spacing w:after="0"/>
              <w:contextualSpacing/>
              <w:jc w:val="left"/>
              <w:rPr>
                <w:b/>
                <w:sz w:val="18"/>
                <w:szCs w:val="20"/>
                <w:lang w:val="es-ES_tradnl"/>
              </w:rPr>
            </w:pPr>
            <w:r w:rsidRPr="001D15ED">
              <w:rPr>
                <w:b/>
                <w:sz w:val="20"/>
                <w:szCs w:val="20"/>
                <w:lang w:val="es-ES_tradnl"/>
              </w:rPr>
              <w:lastRenderedPageBreak/>
              <w:t>Desarrollo de nuevas instituciones e instrumentos para el financiamiento del desarrollo productivo</w:t>
            </w:r>
          </w:p>
          <w:p w14:paraId="456B3E32" w14:textId="77777777" w:rsidR="00825709" w:rsidRPr="00F06DA7" w:rsidRDefault="00825709" w:rsidP="00825709">
            <w:pPr>
              <w:ind w:left="144" w:right="144"/>
              <w:rPr>
                <w:sz w:val="22"/>
                <w:szCs w:val="22"/>
                <w:lang w:val="es-ES_tradnl"/>
              </w:rPr>
            </w:pPr>
          </w:p>
        </w:tc>
        <w:tc>
          <w:tcPr>
            <w:tcW w:w="922" w:type="pct"/>
            <w:tcBorders>
              <w:top w:val="single" w:sz="4" w:space="0" w:color="auto"/>
              <w:left w:val="single" w:sz="4" w:space="0" w:color="auto"/>
              <w:bottom w:val="single" w:sz="4" w:space="0" w:color="auto"/>
              <w:right w:val="single" w:sz="4" w:space="0" w:color="auto"/>
            </w:tcBorders>
          </w:tcPr>
          <w:p w14:paraId="3E3DE0B3" w14:textId="2FEF2D33" w:rsidR="00825709" w:rsidRPr="00D90ECD" w:rsidRDefault="00825709" w:rsidP="00825709">
            <w:pPr>
              <w:ind w:left="144" w:right="144"/>
              <w:rPr>
                <w:sz w:val="20"/>
                <w:szCs w:val="20"/>
                <w:lang w:val="es-ES_tradnl"/>
              </w:rPr>
            </w:pPr>
            <w:r>
              <w:rPr>
                <w:sz w:val="20"/>
                <w:szCs w:val="20"/>
                <w:lang w:val="es-ES_tradnl"/>
              </w:rPr>
              <w:t>Junta Monetaria / BANDEX</w:t>
            </w:r>
          </w:p>
        </w:tc>
        <w:tc>
          <w:tcPr>
            <w:tcW w:w="1348" w:type="pct"/>
            <w:tcBorders>
              <w:top w:val="single" w:sz="4" w:space="0" w:color="auto"/>
              <w:left w:val="single" w:sz="4" w:space="0" w:color="auto"/>
              <w:bottom w:val="single" w:sz="4" w:space="0" w:color="auto"/>
              <w:right w:val="single" w:sz="4" w:space="0" w:color="auto"/>
            </w:tcBorders>
          </w:tcPr>
          <w:p w14:paraId="66E21961" w14:textId="465DE1A8" w:rsidR="00825709" w:rsidRPr="000E7839" w:rsidRDefault="00825709" w:rsidP="00825709">
            <w:pPr>
              <w:ind w:left="144" w:right="144"/>
              <w:rPr>
                <w:rFonts w:eastAsia="Calibri"/>
                <w:sz w:val="20"/>
                <w:szCs w:val="22"/>
              </w:rPr>
            </w:pPr>
            <w:r w:rsidRPr="001D15ED">
              <w:rPr>
                <w:sz w:val="20"/>
                <w:szCs w:val="20"/>
                <w:lang w:val="es-ES_tradnl"/>
              </w:rPr>
              <w:t>Desarrollo de la reglamentación que pone en funcionamiento el Banco Nacional de las Exportaciones</w:t>
            </w:r>
            <w:r>
              <w:rPr>
                <w:sz w:val="20"/>
                <w:szCs w:val="20"/>
                <w:lang w:val="es-ES_tradnl"/>
              </w:rPr>
              <w:t xml:space="preserve"> (BANDEX)</w:t>
            </w:r>
            <w:r w:rsidRPr="001D15ED">
              <w:rPr>
                <w:sz w:val="20"/>
                <w:szCs w:val="20"/>
                <w:lang w:val="es-ES_tradnl"/>
              </w:rPr>
              <w:t>, siguiendo mejores prácticas.</w:t>
            </w:r>
          </w:p>
        </w:tc>
        <w:tc>
          <w:tcPr>
            <w:tcW w:w="1764" w:type="pct"/>
            <w:tcBorders>
              <w:top w:val="single" w:sz="4" w:space="0" w:color="auto"/>
              <w:left w:val="single" w:sz="4" w:space="0" w:color="auto"/>
              <w:bottom w:val="single" w:sz="4" w:space="0" w:color="auto"/>
              <w:right w:val="single" w:sz="4" w:space="0" w:color="auto"/>
            </w:tcBorders>
          </w:tcPr>
          <w:p w14:paraId="1AA6C4B2" w14:textId="77777777" w:rsidR="00825709" w:rsidRDefault="00825709" w:rsidP="00825709">
            <w:pPr>
              <w:tabs>
                <w:tab w:val="left" w:pos="567"/>
              </w:tabs>
              <w:ind w:left="109" w:right="72"/>
              <w:rPr>
                <w:sz w:val="20"/>
                <w:szCs w:val="20"/>
                <w:lang w:val="es-ES_tradnl"/>
              </w:rPr>
            </w:pPr>
            <w:r>
              <w:rPr>
                <w:sz w:val="20"/>
                <w:szCs w:val="20"/>
                <w:lang w:val="es-ES_tradnl"/>
              </w:rPr>
              <w:t xml:space="preserve">Ley 126-15 para la transformación del Banco Nacional de Fomento de la Vivienda y la Producción (BNV) en el banco Nacional de las Exportaciones (BANDEX), promulgada el </w:t>
            </w:r>
            <w:r w:rsidRPr="00A54C8B">
              <w:rPr>
                <w:sz w:val="20"/>
                <w:szCs w:val="20"/>
                <w:lang w:val="es-ES_tradnl"/>
              </w:rPr>
              <w:t>17 de julio de 2015</w:t>
            </w:r>
            <w:r>
              <w:rPr>
                <w:sz w:val="20"/>
                <w:szCs w:val="20"/>
                <w:lang w:val="es-ES_tradnl"/>
              </w:rPr>
              <w:t>.</w:t>
            </w:r>
          </w:p>
          <w:p w14:paraId="0AD4B244" w14:textId="77777777" w:rsidR="00825709" w:rsidRDefault="00825709" w:rsidP="00825709">
            <w:pPr>
              <w:tabs>
                <w:tab w:val="left" w:pos="567"/>
              </w:tabs>
              <w:ind w:left="109" w:right="72"/>
              <w:rPr>
                <w:sz w:val="20"/>
                <w:szCs w:val="20"/>
                <w:lang w:val="es-ES_tradnl"/>
              </w:rPr>
            </w:pPr>
          </w:p>
          <w:p w14:paraId="1CC786C3" w14:textId="77777777" w:rsidR="00825709" w:rsidRDefault="00825709" w:rsidP="00825709">
            <w:pPr>
              <w:tabs>
                <w:tab w:val="left" w:pos="567"/>
              </w:tabs>
              <w:ind w:left="109" w:right="72"/>
              <w:rPr>
                <w:sz w:val="20"/>
                <w:szCs w:val="20"/>
                <w:lang w:val="es-ES_tradnl"/>
              </w:rPr>
            </w:pPr>
            <w:r w:rsidRPr="00A54C8B">
              <w:rPr>
                <w:sz w:val="20"/>
                <w:szCs w:val="20"/>
                <w:lang w:val="es-ES_tradnl"/>
              </w:rPr>
              <w:t>Decreto No.</w:t>
            </w:r>
            <w:r>
              <w:rPr>
                <w:sz w:val="20"/>
                <w:szCs w:val="20"/>
                <w:lang w:val="es-ES_tradnl"/>
              </w:rPr>
              <w:t xml:space="preserve"> </w:t>
            </w:r>
            <w:r w:rsidRPr="00A54C8B">
              <w:rPr>
                <w:sz w:val="20"/>
                <w:szCs w:val="20"/>
                <w:lang w:val="es-ES_tradnl"/>
              </w:rPr>
              <w:t xml:space="preserve">238-15 del 6 de </w:t>
            </w:r>
            <w:r>
              <w:rPr>
                <w:sz w:val="20"/>
                <w:szCs w:val="20"/>
                <w:lang w:val="es-ES_tradnl"/>
              </w:rPr>
              <w:t>a</w:t>
            </w:r>
            <w:r w:rsidRPr="00A54C8B">
              <w:rPr>
                <w:sz w:val="20"/>
                <w:szCs w:val="20"/>
                <w:lang w:val="es-ES_tradnl"/>
              </w:rPr>
              <w:t xml:space="preserve">gosto </w:t>
            </w:r>
            <w:r>
              <w:rPr>
                <w:sz w:val="20"/>
                <w:szCs w:val="20"/>
                <w:lang w:val="es-ES_tradnl"/>
              </w:rPr>
              <w:t>de 2015,</w:t>
            </w:r>
            <w:r w:rsidRPr="00A54C8B">
              <w:rPr>
                <w:sz w:val="20"/>
                <w:szCs w:val="20"/>
                <w:lang w:val="es-ES_tradnl"/>
              </w:rPr>
              <w:t xml:space="preserve"> designando al Gerente General de BANDEX</w:t>
            </w:r>
            <w:r>
              <w:rPr>
                <w:sz w:val="20"/>
                <w:szCs w:val="20"/>
                <w:lang w:val="es-ES_tradnl"/>
              </w:rPr>
              <w:t>.</w:t>
            </w:r>
          </w:p>
          <w:p w14:paraId="2D89B930" w14:textId="77777777" w:rsidR="00825709" w:rsidRDefault="00825709" w:rsidP="00825709">
            <w:pPr>
              <w:tabs>
                <w:tab w:val="left" w:pos="567"/>
              </w:tabs>
              <w:ind w:left="109" w:right="72"/>
              <w:rPr>
                <w:sz w:val="20"/>
                <w:szCs w:val="20"/>
                <w:lang w:val="es-ES_tradnl"/>
              </w:rPr>
            </w:pPr>
          </w:p>
          <w:p w14:paraId="179231D1" w14:textId="77777777" w:rsidR="00825709" w:rsidRDefault="00825709" w:rsidP="00825709">
            <w:pPr>
              <w:tabs>
                <w:tab w:val="left" w:pos="567"/>
              </w:tabs>
              <w:ind w:left="109" w:right="72"/>
              <w:rPr>
                <w:sz w:val="20"/>
                <w:szCs w:val="20"/>
                <w:lang w:val="es-ES_tradnl"/>
              </w:rPr>
            </w:pPr>
            <w:r w:rsidRPr="006D420C">
              <w:rPr>
                <w:sz w:val="20"/>
                <w:szCs w:val="20"/>
                <w:lang w:val="es-ES_tradnl"/>
              </w:rPr>
              <w:t xml:space="preserve">Resolución </w:t>
            </w:r>
            <w:r>
              <w:rPr>
                <w:sz w:val="20"/>
                <w:szCs w:val="20"/>
                <w:lang w:val="es-ES_tradnl"/>
              </w:rPr>
              <w:t>JM 161031-01 del 31 de octubre de 2016 que establece un tratamiento especial a los préstamos de segundo piso del BANDEX otorgados a una entidad financiera que inicie un proceso de disolución.</w:t>
            </w:r>
          </w:p>
          <w:p w14:paraId="5E8DEE6C" w14:textId="77777777" w:rsidR="00825709" w:rsidRDefault="00825709" w:rsidP="00825709">
            <w:pPr>
              <w:tabs>
                <w:tab w:val="left" w:pos="567"/>
              </w:tabs>
              <w:ind w:left="109" w:right="72"/>
              <w:rPr>
                <w:sz w:val="20"/>
                <w:szCs w:val="20"/>
                <w:lang w:val="es-ES_tradnl"/>
              </w:rPr>
            </w:pPr>
          </w:p>
          <w:p w14:paraId="06009ABA" w14:textId="77777777" w:rsidR="00825709" w:rsidRDefault="00825709" w:rsidP="00825709">
            <w:pPr>
              <w:tabs>
                <w:tab w:val="left" w:pos="567"/>
              </w:tabs>
              <w:ind w:left="109" w:right="72"/>
              <w:rPr>
                <w:sz w:val="20"/>
                <w:szCs w:val="20"/>
                <w:lang w:val="es-ES_tradnl"/>
              </w:rPr>
            </w:pPr>
            <w:r>
              <w:rPr>
                <w:sz w:val="20"/>
                <w:szCs w:val="20"/>
                <w:lang w:val="es-ES_tradnl"/>
              </w:rPr>
              <w:t xml:space="preserve">Aprobación por parte del </w:t>
            </w:r>
            <w:r w:rsidRPr="00A54C8B">
              <w:rPr>
                <w:sz w:val="20"/>
                <w:szCs w:val="20"/>
                <w:lang w:val="es-ES_tradnl"/>
              </w:rPr>
              <w:t xml:space="preserve">Consejo de Administración </w:t>
            </w:r>
            <w:r>
              <w:rPr>
                <w:sz w:val="20"/>
                <w:szCs w:val="20"/>
                <w:lang w:val="es-ES_tradnl"/>
              </w:rPr>
              <w:t xml:space="preserve">de </w:t>
            </w:r>
            <w:r w:rsidRPr="00A54C8B">
              <w:rPr>
                <w:sz w:val="20"/>
                <w:szCs w:val="20"/>
                <w:lang w:val="es-ES_tradnl"/>
              </w:rPr>
              <w:t>los Estatutos Sociales del Banco en septiembre de 2016</w:t>
            </w:r>
            <w:r>
              <w:rPr>
                <w:sz w:val="20"/>
                <w:szCs w:val="20"/>
                <w:lang w:val="es-ES_tradnl"/>
              </w:rPr>
              <w:t>, para la c</w:t>
            </w:r>
            <w:r w:rsidRPr="00A54C8B">
              <w:rPr>
                <w:sz w:val="20"/>
                <w:szCs w:val="20"/>
                <w:lang w:val="es-ES_tradnl"/>
              </w:rPr>
              <w:t>onstitución de BANDEX y adecuación como empresa bajo la Ley de Sociedades y la</w:t>
            </w:r>
            <w:r>
              <w:rPr>
                <w:sz w:val="20"/>
                <w:szCs w:val="20"/>
                <w:lang w:val="es-ES_tradnl"/>
              </w:rPr>
              <w:t xml:space="preserve"> Ley Monetaria y Financiera. Su inscripción en el </w:t>
            </w:r>
            <w:r w:rsidRPr="00FC2B31">
              <w:rPr>
                <w:sz w:val="20"/>
                <w:szCs w:val="20"/>
                <w:lang w:val="es-ES_tradnl"/>
              </w:rPr>
              <w:t xml:space="preserve">Registro Mercantil </w:t>
            </w:r>
            <w:r>
              <w:rPr>
                <w:sz w:val="20"/>
                <w:szCs w:val="20"/>
                <w:lang w:val="es-ES_tradnl"/>
              </w:rPr>
              <w:t xml:space="preserve">se llevó a cabo </w:t>
            </w:r>
            <w:r w:rsidRPr="00FC2B31">
              <w:rPr>
                <w:sz w:val="20"/>
                <w:szCs w:val="20"/>
                <w:lang w:val="es-ES_tradnl"/>
              </w:rPr>
              <w:t>el 20 de diciembre de 2016</w:t>
            </w:r>
            <w:r>
              <w:rPr>
                <w:sz w:val="20"/>
                <w:szCs w:val="20"/>
                <w:lang w:val="es-ES_tradnl"/>
              </w:rPr>
              <w:t>.</w:t>
            </w:r>
          </w:p>
          <w:p w14:paraId="603C7DDA" w14:textId="77777777" w:rsidR="00825709" w:rsidRDefault="00825709" w:rsidP="00825709">
            <w:pPr>
              <w:tabs>
                <w:tab w:val="left" w:pos="567"/>
              </w:tabs>
              <w:ind w:left="109" w:right="72"/>
              <w:rPr>
                <w:sz w:val="20"/>
                <w:szCs w:val="20"/>
                <w:lang w:val="es-ES_tradnl"/>
              </w:rPr>
            </w:pPr>
          </w:p>
          <w:p w14:paraId="0BB4FB73" w14:textId="77777777" w:rsidR="00825709" w:rsidRDefault="00825709" w:rsidP="00825709">
            <w:pPr>
              <w:tabs>
                <w:tab w:val="left" w:pos="567"/>
              </w:tabs>
              <w:ind w:left="109" w:right="72"/>
              <w:rPr>
                <w:sz w:val="20"/>
                <w:szCs w:val="20"/>
                <w:lang w:val="es-ES_tradnl"/>
              </w:rPr>
            </w:pPr>
            <w:r>
              <w:rPr>
                <w:sz w:val="20"/>
                <w:szCs w:val="20"/>
                <w:lang w:val="es-ES_tradnl"/>
              </w:rPr>
              <w:t>Constitución del encaje legal el 25 de mayo de 2017, en cumplimiento de la Sexta Resolución de la Junta Monetaria del 16 de marzo de 2017.</w:t>
            </w:r>
          </w:p>
          <w:p w14:paraId="391F29CB" w14:textId="77777777" w:rsidR="00825709" w:rsidRDefault="00825709" w:rsidP="00825709">
            <w:pPr>
              <w:tabs>
                <w:tab w:val="left" w:pos="567"/>
              </w:tabs>
              <w:ind w:left="109" w:right="72"/>
              <w:rPr>
                <w:sz w:val="20"/>
                <w:szCs w:val="20"/>
                <w:lang w:val="es-ES_tradnl"/>
              </w:rPr>
            </w:pPr>
          </w:p>
          <w:p w14:paraId="7B93215E" w14:textId="77777777" w:rsidR="00825709" w:rsidRDefault="00825709" w:rsidP="00825709">
            <w:pPr>
              <w:tabs>
                <w:tab w:val="left" w:pos="567"/>
              </w:tabs>
              <w:ind w:left="109" w:right="72"/>
              <w:rPr>
                <w:sz w:val="20"/>
                <w:szCs w:val="20"/>
                <w:lang w:val="es-ES_tradnl"/>
              </w:rPr>
            </w:pPr>
            <w:r w:rsidRPr="003E76B5">
              <w:rPr>
                <w:sz w:val="20"/>
                <w:szCs w:val="20"/>
                <w:lang w:val="es-ES_tradnl"/>
              </w:rPr>
              <w:t>Resolución JM XXX aprobando el Reglamento de Funcionamiento del BANDEX</w:t>
            </w:r>
            <w:r>
              <w:rPr>
                <w:sz w:val="20"/>
                <w:szCs w:val="20"/>
                <w:lang w:val="es-ES_tradnl"/>
              </w:rPr>
              <w:t>.</w:t>
            </w:r>
          </w:p>
          <w:p w14:paraId="09E0676C" w14:textId="77777777" w:rsidR="00825709" w:rsidRPr="006D420C" w:rsidRDefault="00825709" w:rsidP="00825709">
            <w:pPr>
              <w:tabs>
                <w:tab w:val="left" w:pos="567"/>
              </w:tabs>
              <w:ind w:left="109" w:right="72"/>
              <w:rPr>
                <w:sz w:val="20"/>
                <w:szCs w:val="20"/>
                <w:lang w:val="es-ES_tradnl"/>
              </w:rPr>
            </w:pPr>
          </w:p>
        </w:tc>
      </w:tr>
      <w:tr w:rsidR="00825709" w:rsidRPr="00485794" w14:paraId="589293C1" w14:textId="77777777" w:rsidTr="00524225">
        <w:trPr>
          <w:cantSplit/>
          <w:trHeight w:val="396"/>
          <w:jc w:val="center"/>
        </w:trPr>
        <w:tc>
          <w:tcPr>
            <w:tcW w:w="966" w:type="pct"/>
            <w:vMerge/>
            <w:tcBorders>
              <w:left w:val="single" w:sz="4" w:space="0" w:color="auto"/>
              <w:right w:val="single" w:sz="4" w:space="0" w:color="auto"/>
            </w:tcBorders>
            <w:shd w:val="clear" w:color="auto" w:fill="auto"/>
            <w:vAlign w:val="center"/>
          </w:tcPr>
          <w:p w14:paraId="765D1E17" w14:textId="77777777" w:rsidR="00825709" w:rsidRPr="00F06DA7" w:rsidRDefault="00825709" w:rsidP="00825709">
            <w:pPr>
              <w:tabs>
                <w:tab w:val="left" w:pos="567"/>
              </w:tabs>
              <w:ind w:right="144"/>
              <w:rPr>
                <w:sz w:val="22"/>
                <w:szCs w:val="22"/>
                <w:lang w:val="es-ES_tradnl"/>
              </w:rPr>
            </w:pPr>
          </w:p>
        </w:tc>
        <w:tc>
          <w:tcPr>
            <w:tcW w:w="922" w:type="pct"/>
            <w:tcBorders>
              <w:top w:val="single" w:sz="4" w:space="0" w:color="auto"/>
              <w:left w:val="single" w:sz="4" w:space="0" w:color="auto"/>
              <w:bottom w:val="single" w:sz="4" w:space="0" w:color="auto"/>
              <w:right w:val="single" w:sz="4" w:space="0" w:color="auto"/>
            </w:tcBorders>
          </w:tcPr>
          <w:p w14:paraId="2F7F7D8B" w14:textId="77777777" w:rsidR="00825709" w:rsidRPr="00184D6C" w:rsidRDefault="00825709" w:rsidP="00825709">
            <w:pPr>
              <w:ind w:left="144" w:right="144"/>
              <w:rPr>
                <w:sz w:val="20"/>
                <w:lang w:val="es-ES_tradnl"/>
              </w:rPr>
            </w:pPr>
            <w:r w:rsidRPr="00184D6C">
              <w:rPr>
                <w:sz w:val="20"/>
                <w:lang w:val="es-ES_tradnl"/>
              </w:rPr>
              <w:t>Presidencia de la República</w:t>
            </w:r>
          </w:p>
          <w:p w14:paraId="49001071" w14:textId="77777777" w:rsidR="00825709" w:rsidRDefault="00825709" w:rsidP="00825709">
            <w:pPr>
              <w:ind w:right="144"/>
              <w:rPr>
                <w:sz w:val="20"/>
                <w:szCs w:val="20"/>
                <w:lang w:val="es-ES_tradnl"/>
              </w:rPr>
            </w:pPr>
          </w:p>
          <w:p w14:paraId="22839BD0" w14:textId="77777777" w:rsidR="00825709" w:rsidRDefault="00825709" w:rsidP="00825709">
            <w:pPr>
              <w:ind w:right="144"/>
              <w:rPr>
                <w:sz w:val="20"/>
                <w:szCs w:val="20"/>
                <w:lang w:val="es-ES_tradnl"/>
              </w:rPr>
            </w:pPr>
          </w:p>
          <w:p w14:paraId="2DFD4F75" w14:textId="77777777" w:rsidR="00825709" w:rsidRDefault="00825709" w:rsidP="00825709">
            <w:pPr>
              <w:ind w:right="144"/>
              <w:rPr>
                <w:sz w:val="20"/>
                <w:szCs w:val="20"/>
                <w:lang w:val="es-ES_tradnl"/>
              </w:rPr>
            </w:pPr>
          </w:p>
          <w:p w14:paraId="69DE0DA0" w14:textId="77777777" w:rsidR="00825709" w:rsidRDefault="00825709" w:rsidP="00825709">
            <w:pPr>
              <w:ind w:right="144"/>
              <w:rPr>
                <w:sz w:val="20"/>
                <w:szCs w:val="20"/>
                <w:lang w:val="es-ES_tradnl"/>
              </w:rPr>
            </w:pPr>
          </w:p>
          <w:p w14:paraId="24ED7247" w14:textId="1C060F23" w:rsidR="00825709" w:rsidRPr="00D90ECD" w:rsidRDefault="00825709" w:rsidP="00825709">
            <w:pPr>
              <w:ind w:right="144"/>
              <w:rPr>
                <w:sz w:val="20"/>
                <w:szCs w:val="20"/>
                <w:lang w:val="es-ES_tradnl"/>
              </w:rPr>
            </w:pPr>
          </w:p>
        </w:tc>
        <w:tc>
          <w:tcPr>
            <w:tcW w:w="1348" w:type="pct"/>
            <w:tcBorders>
              <w:top w:val="single" w:sz="4" w:space="0" w:color="auto"/>
              <w:left w:val="single" w:sz="4" w:space="0" w:color="auto"/>
              <w:bottom w:val="single" w:sz="4" w:space="0" w:color="auto"/>
              <w:right w:val="single" w:sz="4" w:space="0" w:color="auto"/>
            </w:tcBorders>
          </w:tcPr>
          <w:p w14:paraId="06BD8FF7" w14:textId="77777777" w:rsidR="00825709" w:rsidRPr="001D15ED" w:rsidRDefault="00825709" w:rsidP="00825709">
            <w:pPr>
              <w:ind w:left="144" w:right="144"/>
              <w:rPr>
                <w:sz w:val="20"/>
                <w:szCs w:val="20"/>
                <w:lang w:val="es-ES_tradnl"/>
              </w:rPr>
            </w:pPr>
            <w:r w:rsidRPr="001D15ED">
              <w:rPr>
                <w:sz w:val="20"/>
                <w:szCs w:val="20"/>
                <w:lang w:val="es-ES_tradnl"/>
              </w:rPr>
              <w:t xml:space="preserve">Presentación al Congreso Nacional de un </w:t>
            </w:r>
            <w:r>
              <w:rPr>
                <w:sz w:val="20"/>
                <w:szCs w:val="20"/>
                <w:lang w:val="es-ES_tradnl"/>
              </w:rPr>
              <w:t>P</w:t>
            </w:r>
            <w:r w:rsidRPr="001D15ED">
              <w:rPr>
                <w:sz w:val="20"/>
                <w:szCs w:val="20"/>
                <w:lang w:val="es-ES_tradnl"/>
              </w:rPr>
              <w:t>royecto de Ley Marco de Mercado de Valores.</w:t>
            </w:r>
          </w:p>
          <w:p w14:paraId="3148AC3B" w14:textId="77777777" w:rsidR="00825709" w:rsidRPr="001D15ED" w:rsidRDefault="00825709" w:rsidP="00825709">
            <w:pPr>
              <w:ind w:left="144" w:right="144"/>
              <w:rPr>
                <w:sz w:val="20"/>
                <w:szCs w:val="20"/>
                <w:lang w:val="es-ES_tradnl"/>
              </w:rPr>
            </w:pPr>
          </w:p>
          <w:p w14:paraId="4C04216F" w14:textId="77777777" w:rsidR="00825709" w:rsidRDefault="00825709" w:rsidP="00825709">
            <w:pPr>
              <w:ind w:left="144" w:right="144"/>
              <w:rPr>
                <w:sz w:val="20"/>
                <w:szCs w:val="20"/>
                <w:lang w:val="es-ES_tradnl"/>
              </w:rPr>
            </w:pPr>
          </w:p>
          <w:p w14:paraId="274A927D" w14:textId="77777777" w:rsidR="00825709" w:rsidRPr="00F67FF3" w:rsidRDefault="00825709" w:rsidP="00825709">
            <w:pPr>
              <w:ind w:left="144" w:right="144"/>
              <w:rPr>
                <w:sz w:val="20"/>
                <w:szCs w:val="20"/>
                <w:lang w:val="es-ES_tradnl"/>
              </w:rPr>
            </w:pPr>
          </w:p>
        </w:tc>
        <w:tc>
          <w:tcPr>
            <w:tcW w:w="1764" w:type="pct"/>
            <w:tcBorders>
              <w:top w:val="single" w:sz="4" w:space="0" w:color="auto"/>
              <w:left w:val="single" w:sz="4" w:space="0" w:color="auto"/>
              <w:bottom w:val="single" w:sz="4" w:space="0" w:color="auto"/>
              <w:right w:val="single" w:sz="4" w:space="0" w:color="auto"/>
            </w:tcBorders>
          </w:tcPr>
          <w:p w14:paraId="19FC6D5B" w14:textId="77777777" w:rsidR="00825709" w:rsidRDefault="00825709" w:rsidP="00825709">
            <w:pPr>
              <w:tabs>
                <w:tab w:val="left" w:pos="567"/>
              </w:tabs>
              <w:ind w:left="109" w:right="72"/>
              <w:rPr>
                <w:sz w:val="20"/>
                <w:szCs w:val="20"/>
                <w:lang w:val="es-ES_tradnl"/>
              </w:rPr>
            </w:pPr>
            <w:r w:rsidRPr="00F162B6">
              <w:rPr>
                <w:sz w:val="20"/>
                <w:szCs w:val="20"/>
                <w:lang w:val="es-ES_tradnl"/>
              </w:rPr>
              <w:t>Comunicación de la Presidencia de la República remitiendo al Congreso Nacional el Proyecto</w:t>
            </w:r>
            <w:r>
              <w:rPr>
                <w:sz w:val="20"/>
                <w:szCs w:val="20"/>
                <w:lang w:val="es-ES_tradnl"/>
              </w:rPr>
              <w:t xml:space="preserve"> </w:t>
            </w:r>
            <w:r w:rsidRPr="00F162B6">
              <w:rPr>
                <w:sz w:val="20"/>
                <w:szCs w:val="20"/>
                <w:lang w:val="es-ES_tradnl"/>
              </w:rPr>
              <w:t>de Ley de</w:t>
            </w:r>
            <w:r>
              <w:rPr>
                <w:sz w:val="20"/>
                <w:szCs w:val="20"/>
                <w:lang w:val="es-ES_tradnl"/>
              </w:rPr>
              <w:t>l</w:t>
            </w:r>
            <w:r w:rsidRPr="00F162B6">
              <w:rPr>
                <w:sz w:val="20"/>
                <w:szCs w:val="20"/>
                <w:lang w:val="es-ES_tradnl"/>
              </w:rPr>
              <w:t xml:space="preserve"> Mercado de Valores.</w:t>
            </w:r>
          </w:p>
          <w:p w14:paraId="03FC0006" w14:textId="77777777" w:rsidR="00825709" w:rsidRDefault="00825709" w:rsidP="00825709">
            <w:pPr>
              <w:tabs>
                <w:tab w:val="left" w:pos="567"/>
              </w:tabs>
              <w:ind w:left="109" w:right="72"/>
              <w:rPr>
                <w:sz w:val="20"/>
                <w:szCs w:val="20"/>
                <w:lang w:val="es-ES_tradnl"/>
              </w:rPr>
            </w:pPr>
          </w:p>
          <w:p w14:paraId="062BAC74" w14:textId="1DA9E680" w:rsidR="00825709" w:rsidRPr="00F162B6" w:rsidRDefault="00825709" w:rsidP="00825709">
            <w:pPr>
              <w:tabs>
                <w:tab w:val="left" w:pos="567"/>
              </w:tabs>
              <w:ind w:left="109" w:right="72"/>
              <w:rPr>
                <w:sz w:val="20"/>
                <w:szCs w:val="20"/>
                <w:lang w:val="es-ES_tradnl"/>
              </w:rPr>
            </w:pPr>
          </w:p>
        </w:tc>
      </w:tr>
      <w:tr w:rsidR="00825709" w:rsidRPr="00485794" w14:paraId="3DD04AA8" w14:textId="77777777" w:rsidTr="00524225">
        <w:trPr>
          <w:cantSplit/>
          <w:trHeight w:val="396"/>
          <w:jc w:val="center"/>
        </w:trPr>
        <w:tc>
          <w:tcPr>
            <w:tcW w:w="966" w:type="pct"/>
            <w:vMerge/>
            <w:tcBorders>
              <w:left w:val="single" w:sz="4" w:space="0" w:color="auto"/>
              <w:right w:val="single" w:sz="4" w:space="0" w:color="auto"/>
            </w:tcBorders>
            <w:shd w:val="clear" w:color="auto" w:fill="auto"/>
            <w:vAlign w:val="center"/>
          </w:tcPr>
          <w:p w14:paraId="0A3B4B60" w14:textId="77777777" w:rsidR="00825709" w:rsidRPr="00F06DA7" w:rsidRDefault="00825709" w:rsidP="00825709">
            <w:pPr>
              <w:tabs>
                <w:tab w:val="left" w:pos="567"/>
              </w:tabs>
              <w:ind w:left="144" w:right="144"/>
              <w:rPr>
                <w:sz w:val="22"/>
                <w:szCs w:val="22"/>
                <w:lang w:val="es-ES_tradnl"/>
              </w:rPr>
            </w:pPr>
          </w:p>
        </w:tc>
        <w:tc>
          <w:tcPr>
            <w:tcW w:w="922" w:type="pct"/>
            <w:tcBorders>
              <w:top w:val="single" w:sz="4" w:space="0" w:color="auto"/>
              <w:left w:val="single" w:sz="4" w:space="0" w:color="auto"/>
              <w:bottom w:val="single" w:sz="4" w:space="0" w:color="auto"/>
              <w:right w:val="single" w:sz="4" w:space="0" w:color="auto"/>
            </w:tcBorders>
          </w:tcPr>
          <w:p w14:paraId="1FC769CF" w14:textId="19DDF8C9" w:rsidR="00825709" w:rsidRPr="000E7839" w:rsidRDefault="00825709" w:rsidP="00825709">
            <w:pPr>
              <w:ind w:left="144" w:right="144"/>
              <w:rPr>
                <w:sz w:val="20"/>
                <w:lang w:val="es-ES_tradnl"/>
              </w:rPr>
            </w:pPr>
            <w:r w:rsidRPr="00184D6C">
              <w:rPr>
                <w:sz w:val="20"/>
                <w:lang w:val="es-ES_tradnl"/>
              </w:rPr>
              <w:t>Superintendencia de Seguros</w:t>
            </w:r>
          </w:p>
        </w:tc>
        <w:tc>
          <w:tcPr>
            <w:tcW w:w="1348" w:type="pct"/>
            <w:tcBorders>
              <w:top w:val="single" w:sz="4" w:space="0" w:color="auto"/>
              <w:left w:val="single" w:sz="4" w:space="0" w:color="auto"/>
              <w:bottom w:val="single" w:sz="4" w:space="0" w:color="auto"/>
              <w:right w:val="single" w:sz="4" w:space="0" w:color="auto"/>
            </w:tcBorders>
          </w:tcPr>
          <w:p w14:paraId="10BA87F4" w14:textId="7026FB3E" w:rsidR="00825709" w:rsidRPr="00925B68" w:rsidRDefault="00825709" w:rsidP="00825709">
            <w:pPr>
              <w:ind w:left="144" w:right="144"/>
              <w:rPr>
                <w:sz w:val="20"/>
                <w:szCs w:val="20"/>
                <w:lang w:val="es-ES_tradnl"/>
              </w:rPr>
            </w:pPr>
            <w:r w:rsidRPr="00925B68">
              <w:rPr>
                <w:sz w:val="20"/>
                <w:szCs w:val="20"/>
                <w:lang w:val="es-ES_tradnl"/>
              </w:rPr>
              <w:t xml:space="preserve">Desarrollo de un </w:t>
            </w:r>
            <w:r w:rsidR="006210EC">
              <w:rPr>
                <w:sz w:val="20"/>
                <w:szCs w:val="20"/>
                <w:lang w:val="es-ES_tradnl"/>
              </w:rPr>
              <w:t>antep</w:t>
            </w:r>
            <w:r w:rsidRPr="00925B68">
              <w:rPr>
                <w:sz w:val="20"/>
                <w:szCs w:val="20"/>
                <w:lang w:val="es-ES_tradnl"/>
              </w:rPr>
              <w:t>royecto de Ley de Seguros.</w:t>
            </w:r>
          </w:p>
          <w:p w14:paraId="5EFE4BD1" w14:textId="77777777" w:rsidR="00825709" w:rsidRDefault="00825709" w:rsidP="00825709">
            <w:pPr>
              <w:ind w:right="144"/>
              <w:rPr>
                <w:sz w:val="20"/>
                <w:szCs w:val="20"/>
                <w:lang w:val="es-ES_tradnl"/>
              </w:rPr>
            </w:pPr>
          </w:p>
          <w:p w14:paraId="4032EC10" w14:textId="739E088A" w:rsidR="00825709" w:rsidRPr="000E7839" w:rsidRDefault="00825709" w:rsidP="00825709">
            <w:pPr>
              <w:ind w:left="144" w:right="144"/>
              <w:rPr>
                <w:rFonts w:eastAsia="Calibri"/>
                <w:sz w:val="20"/>
                <w:szCs w:val="22"/>
              </w:rPr>
            </w:pPr>
          </w:p>
        </w:tc>
        <w:tc>
          <w:tcPr>
            <w:tcW w:w="1764" w:type="pct"/>
            <w:tcBorders>
              <w:top w:val="single" w:sz="4" w:space="0" w:color="auto"/>
              <w:left w:val="single" w:sz="4" w:space="0" w:color="auto"/>
              <w:bottom w:val="single" w:sz="4" w:space="0" w:color="auto"/>
              <w:right w:val="single" w:sz="4" w:space="0" w:color="auto"/>
            </w:tcBorders>
          </w:tcPr>
          <w:p w14:paraId="7C96EEB0" w14:textId="55319E3D" w:rsidR="00825709" w:rsidRPr="00945CA8" w:rsidRDefault="00825709" w:rsidP="00825709">
            <w:pPr>
              <w:tabs>
                <w:tab w:val="left" w:pos="567"/>
              </w:tabs>
              <w:ind w:left="109" w:right="72"/>
              <w:rPr>
                <w:sz w:val="20"/>
                <w:szCs w:val="20"/>
                <w:lang w:val="es-ES_tradnl"/>
              </w:rPr>
            </w:pPr>
            <w:bookmarkStart w:id="10" w:name="_Hlk488249081"/>
            <w:r w:rsidRPr="003E76B5">
              <w:rPr>
                <w:sz w:val="20"/>
                <w:szCs w:val="20"/>
                <w:lang w:val="es-ES_tradnl"/>
              </w:rPr>
              <w:t xml:space="preserve">Presentación a consulta pública de un </w:t>
            </w:r>
            <w:r>
              <w:rPr>
                <w:sz w:val="20"/>
                <w:szCs w:val="20"/>
                <w:lang w:val="es-ES_tradnl"/>
              </w:rPr>
              <w:t>A</w:t>
            </w:r>
            <w:r w:rsidRPr="003E76B5">
              <w:rPr>
                <w:sz w:val="20"/>
                <w:szCs w:val="20"/>
                <w:lang w:val="es-ES_tradnl"/>
              </w:rPr>
              <w:t>nteproyecto de Ley de Seguros</w:t>
            </w:r>
            <w:bookmarkEnd w:id="10"/>
            <w:r w:rsidRPr="00F162B6">
              <w:rPr>
                <w:sz w:val="20"/>
                <w:szCs w:val="20"/>
                <w:lang w:val="es-ES_tradnl"/>
              </w:rPr>
              <w:t>.</w:t>
            </w:r>
          </w:p>
        </w:tc>
      </w:tr>
      <w:tr w:rsidR="00825709" w:rsidRPr="00485794" w14:paraId="09905B52" w14:textId="77777777" w:rsidTr="00524225">
        <w:trPr>
          <w:cantSplit/>
          <w:trHeight w:val="396"/>
          <w:jc w:val="center"/>
        </w:trPr>
        <w:tc>
          <w:tcPr>
            <w:tcW w:w="966" w:type="pct"/>
            <w:vMerge/>
            <w:tcBorders>
              <w:left w:val="single" w:sz="4" w:space="0" w:color="auto"/>
              <w:right w:val="single" w:sz="4" w:space="0" w:color="auto"/>
            </w:tcBorders>
            <w:shd w:val="clear" w:color="auto" w:fill="auto"/>
            <w:vAlign w:val="center"/>
          </w:tcPr>
          <w:p w14:paraId="21EC2F90" w14:textId="77777777" w:rsidR="00825709" w:rsidRPr="00F06DA7" w:rsidRDefault="00825709" w:rsidP="00825709">
            <w:pPr>
              <w:tabs>
                <w:tab w:val="left" w:pos="567"/>
              </w:tabs>
              <w:ind w:left="144" w:right="144"/>
              <w:rPr>
                <w:sz w:val="22"/>
                <w:szCs w:val="22"/>
                <w:lang w:val="es-ES_tradnl"/>
              </w:rPr>
            </w:pPr>
          </w:p>
        </w:tc>
        <w:tc>
          <w:tcPr>
            <w:tcW w:w="922" w:type="pct"/>
            <w:tcBorders>
              <w:top w:val="single" w:sz="4" w:space="0" w:color="auto"/>
              <w:left w:val="single" w:sz="4" w:space="0" w:color="auto"/>
              <w:bottom w:val="single" w:sz="4" w:space="0" w:color="auto"/>
              <w:right w:val="single" w:sz="4" w:space="0" w:color="auto"/>
            </w:tcBorders>
          </w:tcPr>
          <w:p w14:paraId="7CE96A38" w14:textId="047DF38B" w:rsidR="00825709" w:rsidRPr="00C063D6" w:rsidRDefault="00825709" w:rsidP="00825709">
            <w:pPr>
              <w:ind w:left="144" w:right="144"/>
              <w:rPr>
                <w:sz w:val="20"/>
                <w:szCs w:val="20"/>
                <w:lang w:val="es-ES_tradnl"/>
              </w:rPr>
            </w:pPr>
            <w:r>
              <w:rPr>
                <w:sz w:val="20"/>
                <w:lang w:val="es-ES_tradnl"/>
              </w:rPr>
              <w:t>Presidencia de la República</w:t>
            </w:r>
          </w:p>
        </w:tc>
        <w:tc>
          <w:tcPr>
            <w:tcW w:w="1348" w:type="pct"/>
            <w:tcBorders>
              <w:top w:val="single" w:sz="4" w:space="0" w:color="auto"/>
              <w:left w:val="single" w:sz="4" w:space="0" w:color="auto"/>
              <w:bottom w:val="single" w:sz="4" w:space="0" w:color="auto"/>
              <w:right w:val="single" w:sz="4" w:space="0" w:color="auto"/>
            </w:tcBorders>
          </w:tcPr>
          <w:p w14:paraId="0B0E890A" w14:textId="77777777" w:rsidR="00825709" w:rsidRDefault="00825709" w:rsidP="00825709">
            <w:pPr>
              <w:ind w:left="144" w:right="144"/>
              <w:rPr>
                <w:sz w:val="20"/>
                <w:szCs w:val="20"/>
                <w:lang w:val="es-ES_tradnl"/>
              </w:rPr>
            </w:pPr>
            <w:r w:rsidRPr="001D15ED">
              <w:rPr>
                <w:sz w:val="20"/>
                <w:szCs w:val="20"/>
                <w:lang w:val="es-ES_tradnl"/>
              </w:rPr>
              <w:t xml:space="preserve">Presentación al Congreso Nacional de un </w:t>
            </w:r>
            <w:r>
              <w:rPr>
                <w:sz w:val="20"/>
                <w:szCs w:val="20"/>
                <w:lang w:val="es-ES_tradnl"/>
              </w:rPr>
              <w:t>P</w:t>
            </w:r>
            <w:r w:rsidRPr="001D15ED">
              <w:rPr>
                <w:sz w:val="20"/>
                <w:szCs w:val="20"/>
                <w:lang w:val="es-ES_tradnl"/>
              </w:rPr>
              <w:t>royecto de Ley de Asociaciones Público-Privadas (APPs).</w:t>
            </w:r>
          </w:p>
          <w:p w14:paraId="219CEE6A" w14:textId="4C94FF2F" w:rsidR="00825709" w:rsidRPr="001D15ED" w:rsidRDefault="00825709" w:rsidP="00825709">
            <w:pPr>
              <w:ind w:left="144" w:right="144"/>
              <w:rPr>
                <w:sz w:val="20"/>
                <w:szCs w:val="20"/>
                <w:lang w:val="es-ES_tradnl"/>
              </w:rPr>
            </w:pPr>
          </w:p>
        </w:tc>
        <w:tc>
          <w:tcPr>
            <w:tcW w:w="1764" w:type="pct"/>
            <w:tcBorders>
              <w:top w:val="single" w:sz="4" w:space="0" w:color="auto"/>
              <w:left w:val="single" w:sz="4" w:space="0" w:color="auto"/>
              <w:bottom w:val="single" w:sz="4" w:space="0" w:color="auto"/>
              <w:right w:val="single" w:sz="4" w:space="0" w:color="auto"/>
            </w:tcBorders>
          </w:tcPr>
          <w:p w14:paraId="1C732CF4" w14:textId="41C32BF9" w:rsidR="00825709" w:rsidRPr="00945CA8" w:rsidRDefault="00825709" w:rsidP="00825709">
            <w:pPr>
              <w:ind w:left="144" w:right="144"/>
              <w:rPr>
                <w:sz w:val="20"/>
                <w:szCs w:val="20"/>
                <w:lang w:val="es-ES_tradnl"/>
              </w:rPr>
            </w:pPr>
            <w:r w:rsidRPr="00945CA8">
              <w:rPr>
                <w:sz w:val="20"/>
                <w:szCs w:val="20"/>
                <w:lang w:val="es-ES_tradnl"/>
              </w:rPr>
              <w:t>Comunicación de la Presidencia de la República remitiendo al Congreso Nacional el Proyecto de Ley</w:t>
            </w:r>
            <w:r>
              <w:rPr>
                <w:sz w:val="20"/>
                <w:szCs w:val="20"/>
                <w:lang w:val="es-ES_tradnl"/>
              </w:rPr>
              <w:t xml:space="preserve"> </w:t>
            </w:r>
            <w:r w:rsidRPr="00945CA8">
              <w:rPr>
                <w:sz w:val="20"/>
                <w:szCs w:val="20"/>
                <w:lang w:val="es-ES_tradnl"/>
              </w:rPr>
              <w:t>de Asociaciones Público-Privadas (APPs).</w:t>
            </w:r>
          </w:p>
        </w:tc>
      </w:tr>
      <w:tr w:rsidR="00825709" w:rsidRPr="00485794" w14:paraId="3D4B45F7" w14:textId="77777777" w:rsidTr="00524225">
        <w:trPr>
          <w:cantSplit/>
          <w:trHeight w:val="396"/>
          <w:jc w:val="center"/>
        </w:trPr>
        <w:tc>
          <w:tcPr>
            <w:tcW w:w="966" w:type="pct"/>
            <w:vMerge/>
            <w:tcBorders>
              <w:left w:val="single" w:sz="4" w:space="0" w:color="auto"/>
              <w:right w:val="single" w:sz="4" w:space="0" w:color="auto"/>
            </w:tcBorders>
            <w:shd w:val="clear" w:color="auto" w:fill="auto"/>
            <w:vAlign w:val="center"/>
          </w:tcPr>
          <w:p w14:paraId="7ACCD217" w14:textId="77777777" w:rsidR="00825709" w:rsidRPr="00F06DA7" w:rsidRDefault="00825709" w:rsidP="00825709">
            <w:pPr>
              <w:tabs>
                <w:tab w:val="left" w:pos="567"/>
              </w:tabs>
              <w:ind w:left="144" w:right="144"/>
              <w:rPr>
                <w:sz w:val="22"/>
                <w:szCs w:val="22"/>
                <w:lang w:val="es-ES_tradnl"/>
              </w:rPr>
            </w:pPr>
          </w:p>
        </w:tc>
        <w:tc>
          <w:tcPr>
            <w:tcW w:w="922" w:type="pct"/>
            <w:tcBorders>
              <w:top w:val="single" w:sz="4" w:space="0" w:color="auto"/>
              <w:left w:val="single" w:sz="4" w:space="0" w:color="auto"/>
              <w:bottom w:val="single" w:sz="4" w:space="0" w:color="auto"/>
              <w:right w:val="single" w:sz="4" w:space="0" w:color="auto"/>
            </w:tcBorders>
          </w:tcPr>
          <w:p w14:paraId="1EA4AC00" w14:textId="03B24D51" w:rsidR="00825709" w:rsidRPr="00F06DA7" w:rsidRDefault="00825709" w:rsidP="00825709">
            <w:pPr>
              <w:ind w:left="144" w:right="144"/>
              <w:rPr>
                <w:sz w:val="22"/>
                <w:szCs w:val="22"/>
                <w:lang w:val="es-ES_tradnl"/>
              </w:rPr>
            </w:pPr>
            <w:r w:rsidRPr="00C063D6">
              <w:rPr>
                <w:sz w:val="20"/>
                <w:szCs w:val="20"/>
                <w:lang w:val="es-ES_tradnl"/>
              </w:rPr>
              <w:t>Presidencia de la República.</w:t>
            </w:r>
          </w:p>
        </w:tc>
        <w:tc>
          <w:tcPr>
            <w:tcW w:w="1348" w:type="pct"/>
            <w:tcBorders>
              <w:top w:val="single" w:sz="4" w:space="0" w:color="auto"/>
              <w:left w:val="single" w:sz="4" w:space="0" w:color="auto"/>
              <w:bottom w:val="single" w:sz="4" w:space="0" w:color="auto"/>
              <w:right w:val="single" w:sz="4" w:space="0" w:color="auto"/>
            </w:tcBorders>
          </w:tcPr>
          <w:p w14:paraId="4B4F820E" w14:textId="6A4CBC0B" w:rsidR="00825709" w:rsidRPr="00FA6338" w:rsidRDefault="00825709" w:rsidP="00825709">
            <w:pPr>
              <w:ind w:left="144" w:right="144"/>
              <w:rPr>
                <w:sz w:val="20"/>
                <w:szCs w:val="20"/>
                <w:lang w:val="es-ES_tradnl"/>
              </w:rPr>
            </w:pPr>
            <w:r>
              <w:rPr>
                <w:sz w:val="20"/>
                <w:szCs w:val="20"/>
                <w:lang w:val="es-ES_tradnl"/>
              </w:rPr>
              <w:t>Remisión al Poder Ejecutivo</w:t>
            </w:r>
            <w:r w:rsidRPr="001D15ED">
              <w:rPr>
                <w:sz w:val="20"/>
                <w:szCs w:val="20"/>
                <w:lang w:val="es-ES_tradnl"/>
              </w:rPr>
              <w:t xml:space="preserve"> un </w:t>
            </w:r>
            <w:r>
              <w:rPr>
                <w:sz w:val="20"/>
                <w:szCs w:val="20"/>
                <w:lang w:val="es-ES_tradnl"/>
              </w:rPr>
              <w:t>P</w:t>
            </w:r>
            <w:r w:rsidRPr="001D15ED">
              <w:rPr>
                <w:sz w:val="20"/>
                <w:szCs w:val="20"/>
                <w:lang w:val="es-ES_tradnl"/>
              </w:rPr>
              <w:t>royecto de Ley de</w:t>
            </w:r>
            <w:r>
              <w:rPr>
                <w:sz w:val="20"/>
                <w:szCs w:val="20"/>
                <w:lang w:val="es-ES_tradnl"/>
              </w:rPr>
              <w:t xml:space="preserve"> Factoraje y de Facturas Negociables (Ley de</w:t>
            </w:r>
            <w:r w:rsidRPr="001D15ED">
              <w:rPr>
                <w:sz w:val="20"/>
                <w:szCs w:val="20"/>
                <w:lang w:val="es-ES_tradnl"/>
              </w:rPr>
              <w:t xml:space="preserve"> </w:t>
            </w:r>
            <w:r w:rsidRPr="00353927">
              <w:rPr>
                <w:i/>
                <w:sz w:val="20"/>
                <w:szCs w:val="20"/>
                <w:lang w:val="es-ES_tradnl"/>
              </w:rPr>
              <w:t>Factoring</w:t>
            </w:r>
            <w:r w:rsidRPr="00925B68">
              <w:rPr>
                <w:sz w:val="20"/>
                <w:szCs w:val="20"/>
                <w:lang w:val="es-ES_tradnl"/>
              </w:rPr>
              <w:t>).</w:t>
            </w:r>
          </w:p>
        </w:tc>
        <w:tc>
          <w:tcPr>
            <w:tcW w:w="1764" w:type="pct"/>
            <w:tcBorders>
              <w:top w:val="single" w:sz="4" w:space="0" w:color="auto"/>
              <w:left w:val="single" w:sz="4" w:space="0" w:color="auto"/>
              <w:bottom w:val="single" w:sz="4" w:space="0" w:color="auto"/>
              <w:right w:val="single" w:sz="4" w:space="0" w:color="auto"/>
            </w:tcBorders>
          </w:tcPr>
          <w:p w14:paraId="443D395D" w14:textId="7B16B737" w:rsidR="00825709" w:rsidRPr="00945CA8" w:rsidRDefault="00825709" w:rsidP="00825709">
            <w:pPr>
              <w:ind w:left="144" w:right="144"/>
              <w:rPr>
                <w:sz w:val="20"/>
                <w:szCs w:val="20"/>
                <w:lang w:val="es-ES_tradnl"/>
              </w:rPr>
            </w:pPr>
            <w:r w:rsidRPr="00945CA8">
              <w:rPr>
                <w:sz w:val="20"/>
                <w:szCs w:val="20"/>
                <w:lang w:val="es-ES_tradnl"/>
              </w:rPr>
              <w:t>Comunicación de</w:t>
            </w:r>
            <w:r>
              <w:rPr>
                <w:sz w:val="20"/>
                <w:szCs w:val="20"/>
                <w:lang w:val="es-ES_tradnl"/>
              </w:rPr>
              <w:t>l MICM remitiendo el borrador del</w:t>
            </w:r>
            <w:r w:rsidRPr="00945CA8">
              <w:rPr>
                <w:sz w:val="20"/>
                <w:szCs w:val="20"/>
                <w:lang w:val="es-ES_tradnl"/>
              </w:rPr>
              <w:t xml:space="preserve"> </w:t>
            </w:r>
            <w:r>
              <w:rPr>
                <w:sz w:val="20"/>
                <w:szCs w:val="20"/>
                <w:lang w:val="es-ES_tradnl"/>
              </w:rPr>
              <w:t>P</w:t>
            </w:r>
            <w:r w:rsidRPr="00945CA8">
              <w:rPr>
                <w:sz w:val="20"/>
                <w:szCs w:val="20"/>
                <w:lang w:val="es-ES_tradnl"/>
              </w:rPr>
              <w:t xml:space="preserve">royecto de Ley de </w:t>
            </w:r>
            <w:r w:rsidRPr="009207F1">
              <w:rPr>
                <w:sz w:val="20"/>
                <w:szCs w:val="20"/>
                <w:lang w:val="es-ES_tradnl"/>
              </w:rPr>
              <w:t>Factoraje y Facturas Negociables</w:t>
            </w:r>
            <w:r w:rsidRPr="00945CA8">
              <w:rPr>
                <w:sz w:val="20"/>
                <w:szCs w:val="20"/>
                <w:lang w:val="es-ES_tradnl"/>
              </w:rPr>
              <w:t xml:space="preserve"> </w:t>
            </w:r>
            <w:r>
              <w:rPr>
                <w:sz w:val="20"/>
                <w:szCs w:val="20"/>
                <w:lang w:val="es-ES_tradnl"/>
              </w:rPr>
              <w:t>al Poder Ejecutivo.</w:t>
            </w:r>
          </w:p>
        </w:tc>
      </w:tr>
      <w:tr w:rsidR="00825709" w:rsidRPr="00485794" w14:paraId="3978D2BA" w14:textId="77777777" w:rsidTr="00524225">
        <w:trPr>
          <w:cantSplit/>
          <w:trHeight w:val="403"/>
          <w:tblHeader/>
          <w:jc w:val="center"/>
        </w:trPr>
        <w:tc>
          <w:tcPr>
            <w:tcW w:w="966" w:type="pct"/>
            <w:vMerge/>
            <w:tcBorders>
              <w:left w:val="single" w:sz="4" w:space="0" w:color="auto"/>
              <w:bottom w:val="single" w:sz="4" w:space="0" w:color="auto"/>
              <w:right w:val="single" w:sz="4" w:space="0" w:color="auto"/>
            </w:tcBorders>
            <w:shd w:val="clear" w:color="auto" w:fill="auto"/>
            <w:vAlign w:val="center"/>
          </w:tcPr>
          <w:p w14:paraId="0BC7DE50" w14:textId="77777777" w:rsidR="00825709" w:rsidRPr="00F06DA7" w:rsidRDefault="00825709" w:rsidP="00825709">
            <w:pPr>
              <w:tabs>
                <w:tab w:val="left" w:pos="567"/>
              </w:tabs>
              <w:ind w:left="144" w:right="144"/>
              <w:rPr>
                <w:b/>
                <w:sz w:val="22"/>
                <w:szCs w:val="22"/>
                <w:lang w:val="es-ES_tradnl"/>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0DA864C7" w14:textId="5833D3D7" w:rsidR="00825709" w:rsidRPr="00121EEC" w:rsidRDefault="003A7132" w:rsidP="00825709">
            <w:pPr>
              <w:tabs>
                <w:tab w:val="left" w:pos="567"/>
              </w:tabs>
              <w:ind w:left="109" w:right="72"/>
              <w:rPr>
                <w:sz w:val="22"/>
                <w:szCs w:val="22"/>
                <w:lang w:val="es-ES_tradnl"/>
              </w:rPr>
            </w:pPr>
            <w:r w:rsidRPr="003A7132">
              <w:rPr>
                <w:sz w:val="20"/>
                <w:szCs w:val="20"/>
                <w:lang w:val="es-ES_tradnl"/>
              </w:rPr>
              <w:t>Ministerio de Industria, Comercio y MiPyMEs (MICM</w:t>
            </w:r>
            <w:proofErr w:type="gramStart"/>
            <w:r w:rsidRPr="003A7132">
              <w:rPr>
                <w:sz w:val="20"/>
                <w:szCs w:val="20"/>
                <w:lang w:val="es-ES_tradnl"/>
              </w:rPr>
              <w:t>).</w:t>
            </w:r>
            <w:r w:rsidR="00825709" w:rsidRPr="00C063D6">
              <w:rPr>
                <w:sz w:val="20"/>
                <w:szCs w:val="20"/>
                <w:lang w:val="es-ES_tradnl"/>
              </w:rPr>
              <w:t>.</w:t>
            </w:r>
            <w:proofErr w:type="gramEnd"/>
          </w:p>
        </w:tc>
        <w:tc>
          <w:tcPr>
            <w:tcW w:w="1348" w:type="pct"/>
            <w:tcBorders>
              <w:top w:val="single" w:sz="4" w:space="0" w:color="auto"/>
              <w:left w:val="single" w:sz="4" w:space="0" w:color="auto"/>
              <w:bottom w:val="single" w:sz="4" w:space="0" w:color="auto"/>
              <w:right w:val="single" w:sz="4" w:space="0" w:color="auto"/>
            </w:tcBorders>
            <w:shd w:val="clear" w:color="auto" w:fill="auto"/>
          </w:tcPr>
          <w:p w14:paraId="102EE53C" w14:textId="130D86C4" w:rsidR="00825709" w:rsidRPr="005E3BED" w:rsidRDefault="00825709" w:rsidP="00825709">
            <w:pPr>
              <w:ind w:left="144" w:right="144"/>
              <w:rPr>
                <w:rFonts w:eastAsia="Calibri"/>
                <w:sz w:val="20"/>
                <w:szCs w:val="22"/>
              </w:rPr>
            </w:pPr>
            <w:r w:rsidRPr="001D15ED">
              <w:rPr>
                <w:sz w:val="20"/>
                <w:szCs w:val="20"/>
                <w:lang w:val="es-ES_tradnl"/>
              </w:rPr>
              <w:t xml:space="preserve">Aprobación del Reglamento del Fondo </w:t>
            </w:r>
            <w:r w:rsidRPr="00014AA0">
              <w:rPr>
                <w:sz w:val="20"/>
                <w:szCs w:val="20"/>
                <w:lang w:val="es-ES_tradnl"/>
              </w:rPr>
              <w:t>de Contrapartida Fi</w:t>
            </w:r>
            <w:r>
              <w:rPr>
                <w:sz w:val="20"/>
                <w:szCs w:val="20"/>
                <w:lang w:val="es-ES_tradnl"/>
              </w:rPr>
              <w:t xml:space="preserve">nanciera para el Desarrollo del </w:t>
            </w:r>
            <w:r w:rsidRPr="00014AA0">
              <w:rPr>
                <w:sz w:val="20"/>
                <w:szCs w:val="20"/>
                <w:lang w:val="es-ES_tradnl"/>
              </w:rPr>
              <w:t>Emprendimiento (</w:t>
            </w:r>
            <w:r>
              <w:rPr>
                <w:sz w:val="20"/>
                <w:szCs w:val="20"/>
                <w:lang w:val="es-ES_tradnl"/>
              </w:rPr>
              <w:t xml:space="preserve">Fondo </w:t>
            </w:r>
            <w:r w:rsidRPr="001D15ED">
              <w:rPr>
                <w:sz w:val="20"/>
                <w:szCs w:val="20"/>
                <w:lang w:val="es-ES_tradnl"/>
              </w:rPr>
              <w:t>CONFIE).</w:t>
            </w:r>
          </w:p>
        </w:tc>
        <w:tc>
          <w:tcPr>
            <w:tcW w:w="1764" w:type="pct"/>
            <w:tcBorders>
              <w:top w:val="single" w:sz="4" w:space="0" w:color="auto"/>
              <w:left w:val="single" w:sz="4" w:space="0" w:color="auto"/>
              <w:bottom w:val="single" w:sz="4" w:space="0" w:color="auto"/>
              <w:right w:val="single" w:sz="4" w:space="0" w:color="auto"/>
            </w:tcBorders>
          </w:tcPr>
          <w:p w14:paraId="721CF873" w14:textId="5752B845" w:rsidR="00825709" w:rsidRPr="00364F3E" w:rsidRDefault="003A7132" w:rsidP="00825709">
            <w:pPr>
              <w:ind w:left="144" w:right="144"/>
              <w:rPr>
                <w:sz w:val="20"/>
                <w:szCs w:val="20"/>
              </w:rPr>
            </w:pPr>
            <w:r>
              <w:rPr>
                <w:sz w:val="20"/>
                <w:szCs w:val="20"/>
              </w:rPr>
              <w:t>Resolución Ministerial</w:t>
            </w:r>
            <w:r w:rsidR="00825709">
              <w:rPr>
                <w:sz w:val="20"/>
                <w:szCs w:val="20"/>
              </w:rPr>
              <w:t xml:space="preserve"> aprobando el Reglamento del Fondo CONFIE.</w:t>
            </w:r>
          </w:p>
        </w:tc>
      </w:tr>
      <w:tr w:rsidR="00825709" w:rsidRPr="00485794" w14:paraId="5BCDD7FD" w14:textId="77777777" w:rsidTr="00524225">
        <w:trPr>
          <w:cantSplit/>
          <w:trHeight w:val="1556"/>
          <w:jc w:val="center"/>
        </w:trPr>
        <w:tc>
          <w:tcPr>
            <w:tcW w:w="966" w:type="pct"/>
            <w:vMerge w:val="restart"/>
            <w:tcBorders>
              <w:top w:val="single" w:sz="4" w:space="0" w:color="auto"/>
              <w:left w:val="single" w:sz="4" w:space="0" w:color="auto"/>
              <w:right w:val="single" w:sz="4" w:space="0" w:color="auto"/>
            </w:tcBorders>
            <w:shd w:val="clear" w:color="auto" w:fill="auto"/>
          </w:tcPr>
          <w:p w14:paraId="6B390CFF" w14:textId="3E68C3A6" w:rsidR="00825709" w:rsidRPr="00824E9D" w:rsidRDefault="00825709" w:rsidP="00825709">
            <w:pPr>
              <w:pStyle w:val="ListParagraph"/>
              <w:numPr>
                <w:ilvl w:val="0"/>
                <w:numId w:val="17"/>
              </w:numPr>
              <w:spacing w:after="0"/>
              <w:ind w:right="144"/>
              <w:contextualSpacing/>
              <w:jc w:val="left"/>
              <w:rPr>
                <w:lang w:val="es-ES_tradnl"/>
              </w:rPr>
            </w:pPr>
            <w:r w:rsidRPr="005E3BED">
              <w:rPr>
                <w:b/>
                <w:sz w:val="20"/>
                <w:szCs w:val="20"/>
                <w:lang w:val="es-ES_tradnl"/>
              </w:rPr>
              <w:t xml:space="preserve">Mejoras en la credibilidad y seguridad de los contratos y las </w:t>
            </w:r>
            <w:r>
              <w:rPr>
                <w:b/>
                <w:sz w:val="20"/>
                <w:szCs w:val="20"/>
                <w:lang w:val="es-ES_tradnl"/>
              </w:rPr>
              <w:t>t</w:t>
            </w:r>
            <w:r w:rsidRPr="005E3BED">
              <w:rPr>
                <w:b/>
                <w:sz w:val="20"/>
                <w:szCs w:val="20"/>
                <w:lang w:val="es-ES_tradnl"/>
              </w:rPr>
              <w:t>ransacciones financieras</w:t>
            </w:r>
          </w:p>
        </w:tc>
        <w:tc>
          <w:tcPr>
            <w:tcW w:w="922" w:type="pct"/>
            <w:tcBorders>
              <w:top w:val="single" w:sz="4" w:space="0" w:color="auto"/>
              <w:left w:val="single" w:sz="4" w:space="0" w:color="auto"/>
              <w:right w:val="single" w:sz="4" w:space="0" w:color="auto"/>
            </w:tcBorders>
          </w:tcPr>
          <w:p w14:paraId="06B49444" w14:textId="77777777" w:rsidR="00825709" w:rsidRPr="005E3BED" w:rsidRDefault="00825709" w:rsidP="00825709">
            <w:pPr>
              <w:tabs>
                <w:tab w:val="left" w:pos="567"/>
              </w:tabs>
              <w:ind w:left="109" w:right="72"/>
              <w:rPr>
                <w:sz w:val="20"/>
                <w:lang w:val="es-ES_tradnl"/>
              </w:rPr>
            </w:pPr>
            <w:r w:rsidRPr="00C063D6">
              <w:rPr>
                <w:sz w:val="20"/>
                <w:szCs w:val="20"/>
                <w:lang w:val="es-ES_tradnl"/>
              </w:rPr>
              <w:t>Presidencia de la República.</w:t>
            </w:r>
          </w:p>
        </w:tc>
        <w:tc>
          <w:tcPr>
            <w:tcW w:w="1348" w:type="pct"/>
            <w:tcBorders>
              <w:top w:val="single" w:sz="4" w:space="0" w:color="auto"/>
              <w:left w:val="single" w:sz="4" w:space="0" w:color="auto"/>
              <w:right w:val="single" w:sz="4" w:space="0" w:color="auto"/>
            </w:tcBorders>
          </w:tcPr>
          <w:p w14:paraId="58A8B178" w14:textId="2A7786A8" w:rsidR="00825709" w:rsidRPr="00F43BA6" w:rsidRDefault="00825709" w:rsidP="00825709">
            <w:pPr>
              <w:ind w:left="144" w:right="144"/>
              <w:rPr>
                <w:sz w:val="20"/>
                <w:lang w:val="es-ES_tradnl"/>
              </w:rPr>
            </w:pPr>
            <w:r w:rsidRPr="00162A4F">
              <w:rPr>
                <w:sz w:val="20"/>
                <w:szCs w:val="20"/>
                <w:lang w:val="es-ES_tradnl"/>
              </w:rPr>
              <w:t xml:space="preserve">Entrada </w:t>
            </w:r>
            <w:r>
              <w:rPr>
                <w:sz w:val="20"/>
                <w:szCs w:val="20"/>
                <w:lang w:val="es-ES_tradnl"/>
              </w:rPr>
              <w:t>en vigor de la Ley de Reestructuración y Liquidación de Empresas y Personas Físicas Comerciales (Ley de Q</w:t>
            </w:r>
            <w:r w:rsidRPr="00162A4F">
              <w:rPr>
                <w:sz w:val="20"/>
                <w:szCs w:val="20"/>
                <w:lang w:val="es-ES_tradnl"/>
              </w:rPr>
              <w:t>uiebras</w:t>
            </w:r>
            <w:r>
              <w:rPr>
                <w:sz w:val="20"/>
                <w:szCs w:val="20"/>
                <w:lang w:val="es-ES_tradnl"/>
              </w:rPr>
              <w:t>)</w:t>
            </w:r>
            <w:r w:rsidRPr="00162A4F">
              <w:rPr>
                <w:sz w:val="20"/>
                <w:szCs w:val="20"/>
                <w:lang w:val="es-ES_tradnl"/>
              </w:rPr>
              <w:t xml:space="preserve"> y su desarrollo reglamentario.</w:t>
            </w:r>
          </w:p>
        </w:tc>
        <w:tc>
          <w:tcPr>
            <w:tcW w:w="1764" w:type="pct"/>
            <w:tcBorders>
              <w:top w:val="single" w:sz="4" w:space="0" w:color="auto"/>
              <w:left w:val="single" w:sz="4" w:space="0" w:color="auto"/>
              <w:right w:val="single" w:sz="4" w:space="0" w:color="auto"/>
            </w:tcBorders>
          </w:tcPr>
          <w:p w14:paraId="2AE554FD" w14:textId="77777777" w:rsidR="00825709" w:rsidRDefault="00825709" w:rsidP="00825709">
            <w:pPr>
              <w:ind w:left="144" w:right="144"/>
              <w:rPr>
                <w:sz w:val="20"/>
                <w:szCs w:val="20"/>
                <w:lang w:val="es-ES_tradnl"/>
              </w:rPr>
            </w:pPr>
            <w:r>
              <w:rPr>
                <w:sz w:val="20"/>
                <w:szCs w:val="20"/>
                <w:lang w:val="es-ES_tradnl"/>
              </w:rPr>
              <w:t xml:space="preserve">Ley 141-15, Ley </w:t>
            </w:r>
            <w:r w:rsidRPr="00364F3E">
              <w:rPr>
                <w:sz w:val="20"/>
                <w:szCs w:val="20"/>
                <w:lang w:val="es-ES_tradnl"/>
              </w:rPr>
              <w:t>Reestruc</w:t>
            </w:r>
            <w:r>
              <w:rPr>
                <w:sz w:val="20"/>
                <w:szCs w:val="20"/>
                <w:lang w:val="es-ES_tradnl"/>
              </w:rPr>
              <w:t>tu</w:t>
            </w:r>
            <w:r w:rsidRPr="00364F3E">
              <w:rPr>
                <w:sz w:val="20"/>
                <w:szCs w:val="20"/>
                <w:lang w:val="es-ES_tradnl"/>
              </w:rPr>
              <w:t>ración y Liquidación de Empresas y Personas Físicas Comerciales</w:t>
            </w:r>
            <w:r>
              <w:rPr>
                <w:sz w:val="20"/>
                <w:szCs w:val="20"/>
                <w:lang w:val="es-ES_tradnl"/>
              </w:rPr>
              <w:t>, promulgada en Gaceta Oficial del 14 de febrero de 2017.</w:t>
            </w:r>
          </w:p>
          <w:p w14:paraId="3AFA4221" w14:textId="77777777" w:rsidR="00825709" w:rsidRDefault="00825709" w:rsidP="00825709">
            <w:pPr>
              <w:ind w:left="144" w:right="144"/>
              <w:rPr>
                <w:sz w:val="20"/>
                <w:szCs w:val="20"/>
                <w:lang w:val="es-ES_tradnl"/>
              </w:rPr>
            </w:pPr>
          </w:p>
          <w:p w14:paraId="2DC7CC1F" w14:textId="77777777" w:rsidR="00825709" w:rsidRDefault="00825709" w:rsidP="00825709">
            <w:pPr>
              <w:ind w:left="144" w:right="144"/>
              <w:rPr>
                <w:sz w:val="20"/>
                <w:szCs w:val="20"/>
                <w:lang w:val="es-ES_tradnl"/>
              </w:rPr>
            </w:pPr>
            <w:r>
              <w:rPr>
                <w:sz w:val="20"/>
                <w:szCs w:val="20"/>
                <w:lang w:val="es-ES_tradnl"/>
              </w:rPr>
              <w:t>Reglamento de Aplicación de la Ley 141-15 aprobado por Decreto Presidencial 20-17 del 13 de febrero de 2017.</w:t>
            </w:r>
          </w:p>
          <w:p w14:paraId="33BD4DA5" w14:textId="4675A91B" w:rsidR="00825709" w:rsidRPr="00FA6338" w:rsidRDefault="00825709" w:rsidP="00825709">
            <w:pPr>
              <w:ind w:left="144" w:right="144"/>
              <w:rPr>
                <w:sz w:val="20"/>
                <w:szCs w:val="20"/>
                <w:lang w:val="es-ES_tradnl"/>
              </w:rPr>
            </w:pPr>
          </w:p>
        </w:tc>
      </w:tr>
      <w:tr w:rsidR="00825709" w:rsidRPr="00485794" w14:paraId="3BE9B820" w14:textId="77777777" w:rsidTr="00524225">
        <w:trPr>
          <w:cantSplit/>
          <w:trHeight w:val="396"/>
          <w:jc w:val="center"/>
        </w:trPr>
        <w:tc>
          <w:tcPr>
            <w:tcW w:w="966" w:type="pct"/>
            <w:vMerge/>
            <w:tcBorders>
              <w:left w:val="single" w:sz="4" w:space="0" w:color="auto"/>
              <w:right w:val="single" w:sz="4" w:space="0" w:color="auto"/>
            </w:tcBorders>
            <w:shd w:val="clear" w:color="auto" w:fill="auto"/>
          </w:tcPr>
          <w:p w14:paraId="02E3E7E5" w14:textId="77777777" w:rsidR="00825709" w:rsidRPr="00F06DA7" w:rsidRDefault="00825709" w:rsidP="00825709">
            <w:pPr>
              <w:tabs>
                <w:tab w:val="left" w:pos="567"/>
              </w:tabs>
              <w:ind w:right="72"/>
              <w:rPr>
                <w:sz w:val="22"/>
                <w:szCs w:val="22"/>
                <w:lang w:val="es-ES_tradnl"/>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7C43FC07" w14:textId="77777777" w:rsidR="00825709" w:rsidRPr="00580410" w:rsidRDefault="00825709" w:rsidP="00825709">
            <w:pPr>
              <w:ind w:left="144" w:right="144"/>
              <w:rPr>
                <w:sz w:val="20"/>
                <w:lang w:val="es-ES_tradnl"/>
              </w:rPr>
            </w:pPr>
            <w:r>
              <w:rPr>
                <w:sz w:val="20"/>
                <w:lang w:val="es-ES_tradnl"/>
              </w:rPr>
              <w:t>Presidencia de la República.</w:t>
            </w:r>
          </w:p>
        </w:tc>
        <w:tc>
          <w:tcPr>
            <w:tcW w:w="1348" w:type="pct"/>
            <w:tcBorders>
              <w:top w:val="single" w:sz="4" w:space="0" w:color="auto"/>
              <w:left w:val="single" w:sz="4" w:space="0" w:color="auto"/>
              <w:bottom w:val="single" w:sz="4" w:space="0" w:color="auto"/>
              <w:right w:val="single" w:sz="4" w:space="0" w:color="auto"/>
            </w:tcBorders>
            <w:shd w:val="clear" w:color="auto" w:fill="auto"/>
          </w:tcPr>
          <w:p w14:paraId="57288F75" w14:textId="31032325" w:rsidR="00825709" w:rsidRPr="00580410" w:rsidRDefault="00825709" w:rsidP="00825709">
            <w:pPr>
              <w:ind w:left="144" w:right="144"/>
              <w:rPr>
                <w:sz w:val="20"/>
                <w:lang w:val="es-ES_tradnl"/>
              </w:rPr>
            </w:pPr>
            <w:r w:rsidRPr="00580410">
              <w:rPr>
                <w:sz w:val="20"/>
                <w:lang w:val="es-ES_tradnl"/>
              </w:rPr>
              <w:t xml:space="preserve">Presentación al Congreso Nacional de un </w:t>
            </w:r>
            <w:r>
              <w:rPr>
                <w:sz w:val="20"/>
                <w:lang w:val="es-ES_tradnl"/>
              </w:rPr>
              <w:t>P</w:t>
            </w:r>
            <w:r w:rsidRPr="00580410">
              <w:rPr>
                <w:sz w:val="20"/>
                <w:lang w:val="es-ES_tradnl"/>
              </w:rPr>
              <w:t>royecto de Ley de Garantías Mobiliarias.</w:t>
            </w:r>
          </w:p>
        </w:tc>
        <w:tc>
          <w:tcPr>
            <w:tcW w:w="1764" w:type="pct"/>
            <w:tcBorders>
              <w:top w:val="single" w:sz="4" w:space="0" w:color="auto"/>
              <w:left w:val="single" w:sz="4" w:space="0" w:color="auto"/>
              <w:bottom w:val="single" w:sz="4" w:space="0" w:color="auto"/>
              <w:right w:val="single" w:sz="4" w:space="0" w:color="auto"/>
            </w:tcBorders>
          </w:tcPr>
          <w:p w14:paraId="4DB0EC89" w14:textId="77777777" w:rsidR="00825709" w:rsidRDefault="00825709" w:rsidP="00825709">
            <w:pPr>
              <w:ind w:left="144" w:right="144"/>
              <w:rPr>
                <w:sz w:val="20"/>
                <w:szCs w:val="20"/>
                <w:lang w:val="es-ES_tradnl"/>
              </w:rPr>
            </w:pPr>
            <w:r w:rsidRPr="00121EEC">
              <w:rPr>
                <w:sz w:val="20"/>
                <w:szCs w:val="20"/>
                <w:lang w:val="es-ES_tradnl"/>
              </w:rPr>
              <w:t xml:space="preserve">Comunicación </w:t>
            </w:r>
            <w:r>
              <w:rPr>
                <w:sz w:val="20"/>
                <w:szCs w:val="20"/>
                <w:lang w:val="es-ES_tradnl"/>
              </w:rPr>
              <w:t xml:space="preserve">de fecha 03 de marzo de 2017 </w:t>
            </w:r>
            <w:r w:rsidRPr="00121EEC">
              <w:rPr>
                <w:sz w:val="20"/>
                <w:szCs w:val="20"/>
                <w:lang w:val="es-ES_tradnl"/>
              </w:rPr>
              <w:t>de la Presidencia de la República remitiendo al Congreso Nacional</w:t>
            </w:r>
            <w:r w:rsidRPr="00121EEC">
              <w:rPr>
                <w:lang w:val="es-ES_tradnl"/>
              </w:rPr>
              <w:t xml:space="preserve"> </w:t>
            </w:r>
            <w:r w:rsidRPr="00121EEC">
              <w:rPr>
                <w:sz w:val="20"/>
                <w:szCs w:val="20"/>
                <w:lang w:val="es-ES_tradnl"/>
              </w:rPr>
              <w:t>un proyecto de Ley de Garantías Mobiliarias.</w:t>
            </w:r>
          </w:p>
          <w:p w14:paraId="4A145019" w14:textId="4D6F9B98" w:rsidR="00825709" w:rsidRPr="00121EEC" w:rsidRDefault="00825709" w:rsidP="00825709">
            <w:pPr>
              <w:ind w:left="144" w:right="144"/>
              <w:rPr>
                <w:sz w:val="20"/>
                <w:szCs w:val="20"/>
                <w:lang w:val="es-ES_tradnl"/>
              </w:rPr>
            </w:pPr>
          </w:p>
        </w:tc>
      </w:tr>
      <w:tr w:rsidR="00825709" w:rsidRPr="00485794" w14:paraId="6B848D71" w14:textId="77777777" w:rsidTr="00524225">
        <w:trPr>
          <w:cantSplit/>
          <w:trHeight w:val="403"/>
          <w:jc w:val="center"/>
        </w:trPr>
        <w:tc>
          <w:tcPr>
            <w:tcW w:w="966" w:type="pct"/>
            <w:vMerge/>
            <w:tcBorders>
              <w:left w:val="single" w:sz="4" w:space="0" w:color="auto"/>
              <w:bottom w:val="single" w:sz="4" w:space="0" w:color="auto"/>
              <w:right w:val="single" w:sz="4" w:space="0" w:color="auto"/>
            </w:tcBorders>
            <w:shd w:val="clear" w:color="auto" w:fill="auto"/>
            <w:vAlign w:val="center"/>
          </w:tcPr>
          <w:p w14:paraId="10497FB7" w14:textId="77777777" w:rsidR="00825709" w:rsidRPr="00F06DA7" w:rsidRDefault="00825709" w:rsidP="00825709">
            <w:pPr>
              <w:tabs>
                <w:tab w:val="left" w:pos="567"/>
              </w:tabs>
              <w:ind w:right="72"/>
              <w:rPr>
                <w:b/>
                <w:sz w:val="22"/>
                <w:szCs w:val="22"/>
                <w:lang w:val="es-ES_tradnl"/>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6EB54C05" w14:textId="77777777" w:rsidR="00825709" w:rsidRPr="0008149E" w:rsidRDefault="00825709" w:rsidP="00825709">
            <w:pPr>
              <w:ind w:left="144" w:right="144"/>
              <w:rPr>
                <w:sz w:val="22"/>
                <w:szCs w:val="22"/>
                <w:lang w:val="es-ES_tradnl"/>
              </w:rPr>
            </w:pPr>
            <w:r w:rsidRPr="002606F5">
              <w:rPr>
                <w:sz w:val="20"/>
                <w:lang w:val="es-ES_tradnl"/>
              </w:rPr>
              <w:t>Presidencia de la República</w:t>
            </w:r>
          </w:p>
        </w:tc>
        <w:tc>
          <w:tcPr>
            <w:tcW w:w="1348" w:type="pct"/>
            <w:tcBorders>
              <w:top w:val="single" w:sz="4" w:space="0" w:color="auto"/>
              <w:left w:val="single" w:sz="4" w:space="0" w:color="auto"/>
              <w:bottom w:val="single" w:sz="4" w:space="0" w:color="auto"/>
              <w:right w:val="single" w:sz="4" w:space="0" w:color="auto"/>
            </w:tcBorders>
            <w:shd w:val="clear" w:color="auto" w:fill="auto"/>
          </w:tcPr>
          <w:p w14:paraId="5DE83177" w14:textId="77777777" w:rsidR="00825709" w:rsidRDefault="00825709" w:rsidP="00825709">
            <w:pPr>
              <w:ind w:left="144" w:right="144"/>
              <w:rPr>
                <w:sz w:val="20"/>
                <w:lang w:val="es-ES_tradnl"/>
              </w:rPr>
            </w:pPr>
            <w:r>
              <w:rPr>
                <w:sz w:val="20"/>
                <w:lang w:val="es-ES_tradnl"/>
              </w:rPr>
              <w:t>Promulgación</w:t>
            </w:r>
            <w:r w:rsidRPr="00580410">
              <w:rPr>
                <w:sz w:val="20"/>
                <w:lang w:val="es-ES_tradnl"/>
              </w:rPr>
              <w:t xml:space="preserve"> de</w:t>
            </w:r>
            <w:r>
              <w:rPr>
                <w:sz w:val="20"/>
                <w:lang w:val="es-ES_tradnl"/>
              </w:rPr>
              <w:t xml:space="preserve"> la</w:t>
            </w:r>
            <w:r w:rsidRPr="00580410">
              <w:rPr>
                <w:sz w:val="20"/>
                <w:lang w:val="es-ES_tradnl"/>
              </w:rPr>
              <w:t xml:space="preserve"> </w:t>
            </w:r>
            <w:bookmarkStart w:id="11" w:name="_Hlk486256621"/>
            <w:r w:rsidRPr="00580410">
              <w:rPr>
                <w:sz w:val="20"/>
                <w:lang w:val="es-ES_tradnl"/>
              </w:rPr>
              <w:t xml:space="preserve">Ley Contra </w:t>
            </w:r>
            <w:r>
              <w:rPr>
                <w:sz w:val="20"/>
                <w:lang w:val="es-ES_tradnl"/>
              </w:rPr>
              <w:t xml:space="preserve">el </w:t>
            </w:r>
            <w:r w:rsidRPr="00580410">
              <w:rPr>
                <w:sz w:val="20"/>
                <w:lang w:val="es-ES_tradnl"/>
              </w:rPr>
              <w:t xml:space="preserve">Lavado de Activos y </w:t>
            </w:r>
            <w:r>
              <w:rPr>
                <w:sz w:val="20"/>
                <w:lang w:val="es-ES_tradnl"/>
              </w:rPr>
              <w:t xml:space="preserve">el </w:t>
            </w:r>
            <w:r w:rsidRPr="00580410">
              <w:rPr>
                <w:sz w:val="20"/>
                <w:lang w:val="es-ES_tradnl"/>
              </w:rPr>
              <w:t>Financiamiento del Terrorismo</w:t>
            </w:r>
            <w:bookmarkEnd w:id="11"/>
            <w:r>
              <w:rPr>
                <w:sz w:val="20"/>
                <w:lang w:val="es-ES_tradnl"/>
              </w:rPr>
              <w:t xml:space="preserve"> por parte del Poder Ejecutivo</w:t>
            </w:r>
            <w:r w:rsidRPr="00580410">
              <w:rPr>
                <w:sz w:val="20"/>
                <w:lang w:val="es-ES_tradnl"/>
              </w:rPr>
              <w:t>.</w:t>
            </w:r>
          </w:p>
          <w:p w14:paraId="3C325307" w14:textId="2E85CBCD" w:rsidR="00825709" w:rsidRPr="005E3BED" w:rsidRDefault="00825709" w:rsidP="00825709">
            <w:pPr>
              <w:ind w:left="144" w:right="144"/>
              <w:rPr>
                <w:sz w:val="20"/>
                <w:lang w:val="es-ES_tradnl"/>
              </w:rPr>
            </w:pPr>
          </w:p>
        </w:tc>
        <w:tc>
          <w:tcPr>
            <w:tcW w:w="1764" w:type="pct"/>
            <w:tcBorders>
              <w:top w:val="single" w:sz="4" w:space="0" w:color="auto"/>
              <w:left w:val="single" w:sz="4" w:space="0" w:color="auto"/>
              <w:bottom w:val="single" w:sz="4" w:space="0" w:color="auto"/>
              <w:right w:val="single" w:sz="4" w:space="0" w:color="auto"/>
            </w:tcBorders>
          </w:tcPr>
          <w:p w14:paraId="31EF958A" w14:textId="77777777" w:rsidR="00825709" w:rsidRDefault="00825709" w:rsidP="00825709">
            <w:pPr>
              <w:ind w:left="144" w:right="144"/>
              <w:rPr>
                <w:sz w:val="20"/>
                <w:szCs w:val="20"/>
                <w:lang w:val="es-ES_tradnl"/>
              </w:rPr>
            </w:pPr>
            <w:r w:rsidRPr="0008149E">
              <w:rPr>
                <w:sz w:val="20"/>
                <w:szCs w:val="20"/>
                <w:lang w:val="es-ES_tradnl"/>
              </w:rPr>
              <w:t>Ley 155-17, Ley Contra el Lavado de Activos y el Financiamiento del Terrorismo promulgada</w:t>
            </w:r>
            <w:r>
              <w:rPr>
                <w:sz w:val="20"/>
                <w:szCs w:val="20"/>
                <w:lang w:val="es-ES_tradnl"/>
              </w:rPr>
              <w:t xml:space="preserve"> en Gaceta Oficial del 2 de junio de 2017.</w:t>
            </w:r>
          </w:p>
          <w:p w14:paraId="6F4CB150" w14:textId="77777777" w:rsidR="00503A8E" w:rsidRDefault="00503A8E" w:rsidP="00825709">
            <w:pPr>
              <w:ind w:left="144" w:right="144"/>
              <w:rPr>
                <w:sz w:val="20"/>
                <w:szCs w:val="20"/>
                <w:lang w:val="es-ES_tradnl"/>
              </w:rPr>
            </w:pPr>
          </w:p>
          <w:p w14:paraId="71A80D14" w14:textId="737F221D" w:rsidR="00503A8E" w:rsidRPr="0008149E" w:rsidRDefault="00503A8E" w:rsidP="00825709">
            <w:pPr>
              <w:ind w:left="144" w:right="144"/>
              <w:rPr>
                <w:sz w:val="20"/>
                <w:szCs w:val="20"/>
                <w:lang w:val="es-ES_tradnl"/>
              </w:rPr>
            </w:pPr>
          </w:p>
        </w:tc>
      </w:tr>
      <w:tr w:rsidR="00825709" w:rsidRPr="00485794" w14:paraId="5CB6D4E7" w14:textId="77777777" w:rsidTr="00D24A02">
        <w:trPr>
          <w:cantSplit/>
          <w:jc w:val="center"/>
        </w:trPr>
        <w:tc>
          <w:tcPr>
            <w:tcW w:w="5000" w:type="pct"/>
            <w:gridSpan w:val="4"/>
            <w:tcBorders>
              <w:left w:val="single" w:sz="4" w:space="0" w:color="auto"/>
              <w:right w:val="single" w:sz="4" w:space="0" w:color="auto"/>
            </w:tcBorders>
            <w:shd w:val="clear" w:color="auto" w:fill="8DB3E2" w:themeFill="text2" w:themeFillTint="66"/>
          </w:tcPr>
          <w:p w14:paraId="2969D901" w14:textId="0E79883D" w:rsidR="00825709" w:rsidRPr="00D24A02" w:rsidRDefault="00825709" w:rsidP="00825709">
            <w:pPr>
              <w:tabs>
                <w:tab w:val="left" w:pos="567"/>
              </w:tabs>
              <w:ind w:left="109" w:right="72"/>
              <w:rPr>
                <w:b/>
                <w:sz w:val="20"/>
                <w:szCs w:val="16"/>
                <w:lang w:val="es-ES_tradnl"/>
              </w:rPr>
            </w:pPr>
            <w:r w:rsidRPr="005937E7">
              <w:rPr>
                <w:b/>
                <w:sz w:val="20"/>
                <w:szCs w:val="16"/>
                <w:lang w:val="es-ES_tradnl"/>
              </w:rPr>
              <w:lastRenderedPageBreak/>
              <w:t>Mejora del clima de negocios e innovación para el desarrollo productivo</w:t>
            </w:r>
          </w:p>
        </w:tc>
      </w:tr>
      <w:tr w:rsidR="00215FEA" w:rsidRPr="00485794" w14:paraId="0133DDED" w14:textId="77777777" w:rsidTr="00524225">
        <w:trPr>
          <w:cantSplit/>
          <w:trHeight w:val="3220"/>
          <w:jc w:val="center"/>
        </w:trPr>
        <w:tc>
          <w:tcPr>
            <w:tcW w:w="966" w:type="pct"/>
            <w:vMerge w:val="restart"/>
            <w:tcBorders>
              <w:left w:val="single" w:sz="4" w:space="0" w:color="auto"/>
              <w:right w:val="single" w:sz="4" w:space="0" w:color="auto"/>
            </w:tcBorders>
            <w:shd w:val="clear" w:color="auto" w:fill="auto"/>
          </w:tcPr>
          <w:p w14:paraId="511A1874" w14:textId="77777777" w:rsidR="00215FEA" w:rsidRPr="005937E7" w:rsidRDefault="00215FEA" w:rsidP="00215FEA">
            <w:pPr>
              <w:pStyle w:val="ListParagraph"/>
              <w:numPr>
                <w:ilvl w:val="0"/>
                <w:numId w:val="19"/>
              </w:numPr>
              <w:spacing w:after="0"/>
              <w:ind w:right="144"/>
              <w:contextualSpacing/>
              <w:jc w:val="left"/>
              <w:rPr>
                <w:b/>
                <w:sz w:val="20"/>
                <w:szCs w:val="20"/>
                <w:lang w:val="es-ES_tradnl"/>
              </w:rPr>
            </w:pPr>
            <w:r>
              <w:rPr>
                <w:b/>
                <w:sz w:val="20"/>
                <w:szCs w:val="20"/>
                <w:lang w:val="es-ES_tradnl"/>
              </w:rPr>
              <w:t>Mejora y simplificación de procesos administrativos</w:t>
            </w:r>
          </w:p>
        </w:tc>
        <w:tc>
          <w:tcPr>
            <w:tcW w:w="922" w:type="pct"/>
            <w:tcBorders>
              <w:top w:val="single" w:sz="4" w:space="0" w:color="auto"/>
              <w:left w:val="single" w:sz="4" w:space="0" w:color="auto"/>
              <w:right w:val="single" w:sz="4" w:space="0" w:color="auto"/>
            </w:tcBorders>
            <w:shd w:val="clear" w:color="auto" w:fill="auto"/>
          </w:tcPr>
          <w:p w14:paraId="7128ECB5" w14:textId="681FA748" w:rsidR="00215FEA" w:rsidRPr="00AB7CDB" w:rsidRDefault="00215FEA" w:rsidP="00215FEA">
            <w:pPr>
              <w:ind w:left="144" w:right="144"/>
              <w:rPr>
                <w:sz w:val="20"/>
                <w:szCs w:val="20"/>
                <w:lang w:val="es-ES_tradnl"/>
              </w:rPr>
            </w:pPr>
            <w:r>
              <w:rPr>
                <w:sz w:val="20"/>
                <w:szCs w:val="20"/>
                <w:lang w:val="es-ES_tradnl"/>
              </w:rPr>
              <w:t>Ministerio de Economía, Planificación y Desarrollo</w:t>
            </w:r>
          </w:p>
        </w:tc>
        <w:tc>
          <w:tcPr>
            <w:tcW w:w="1348" w:type="pct"/>
            <w:tcBorders>
              <w:top w:val="single" w:sz="4" w:space="0" w:color="auto"/>
              <w:left w:val="single" w:sz="4" w:space="0" w:color="auto"/>
              <w:right w:val="single" w:sz="4" w:space="0" w:color="auto"/>
            </w:tcBorders>
            <w:shd w:val="clear" w:color="auto" w:fill="auto"/>
          </w:tcPr>
          <w:p w14:paraId="21616AF2" w14:textId="77777777" w:rsidR="00215FEA" w:rsidRPr="005937E7" w:rsidRDefault="00215FEA" w:rsidP="00215FEA">
            <w:pPr>
              <w:ind w:left="144" w:right="144"/>
              <w:rPr>
                <w:sz w:val="20"/>
                <w:szCs w:val="20"/>
                <w:lang w:val="es-ES_tradnl"/>
              </w:rPr>
            </w:pPr>
            <w:r w:rsidRPr="005937E7">
              <w:rPr>
                <w:sz w:val="20"/>
                <w:szCs w:val="20"/>
                <w:lang w:val="es-ES_tradnl"/>
              </w:rPr>
              <w:t xml:space="preserve">En seguimiento de la aprobación de </w:t>
            </w:r>
            <w:r>
              <w:rPr>
                <w:sz w:val="20"/>
                <w:szCs w:val="20"/>
                <w:lang w:val="es-ES_tradnl"/>
              </w:rPr>
              <w:t>la Ley de Procedimiento Adminis</w:t>
            </w:r>
            <w:r w:rsidRPr="005937E7">
              <w:rPr>
                <w:sz w:val="20"/>
                <w:szCs w:val="20"/>
                <w:lang w:val="es-ES_tradnl"/>
              </w:rPr>
              <w:t>trativo simplificación de procesos en los ámbitos de:</w:t>
            </w:r>
          </w:p>
          <w:p w14:paraId="31508E12" w14:textId="77777777" w:rsidR="00215FEA" w:rsidRPr="005937E7" w:rsidRDefault="00215FEA" w:rsidP="00215FEA">
            <w:pPr>
              <w:ind w:left="144" w:right="144"/>
              <w:rPr>
                <w:sz w:val="20"/>
                <w:szCs w:val="20"/>
                <w:lang w:val="es-ES_tradnl"/>
              </w:rPr>
            </w:pPr>
            <w:r>
              <w:rPr>
                <w:sz w:val="20"/>
                <w:szCs w:val="20"/>
                <w:lang w:val="es-ES_tradnl"/>
              </w:rPr>
              <w:t>•</w:t>
            </w:r>
            <w:r w:rsidRPr="005937E7">
              <w:rPr>
                <w:sz w:val="20"/>
                <w:szCs w:val="20"/>
                <w:lang w:val="es-ES_tradnl"/>
              </w:rPr>
              <w:t>O</w:t>
            </w:r>
            <w:r>
              <w:rPr>
                <w:sz w:val="20"/>
                <w:szCs w:val="20"/>
                <w:lang w:val="es-ES_tradnl"/>
              </w:rPr>
              <w:t>btención de permisos de cons</w:t>
            </w:r>
            <w:r w:rsidRPr="005937E7">
              <w:rPr>
                <w:sz w:val="20"/>
                <w:szCs w:val="20"/>
                <w:lang w:val="es-ES_tradnl"/>
              </w:rPr>
              <w:t>trucción.</w:t>
            </w:r>
          </w:p>
          <w:p w14:paraId="7A671F4E" w14:textId="77777777" w:rsidR="00215FEA" w:rsidRDefault="00215FEA" w:rsidP="00215FEA">
            <w:pPr>
              <w:ind w:left="144" w:right="144"/>
              <w:rPr>
                <w:sz w:val="20"/>
                <w:szCs w:val="20"/>
                <w:lang w:val="es-ES_tradnl"/>
              </w:rPr>
            </w:pPr>
            <w:r>
              <w:rPr>
                <w:sz w:val="20"/>
                <w:szCs w:val="20"/>
                <w:lang w:val="es-ES_tradnl"/>
              </w:rPr>
              <w:t>•</w:t>
            </w:r>
            <w:r w:rsidRPr="005937E7">
              <w:rPr>
                <w:sz w:val="20"/>
                <w:szCs w:val="20"/>
                <w:lang w:val="es-ES_tradnl"/>
              </w:rPr>
              <w:t>Pago de i</w:t>
            </w:r>
            <w:r>
              <w:rPr>
                <w:sz w:val="20"/>
                <w:szCs w:val="20"/>
                <w:lang w:val="es-ES_tradnl"/>
              </w:rPr>
              <w:t>mpuestos.</w:t>
            </w:r>
          </w:p>
          <w:p w14:paraId="6128DA36" w14:textId="77777777" w:rsidR="00215FEA" w:rsidRPr="005937E7" w:rsidRDefault="00215FEA" w:rsidP="00215FEA">
            <w:pPr>
              <w:ind w:left="144" w:right="144"/>
              <w:rPr>
                <w:sz w:val="20"/>
                <w:szCs w:val="20"/>
                <w:lang w:val="es-ES_tradnl"/>
              </w:rPr>
            </w:pPr>
            <w:r>
              <w:rPr>
                <w:sz w:val="20"/>
                <w:szCs w:val="20"/>
                <w:lang w:val="es-ES_tradnl"/>
              </w:rPr>
              <w:t>•</w:t>
            </w:r>
            <w:r w:rsidRPr="005937E7">
              <w:rPr>
                <w:sz w:val="20"/>
                <w:szCs w:val="20"/>
                <w:lang w:val="es-ES_tradnl"/>
              </w:rPr>
              <w:t>Comercio transfronterizo</w:t>
            </w:r>
            <w:r>
              <w:rPr>
                <w:sz w:val="20"/>
                <w:szCs w:val="20"/>
                <w:lang w:val="es-ES_tradnl"/>
              </w:rPr>
              <w:t>.</w:t>
            </w:r>
          </w:p>
          <w:p w14:paraId="2839D44C" w14:textId="77483297" w:rsidR="00215FEA" w:rsidRPr="00AB7CDB" w:rsidRDefault="00215FEA" w:rsidP="00215FEA">
            <w:pPr>
              <w:ind w:left="144" w:right="144"/>
              <w:rPr>
                <w:sz w:val="20"/>
                <w:szCs w:val="20"/>
                <w:lang w:val="es-ES_tradnl"/>
              </w:rPr>
            </w:pPr>
            <w:r>
              <w:rPr>
                <w:sz w:val="20"/>
                <w:szCs w:val="20"/>
                <w:lang w:val="es-ES_tradnl"/>
              </w:rPr>
              <w:t>•Apertura y registro de empresas</w:t>
            </w:r>
            <w:r w:rsidRPr="005937E7">
              <w:rPr>
                <w:sz w:val="20"/>
                <w:szCs w:val="20"/>
                <w:lang w:val="es-ES_tradnl"/>
              </w:rPr>
              <w:t>.</w:t>
            </w:r>
          </w:p>
        </w:tc>
        <w:tc>
          <w:tcPr>
            <w:tcW w:w="1764" w:type="pct"/>
            <w:tcBorders>
              <w:top w:val="single" w:sz="4" w:space="0" w:color="auto"/>
              <w:left w:val="single" w:sz="4" w:space="0" w:color="auto"/>
              <w:right w:val="single" w:sz="4" w:space="0" w:color="auto"/>
            </w:tcBorders>
          </w:tcPr>
          <w:p w14:paraId="008052A8" w14:textId="77777777" w:rsidR="00215FEA" w:rsidRPr="0008149E" w:rsidRDefault="00215FEA" w:rsidP="00215FEA">
            <w:pPr>
              <w:tabs>
                <w:tab w:val="left" w:pos="567"/>
              </w:tabs>
              <w:ind w:left="109" w:right="72"/>
              <w:rPr>
                <w:sz w:val="20"/>
                <w:szCs w:val="20"/>
                <w:lang w:val="es-ES_tradnl"/>
              </w:rPr>
            </w:pPr>
            <w:r w:rsidRPr="0008149E">
              <w:rPr>
                <w:sz w:val="20"/>
                <w:szCs w:val="20"/>
                <w:lang w:val="es-ES_tradnl"/>
              </w:rPr>
              <w:t>Informe del MEPD detallando los procesos de simplificación en los ámbitos de:</w:t>
            </w:r>
          </w:p>
          <w:p w14:paraId="55EF9DD8" w14:textId="77777777" w:rsidR="00215FEA" w:rsidRPr="0008149E" w:rsidRDefault="00215FEA" w:rsidP="00215FEA">
            <w:pPr>
              <w:tabs>
                <w:tab w:val="left" w:pos="567"/>
              </w:tabs>
              <w:ind w:left="109" w:right="72"/>
              <w:rPr>
                <w:sz w:val="20"/>
                <w:szCs w:val="20"/>
                <w:lang w:val="es-ES_tradnl"/>
              </w:rPr>
            </w:pPr>
            <w:r w:rsidRPr="0008149E">
              <w:rPr>
                <w:sz w:val="20"/>
                <w:szCs w:val="20"/>
                <w:lang w:val="es-ES_tradnl"/>
              </w:rPr>
              <w:t>•Obtención de permisos de construcción.</w:t>
            </w:r>
          </w:p>
          <w:p w14:paraId="648744C1" w14:textId="77777777" w:rsidR="00215FEA" w:rsidRPr="0008149E" w:rsidRDefault="00215FEA" w:rsidP="00215FEA">
            <w:pPr>
              <w:tabs>
                <w:tab w:val="left" w:pos="567"/>
              </w:tabs>
              <w:ind w:left="109" w:right="72"/>
              <w:rPr>
                <w:sz w:val="20"/>
                <w:szCs w:val="20"/>
                <w:lang w:val="es-ES_tradnl"/>
              </w:rPr>
            </w:pPr>
            <w:r w:rsidRPr="0008149E">
              <w:rPr>
                <w:sz w:val="20"/>
                <w:szCs w:val="20"/>
                <w:lang w:val="es-ES_tradnl"/>
              </w:rPr>
              <w:t>•Pago de impuestos.</w:t>
            </w:r>
          </w:p>
          <w:p w14:paraId="34658AE3" w14:textId="77777777" w:rsidR="00215FEA" w:rsidRPr="0008149E" w:rsidRDefault="00215FEA" w:rsidP="00215FEA">
            <w:pPr>
              <w:tabs>
                <w:tab w:val="left" w:pos="567"/>
              </w:tabs>
              <w:ind w:left="109" w:right="72"/>
              <w:rPr>
                <w:sz w:val="20"/>
                <w:szCs w:val="20"/>
                <w:lang w:val="es-ES_tradnl"/>
              </w:rPr>
            </w:pPr>
            <w:r w:rsidRPr="0008149E">
              <w:rPr>
                <w:sz w:val="20"/>
                <w:szCs w:val="20"/>
                <w:lang w:val="es-ES_tradnl"/>
              </w:rPr>
              <w:t>•Comercio transfronterizo</w:t>
            </w:r>
          </w:p>
          <w:p w14:paraId="007C4A25" w14:textId="368DFA16" w:rsidR="00215FEA" w:rsidRDefault="00215FEA" w:rsidP="00215FEA">
            <w:pPr>
              <w:tabs>
                <w:tab w:val="left" w:pos="567"/>
              </w:tabs>
              <w:ind w:left="109" w:right="72"/>
              <w:rPr>
                <w:b/>
                <w:sz w:val="20"/>
                <w:szCs w:val="20"/>
                <w:lang w:val="es-ES_tradnl"/>
              </w:rPr>
            </w:pPr>
            <w:r w:rsidRPr="0008149E">
              <w:rPr>
                <w:sz w:val="20"/>
                <w:szCs w:val="20"/>
                <w:lang w:val="es-ES_tradnl"/>
              </w:rPr>
              <w:t>•Apertura y registro de empresas.</w:t>
            </w:r>
          </w:p>
        </w:tc>
      </w:tr>
      <w:tr w:rsidR="00215FEA" w:rsidRPr="00485794" w14:paraId="6F20C929" w14:textId="77777777" w:rsidTr="00524225">
        <w:trPr>
          <w:cantSplit/>
          <w:trHeight w:val="403"/>
          <w:jc w:val="center"/>
        </w:trPr>
        <w:tc>
          <w:tcPr>
            <w:tcW w:w="966" w:type="pct"/>
            <w:vMerge/>
            <w:tcBorders>
              <w:left w:val="single" w:sz="4" w:space="0" w:color="auto"/>
              <w:right w:val="single" w:sz="4" w:space="0" w:color="auto"/>
            </w:tcBorders>
            <w:shd w:val="clear" w:color="auto" w:fill="auto"/>
          </w:tcPr>
          <w:p w14:paraId="6F547109" w14:textId="77777777" w:rsidR="00215FEA" w:rsidRDefault="00215FEA" w:rsidP="00215FEA">
            <w:pPr>
              <w:pStyle w:val="ListParagraph"/>
              <w:ind w:right="144"/>
              <w:rPr>
                <w:b/>
                <w:sz w:val="20"/>
                <w:szCs w:val="20"/>
                <w:lang w:val="es-ES_tradnl"/>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15816700" w14:textId="7FBFECBD" w:rsidR="00215FEA" w:rsidRDefault="00215FEA" w:rsidP="00215FEA">
            <w:pPr>
              <w:ind w:left="144" w:right="144"/>
              <w:rPr>
                <w:sz w:val="20"/>
                <w:szCs w:val="20"/>
                <w:lang w:val="es-ES_tradnl"/>
              </w:rPr>
            </w:pPr>
            <w:r w:rsidRPr="00891B6F">
              <w:rPr>
                <w:sz w:val="20"/>
                <w:szCs w:val="20"/>
                <w:lang w:val="es-ES_tradnl"/>
              </w:rPr>
              <w:t>Presidencia de la República</w:t>
            </w:r>
          </w:p>
        </w:tc>
        <w:tc>
          <w:tcPr>
            <w:tcW w:w="1348" w:type="pct"/>
            <w:tcBorders>
              <w:top w:val="single" w:sz="4" w:space="0" w:color="auto"/>
              <w:left w:val="single" w:sz="4" w:space="0" w:color="auto"/>
              <w:bottom w:val="single" w:sz="4" w:space="0" w:color="auto"/>
              <w:right w:val="single" w:sz="4" w:space="0" w:color="auto"/>
            </w:tcBorders>
            <w:shd w:val="clear" w:color="auto" w:fill="auto"/>
          </w:tcPr>
          <w:p w14:paraId="00EA0B32" w14:textId="1B740EC1" w:rsidR="00215FEA" w:rsidRPr="00891B6F" w:rsidRDefault="00215FEA" w:rsidP="00215FEA">
            <w:pPr>
              <w:ind w:left="144" w:right="144"/>
              <w:rPr>
                <w:sz w:val="20"/>
                <w:szCs w:val="20"/>
                <w:lang w:val="es-ES_tradnl"/>
              </w:rPr>
            </w:pPr>
            <w:bookmarkStart w:id="12" w:name="_Hlk488249423"/>
            <w:r w:rsidRPr="00891B6F">
              <w:rPr>
                <w:sz w:val="20"/>
                <w:szCs w:val="20"/>
                <w:lang w:val="es-ES_tradnl"/>
              </w:rPr>
              <w:t xml:space="preserve">Presentación al Congreso de un </w:t>
            </w:r>
            <w:r>
              <w:rPr>
                <w:sz w:val="20"/>
                <w:szCs w:val="20"/>
                <w:lang w:val="es-ES_tradnl"/>
              </w:rPr>
              <w:t>P</w:t>
            </w:r>
            <w:r w:rsidRPr="00891B6F">
              <w:rPr>
                <w:sz w:val="20"/>
                <w:szCs w:val="20"/>
                <w:lang w:val="es-ES_tradnl"/>
              </w:rPr>
              <w:t xml:space="preserve">royecto de </w:t>
            </w:r>
            <w:r>
              <w:rPr>
                <w:sz w:val="20"/>
                <w:szCs w:val="20"/>
                <w:lang w:val="es-ES_tradnl"/>
              </w:rPr>
              <w:t>M</w:t>
            </w:r>
            <w:r w:rsidRPr="00891B6F">
              <w:rPr>
                <w:sz w:val="20"/>
                <w:szCs w:val="20"/>
                <w:lang w:val="es-ES_tradnl"/>
              </w:rPr>
              <w:t xml:space="preserve">odificación de la Ley General de las Sociedades Comerciales y Empresas Individuales de Responsabilidad Limitada, para </w:t>
            </w:r>
            <w:r w:rsidR="006210EC">
              <w:rPr>
                <w:sz w:val="20"/>
                <w:szCs w:val="20"/>
                <w:lang w:val="es-ES_tradnl"/>
              </w:rPr>
              <w:t>eliminar</w:t>
            </w:r>
            <w:r w:rsidRPr="00891B6F">
              <w:rPr>
                <w:sz w:val="20"/>
                <w:szCs w:val="20"/>
                <w:lang w:val="es-ES_tradnl"/>
              </w:rPr>
              <w:t xml:space="preserve"> el requisito de capital mínimo para la constitución de una nueva empresa.</w:t>
            </w:r>
          </w:p>
          <w:bookmarkEnd w:id="12"/>
          <w:p w14:paraId="205920E0" w14:textId="77777777" w:rsidR="00215FEA" w:rsidRPr="00C50CF4" w:rsidRDefault="00215FEA" w:rsidP="00215FEA">
            <w:pPr>
              <w:ind w:left="144" w:right="144"/>
              <w:rPr>
                <w:sz w:val="20"/>
                <w:szCs w:val="20"/>
                <w:lang w:val="es-ES_tradnl"/>
              </w:rPr>
            </w:pPr>
          </w:p>
        </w:tc>
        <w:tc>
          <w:tcPr>
            <w:tcW w:w="1764" w:type="pct"/>
            <w:tcBorders>
              <w:top w:val="single" w:sz="4" w:space="0" w:color="auto"/>
              <w:left w:val="single" w:sz="4" w:space="0" w:color="auto"/>
              <w:bottom w:val="single" w:sz="4" w:space="0" w:color="auto"/>
              <w:right w:val="single" w:sz="4" w:space="0" w:color="auto"/>
            </w:tcBorders>
          </w:tcPr>
          <w:p w14:paraId="164EFBDB" w14:textId="2DBC2C72" w:rsidR="00215FEA" w:rsidRPr="00766C0A" w:rsidRDefault="00215FEA" w:rsidP="00215FEA">
            <w:pPr>
              <w:tabs>
                <w:tab w:val="left" w:pos="567"/>
              </w:tabs>
              <w:ind w:left="109" w:right="72"/>
              <w:rPr>
                <w:sz w:val="20"/>
                <w:szCs w:val="20"/>
                <w:lang w:val="es-ES_tradnl"/>
              </w:rPr>
            </w:pPr>
            <w:r w:rsidRPr="00891B6F">
              <w:rPr>
                <w:sz w:val="20"/>
                <w:szCs w:val="20"/>
                <w:lang w:val="es-ES_tradnl"/>
              </w:rPr>
              <w:t xml:space="preserve">Comunicación de la Presidencia de la República remitiendo al Congreso Nacional un </w:t>
            </w:r>
            <w:r>
              <w:rPr>
                <w:sz w:val="20"/>
                <w:szCs w:val="20"/>
                <w:lang w:val="es-ES_tradnl"/>
              </w:rPr>
              <w:t>P</w:t>
            </w:r>
            <w:r w:rsidRPr="00891B6F">
              <w:rPr>
                <w:sz w:val="20"/>
                <w:szCs w:val="20"/>
                <w:lang w:val="es-ES_tradnl"/>
              </w:rPr>
              <w:t>royecto de</w:t>
            </w:r>
            <w:r>
              <w:rPr>
                <w:sz w:val="20"/>
                <w:szCs w:val="20"/>
                <w:lang w:val="es-ES_tradnl"/>
              </w:rPr>
              <w:t xml:space="preserve"> Modificación </w:t>
            </w:r>
            <w:r w:rsidRPr="00891B6F">
              <w:rPr>
                <w:sz w:val="20"/>
                <w:szCs w:val="20"/>
                <w:lang w:val="es-ES_tradnl"/>
              </w:rPr>
              <w:t>de la Ley General de las Sociedades Comerciales y Empresas Individuales de Responsabilidad Limitada</w:t>
            </w:r>
            <w:r>
              <w:rPr>
                <w:sz w:val="20"/>
                <w:szCs w:val="20"/>
                <w:lang w:val="es-ES_tradnl"/>
              </w:rPr>
              <w:t xml:space="preserve"> </w:t>
            </w:r>
            <w:r w:rsidRPr="00CD5DBA">
              <w:rPr>
                <w:sz w:val="20"/>
                <w:szCs w:val="20"/>
                <w:lang w:val="es-ES_tradnl"/>
              </w:rPr>
              <w:t>para reducir significativamente el requisito de capital mínimo</w:t>
            </w:r>
            <w:r>
              <w:rPr>
                <w:sz w:val="20"/>
                <w:szCs w:val="20"/>
                <w:lang w:val="es-ES_tradnl"/>
              </w:rPr>
              <w:t>.</w:t>
            </w:r>
          </w:p>
        </w:tc>
      </w:tr>
      <w:tr w:rsidR="00215FEA" w:rsidRPr="00485794" w14:paraId="19AA81EC" w14:textId="77777777" w:rsidTr="00524225">
        <w:trPr>
          <w:cantSplit/>
          <w:trHeight w:val="403"/>
          <w:jc w:val="center"/>
        </w:trPr>
        <w:tc>
          <w:tcPr>
            <w:tcW w:w="966" w:type="pct"/>
            <w:vMerge/>
            <w:tcBorders>
              <w:left w:val="single" w:sz="4" w:space="0" w:color="auto"/>
              <w:right w:val="single" w:sz="4" w:space="0" w:color="auto"/>
            </w:tcBorders>
            <w:shd w:val="clear" w:color="auto" w:fill="auto"/>
          </w:tcPr>
          <w:p w14:paraId="3DD58272" w14:textId="77777777" w:rsidR="00215FEA" w:rsidRDefault="00215FEA" w:rsidP="00215FEA">
            <w:pPr>
              <w:pStyle w:val="ListParagraph"/>
              <w:ind w:right="144"/>
              <w:rPr>
                <w:b/>
                <w:sz w:val="20"/>
                <w:szCs w:val="20"/>
                <w:lang w:val="es-ES_tradnl"/>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42FA35D8" w14:textId="3EDF17F3" w:rsidR="00215FEA" w:rsidRPr="005937E7" w:rsidRDefault="003A7132" w:rsidP="00215FEA">
            <w:pPr>
              <w:ind w:left="144" w:right="144"/>
              <w:rPr>
                <w:sz w:val="20"/>
                <w:szCs w:val="20"/>
                <w:lang w:val="es-ES_tradnl"/>
              </w:rPr>
            </w:pPr>
            <w:r w:rsidRPr="003A7132">
              <w:rPr>
                <w:sz w:val="20"/>
                <w:szCs w:val="20"/>
                <w:lang w:val="es-ES_tradnl"/>
              </w:rPr>
              <w:t>Congreso de la República</w:t>
            </w:r>
            <w:r w:rsidRPr="003A7132" w:rsidDel="006210EC">
              <w:rPr>
                <w:sz w:val="20"/>
                <w:szCs w:val="20"/>
                <w:lang w:val="es-ES_tradnl"/>
              </w:rPr>
              <w:t xml:space="preserve"> </w:t>
            </w:r>
          </w:p>
        </w:tc>
        <w:tc>
          <w:tcPr>
            <w:tcW w:w="1348" w:type="pct"/>
            <w:tcBorders>
              <w:top w:val="single" w:sz="4" w:space="0" w:color="auto"/>
              <w:left w:val="single" w:sz="4" w:space="0" w:color="auto"/>
              <w:bottom w:val="single" w:sz="4" w:space="0" w:color="auto"/>
              <w:right w:val="single" w:sz="4" w:space="0" w:color="auto"/>
            </w:tcBorders>
            <w:shd w:val="clear" w:color="auto" w:fill="auto"/>
          </w:tcPr>
          <w:p w14:paraId="13F06A07" w14:textId="23733357" w:rsidR="00215FEA" w:rsidRPr="005937E7" w:rsidRDefault="003A7132" w:rsidP="00215FEA">
            <w:pPr>
              <w:ind w:left="144" w:right="144"/>
              <w:rPr>
                <w:sz w:val="20"/>
                <w:szCs w:val="20"/>
                <w:lang w:val="es-ES_tradnl"/>
              </w:rPr>
            </w:pPr>
            <w:r w:rsidRPr="003A7132">
              <w:rPr>
                <w:sz w:val="20"/>
                <w:szCs w:val="20"/>
                <w:lang w:val="es-ES_tradnl"/>
              </w:rPr>
              <w:t>Ratificación por parte del Congreso Nacional del Acuerdo de Facilitación de Comercio de la Organización Mundial de Comercio (OMC).</w:t>
            </w:r>
          </w:p>
        </w:tc>
        <w:tc>
          <w:tcPr>
            <w:tcW w:w="1764" w:type="pct"/>
            <w:tcBorders>
              <w:top w:val="single" w:sz="4" w:space="0" w:color="auto"/>
              <w:left w:val="single" w:sz="4" w:space="0" w:color="auto"/>
              <w:bottom w:val="single" w:sz="4" w:space="0" w:color="auto"/>
              <w:right w:val="single" w:sz="4" w:space="0" w:color="auto"/>
            </w:tcBorders>
          </w:tcPr>
          <w:p w14:paraId="092037C2" w14:textId="34B149E1" w:rsidR="00215FEA" w:rsidRPr="00766C0A" w:rsidRDefault="003A7132" w:rsidP="00215FEA">
            <w:pPr>
              <w:tabs>
                <w:tab w:val="left" w:pos="567"/>
              </w:tabs>
              <w:ind w:left="109" w:right="72"/>
              <w:rPr>
                <w:sz w:val="20"/>
                <w:szCs w:val="20"/>
                <w:lang w:val="es-ES_tradnl"/>
              </w:rPr>
            </w:pPr>
            <w:r w:rsidRPr="003A7132">
              <w:rPr>
                <w:sz w:val="20"/>
                <w:szCs w:val="20"/>
                <w:lang w:val="es-ES_tradnl"/>
              </w:rPr>
              <w:t>Resolución 696-16 del Congreso Nacional ratificando el Acuerdo de Facilitación de Comercio de la Organización Mundial de Comercio (OMC).</w:t>
            </w:r>
          </w:p>
        </w:tc>
      </w:tr>
      <w:tr w:rsidR="00215FEA" w:rsidRPr="00485794" w14:paraId="64D1A89B" w14:textId="77777777" w:rsidTr="00524225">
        <w:trPr>
          <w:cantSplit/>
          <w:trHeight w:val="403"/>
          <w:jc w:val="center"/>
        </w:trPr>
        <w:tc>
          <w:tcPr>
            <w:tcW w:w="966" w:type="pct"/>
            <w:vMerge/>
            <w:tcBorders>
              <w:left w:val="single" w:sz="4" w:space="0" w:color="auto"/>
              <w:right w:val="single" w:sz="4" w:space="0" w:color="auto"/>
            </w:tcBorders>
            <w:shd w:val="clear" w:color="auto" w:fill="auto"/>
          </w:tcPr>
          <w:p w14:paraId="3D46F63A" w14:textId="77777777" w:rsidR="00215FEA" w:rsidRDefault="00215FEA" w:rsidP="00215FEA">
            <w:pPr>
              <w:pStyle w:val="ListParagraph"/>
              <w:ind w:right="144"/>
              <w:rPr>
                <w:b/>
                <w:sz w:val="20"/>
                <w:szCs w:val="20"/>
                <w:lang w:val="es-ES_tradnl"/>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6660F173" w14:textId="13E3CEE6" w:rsidR="00215FEA" w:rsidRPr="005937E7" w:rsidRDefault="00215FEA" w:rsidP="00215FEA">
            <w:pPr>
              <w:ind w:left="144" w:right="144"/>
              <w:rPr>
                <w:sz w:val="20"/>
                <w:szCs w:val="20"/>
                <w:lang w:val="es-ES_tradnl"/>
              </w:rPr>
            </w:pPr>
            <w:r>
              <w:rPr>
                <w:sz w:val="20"/>
                <w:szCs w:val="20"/>
                <w:lang w:val="es-ES_tradnl"/>
              </w:rPr>
              <w:t>Presidencia de la República.</w:t>
            </w:r>
          </w:p>
        </w:tc>
        <w:tc>
          <w:tcPr>
            <w:tcW w:w="1348" w:type="pct"/>
            <w:tcBorders>
              <w:top w:val="single" w:sz="4" w:space="0" w:color="auto"/>
              <w:left w:val="single" w:sz="4" w:space="0" w:color="auto"/>
              <w:bottom w:val="single" w:sz="4" w:space="0" w:color="auto"/>
              <w:right w:val="single" w:sz="4" w:space="0" w:color="auto"/>
            </w:tcBorders>
            <w:shd w:val="clear" w:color="auto" w:fill="auto"/>
          </w:tcPr>
          <w:p w14:paraId="25851989" w14:textId="77777777" w:rsidR="00215FEA" w:rsidRDefault="00215FEA" w:rsidP="00215FEA">
            <w:pPr>
              <w:ind w:left="144" w:right="144"/>
              <w:rPr>
                <w:sz w:val="20"/>
                <w:szCs w:val="20"/>
                <w:lang w:val="es-ES_tradnl"/>
              </w:rPr>
            </w:pPr>
            <w:r w:rsidRPr="00C50CF4">
              <w:rPr>
                <w:sz w:val="20"/>
                <w:szCs w:val="20"/>
                <w:lang w:val="es-ES_tradnl"/>
              </w:rPr>
              <w:t xml:space="preserve">Presentación al Congreso Nacional de </w:t>
            </w:r>
            <w:r>
              <w:rPr>
                <w:sz w:val="20"/>
                <w:szCs w:val="20"/>
                <w:lang w:val="es-ES_tradnl"/>
              </w:rPr>
              <w:t xml:space="preserve">un Proyecto de Ley </w:t>
            </w:r>
            <w:r w:rsidRPr="00C50CF4">
              <w:rPr>
                <w:sz w:val="20"/>
                <w:szCs w:val="20"/>
                <w:lang w:val="es-ES_tradnl"/>
              </w:rPr>
              <w:t>de Aduanas.</w:t>
            </w:r>
          </w:p>
          <w:p w14:paraId="3211985A" w14:textId="77777777" w:rsidR="00215FEA" w:rsidRPr="005937E7" w:rsidRDefault="00215FEA" w:rsidP="00215FEA">
            <w:pPr>
              <w:ind w:right="144"/>
              <w:rPr>
                <w:sz w:val="20"/>
                <w:szCs w:val="20"/>
                <w:lang w:val="es-ES_tradnl"/>
              </w:rPr>
            </w:pPr>
          </w:p>
        </w:tc>
        <w:tc>
          <w:tcPr>
            <w:tcW w:w="1764" w:type="pct"/>
            <w:tcBorders>
              <w:top w:val="single" w:sz="4" w:space="0" w:color="auto"/>
              <w:left w:val="single" w:sz="4" w:space="0" w:color="auto"/>
              <w:bottom w:val="single" w:sz="4" w:space="0" w:color="auto"/>
              <w:right w:val="single" w:sz="4" w:space="0" w:color="auto"/>
            </w:tcBorders>
          </w:tcPr>
          <w:p w14:paraId="680E8744" w14:textId="71F4FFFE" w:rsidR="00215FEA" w:rsidRPr="00121EEC" w:rsidRDefault="003A7132" w:rsidP="00215FEA">
            <w:pPr>
              <w:tabs>
                <w:tab w:val="left" w:pos="567"/>
              </w:tabs>
              <w:ind w:left="109" w:right="72"/>
              <w:rPr>
                <w:sz w:val="20"/>
                <w:szCs w:val="20"/>
                <w:lang w:val="es-ES_tradnl"/>
              </w:rPr>
            </w:pPr>
            <w:r w:rsidRPr="003A7132">
              <w:rPr>
                <w:sz w:val="20"/>
                <w:szCs w:val="20"/>
                <w:lang w:val="es-ES_tradnl"/>
              </w:rPr>
              <w:t>Certificación por parte de la Presidencia de la República confirmando que se encuentra depositado en el Congreso Nacional un Proyecto de Ley de Aduanas.</w:t>
            </w:r>
          </w:p>
        </w:tc>
      </w:tr>
      <w:tr w:rsidR="00215FEA" w:rsidRPr="00485794" w14:paraId="518D851C" w14:textId="77777777" w:rsidTr="00524225">
        <w:trPr>
          <w:cantSplit/>
          <w:trHeight w:val="403"/>
          <w:jc w:val="center"/>
        </w:trPr>
        <w:tc>
          <w:tcPr>
            <w:tcW w:w="966" w:type="pct"/>
            <w:vMerge w:val="restart"/>
            <w:tcBorders>
              <w:left w:val="single" w:sz="4" w:space="0" w:color="auto"/>
              <w:right w:val="single" w:sz="4" w:space="0" w:color="auto"/>
            </w:tcBorders>
            <w:shd w:val="clear" w:color="auto" w:fill="auto"/>
          </w:tcPr>
          <w:p w14:paraId="5A3E30C0" w14:textId="77777777" w:rsidR="00215FEA" w:rsidRDefault="00215FEA" w:rsidP="00215FEA">
            <w:pPr>
              <w:pStyle w:val="ListParagraph"/>
              <w:numPr>
                <w:ilvl w:val="0"/>
                <w:numId w:val="19"/>
              </w:numPr>
              <w:spacing w:after="0"/>
              <w:ind w:right="144"/>
              <w:contextualSpacing/>
              <w:jc w:val="left"/>
              <w:rPr>
                <w:b/>
                <w:sz w:val="20"/>
                <w:szCs w:val="20"/>
                <w:lang w:val="es-ES_tradnl"/>
              </w:rPr>
            </w:pPr>
            <w:r>
              <w:rPr>
                <w:b/>
                <w:sz w:val="20"/>
                <w:szCs w:val="20"/>
                <w:lang w:val="es-ES_tradnl"/>
              </w:rPr>
              <w:lastRenderedPageBreak/>
              <w:t xml:space="preserve">Fortalecimiento de la competencia </w:t>
            </w: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1EE12BEA" w14:textId="77777777" w:rsidR="00215FEA" w:rsidRPr="005937E7" w:rsidRDefault="00215FEA" w:rsidP="00215FEA">
            <w:pPr>
              <w:tabs>
                <w:tab w:val="left" w:pos="1188"/>
              </w:tabs>
              <w:ind w:left="144" w:right="144"/>
              <w:rPr>
                <w:sz w:val="20"/>
                <w:szCs w:val="20"/>
                <w:lang w:val="es-ES_tradnl"/>
              </w:rPr>
            </w:pPr>
            <w:r>
              <w:rPr>
                <w:sz w:val="20"/>
                <w:szCs w:val="20"/>
                <w:lang w:val="es-ES_tradnl"/>
              </w:rPr>
              <w:t>PROCOMPETENCIA.</w:t>
            </w:r>
          </w:p>
        </w:tc>
        <w:tc>
          <w:tcPr>
            <w:tcW w:w="1348" w:type="pct"/>
            <w:tcBorders>
              <w:top w:val="single" w:sz="4" w:space="0" w:color="auto"/>
              <w:left w:val="single" w:sz="4" w:space="0" w:color="auto"/>
              <w:bottom w:val="single" w:sz="4" w:space="0" w:color="auto"/>
              <w:right w:val="single" w:sz="4" w:space="0" w:color="auto"/>
            </w:tcBorders>
            <w:shd w:val="clear" w:color="auto" w:fill="auto"/>
          </w:tcPr>
          <w:p w14:paraId="3F5E74A4" w14:textId="7AD67ABD" w:rsidR="00215FEA" w:rsidRPr="005937E7" w:rsidRDefault="00215FEA" w:rsidP="00215FEA">
            <w:pPr>
              <w:ind w:left="144" w:right="144"/>
              <w:rPr>
                <w:sz w:val="20"/>
                <w:szCs w:val="20"/>
                <w:lang w:val="es-ES_tradnl"/>
              </w:rPr>
            </w:pPr>
            <w:r w:rsidRPr="00C50CF4">
              <w:rPr>
                <w:sz w:val="20"/>
                <w:szCs w:val="20"/>
                <w:lang w:val="es-ES_tradnl"/>
              </w:rPr>
              <w:t>De</w:t>
            </w:r>
            <w:r>
              <w:rPr>
                <w:sz w:val="20"/>
                <w:szCs w:val="20"/>
                <w:lang w:val="es-ES_tradnl"/>
              </w:rPr>
              <w:t>sarrollo de las normas de promoción y defensa de la compe</w:t>
            </w:r>
            <w:r w:rsidRPr="00C50CF4">
              <w:rPr>
                <w:sz w:val="20"/>
                <w:szCs w:val="20"/>
                <w:lang w:val="es-ES_tradnl"/>
              </w:rPr>
              <w:t xml:space="preserve">tencia en los principales sectores </w:t>
            </w:r>
            <w:r>
              <w:rPr>
                <w:sz w:val="20"/>
                <w:szCs w:val="20"/>
                <w:lang w:val="es-ES_tradnl"/>
              </w:rPr>
              <w:t>económicos</w:t>
            </w:r>
            <w:r w:rsidRPr="00C50CF4">
              <w:rPr>
                <w:sz w:val="20"/>
                <w:szCs w:val="20"/>
                <w:lang w:val="es-ES_tradnl"/>
              </w:rPr>
              <w:t xml:space="preserve"> del país.</w:t>
            </w:r>
          </w:p>
        </w:tc>
        <w:tc>
          <w:tcPr>
            <w:tcW w:w="1764" w:type="pct"/>
            <w:tcBorders>
              <w:top w:val="single" w:sz="4" w:space="0" w:color="auto"/>
              <w:left w:val="single" w:sz="4" w:space="0" w:color="auto"/>
              <w:bottom w:val="single" w:sz="4" w:space="0" w:color="auto"/>
              <w:right w:val="single" w:sz="4" w:space="0" w:color="auto"/>
            </w:tcBorders>
          </w:tcPr>
          <w:p w14:paraId="6CE597D2" w14:textId="77777777" w:rsidR="00215FEA" w:rsidRDefault="00215FEA" w:rsidP="00215FEA">
            <w:pPr>
              <w:tabs>
                <w:tab w:val="left" w:pos="567"/>
              </w:tabs>
              <w:ind w:left="109" w:right="72"/>
              <w:rPr>
                <w:sz w:val="20"/>
                <w:szCs w:val="20"/>
                <w:lang w:val="es-ES_tradnl"/>
              </w:rPr>
            </w:pPr>
            <w:r w:rsidRPr="00121EEC">
              <w:rPr>
                <w:sz w:val="20"/>
                <w:szCs w:val="20"/>
                <w:lang w:val="es-ES_tradnl"/>
              </w:rPr>
              <w:t>Resolución No.01-17 que aprueba los Criterios Generales, Técnicos y Económicos para la Evaluación de las Condiciones de Competencia de los Mercados.</w:t>
            </w:r>
          </w:p>
          <w:p w14:paraId="3EFE32C0" w14:textId="77777777" w:rsidR="00215FEA" w:rsidRDefault="00215FEA" w:rsidP="00215FEA">
            <w:pPr>
              <w:tabs>
                <w:tab w:val="left" w:pos="567"/>
              </w:tabs>
              <w:ind w:left="109" w:right="72"/>
              <w:rPr>
                <w:sz w:val="20"/>
                <w:szCs w:val="20"/>
                <w:lang w:val="es-ES_tradnl"/>
              </w:rPr>
            </w:pPr>
          </w:p>
          <w:p w14:paraId="38EDB31C" w14:textId="77777777" w:rsidR="00215FEA" w:rsidRDefault="00215FEA" w:rsidP="00215FEA">
            <w:pPr>
              <w:tabs>
                <w:tab w:val="left" w:pos="567"/>
              </w:tabs>
              <w:ind w:left="109" w:right="72"/>
              <w:rPr>
                <w:sz w:val="20"/>
                <w:szCs w:val="20"/>
                <w:lang w:val="es-ES_tradnl"/>
              </w:rPr>
            </w:pPr>
            <w:r>
              <w:rPr>
                <w:sz w:val="20"/>
                <w:szCs w:val="20"/>
                <w:lang w:val="es-ES_tradnl"/>
              </w:rPr>
              <w:t>Resolución No. 06-2017 de</w:t>
            </w:r>
            <w:r w:rsidRPr="00121EEC">
              <w:rPr>
                <w:sz w:val="20"/>
                <w:szCs w:val="20"/>
                <w:lang w:val="es-ES_tradnl"/>
              </w:rPr>
              <w:t xml:space="preserve"> PROCOMPETENCIA </w:t>
            </w:r>
            <w:r>
              <w:rPr>
                <w:sz w:val="20"/>
                <w:szCs w:val="20"/>
                <w:lang w:val="es-ES_tradnl"/>
              </w:rPr>
              <w:t>enviando</w:t>
            </w:r>
            <w:r w:rsidRPr="00121EEC">
              <w:rPr>
                <w:sz w:val="20"/>
                <w:szCs w:val="20"/>
                <w:lang w:val="es-ES_tradnl"/>
              </w:rPr>
              <w:t xml:space="preserve"> el Proyecto de Reglamento de Aplicación de la Ley General de Defensa de la Competencia (Ley No. 42-08) a consulta pública</w:t>
            </w:r>
            <w:r>
              <w:rPr>
                <w:sz w:val="20"/>
                <w:szCs w:val="20"/>
                <w:lang w:val="es-ES_tradnl"/>
              </w:rPr>
              <w:t>.</w:t>
            </w:r>
          </w:p>
          <w:p w14:paraId="11FD1E54" w14:textId="77777777" w:rsidR="00215FEA" w:rsidRDefault="00215FEA" w:rsidP="00215FEA">
            <w:pPr>
              <w:tabs>
                <w:tab w:val="left" w:pos="567"/>
              </w:tabs>
              <w:ind w:left="109" w:right="72"/>
              <w:rPr>
                <w:sz w:val="20"/>
                <w:szCs w:val="20"/>
                <w:lang w:val="es-ES_tradnl"/>
              </w:rPr>
            </w:pPr>
          </w:p>
          <w:p w14:paraId="368EF861" w14:textId="3681383C" w:rsidR="00215FEA" w:rsidRPr="00121EEC" w:rsidRDefault="00215FEA" w:rsidP="00215FEA">
            <w:pPr>
              <w:tabs>
                <w:tab w:val="left" w:pos="567"/>
              </w:tabs>
              <w:ind w:left="109" w:right="72"/>
              <w:rPr>
                <w:sz w:val="20"/>
                <w:szCs w:val="20"/>
                <w:lang w:val="es-ES_tradnl"/>
              </w:rPr>
            </w:pPr>
            <w:r w:rsidRPr="003E76B5">
              <w:rPr>
                <w:sz w:val="20"/>
                <w:szCs w:val="20"/>
                <w:lang w:val="es-ES_tradnl"/>
              </w:rPr>
              <w:t>Informe de ProCompetencia con los desarrollos normativos en temas de promoción y defensa de la competencia.</w:t>
            </w:r>
          </w:p>
        </w:tc>
      </w:tr>
      <w:tr w:rsidR="00215FEA" w:rsidRPr="00485794" w14:paraId="022EB6F0" w14:textId="77777777" w:rsidTr="00524225">
        <w:trPr>
          <w:cantSplit/>
          <w:trHeight w:val="403"/>
          <w:jc w:val="center"/>
        </w:trPr>
        <w:tc>
          <w:tcPr>
            <w:tcW w:w="966" w:type="pct"/>
            <w:vMerge/>
            <w:tcBorders>
              <w:left w:val="single" w:sz="4" w:space="0" w:color="auto"/>
              <w:right w:val="single" w:sz="4" w:space="0" w:color="auto"/>
            </w:tcBorders>
            <w:shd w:val="clear" w:color="auto" w:fill="auto"/>
          </w:tcPr>
          <w:p w14:paraId="3D387118" w14:textId="77777777" w:rsidR="00215FEA" w:rsidRDefault="00215FEA" w:rsidP="00215FEA">
            <w:pPr>
              <w:pStyle w:val="ListParagraph"/>
              <w:ind w:right="144"/>
              <w:rPr>
                <w:b/>
                <w:sz w:val="20"/>
                <w:szCs w:val="20"/>
                <w:lang w:val="es-ES_tradnl"/>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39576B1A" w14:textId="77777777" w:rsidR="00215FEA" w:rsidRPr="005937E7" w:rsidRDefault="00215FEA" w:rsidP="00215FEA">
            <w:pPr>
              <w:ind w:left="144" w:right="144"/>
              <w:rPr>
                <w:sz w:val="20"/>
                <w:szCs w:val="20"/>
                <w:lang w:val="es-ES_tradnl"/>
              </w:rPr>
            </w:pPr>
            <w:r>
              <w:rPr>
                <w:sz w:val="20"/>
                <w:szCs w:val="20"/>
                <w:lang w:val="es-ES_tradnl"/>
              </w:rPr>
              <w:t>PROCOMPETENCIA</w:t>
            </w:r>
          </w:p>
        </w:tc>
        <w:tc>
          <w:tcPr>
            <w:tcW w:w="1348" w:type="pct"/>
            <w:tcBorders>
              <w:top w:val="single" w:sz="4" w:space="0" w:color="auto"/>
              <w:left w:val="single" w:sz="4" w:space="0" w:color="auto"/>
              <w:bottom w:val="single" w:sz="4" w:space="0" w:color="auto"/>
              <w:right w:val="single" w:sz="4" w:space="0" w:color="auto"/>
            </w:tcBorders>
            <w:shd w:val="clear" w:color="auto" w:fill="auto"/>
          </w:tcPr>
          <w:p w14:paraId="69B4A5ED" w14:textId="28754147" w:rsidR="00215FEA" w:rsidRPr="005937E7" w:rsidRDefault="00215FEA" w:rsidP="00215FEA">
            <w:pPr>
              <w:ind w:left="144" w:right="144"/>
              <w:rPr>
                <w:sz w:val="20"/>
                <w:szCs w:val="20"/>
                <w:lang w:val="es-ES_tradnl"/>
              </w:rPr>
            </w:pPr>
            <w:r w:rsidRPr="00C50CF4">
              <w:rPr>
                <w:sz w:val="20"/>
                <w:szCs w:val="20"/>
                <w:lang w:val="es-ES_tradnl"/>
              </w:rPr>
              <w:t>El</w:t>
            </w:r>
            <w:r>
              <w:rPr>
                <w:sz w:val="20"/>
                <w:szCs w:val="20"/>
                <w:lang w:val="es-ES_tradnl"/>
              </w:rPr>
              <w:t xml:space="preserve">aboración de cuatro estudios </w:t>
            </w:r>
            <w:r w:rsidRPr="00294DD6">
              <w:rPr>
                <w:sz w:val="20"/>
                <w:szCs w:val="20"/>
                <w:lang w:val="es-ES_tradnl"/>
              </w:rPr>
              <w:t xml:space="preserve">de diagnóstico legal y económico sobre el levantamiento de barreras legales, reglamentarias y/o de mercado que afectan </w:t>
            </w:r>
            <w:r w:rsidRPr="00C50CF4">
              <w:rPr>
                <w:sz w:val="20"/>
                <w:szCs w:val="20"/>
                <w:lang w:val="es-ES_tradnl"/>
              </w:rPr>
              <w:t>el estado de la competencia en sectores estratégicos del país.</w:t>
            </w:r>
          </w:p>
        </w:tc>
        <w:tc>
          <w:tcPr>
            <w:tcW w:w="1764" w:type="pct"/>
            <w:tcBorders>
              <w:top w:val="single" w:sz="4" w:space="0" w:color="auto"/>
              <w:left w:val="single" w:sz="4" w:space="0" w:color="auto"/>
              <w:bottom w:val="single" w:sz="4" w:space="0" w:color="auto"/>
              <w:right w:val="single" w:sz="4" w:space="0" w:color="auto"/>
            </w:tcBorders>
          </w:tcPr>
          <w:p w14:paraId="524E5B00" w14:textId="41F839A8" w:rsidR="00215FEA" w:rsidRPr="0008149E" w:rsidRDefault="00215FEA" w:rsidP="00215FEA">
            <w:pPr>
              <w:tabs>
                <w:tab w:val="left" w:pos="567"/>
              </w:tabs>
              <w:ind w:left="109" w:right="72"/>
              <w:rPr>
                <w:sz w:val="20"/>
                <w:szCs w:val="20"/>
                <w:lang w:val="es-ES_tradnl"/>
              </w:rPr>
            </w:pPr>
            <w:r w:rsidRPr="003E76B5">
              <w:rPr>
                <w:sz w:val="20"/>
                <w:szCs w:val="20"/>
                <w:lang w:val="es-ES_tradnl"/>
              </w:rPr>
              <w:t>Oficio de ProCompetencia remitiendo los cuatro estudios realizados.</w:t>
            </w:r>
          </w:p>
        </w:tc>
      </w:tr>
      <w:tr w:rsidR="00215FEA" w:rsidRPr="00485794" w14:paraId="7E84A2B6" w14:textId="77777777" w:rsidTr="00524225">
        <w:trPr>
          <w:cantSplit/>
          <w:trHeight w:val="403"/>
          <w:jc w:val="center"/>
        </w:trPr>
        <w:tc>
          <w:tcPr>
            <w:tcW w:w="966" w:type="pct"/>
            <w:vMerge/>
            <w:tcBorders>
              <w:left w:val="single" w:sz="4" w:space="0" w:color="auto"/>
              <w:right w:val="single" w:sz="4" w:space="0" w:color="auto"/>
            </w:tcBorders>
            <w:shd w:val="clear" w:color="auto" w:fill="auto"/>
          </w:tcPr>
          <w:p w14:paraId="552CC30B" w14:textId="77777777" w:rsidR="00215FEA" w:rsidRDefault="00215FEA" w:rsidP="00215FEA">
            <w:pPr>
              <w:pStyle w:val="ListParagraph"/>
              <w:ind w:right="144"/>
              <w:rPr>
                <w:b/>
                <w:sz w:val="20"/>
                <w:szCs w:val="20"/>
                <w:lang w:val="es-ES_tradnl"/>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31435D22" w14:textId="77777777" w:rsidR="00215FEA" w:rsidRPr="00C50CF4" w:rsidRDefault="00215FEA" w:rsidP="00215FEA">
            <w:pPr>
              <w:ind w:left="144" w:right="144"/>
              <w:rPr>
                <w:sz w:val="20"/>
                <w:szCs w:val="20"/>
                <w:lang w:val="es-ES_tradnl"/>
              </w:rPr>
            </w:pPr>
            <w:r>
              <w:rPr>
                <w:sz w:val="20"/>
                <w:szCs w:val="20"/>
                <w:lang w:val="es-ES_tradnl"/>
              </w:rPr>
              <w:t>Presidencia de la República.</w:t>
            </w:r>
          </w:p>
        </w:tc>
        <w:tc>
          <w:tcPr>
            <w:tcW w:w="1348" w:type="pct"/>
            <w:tcBorders>
              <w:top w:val="single" w:sz="4" w:space="0" w:color="auto"/>
              <w:left w:val="single" w:sz="4" w:space="0" w:color="auto"/>
              <w:bottom w:val="single" w:sz="4" w:space="0" w:color="auto"/>
              <w:right w:val="single" w:sz="4" w:space="0" w:color="auto"/>
            </w:tcBorders>
            <w:shd w:val="clear" w:color="auto" w:fill="auto"/>
          </w:tcPr>
          <w:p w14:paraId="0058AD8F" w14:textId="29C50800" w:rsidR="00215FEA" w:rsidRPr="00C50CF4" w:rsidRDefault="00215FEA" w:rsidP="00215FEA">
            <w:pPr>
              <w:ind w:left="144" w:right="144"/>
              <w:rPr>
                <w:sz w:val="20"/>
                <w:szCs w:val="20"/>
                <w:lang w:val="es-ES_tradnl"/>
              </w:rPr>
            </w:pPr>
            <w:r w:rsidRPr="00C50CF4">
              <w:rPr>
                <w:sz w:val="20"/>
                <w:szCs w:val="20"/>
                <w:lang w:val="es-ES_tradnl"/>
              </w:rPr>
              <w:t xml:space="preserve">Presentación al Congreso Nacional de un </w:t>
            </w:r>
            <w:r>
              <w:rPr>
                <w:sz w:val="20"/>
                <w:szCs w:val="20"/>
                <w:lang w:val="es-ES_tradnl"/>
              </w:rPr>
              <w:t>P</w:t>
            </w:r>
            <w:r w:rsidRPr="00C50CF4">
              <w:rPr>
                <w:sz w:val="20"/>
                <w:szCs w:val="20"/>
                <w:lang w:val="es-ES_tradnl"/>
              </w:rPr>
              <w:t xml:space="preserve">royecto de Ley </w:t>
            </w:r>
            <w:r>
              <w:rPr>
                <w:sz w:val="20"/>
                <w:szCs w:val="20"/>
                <w:lang w:val="es-ES_tradnl"/>
              </w:rPr>
              <w:t>C</w:t>
            </w:r>
            <w:r w:rsidRPr="00C50CF4">
              <w:rPr>
                <w:sz w:val="20"/>
                <w:szCs w:val="20"/>
                <w:lang w:val="es-ES_tradnl"/>
              </w:rPr>
              <w:t>ontra el Comercio Ilícito.</w:t>
            </w:r>
          </w:p>
        </w:tc>
        <w:tc>
          <w:tcPr>
            <w:tcW w:w="1764" w:type="pct"/>
            <w:tcBorders>
              <w:top w:val="single" w:sz="4" w:space="0" w:color="auto"/>
              <w:left w:val="single" w:sz="4" w:space="0" w:color="auto"/>
              <w:bottom w:val="single" w:sz="4" w:space="0" w:color="auto"/>
              <w:right w:val="single" w:sz="4" w:space="0" w:color="auto"/>
            </w:tcBorders>
          </w:tcPr>
          <w:p w14:paraId="6506F002" w14:textId="0F9B1E72" w:rsidR="00215FEA" w:rsidRPr="0057328D" w:rsidRDefault="00215FEA" w:rsidP="00215FEA">
            <w:pPr>
              <w:tabs>
                <w:tab w:val="left" w:pos="567"/>
              </w:tabs>
              <w:ind w:left="109" w:right="72"/>
              <w:rPr>
                <w:sz w:val="20"/>
                <w:szCs w:val="20"/>
                <w:highlight w:val="yellow"/>
                <w:lang w:val="es-ES_tradnl"/>
              </w:rPr>
            </w:pPr>
            <w:r>
              <w:rPr>
                <w:sz w:val="20"/>
                <w:szCs w:val="20"/>
                <w:lang w:val="es-ES_tradnl"/>
              </w:rPr>
              <w:t xml:space="preserve">Certificación de que el Proyecto de Ley Contra el Comercio Ilícito está depositado en </w:t>
            </w:r>
            <w:r w:rsidRPr="00FF7420">
              <w:rPr>
                <w:sz w:val="20"/>
                <w:szCs w:val="20"/>
                <w:lang w:val="es-ES_tradnl"/>
              </w:rPr>
              <w:t>el Congreso Nacional.</w:t>
            </w:r>
          </w:p>
        </w:tc>
      </w:tr>
      <w:tr w:rsidR="00215FEA" w:rsidRPr="00485794" w14:paraId="04B88961" w14:textId="77777777" w:rsidTr="00524225">
        <w:trPr>
          <w:cantSplit/>
          <w:trHeight w:val="403"/>
          <w:jc w:val="center"/>
        </w:trPr>
        <w:tc>
          <w:tcPr>
            <w:tcW w:w="966" w:type="pct"/>
            <w:vMerge/>
            <w:tcBorders>
              <w:left w:val="single" w:sz="4" w:space="0" w:color="auto"/>
              <w:right w:val="single" w:sz="4" w:space="0" w:color="auto"/>
            </w:tcBorders>
            <w:shd w:val="clear" w:color="auto" w:fill="auto"/>
          </w:tcPr>
          <w:p w14:paraId="41631767" w14:textId="77777777" w:rsidR="00215FEA" w:rsidRDefault="00215FEA" w:rsidP="00215FEA">
            <w:pPr>
              <w:pStyle w:val="ListParagraph"/>
              <w:ind w:right="144"/>
              <w:rPr>
                <w:b/>
                <w:sz w:val="20"/>
                <w:szCs w:val="20"/>
                <w:lang w:val="es-ES_tradnl"/>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1185AADB" w14:textId="77777777" w:rsidR="00215FEA" w:rsidRPr="00C50CF4" w:rsidRDefault="00215FEA" w:rsidP="00215FEA">
            <w:pPr>
              <w:ind w:left="144" w:right="144"/>
              <w:rPr>
                <w:sz w:val="20"/>
                <w:szCs w:val="20"/>
                <w:lang w:val="es-ES_tradnl"/>
              </w:rPr>
            </w:pPr>
            <w:r>
              <w:rPr>
                <w:sz w:val="20"/>
                <w:szCs w:val="20"/>
                <w:lang w:val="es-ES_tradnl"/>
              </w:rPr>
              <w:t>Junta Monetaria</w:t>
            </w:r>
          </w:p>
        </w:tc>
        <w:tc>
          <w:tcPr>
            <w:tcW w:w="1348" w:type="pct"/>
            <w:tcBorders>
              <w:top w:val="single" w:sz="4" w:space="0" w:color="auto"/>
              <w:left w:val="single" w:sz="4" w:space="0" w:color="auto"/>
              <w:bottom w:val="single" w:sz="4" w:space="0" w:color="auto"/>
              <w:right w:val="single" w:sz="4" w:space="0" w:color="auto"/>
            </w:tcBorders>
            <w:shd w:val="clear" w:color="auto" w:fill="auto"/>
          </w:tcPr>
          <w:p w14:paraId="36AD2603" w14:textId="77777777" w:rsidR="00215FEA" w:rsidRDefault="00215FEA" w:rsidP="00215FEA">
            <w:pPr>
              <w:ind w:left="144" w:right="144"/>
              <w:rPr>
                <w:sz w:val="20"/>
                <w:szCs w:val="20"/>
                <w:lang w:val="es-ES_tradnl"/>
              </w:rPr>
            </w:pPr>
            <w:r>
              <w:rPr>
                <w:sz w:val="20"/>
                <w:szCs w:val="20"/>
                <w:lang w:val="es-ES_tradnl"/>
              </w:rPr>
              <w:t>Aprobación de normas reglamenta</w:t>
            </w:r>
            <w:r w:rsidRPr="00C50CF4">
              <w:rPr>
                <w:sz w:val="20"/>
                <w:szCs w:val="20"/>
                <w:lang w:val="es-ES_tradnl"/>
              </w:rPr>
              <w:t xml:space="preserve">rias para el fortalecimiento de la competencia, mayor transparencia de mercado y protección al usuario de </w:t>
            </w:r>
            <w:r>
              <w:rPr>
                <w:sz w:val="20"/>
                <w:szCs w:val="20"/>
                <w:lang w:val="es-ES_tradnl"/>
              </w:rPr>
              <w:t>los productos y servicios finan</w:t>
            </w:r>
            <w:r w:rsidRPr="00C50CF4">
              <w:rPr>
                <w:sz w:val="20"/>
                <w:szCs w:val="20"/>
                <w:lang w:val="es-ES_tradnl"/>
              </w:rPr>
              <w:t>cieros.</w:t>
            </w:r>
          </w:p>
          <w:p w14:paraId="4FF83E44" w14:textId="7806C47F" w:rsidR="00215FEA" w:rsidRPr="00C50CF4" w:rsidRDefault="00215FEA" w:rsidP="00215FEA">
            <w:pPr>
              <w:ind w:left="144" w:right="144"/>
              <w:rPr>
                <w:sz w:val="20"/>
                <w:szCs w:val="20"/>
                <w:lang w:val="es-ES_tradnl"/>
              </w:rPr>
            </w:pPr>
          </w:p>
        </w:tc>
        <w:tc>
          <w:tcPr>
            <w:tcW w:w="1764" w:type="pct"/>
            <w:tcBorders>
              <w:top w:val="single" w:sz="4" w:space="0" w:color="auto"/>
              <w:left w:val="single" w:sz="4" w:space="0" w:color="auto"/>
              <w:bottom w:val="single" w:sz="4" w:space="0" w:color="auto"/>
              <w:right w:val="single" w:sz="4" w:space="0" w:color="auto"/>
            </w:tcBorders>
          </w:tcPr>
          <w:p w14:paraId="0179A514" w14:textId="1101792C" w:rsidR="00215FEA" w:rsidRPr="00D44ED5" w:rsidRDefault="00215FEA" w:rsidP="00215FEA">
            <w:pPr>
              <w:tabs>
                <w:tab w:val="left" w:pos="567"/>
              </w:tabs>
              <w:ind w:left="109" w:right="72"/>
              <w:rPr>
                <w:sz w:val="20"/>
                <w:szCs w:val="20"/>
                <w:lang w:val="es-ES_tradnl"/>
              </w:rPr>
            </w:pPr>
            <w:r>
              <w:rPr>
                <w:sz w:val="20"/>
                <w:szCs w:val="20"/>
                <w:lang w:val="es-ES_tradnl"/>
              </w:rPr>
              <w:t xml:space="preserve">Resolución JM 150205-01, </w:t>
            </w:r>
            <w:r w:rsidRPr="00D44ED5">
              <w:rPr>
                <w:sz w:val="20"/>
                <w:szCs w:val="20"/>
                <w:lang w:val="es-ES_tradnl"/>
              </w:rPr>
              <w:t>Primera Resolución del 5 de febrero de 2015</w:t>
            </w:r>
            <w:r w:rsidRPr="00D44ED5">
              <w:rPr>
                <w:lang w:val="es-ES_tradnl"/>
              </w:rPr>
              <w:t xml:space="preserve"> </w:t>
            </w:r>
            <w:r>
              <w:rPr>
                <w:sz w:val="20"/>
                <w:szCs w:val="20"/>
                <w:lang w:val="es-ES_tradnl"/>
              </w:rPr>
              <w:t>modificando</w:t>
            </w:r>
            <w:r w:rsidRPr="00D44ED5">
              <w:rPr>
                <w:sz w:val="20"/>
                <w:szCs w:val="20"/>
                <w:lang w:val="es-ES_tradnl"/>
              </w:rPr>
              <w:t xml:space="preserve"> el Reglamento de Protección al Usuario de los Productos y Servicios Financieros</w:t>
            </w:r>
            <w:r>
              <w:rPr>
                <w:sz w:val="20"/>
                <w:szCs w:val="20"/>
                <w:lang w:val="es-ES_tradnl"/>
              </w:rPr>
              <w:t>.</w:t>
            </w:r>
          </w:p>
        </w:tc>
      </w:tr>
      <w:tr w:rsidR="00215FEA" w:rsidRPr="00485794" w14:paraId="048C983B" w14:textId="77777777" w:rsidTr="00524225">
        <w:trPr>
          <w:cantSplit/>
          <w:trHeight w:val="403"/>
          <w:jc w:val="center"/>
        </w:trPr>
        <w:tc>
          <w:tcPr>
            <w:tcW w:w="966" w:type="pct"/>
            <w:vMerge w:val="restart"/>
            <w:tcBorders>
              <w:left w:val="single" w:sz="4" w:space="0" w:color="auto"/>
              <w:right w:val="single" w:sz="4" w:space="0" w:color="auto"/>
            </w:tcBorders>
            <w:shd w:val="clear" w:color="auto" w:fill="auto"/>
          </w:tcPr>
          <w:p w14:paraId="367AFC65" w14:textId="77777777" w:rsidR="00215FEA" w:rsidRDefault="00215FEA" w:rsidP="00215FEA">
            <w:pPr>
              <w:pStyle w:val="ListParagraph"/>
              <w:numPr>
                <w:ilvl w:val="0"/>
                <w:numId w:val="19"/>
              </w:numPr>
              <w:spacing w:after="0"/>
              <w:ind w:right="144"/>
              <w:contextualSpacing/>
              <w:jc w:val="left"/>
              <w:rPr>
                <w:b/>
                <w:sz w:val="20"/>
                <w:szCs w:val="20"/>
                <w:lang w:val="es-ES_tradnl"/>
              </w:rPr>
            </w:pPr>
            <w:r>
              <w:rPr>
                <w:b/>
                <w:sz w:val="20"/>
                <w:szCs w:val="20"/>
                <w:lang w:val="es-ES_tradnl"/>
              </w:rPr>
              <w:lastRenderedPageBreak/>
              <w:t xml:space="preserve">Mejoras en las políticas e instituciones para el desarrollo productivo y la innovación </w:t>
            </w: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27318456" w14:textId="2D4A1023" w:rsidR="00215FEA" w:rsidRPr="00C50CF4" w:rsidRDefault="00215FEA" w:rsidP="00215FEA">
            <w:pPr>
              <w:ind w:left="144" w:right="144"/>
              <w:rPr>
                <w:sz w:val="20"/>
                <w:szCs w:val="20"/>
                <w:lang w:val="es-ES_tradnl"/>
              </w:rPr>
            </w:pPr>
            <w:r w:rsidRPr="0068737A">
              <w:rPr>
                <w:sz w:val="20"/>
                <w:szCs w:val="20"/>
                <w:lang w:val="es-ES_tradnl"/>
              </w:rPr>
              <w:t>Presidencia de la República.</w:t>
            </w:r>
          </w:p>
        </w:tc>
        <w:tc>
          <w:tcPr>
            <w:tcW w:w="1348" w:type="pct"/>
            <w:tcBorders>
              <w:top w:val="single" w:sz="4" w:space="0" w:color="auto"/>
              <w:left w:val="single" w:sz="4" w:space="0" w:color="auto"/>
              <w:bottom w:val="single" w:sz="4" w:space="0" w:color="auto"/>
              <w:right w:val="single" w:sz="4" w:space="0" w:color="auto"/>
            </w:tcBorders>
            <w:shd w:val="clear" w:color="auto" w:fill="auto"/>
          </w:tcPr>
          <w:p w14:paraId="1395FDC8" w14:textId="0AA2743A" w:rsidR="00215FEA" w:rsidRDefault="00516CEC" w:rsidP="00215FEA">
            <w:pPr>
              <w:ind w:left="144" w:right="144"/>
              <w:rPr>
                <w:sz w:val="20"/>
                <w:szCs w:val="20"/>
                <w:lang w:val="es-ES_tradnl"/>
              </w:rPr>
            </w:pPr>
            <w:r>
              <w:rPr>
                <w:sz w:val="20"/>
                <w:szCs w:val="20"/>
                <w:lang w:val="es-ES_tradnl"/>
              </w:rPr>
              <w:t>Fortalecimiento</w:t>
            </w:r>
            <w:r w:rsidR="00215FEA" w:rsidRPr="0068737A">
              <w:rPr>
                <w:sz w:val="20"/>
                <w:szCs w:val="20"/>
                <w:lang w:val="es-ES_tradnl"/>
              </w:rPr>
              <w:t xml:space="preserve"> de </w:t>
            </w:r>
            <w:r>
              <w:rPr>
                <w:sz w:val="20"/>
                <w:szCs w:val="20"/>
                <w:lang w:val="es-ES_tradnl"/>
              </w:rPr>
              <w:t xml:space="preserve">los </w:t>
            </w:r>
            <w:r w:rsidR="00215FEA" w:rsidRPr="0068737A">
              <w:rPr>
                <w:sz w:val="20"/>
                <w:szCs w:val="20"/>
                <w:lang w:val="es-ES_tradnl"/>
              </w:rPr>
              <w:t>mecanismos institucionales para promover el Diálogo Público-Privado para el desarrollo productivo y la competitividad.</w:t>
            </w:r>
          </w:p>
        </w:tc>
        <w:tc>
          <w:tcPr>
            <w:tcW w:w="1764" w:type="pct"/>
            <w:tcBorders>
              <w:top w:val="single" w:sz="4" w:space="0" w:color="auto"/>
              <w:left w:val="single" w:sz="4" w:space="0" w:color="auto"/>
              <w:bottom w:val="single" w:sz="4" w:space="0" w:color="auto"/>
              <w:right w:val="single" w:sz="4" w:space="0" w:color="auto"/>
            </w:tcBorders>
          </w:tcPr>
          <w:p w14:paraId="4C3B8CC4" w14:textId="77777777" w:rsidR="00215FEA" w:rsidRPr="0068737A" w:rsidRDefault="00215FEA" w:rsidP="00215FEA">
            <w:pPr>
              <w:tabs>
                <w:tab w:val="left" w:pos="567"/>
              </w:tabs>
              <w:ind w:left="109" w:right="72"/>
              <w:rPr>
                <w:sz w:val="20"/>
                <w:szCs w:val="20"/>
                <w:lang w:val="es-ES_tradnl"/>
              </w:rPr>
            </w:pPr>
            <w:r w:rsidRPr="0068737A">
              <w:rPr>
                <w:sz w:val="20"/>
                <w:szCs w:val="20"/>
                <w:lang w:val="es-ES_tradnl"/>
              </w:rPr>
              <w:t>Decreto Presidencial 237-15 creando la Iniciativa para la Productividad y Competitividad Nacional (IPCN).</w:t>
            </w:r>
          </w:p>
          <w:p w14:paraId="23942A19" w14:textId="77777777" w:rsidR="00215FEA" w:rsidRPr="0068737A" w:rsidRDefault="00215FEA" w:rsidP="00215FEA">
            <w:pPr>
              <w:tabs>
                <w:tab w:val="left" w:pos="567"/>
              </w:tabs>
              <w:ind w:left="109" w:right="72"/>
              <w:rPr>
                <w:sz w:val="20"/>
                <w:szCs w:val="20"/>
                <w:lang w:val="es-ES_tradnl"/>
              </w:rPr>
            </w:pPr>
          </w:p>
          <w:p w14:paraId="1A306909" w14:textId="77777777" w:rsidR="00215FEA" w:rsidRDefault="00215FEA" w:rsidP="00215FEA">
            <w:pPr>
              <w:tabs>
                <w:tab w:val="left" w:pos="567"/>
              </w:tabs>
              <w:ind w:left="109" w:right="72"/>
              <w:rPr>
                <w:sz w:val="20"/>
                <w:szCs w:val="20"/>
                <w:lang w:val="es-ES_tradnl"/>
              </w:rPr>
            </w:pPr>
            <w:r w:rsidRPr="0068737A">
              <w:rPr>
                <w:sz w:val="20"/>
                <w:szCs w:val="20"/>
                <w:lang w:val="es-ES_tradnl"/>
              </w:rPr>
              <w:t>Decreto 370-15 creando la Iniciativa Presidencial para la Promoción y el Apoyo a las MiPyMEs.</w:t>
            </w:r>
          </w:p>
          <w:p w14:paraId="7C359AE6" w14:textId="22225555" w:rsidR="00215FEA" w:rsidRPr="00C50CF4" w:rsidRDefault="00215FEA" w:rsidP="00215FEA">
            <w:pPr>
              <w:tabs>
                <w:tab w:val="left" w:pos="567"/>
              </w:tabs>
              <w:ind w:left="109" w:right="72"/>
              <w:rPr>
                <w:b/>
                <w:sz w:val="20"/>
                <w:szCs w:val="20"/>
                <w:lang w:val="es-ES_tradnl"/>
              </w:rPr>
            </w:pPr>
          </w:p>
        </w:tc>
      </w:tr>
      <w:tr w:rsidR="00215FEA" w:rsidRPr="00485794" w14:paraId="7B3FCDA4" w14:textId="77777777" w:rsidTr="00524225">
        <w:trPr>
          <w:cantSplit/>
          <w:trHeight w:val="403"/>
          <w:jc w:val="center"/>
        </w:trPr>
        <w:tc>
          <w:tcPr>
            <w:tcW w:w="966" w:type="pct"/>
            <w:vMerge/>
            <w:tcBorders>
              <w:left w:val="single" w:sz="4" w:space="0" w:color="auto"/>
              <w:right w:val="single" w:sz="4" w:space="0" w:color="auto"/>
            </w:tcBorders>
            <w:shd w:val="clear" w:color="auto" w:fill="auto"/>
          </w:tcPr>
          <w:p w14:paraId="20B8B4C0" w14:textId="77777777" w:rsidR="00215FEA" w:rsidRDefault="00215FEA" w:rsidP="00215FEA">
            <w:pPr>
              <w:pStyle w:val="ListParagraph"/>
              <w:ind w:right="144"/>
              <w:rPr>
                <w:b/>
                <w:sz w:val="20"/>
                <w:szCs w:val="20"/>
                <w:lang w:val="es-ES_tradnl"/>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68FAEEC2" w14:textId="69F1CDEE" w:rsidR="00215FEA" w:rsidRPr="00C50CF4" w:rsidRDefault="00215FEA" w:rsidP="00215FEA">
            <w:pPr>
              <w:ind w:left="144" w:right="144"/>
              <w:rPr>
                <w:sz w:val="20"/>
                <w:szCs w:val="20"/>
                <w:lang w:val="es-ES_tradnl"/>
              </w:rPr>
            </w:pPr>
            <w:r>
              <w:rPr>
                <w:sz w:val="20"/>
                <w:szCs w:val="20"/>
                <w:lang w:val="es-ES_tradnl"/>
              </w:rPr>
              <w:t>MICM</w:t>
            </w:r>
          </w:p>
        </w:tc>
        <w:tc>
          <w:tcPr>
            <w:tcW w:w="1348" w:type="pct"/>
            <w:tcBorders>
              <w:top w:val="single" w:sz="4" w:space="0" w:color="auto"/>
              <w:left w:val="single" w:sz="4" w:space="0" w:color="auto"/>
              <w:bottom w:val="single" w:sz="4" w:space="0" w:color="auto"/>
              <w:right w:val="single" w:sz="4" w:space="0" w:color="auto"/>
            </w:tcBorders>
            <w:shd w:val="clear" w:color="auto" w:fill="auto"/>
          </w:tcPr>
          <w:p w14:paraId="7DA66D7A" w14:textId="5835259B" w:rsidR="00215FEA" w:rsidRPr="00C50CF4" w:rsidRDefault="00215FEA" w:rsidP="00215FEA">
            <w:pPr>
              <w:ind w:left="144" w:right="144"/>
              <w:rPr>
                <w:sz w:val="20"/>
                <w:szCs w:val="20"/>
                <w:lang w:val="es-ES_tradnl"/>
              </w:rPr>
            </w:pPr>
            <w:r>
              <w:rPr>
                <w:sz w:val="20"/>
                <w:szCs w:val="20"/>
                <w:lang w:val="es-ES_tradnl"/>
              </w:rPr>
              <w:t>Evaluación de la implemen</w:t>
            </w:r>
            <w:r w:rsidRPr="00655331">
              <w:rPr>
                <w:sz w:val="20"/>
                <w:szCs w:val="20"/>
                <w:lang w:val="es-ES_tradnl"/>
              </w:rPr>
              <w:t>tación del SIDOCAL realizada.</w:t>
            </w:r>
          </w:p>
        </w:tc>
        <w:tc>
          <w:tcPr>
            <w:tcW w:w="1764" w:type="pct"/>
            <w:tcBorders>
              <w:top w:val="single" w:sz="4" w:space="0" w:color="auto"/>
              <w:left w:val="single" w:sz="4" w:space="0" w:color="auto"/>
              <w:bottom w:val="single" w:sz="4" w:space="0" w:color="auto"/>
              <w:right w:val="single" w:sz="4" w:space="0" w:color="auto"/>
            </w:tcBorders>
          </w:tcPr>
          <w:p w14:paraId="1A1AAFAA" w14:textId="77777777" w:rsidR="00215FEA" w:rsidRDefault="00215FEA" w:rsidP="00215FEA">
            <w:pPr>
              <w:tabs>
                <w:tab w:val="left" w:pos="567"/>
              </w:tabs>
              <w:ind w:left="109" w:right="72"/>
              <w:rPr>
                <w:sz w:val="20"/>
                <w:szCs w:val="20"/>
                <w:lang w:val="es-ES_tradnl"/>
              </w:rPr>
            </w:pPr>
            <w:r w:rsidRPr="00ED64D8">
              <w:rPr>
                <w:sz w:val="20"/>
                <w:szCs w:val="20"/>
                <w:lang w:val="es-ES_tradnl"/>
              </w:rPr>
              <w:t xml:space="preserve">Informe de </w:t>
            </w:r>
            <w:r>
              <w:rPr>
                <w:sz w:val="20"/>
                <w:szCs w:val="20"/>
                <w:lang w:val="es-ES_tradnl"/>
              </w:rPr>
              <w:t>E</w:t>
            </w:r>
            <w:r w:rsidRPr="00ED64D8">
              <w:rPr>
                <w:sz w:val="20"/>
                <w:szCs w:val="20"/>
                <w:lang w:val="es-ES_tradnl"/>
              </w:rPr>
              <w:t xml:space="preserve">valuación de la </w:t>
            </w:r>
            <w:r>
              <w:rPr>
                <w:sz w:val="20"/>
                <w:szCs w:val="20"/>
                <w:lang w:val="es-ES_tradnl"/>
              </w:rPr>
              <w:t>I</w:t>
            </w:r>
            <w:r w:rsidRPr="00ED64D8">
              <w:rPr>
                <w:sz w:val="20"/>
                <w:szCs w:val="20"/>
                <w:lang w:val="es-ES_tradnl"/>
              </w:rPr>
              <w:t xml:space="preserve">mplementación de las </w:t>
            </w:r>
            <w:r>
              <w:rPr>
                <w:sz w:val="20"/>
                <w:szCs w:val="20"/>
                <w:lang w:val="es-ES_tradnl"/>
              </w:rPr>
              <w:t>R</w:t>
            </w:r>
            <w:r w:rsidRPr="00ED64D8">
              <w:rPr>
                <w:sz w:val="20"/>
                <w:szCs w:val="20"/>
                <w:lang w:val="es-ES_tradnl"/>
              </w:rPr>
              <w:t>eformas al Sistema Dominicano de Calidad (SIDOCAL).</w:t>
            </w:r>
          </w:p>
          <w:p w14:paraId="74C2DBD3" w14:textId="65CD9003" w:rsidR="00215FEA" w:rsidRPr="00ED64D8" w:rsidRDefault="00215FEA" w:rsidP="00215FEA">
            <w:pPr>
              <w:tabs>
                <w:tab w:val="left" w:pos="567"/>
              </w:tabs>
              <w:ind w:left="109" w:right="72"/>
              <w:rPr>
                <w:sz w:val="20"/>
                <w:szCs w:val="20"/>
                <w:lang w:val="es-ES_tradnl"/>
              </w:rPr>
            </w:pPr>
          </w:p>
        </w:tc>
      </w:tr>
      <w:tr w:rsidR="00215FEA" w:rsidRPr="00485794" w14:paraId="11EAF9CC" w14:textId="77777777" w:rsidTr="00524225">
        <w:trPr>
          <w:cantSplit/>
          <w:trHeight w:val="403"/>
          <w:jc w:val="center"/>
        </w:trPr>
        <w:tc>
          <w:tcPr>
            <w:tcW w:w="966" w:type="pct"/>
            <w:vMerge/>
            <w:tcBorders>
              <w:left w:val="single" w:sz="4" w:space="0" w:color="auto"/>
              <w:right w:val="single" w:sz="4" w:space="0" w:color="auto"/>
            </w:tcBorders>
            <w:shd w:val="clear" w:color="auto" w:fill="auto"/>
          </w:tcPr>
          <w:p w14:paraId="59C10104" w14:textId="77777777" w:rsidR="00215FEA" w:rsidRDefault="00215FEA" w:rsidP="00215FEA">
            <w:pPr>
              <w:pStyle w:val="ListParagraph"/>
              <w:ind w:right="144"/>
              <w:rPr>
                <w:b/>
                <w:sz w:val="20"/>
                <w:szCs w:val="20"/>
                <w:lang w:val="es-ES_tradnl"/>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5C50DAC8" w14:textId="52EEE7B9" w:rsidR="00215FEA" w:rsidRPr="00C50CF4" w:rsidRDefault="00BD134E" w:rsidP="00215FEA">
            <w:pPr>
              <w:ind w:left="144" w:right="144"/>
              <w:rPr>
                <w:sz w:val="20"/>
                <w:szCs w:val="20"/>
                <w:lang w:val="es-ES_tradnl"/>
              </w:rPr>
            </w:pPr>
            <w:r w:rsidRPr="00BD134E">
              <w:rPr>
                <w:sz w:val="20"/>
                <w:szCs w:val="20"/>
                <w:lang w:val="es-ES_tradnl"/>
              </w:rPr>
              <w:t>MICM / Oficina Nacional de Propiedad Intelectual (</w:t>
            </w:r>
            <w:r w:rsidR="00215FEA">
              <w:rPr>
                <w:sz w:val="20"/>
                <w:szCs w:val="20"/>
                <w:lang w:val="es-ES_tradnl"/>
              </w:rPr>
              <w:t>ONAPI</w:t>
            </w:r>
            <w:r>
              <w:rPr>
                <w:sz w:val="20"/>
                <w:szCs w:val="20"/>
                <w:lang w:val="es-ES_tradnl"/>
              </w:rPr>
              <w:t>).</w:t>
            </w:r>
          </w:p>
        </w:tc>
        <w:tc>
          <w:tcPr>
            <w:tcW w:w="1348" w:type="pct"/>
            <w:tcBorders>
              <w:top w:val="single" w:sz="4" w:space="0" w:color="auto"/>
              <w:left w:val="single" w:sz="4" w:space="0" w:color="auto"/>
              <w:bottom w:val="single" w:sz="4" w:space="0" w:color="auto"/>
              <w:right w:val="single" w:sz="4" w:space="0" w:color="auto"/>
            </w:tcBorders>
            <w:shd w:val="clear" w:color="auto" w:fill="auto"/>
          </w:tcPr>
          <w:p w14:paraId="4313EE26" w14:textId="2A972D7C" w:rsidR="00215FEA" w:rsidRDefault="00215FEA" w:rsidP="00215FEA">
            <w:pPr>
              <w:ind w:left="144" w:right="144"/>
              <w:rPr>
                <w:sz w:val="20"/>
                <w:szCs w:val="20"/>
                <w:lang w:val="es-ES_tradnl"/>
              </w:rPr>
            </w:pPr>
            <w:r w:rsidRPr="00655331">
              <w:rPr>
                <w:sz w:val="20"/>
                <w:szCs w:val="20"/>
                <w:lang w:val="es-ES_tradnl"/>
              </w:rPr>
              <w:t xml:space="preserve">Implementación </w:t>
            </w:r>
            <w:r w:rsidR="00BD134E">
              <w:rPr>
                <w:sz w:val="20"/>
                <w:szCs w:val="20"/>
                <w:lang w:val="es-ES_tradnl"/>
              </w:rPr>
              <w:t xml:space="preserve">o funcionamiento </w:t>
            </w:r>
            <w:r w:rsidRPr="00655331">
              <w:rPr>
                <w:sz w:val="20"/>
                <w:szCs w:val="20"/>
                <w:lang w:val="es-ES_tradnl"/>
              </w:rPr>
              <w:t xml:space="preserve">de al menos </w:t>
            </w:r>
            <w:r>
              <w:rPr>
                <w:sz w:val="20"/>
                <w:szCs w:val="20"/>
                <w:lang w:val="es-ES_tradnl"/>
              </w:rPr>
              <w:t>ocho</w:t>
            </w:r>
            <w:r w:rsidRPr="00655331">
              <w:rPr>
                <w:sz w:val="20"/>
                <w:szCs w:val="20"/>
                <w:lang w:val="es-ES_tradnl"/>
              </w:rPr>
              <w:t xml:space="preserve"> CATI y evaluación de la capacitación re</w:t>
            </w:r>
            <w:r>
              <w:rPr>
                <w:sz w:val="20"/>
                <w:szCs w:val="20"/>
                <w:lang w:val="es-ES_tradnl"/>
              </w:rPr>
              <w:t>a</w:t>
            </w:r>
            <w:r w:rsidRPr="00655331">
              <w:rPr>
                <w:sz w:val="20"/>
                <w:szCs w:val="20"/>
                <w:lang w:val="es-ES_tradnl"/>
              </w:rPr>
              <w:t>lizada a través de los CATI</w:t>
            </w:r>
            <w:r>
              <w:rPr>
                <w:sz w:val="20"/>
                <w:szCs w:val="20"/>
                <w:lang w:val="es-ES_tradnl"/>
              </w:rPr>
              <w:t>.</w:t>
            </w:r>
          </w:p>
          <w:p w14:paraId="24E60CD0" w14:textId="08F8925F" w:rsidR="00215FEA" w:rsidRPr="00C50CF4" w:rsidRDefault="00215FEA" w:rsidP="00215FEA">
            <w:pPr>
              <w:ind w:left="144" w:right="144"/>
              <w:rPr>
                <w:sz w:val="20"/>
                <w:szCs w:val="20"/>
                <w:lang w:val="es-ES_tradnl"/>
              </w:rPr>
            </w:pPr>
          </w:p>
        </w:tc>
        <w:tc>
          <w:tcPr>
            <w:tcW w:w="1764" w:type="pct"/>
            <w:tcBorders>
              <w:top w:val="single" w:sz="4" w:space="0" w:color="auto"/>
              <w:left w:val="single" w:sz="4" w:space="0" w:color="auto"/>
              <w:bottom w:val="single" w:sz="4" w:space="0" w:color="auto"/>
              <w:right w:val="single" w:sz="4" w:space="0" w:color="auto"/>
            </w:tcBorders>
          </w:tcPr>
          <w:p w14:paraId="3DFF9E96" w14:textId="7B6E60D4" w:rsidR="00215FEA" w:rsidRDefault="00215FEA" w:rsidP="00215FEA">
            <w:pPr>
              <w:tabs>
                <w:tab w:val="left" w:pos="567"/>
              </w:tabs>
              <w:ind w:left="109" w:right="72"/>
              <w:rPr>
                <w:sz w:val="20"/>
                <w:szCs w:val="20"/>
                <w:lang w:val="es-ES_tradnl"/>
              </w:rPr>
            </w:pPr>
            <w:r w:rsidRPr="00D44ED5">
              <w:rPr>
                <w:sz w:val="20"/>
                <w:szCs w:val="20"/>
                <w:lang w:val="es-ES_tradnl"/>
              </w:rPr>
              <w:t>Informe</w:t>
            </w:r>
            <w:r w:rsidR="00BD134E">
              <w:rPr>
                <w:sz w:val="20"/>
                <w:szCs w:val="20"/>
                <w:lang w:val="es-ES_tradnl"/>
              </w:rPr>
              <w:t>s</w:t>
            </w:r>
            <w:r w:rsidRPr="00D44ED5">
              <w:rPr>
                <w:sz w:val="20"/>
                <w:szCs w:val="20"/>
                <w:lang w:val="es-ES_tradnl"/>
              </w:rPr>
              <w:t xml:space="preserve"> remitido</w:t>
            </w:r>
            <w:r w:rsidR="00BD134E">
              <w:rPr>
                <w:sz w:val="20"/>
                <w:szCs w:val="20"/>
                <w:lang w:val="es-ES_tradnl"/>
              </w:rPr>
              <w:t>s</w:t>
            </w:r>
            <w:r w:rsidRPr="00D44ED5">
              <w:rPr>
                <w:sz w:val="20"/>
                <w:szCs w:val="20"/>
                <w:lang w:val="es-ES_tradnl"/>
              </w:rPr>
              <w:t xml:space="preserve"> por </w:t>
            </w:r>
            <w:r>
              <w:rPr>
                <w:sz w:val="20"/>
                <w:szCs w:val="20"/>
                <w:lang w:val="es-ES_tradnl"/>
              </w:rPr>
              <w:t>ONAPI.</w:t>
            </w:r>
          </w:p>
          <w:p w14:paraId="1273C679" w14:textId="77777777" w:rsidR="00215FEA" w:rsidRDefault="00215FEA" w:rsidP="00215FEA">
            <w:pPr>
              <w:tabs>
                <w:tab w:val="left" w:pos="567"/>
              </w:tabs>
              <w:ind w:left="109" w:right="72"/>
              <w:rPr>
                <w:sz w:val="20"/>
                <w:szCs w:val="20"/>
                <w:lang w:val="es-ES_tradnl"/>
              </w:rPr>
            </w:pPr>
          </w:p>
          <w:p w14:paraId="58F25096" w14:textId="7E91CB99" w:rsidR="00215FEA" w:rsidRPr="00D44ED5" w:rsidRDefault="00215FEA" w:rsidP="00215FEA">
            <w:pPr>
              <w:tabs>
                <w:tab w:val="left" w:pos="567"/>
              </w:tabs>
              <w:ind w:left="109" w:right="72"/>
              <w:rPr>
                <w:sz w:val="20"/>
                <w:szCs w:val="20"/>
                <w:lang w:val="es-ES_tradnl"/>
              </w:rPr>
            </w:pPr>
            <w:r w:rsidRPr="00083241">
              <w:rPr>
                <w:sz w:val="20"/>
                <w:szCs w:val="20"/>
                <w:lang w:val="es-ES_tradnl"/>
              </w:rPr>
              <w:t xml:space="preserve">Convenios de creación </w:t>
            </w:r>
            <w:r>
              <w:rPr>
                <w:sz w:val="20"/>
                <w:szCs w:val="20"/>
                <w:lang w:val="es-ES_tradnl"/>
              </w:rPr>
              <w:t xml:space="preserve">y funcionamiento </w:t>
            </w:r>
            <w:r w:rsidRPr="00083241">
              <w:rPr>
                <w:sz w:val="20"/>
                <w:szCs w:val="20"/>
                <w:lang w:val="es-ES_tradnl"/>
              </w:rPr>
              <w:t>de los CATI.</w:t>
            </w:r>
          </w:p>
        </w:tc>
      </w:tr>
      <w:tr w:rsidR="00BD134E" w:rsidRPr="00485794" w14:paraId="2CC915EF" w14:textId="77777777" w:rsidTr="00B06682">
        <w:trPr>
          <w:cantSplit/>
          <w:trHeight w:val="1097"/>
          <w:jc w:val="center"/>
        </w:trPr>
        <w:tc>
          <w:tcPr>
            <w:tcW w:w="966" w:type="pct"/>
            <w:vMerge/>
            <w:tcBorders>
              <w:left w:val="single" w:sz="4" w:space="0" w:color="auto"/>
              <w:right w:val="single" w:sz="4" w:space="0" w:color="auto"/>
            </w:tcBorders>
            <w:shd w:val="clear" w:color="auto" w:fill="auto"/>
          </w:tcPr>
          <w:p w14:paraId="74AEF3E2" w14:textId="77777777" w:rsidR="00BD134E" w:rsidRDefault="00BD134E" w:rsidP="00215FEA">
            <w:pPr>
              <w:pStyle w:val="ListParagraph"/>
              <w:ind w:right="144"/>
              <w:rPr>
                <w:b/>
                <w:sz w:val="20"/>
                <w:szCs w:val="20"/>
                <w:lang w:val="es-ES_tradnl"/>
              </w:rPr>
            </w:pPr>
          </w:p>
        </w:tc>
        <w:tc>
          <w:tcPr>
            <w:tcW w:w="922" w:type="pct"/>
            <w:tcBorders>
              <w:top w:val="single" w:sz="4" w:space="0" w:color="auto"/>
              <w:left w:val="single" w:sz="4" w:space="0" w:color="auto"/>
              <w:right w:val="single" w:sz="4" w:space="0" w:color="auto"/>
            </w:tcBorders>
            <w:shd w:val="clear" w:color="auto" w:fill="auto"/>
          </w:tcPr>
          <w:p w14:paraId="76CF1BB6" w14:textId="5C2E7DF6" w:rsidR="00BD134E" w:rsidRDefault="00BD134E" w:rsidP="00215FEA">
            <w:pPr>
              <w:ind w:left="144" w:right="144"/>
              <w:rPr>
                <w:sz w:val="20"/>
                <w:szCs w:val="20"/>
                <w:lang w:val="es-ES_tradnl"/>
              </w:rPr>
            </w:pPr>
            <w:r w:rsidRPr="00BD134E">
              <w:rPr>
                <w:sz w:val="20"/>
                <w:szCs w:val="20"/>
                <w:lang w:val="es-ES_tradnl"/>
              </w:rPr>
              <w:t>MICM, VM de Desarrollo Industrial.</w:t>
            </w:r>
          </w:p>
        </w:tc>
        <w:tc>
          <w:tcPr>
            <w:tcW w:w="1348" w:type="pct"/>
            <w:tcBorders>
              <w:top w:val="single" w:sz="4" w:space="0" w:color="auto"/>
              <w:left w:val="single" w:sz="4" w:space="0" w:color="auto"/>
              <w:right w:val="single" w:sz="4" w:space="0" w:color="auto"/>
            </w:tcBorders>
            <w:shd w:val="clear" w:color="auto" w:fill="auto"/>
          </w:tcPr>
          <w:p w14:paraId="026703A4" w14:textId="49244FD9" w:rsidR="00BD134E" w:rsidRDefault="00BD134E" w:rsidP="00215FEA">
            <w:pPr>
              <w:ind w:left="144" w:right="144"/>
              <w:rPr>
                <w:sz w:val="20"/>
                <w:szCs w:val="20"/>
                <w:lang w:val="es-ES_tradnl"/>
              </w:rPr>
            </w:pPr>
            <w:r w:rsidRPr="00BD134E">
              <w:rPr>
                <w:sz w:val="20"/>
                <w:szCs w:val="20"/>
              </w:rPr>
              <w:t>Aprobación de una Estrategia Sectorial para el Desarrollo de Sectores Prioritarios.</w:t>
            </w:r>
          </w:p>
        </w:tc>
        <w:tc>
          <w:tcPr>
            <w:tcW w:w="1764" w:type="pct"/>
            <w:tcBorders>
              <w:top w:val="single" w:sz="4" w:space="0" w:color="auto"/>
              <w:left w:val="single" w:sz="4" w:space="0" w:color="auto"/>
              <w:right w:val="single" w:sz="4" w:space="0" w:color="auto"/>
            </w:tcBorders>
          </w:tcPr>
          <w:p w14:paraId="45035B0F" w14:textId="1C5D32B4" w:rsidR="00BD134E" w:rsidRPr="00D44ED5" w:rsidRDefault="00BD134E" w:rsidP="00215FEA">
            <w:pPr>
              <w:tabs>
                <w:tab w:val="left" w:pos="567"/>
              </w:tabs>
              <w:ind w:left="109" w:right="72"/>
              <w:rPr>
                <w:sz w:val="20"/>
                <w:szCs w:val="20"/>
                <w:lang w:val="es-ES_tradnl"/>
              </w:rPr>
            </w:pPr>
            <w:r w:rsidRPr="00BD134E">
              <w:rPr>
                <w:sz w:val="20"/>
                <w:szCs w:val="20"/>
                <w:lang w:val="es-ES_tradnl"/>
              </w:rPr>
              <w:t>Resolución Ministerial aprobando la Estrategia Sectorial para el Desarrollo de Sectores Prioritarios.</w:t>
            </w:r>
          </w:p>
        </w:tc>
      </w:tr>
      <w:tr w:rsidR="00B06682" w:rsidRPr="00485794" w14:paraId="5EE3ADF7" w14:textId="77777777" w:rsidTr="00B06682">
        <w:trPr>
          <w:cantSplit/>
          <w:trHeight w:val="1097"/>
          <w:jc w:val="center"/>
        </w:trPr>
        <w:tc>
          <w:tcPr>
            <w:tcW w:w="966" w:type="pct"/>
            <w:vMerge/>
            <w:tcBorders>
              <w:left w:val="single" w:sz="4" w:space="0" w:color="auto"/>
              <w:right w:val="single" w:sz="4" w:space="0" w:color="auto"/>
            </w:tcBorders>
            <w:shd w:val="clear" w:color="auto" w:fill="auto"/>
          </w:tcPr>
          <w:p w14:paraId="7E7DB749" w14:textId="77777777" w:rsidR="00B06682" w:rsidRDefault="00B06682" w:rsidP="00215FEA">
            <w:pPr>
              <w:pStyle w:val="ListParagraph"/>
              <w:ind w:right="144"/>
              <w:rPr>
                <w:b/>
                <w:sz w:val="20"/>
                <w:szCs w:val="20"/>
                <w:lang w:val="es-ES_tradnl"/>
              </w:rPr>
            </w:pPr>
          </w:p>
        </w:tc>
        <w:tc>
          <w:tcPr>
            <w:tcW w:w="922" w:type="pct"/>
            <w:tcBorders>
              <w:top w:val="single" w:sz="4" w:space="0" w:color="auto"/>
              <w:left w:val="single" w:sz="4" w:space="0" w:color="auto"/>
              <w:right w:val="single" w:sz="4" w:space="0" w:color="auto"/>
            </w:tcBorders>
            <w:shd w:val="clear" w:color="auto" w:fill="auto"/>
          </w:tcPr>
          <w:p w14:paraId="37ED63DB" w14:textId="425C082F" w:rsidR="00B06682" w:rsidRPr="00655331" w:rsidRDefault="00B06682" w:rsidP="00215FEA">
            <w:pPr>
              <w:ind w:left="144" w:right="144"/>
              <w:rPr>
                <w:sz w:val="20"/>
                <w:szCs w:val="20"/>
                <w:lang w:val="es-ES_tradnl"/>
              </w:rPr>
            </w:pPr>
            <w:r>
              <w:rPr>
                <w:sz w:val="20"/>
                <w:szCs w:val="20"/>
                <w:lang w:val="es-ES_tradnl"/>
              </w:rPr>
              <w:t>MICM</w:t>
            </w:r>
          </w:p>
        </w:tc>
        <w:tc>
          <w:tcPr>
            <w:tcW w:w="1348" w:type="pct"/>
            <w:tcBorders>
              <w:top w:val="single" w:sz="4" w:space="0" w:color="auto"/>
              <w:left w:val="single" w:sz="4" w:space="0" w:color="auto"/>
              <w:right w:val="single" w:sz="4" w:space="0" w:color="auto"/>
            </w:tcBorders>
            <w:shd w:val="clear" w:color="auto" w:fill="auto"/>
          </w:tcPr>
          <w:p w14:paraId="291C979C" w14:textId="6918A26E" w:rsidR="00B06682" w:rsidRPr="00655331" w:rsidRDefault="00B06682" w:rsidP="00215FEA">
            <w:pPr>
              <w:ind w:left="144" w:right="144"/>
              <w:rPr>
                <w:sz w:val="20"/>
                <w:szCs w:val="20"/>
                <w:lang w:val="es-ES_tradnl"/>
              </w:rPr>
            </w:pPr>
            <w:r>
              <w:rPr>
                <w:sz w:val="20"/>
                <w:szCs w:val="20"/>
                <w:lang w:val="es-ES_tradnl"/>
              </w:rPr>
              <w:t>Implementación de al menos 12</w:t>
            </w:r>
            <w:r w:rsidRPr="0098481C">
              <w:rPr>
                <w:sz w:val="20"/>
                <w:szCs w:val="20"/>
                <w:lang w:val="es-ES_tradnl"/>
              </w:rPr>
              <w:t xml:space="preserve"> Centros PYME en el país.</w:t>
            </w:r>
          </w:p>
        </w:tc>
        <w:tc>
          <w:tcPr>
            <w:tcW w:w="1764" w:type="pct"/>
            <w:tcBorders>
              <w:top w:val="single" w:sz="4" w:space="0" w:color="auto"/>
              <w:left w:val="single" w:sz="4" w:space="0" w:color="auto"/>
              <w:right w:val="single" w:sz="4" w:space="0" w:color="auto"/>
            </w:tcBorders>
          </w:tcPr>
          <w:p w14:paraId="61FAF64A" w14:textId="77777777" w:rsidR="00B06682" w:rsidRDefault="00B06682" w:rsidP="00215FEA">
            <w:pPr>
              <w:tabs>
                <w:tab w:val="left" w:pos="567"/>
              </w:tabs>
              <w:ind w:left="109" w:right="72"/>
              <w:rPr>
                <w:sz w:val="20"/>
                <w:szCs w:val="20"/>
                <w:lang w:val="es-ES_tradnl"/>
              </w:rPr>
            </w:pPr>
            <w:r w:rsidRPr="00D44ED5">
              <w:rPr>
                <w:sz w:val="20"/>
                <w:szCs w:val="20"/>
                <w:lang w:val="es-ES_tradnl"/>
              </w:rPr>
              <w:t>Informe</w:t>
            </w:r>
            <w:r>
              <w:rPr>
                <w:sz w:val="20"/>
                <w:szCs w:val="20"/>
                <w:lang w:val="es-ES_tradnl"/>
              </w:rPr>
              <w:t xml:space="preserve"> sobre la implementación de los Centros PYME</w:t>
            </w:r>
            <w:r w:rsidRPr="00D44ED5">
              <w:rPr>
                <w:sz w:val="20"/>
                <w:szCs w:val="20"/>
                <w:lang w:val="es-ES_tradnl"/>
              </w:rPr>
              <w:t xml:space="preserve"> remitido por el MICM</w:t>
            </w:r>
            <w:r>
              <w:rPr>
                <w:sz w:val="20"/>
                <w:szCs w:val="20"/>
                <w:lang w:val="es-ES_tradnl"/>
              </w:rPr>
              <w:t>.</w:t>
            </w:r>
          </w:p>
          <w:p w14:paraId="73C75A1C" w14:textId="77777777" w:rsidR="00B06682" w:rsidRDefault="00B06682" w:rsidP="00215FEA">
            <w:pPr>
              <w:tabs>
                <w:tab w:val="left" w:pos="567"/>
              </w:tabs>
              <w:ind w:left="109" w:right="72"/>
              <w:rPr>
                <w:sz w:val="20"/>
                <w:szCs w:val="20"/>
                <w:lang w:val="es-ES_tradnl"/>
              </w:rPr>
            </w:pPr>
          </w:p>
          <w:p w14:paraId="1A730080" w14:textId="77777777" w:rsidR="00B06682" w:rsidRDefault="00B06682" w:rsidP="00215FEA">
            <w:pPr>
              <w:tabs>
                <w:tab w:val="left" w:pos="567"/>
              </w:tabs>
              <w:ind w:left="109" w:right="72"/>
              <w:rPr>
                <w:sz w:val="20"/>
                <w:szCs w:val="20"/>
                <w:lang w:val="es-ES_tradnl"/>
              </w:rPr>
            </w:pPr>
            <w:r w:rsidRPr="00184D6C">
              <w:rPr>
                <w:sz w:val="20"/>
                <w:szCs w:val="20"/>
                <w:lang w:val="es-ES_tradnl"/>
              </w:rPr>
              <w:t xml:space="preserve">Acto de constitución de los </w:t>
            </w:r>
            <w:r>
              <w:rPr>
                <w:sz w:val="20"/>
                <w:szCs w:val="20"/>
                <w:lang w:val="es-ES_tradnl"/>
              </w:rPr>
              <w:t xml:space="preserve">12 </w:t>
            </w:r>
            <w:r w:rsidRPr="00184D6C">
              <w:rPr>
                <w:sz w:val="20"/>
                <w:szCs w:val="20"/>
                <w:lang w:val="es-ES_tradnl"/>
              </w:rPr>
              <w:t>Centros PYME.</w:t>
            </w:r>
          </w:p>
          <w:p w14:paraId="49C0FA65" w14:textId="34A78A57" w:rsidR="00B06682" w:rsidRPr="00D44ED5" w:rsidRDefault="00B06682" w:rsidP="00215FEA">
            <w:pPr>
              <w:tabs>
                <w:tab w:val="left" w:pos="567"/>
              </w:tabs>
              <w:ind w:left="109" w:right="72"/>
              <w:rPr>
                <w:sz w:val="20"/>
                <w:szCs w:val="20"/>
                <w:lang w:val="es-ES_tradnl"/>
              </w:rPr>
            </w:pPr>
          </w:p>
        </w:tc>
      </w:tr>
      <w:tr w:rsidR="00215FEA" w:rsidRPr="00485794" w14:paraId="1B6A551A" w14:textId="77777777" w:rsidTr="00524225">
        <w:trPr>
          <w:cantSplit/>
          <w:trHeight w:val="403"/>
          <w:jc w:val="center"/>
        </w:trPr>
        <w:tc>
          <w:tcPr>
            <w:tcW w:w="966" w:type="pct"/>
            <w:vMerge/>
            <w:tcBorders>
              <w:left w:val="single" w:sz="4" w:space="0" w:color="auto"/>
              <w:right w:val="single" w:sz="4" w:space="0" w:color="auto"/>
            </w:tcBorders>
            <w:shd w:val="clear" w:color="auto" w:fill="auto"/>
          </w:tcPr>
          <w:p w14:paraId="5F95B4D9" w14:textId="77777777" w:rsidR="00215FEA" w:rsidRDefault="00215FEA" w:rsidP="00215FEA">
            <w:pPr>
              <w:pStyle w:val="ListParagraph"/>
              <w:ind w:right="144"/>
              <w:rPr>
                <w:b/>
                <w:sz w:val="20"/>
                <w:szCs w:val="20"/>
                <w:lang w:val="es-ES_tradnl"/>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0D47CAB1" w14:textId="39C8A4E6" w:rsidR="00215FEA" w:rsidRPr="00C50CF4" w:rsidRDefault="007F5093" w:rsidP="00215FEA">
            <w:pPr>
              <w:ind w:left="144" w:right="144"/>
              <w:rPr>
                <w:sz w:val="20"/>
                <w:szCs w:val="20"/>
                <w:lang w:val="es-ES_tradnl"/>
              </w:rPr>
            </w:pPr>
            <w:r>
              <w:rPr>
                <w:sz w:val="20"/>
                <w:szCs w:val="20"/>
                <w:lang w:val="es-ES_tradnl"/>
              </w:rPr>
              <w:t>Presidencia de la República.</w:t>
            </w:r>
          </w:p>
        </w:tc>
        <w:tc>
          <w:tcPr>
            <w:tcW w:w="1348" w:type="pct"/>
            <w:tcBorders>
              <w:top w:val="single" w:sz="4" w:space="0" w:color="auto"/>
              <w:left w:val="single" w:sz="4" w:space="0" w:color="auto"/>
              <w:bottom w:val="single" w:sz="4" w:space="0" w:color="auto"/>
              <w:right w:val="single" w:sz="4" w:space="0" w:color="auto"/>
            </w:tcBorders>
            <w:shd w:val="clear" w:color="auto" w:fill="auto"/>
          </w:tcPr>
          <w:p w14:paraId="0BD7BB64" w14:textId="77777777" w:rsidR="00215FEA" w:rsidRDefault="00215FEA" w:rsidP="00215FEA">
            <w:pPr>
              <w:ind w:left="144" w:right="144"/>
              <w:rPr>
                <w:sz w:val="20"/>
                <w:szCs w:val="20"/>
                <w:lang w:val="es-ES_tradnl"/>
              </w:rPr>
            </w:pPr>
            <w:r w:rsidRPr="00433AA2">
              <w:rPr>
                <w:sz w:val="20"/>
                <w:szCs w:val="20"/>
                <w:lang w:val="es-ES_tradnl"/>
              </w:rPr>
              <w:t>Creación de PRODOMINICANA para brindar servicios de apoyo profesionales a los e</w:t>
            </w:r>
            <w:r>
              <w:rPr>
                <w:sz w:val="20"/>
                <w:szCs w:val="20"/>
                <w:lang w:val="es-ES_tradnl"/>
              </w:rPr>
              <w:t>xportadores y a los inversionis</w:t>
            </w:r>
            <w:r w:rsidRPr="00433AA2">
              <w:rPr>
                <w:sz w:val="20"/>
                <w:szCs w:val="20"/>
                <w:lang w:val="es-ES_tradnl"/>
              </w:rPr>
              <w:t>tas extranjeros.</w:t>
            </w:r>
          </w:p>
          <w:p w14:paraId="1637A452" w14:textId="1A71690C" w:rsidR="00215FEA" w:rsidRPr="00C50CF4" w:rsidRDefault="00215FEA" w:rsidP="00215FEA">
            <w:pPr>
              <w:ind w:left="144" w:right="144"/>
              <w:rPr>
                <w:sz w:val="20"/>
                <w:szCs w:val="20"/>
                <w:lang w:val="es-ES_tradnl"/>
              </w:rPr>
            </w:pPr>
          </w:p>
        </w:tc>
        <w:tc>
          <w:tcPr>
            <w:tcW w:w="1764" w:type="pct"/>
            <w:tcBorders>
              <w:top w:val="single" w:sz="4" w:space="0" w:color="auto"/>
              <w:left w:val="single" w:sz="4" w:space="0" w:color="auto"/>
              <w:bottom w:val="single" w:sz="4" w:space="0" w:color="auto"/>
              <w:right w:val="single" w:sz="4" w:space="0" w:color="auto"/>
            </w:tcBorders>
          </w:tcPr>
          <w:p w14:paraId="6FA7A438" w14:textId="6D1F80F7" w:rsidR="00215FEA" w:rsidRPr="00D44ED5" w:rsidRDefault="00215FEA" w:rsidP="00215FEA">
            <w:pPr>
              <w:tabs>
                <w:tab w:val="left" w:pos="567"/>
              </w:tabs>
              <w:ind w:left="109" w:right="72"/>
              <w:rPr>
                <w:sz w:val="20"/>
                <w:szCs w:val="20"/>
                <w:lang w:val="es-ES_tradnl"/>
              </w:rPr>
            </w:pPr>
            <w:bookmarkStart w:id="13" w:name="_Hlk488249664"/>
            <w:r>
              <w:rPr>
                <w:sz w:val="20"/>
                <w:szCs w:val="20"/>
                <w:lang w:val="es-ES_tradnl"/>
              </w:rPr>
              <w:t xml:space="preserve">Decreto </w:t>
            </w:r>
            <w:r w:rsidR="007F5093">
              <w:rPr>
                <w:sz w:val="20"/>
                <w:szCs w:val="20"/>
                <w:lang w:val="es-ES_tradnl"/>
              </w:rPr>
              <w:t xml:space="preserve">275-17 </w:t>
            </w:r>
            <w:r>
              <w:rPr>
                <w:sz w:val="20"/>
                <w:szCs w:val="20"/>
                <w:lang w:val="es-ES_tradnl"/>
              </w:rPr>
              <w:t xml:space="preserve">del Poder Ejecutivo </w:t>
            </w:r>
            <w:bookmarkEnd w:id="13"/>
            <w:r>
              <w:rPr>
                <w:sz w:val="20"/>
                <w:szCs w:val="20"/>
                <w:lang w:val="es-ES_tradnl"/>
              </w:rPr>
              <w:t>que crea</w:t>
            </w:r>
            <w:r w:rsidRPr="00AA5DBD">
              <w:rPr>
                <w:sz w:val="20"/>
                <w:szCs w:val="20"/>
                <w:lang w:val="es-ES_tradnl"/>
              </w:rPr>
              <w:t xml:space="preserve"> el programa PRODOMINICANA</w:t>
            </w:r>
            <w:r>
              <w:rPr>
                <w:sz w:val="20"/>
                <w:szCs w:val="20"/>
                <w:lang w:val="es-ES_tradnl"/>
              </w:rPr>
              <w:t>.</w:t>
            </w:r>
          </w:p>
        </w:tc>
      </w:tr>
      <w:tr w:rsidR="00825709" w:rsidRPr="00485794" w14:paraId="3643C301" w14:textId="77777777" w:rsidTr="00524225">
        <w:trPr>
          <w:cantSplit/>
          <w:jc w:val="center"/>
        </w:trPr>
        <w:tc>
          <w:tcPr>
            <w:tcW w:w="5000" w:type="pct"/>
            <w:gridSpan w:val="4"/>
            <w:tcBorders>
              <w:left w:val="single" w:sz="4" w:space="0" w:color="auto"/>
              <w:right w:val="single" w:sz="4" w:space="0" w:color="auto"/>
            </w:tcBorders>
            <w:shd w:val="clear" w:color="auto" w:fill="8DB3E2" w:themeFill="text2" w:themeFillTint="66"/>
          </w:tcPr>
          <w:p w14:paraId="2060A26C" w14:textId="7C97EA71" w:rsidR="00825709" w:rsidRPr="00524225" w:rsidRDefault="00215FEA" w:rsidP="00825709">
            <w:pPr>
              <w:tabs>
                <w:tab w:val="left" w:pos="567"/>
              </w:tabs>
              <w:ind w:right="72"/>
              <w:rPr>
                <w:b/>
                <w:sz w:val="20"/>
                <w:szCs w:val="20"/>
                <w:lang w:val="es-ES_tradnl"/>
              </w:rPr>
            </w:pPr>
            <w:r w:rsidRPr="007862DC">
              <w:rPr>
                <w:b/>
                <w:sz w:val="20"/>
                <w:szCs w:val="20"/>
                <w:lang w:val="es-ES_tradnl"/>
              </w:rPr>
              <w:t>Mejoras en las políticas de seguridad social y los incentivos a la formalidad</w:t>
            </w:r>
          </w:p>
        </w:tc>
      </w:tr>
      <w:tr w:rsidR="007F5093" w:rsidRPr="00485794" w14:paraId="2A6272FF" w14:textId="77777777" w:rsidTr="007F5093">
        <w:trPr>
          <w:cantSplit/>
          <w:trHeight w:val="1385"/>
          <w:jc w:val="center"/>
        </w:trPr>
        <w:tc>
          <w:tcPr>
            <w:tcW w:w="966" w:type="pct"/>
            <w:tcBorders>
              <w:left w:val="single" w:sz="4" w:space="0" w:color="auto"/>
              <w:right w:val="single" w:sz="4" w:space="0" w:color="auto"/>
            </w:tcBorders>
            <w:shd w:val="clear" w:color="auto" w:fill="auto"/>
          </w:tcPr>
          <w:p w14:paraId="07148DC4" w14:textId="77777777" w:rsidR="007F5093" w:rsidRPr="008E16C5" w:rsidRDefault="007F5093" w:rsidP="00215FEA">
            <w:pPr>
              <w:pStyle w:val="ListParagraph"/>
              <w:numPr>
                <w:ilvl w:val="0"/>
                <w:numId w:val="20"/>
              </w:numPr>
              <w:spacing w:after="0"/>
              <w:ind w:right="144"/>
              <w:contextualSpacing/>
              <w:jc w:val="left"/>
              <w:rPr>
                <w:b/>
                <w:sz w:val="20"/>
                <w:szCs w:val="20"/>
                <w:lang w:val="es-ES_tradnl"/>
              </w:rPr>
            </w:pPr>
            <w:r w:rsidRPr="008E16C5">
              <w:rPr>
                <w:b/>
                <w:sz w:val="20"/>
                <w:szCs w:val="20"/>
                <w:lang w:val="es-ES_tradnl"/>
              </w:rPr>
              <w:lastRenderedPageBreak/>
              <w:t xml:space="preserve">Mejoras </w:t>
            </w:r>
            <w:r>
              <w:rPr>
                <w:b/>
                <w:sz w:val="20"/>
                <w:szCs w:val="20"/>
                <w:lang w:val="es-ES_tradnl"/>
              </w:rPr>
              <w:t xml:space="preserve">de los incentivos a la formalización laboral y empresarial </w:t>
            </w:r>
          </w:p>
        </w:tc>
        <w:tc>
          <w:tcPr>
            <w:tcW w:w="922" w:type="pct"/>
            <w:tcBorders>
              <w:top w:val="single" w:sz="4" w:space="0" w:color="auto"/>
              <w:left w:val="single" w:sz="4" w:space="0" w:color="auto"/>
              <w:right w:val="single" w:sz="4" w:space="0" w:color="auto"/>
            </w:tcBorders>
            <w:shd w:val="clear" w:color="auto" w:fill="auto"/>
          </w:tcPr>
          <w:p w14:paraId="3A8F48AF" w14:textId="1B4FF36B" w:rsidR="007F5093" w:rsidRPr="00C50CF4" w:rsidRDefault="007F5093" w:rsidP="00215FEA">
            <w:pPr>
              <w:ind w:left="144" w:right="144"/>
              <w:rPr>
                <w:sz w:val="20"/>
                <w:szCs w:val="20"/>
                <w:lang w:val="es-ES_tradnl"/>
              </w:rPr>
            </w:pPr>
            <w:r>
              <w:rPr>
                <w:sz w:val="20"/>
                <w:szCs w:val="20"/>
                <w:lang w:val="es-ES_tradnl"/>
              </w:rPr>
              <w:t>MICM, VM de MiPyMEs.</w:t>
            </w:r>
          </w:p>
        </w:tc>
        <w:tc>
          <w:tcPr>
            <w:tcW w:w="1348" w:type="pct"/>
            <w:tcBorders>
              <w:top w:val="single" w:sz="4" w:space="0" w:color="auto"/>
              <w:left w:val="single" w:sz="4" w:space="0" w:color="auto"/>
              <w:right w:val="single" w:sz="4" w:space="0" w:color="auto"/>
            </w:tcBorders>
            <w:shd w:val="clear" w:color="auto" w:fill="auto"/>
          </w:tcPr>
          <w:p w14:paraId="25E4290F" w14:textId="653A0A17" w:rsidR="007F5093" w:rsidRPr="007F7143" w:rsidRDefault="007F5093" w:rsidP="00215FEA">
            <w:pPr>
              <w:ind w:left="144" w:right="144"/>
              <w:rPr>
                <w:sz w:val="20"/>
                <w:szCs w:val="20"/>
                <w:highlight w:val="yellow"/>
                <w:lang w:val="es-ES_tradnl"/>
              </w:rPr>
            </w:pPr>
            <w:r>
              <w:rPr>
                <w:sz w:val="20"/>
                <w:szCs w:val="20"/>
                <w:lang w:val="es-ES_tradnl"/>
              </w:rPr>
              <w:t>P</w:t>
            </w:r>
            <w:r w:rsidRPr="008E16C5">
              <w:rPr>
                <w:sz w:val="20"/>
                <w:szCs w:val="20"/>
                <w:lang w:val="es-ES_tradnl"/>
              </w:rPr>
              <w:t>uesta en marcha de Formalízate como ventanilla única digital para el registro de empresas</w:t>
            </w:r>
            <w:r>
              <w:rPr>
                <w:sz w:val="20"/>
                <w:szCs w:val="20"/>
                <w:lang w:val="es-ES_tradnl"/>
              </w:rPr>
              <w:t xml:space="preserve"> </w:t>
            </w:r>
            <w:r w:rsidRPr="00C64DEF">
              <w:rPr>
                <w:sz w:val="20"/>
                <w:szCs w:val="20"/>
                <w:lang w:val="es-ES_tradnl"/>
              </w:rPr>
              <w:t>en la mayor parte de las provincias del país</w:t>
            </w:r>
            <w:r>
              <w:rPr>
                <w:sz w:val="20"/>
                <w:szCs w:val="20"/>
                <w:lang w:val="es-ES_tradnl"/>
              </w:rPr>
              <w:t>.</w:t>
            </w:r>
          </w:p>
        </w:tc>
        <w:tc>
          <w:tcPr>
            <w:tcW w:w="1764" w:type="pct"/>
            <w:tcBorders>
              <w:top w:val="single" w:sz="4" w:space="0" w:color="auto"/>
              <w:left w:val="single" w:sz="4" w:space="0" w:color="auto"/>
              <w:right w:val="single" w:sz="4" w:space="0" w:color="auto"/>
            </w:tcBorders>
          </w:tcPr>
          <w:p w14:paraId="7EA1F35C" w14:textId="77777777" w:rsidR="007F5093" w:rsidRDefault="00237585" w:rsidP="00215FEA">
            <w:pPr>
              <w:tabs>
                <w:tab w:val="left" w:pos="567"/>
              </w:tabs>
              <w:ind w:left="109" w:right="72"/>
              <w:rPr>
                <w:b/>
                <w:sz w:val="20"/>
                <w:szCs w:val="20"/>
                <w:lang w:val="es-ES_tradnl"/>
              </w:rPr>
            </w:pPr>
            <w:hyperlink r:id="rId9" w:history="1">
              <w:r w:rsidR="007F5093" w:rsidRPr="00D44ED5">
                <w:rPr>
                  <w:rStyle w:val="Hyperlink"/>
                  <w:sz w:val="20"/>
                  <w:szCs w:val="20"/>
                  <w:lang w:val="es-ES_tradnl"/>
                </w:rPr>
                <w:t>www.formalizate.gob.do</w:t>
              </w:r>
            </w:hyperlink>
          </w:p>
          <w:p w14:paraId="26021CEA" w14:textId="77777777" w:rsidR="007F5093" w:rsidRDefault="007F5093" w:rsidP="00215FEA">
            <w:pPr>
              <w:tabs>
                <w:tab w:val="left" w:pos="567"/>
              </w:tabs>
              <w:ind w:left="109" w:right="72"/>
              <w:rPr>
                <w:b/>
                <w:sz w:val="20"/>
                <w:szCs w:val="20"/>
                <w:lang w:val="es-ES_tradnl"/>
              </w:rPr>
            </w:pPr>
          </w:p>
          <w:p w14:paraId="3D07E2DD" w14:textId="3A1C06AA" w:rsidR="007F5093" w:rsidRDefault="007F5093" w:rsidP="00215FEA">
            <w:pPr>
              <w:tabs>
                <w:tab w:val="left" w:pos="567"/>
              </w:tabs>
              <w:ind w:left="109" w:right="72"/>
              <w:rPr>
                <w:sz w:val="20"/>
                <w:szCs w:val="20"/>
                <w:lang w:val="es-ES_tradnl"/>
              </w:rPr>
            </w:pPr>
            <w:r w:rsidRPr="00083241">
              <w:rPr>
                <w:sz w:val="20"/>
                <w:szCs w:val="20"/>
                <w:lang w:val="es-ES_tradnl"/>
              </w:rPr>
              <w:t>Informe del MICM detallando el proceso de implementación de Formalízate</w:t>
            </w:r>
            <w:r>
              <w:rPr>
                <w:sz w:val="20"/>
                <w:szCs w:val="20"/>
                <w:lang w:val="es-ES_tradnl"/>
              </w:rPr>
              <w:t>, incluyendo el alcance geográfico y de los servicios ofrecidos</w:t>
            </w:r>
            <w:r w:rsidRPr="00083241">
              <w:rPr>
                <w:sz w:val="20"/>
                <w:szCs w:val="20"/>
                <w:lang w:val="es-ES_tradnl"/>
              </w:rPr>
              <w:t>.</w:t>
            </w:r>
          </w:p>
        </w:tc>
      </w:tr>
      <w:tr w:rsidR="00215FEA" w:rsidRPr="00485794" w14:paraId="283488A5" w14:textId="77777777" w:rsidTr="00524225">
        <w:trPr>
          <w:cantSplit/>
          <w:trHeight w:val="403"/>
          <w:jc w:val="center"/>
        </w:trPr>
        <w:tc>
          <w:tcPr>
            <w:tcW w:w="966" w:type="pct"/>
            <w:tcBorders>
              <w:left w:val="single" w:sz="4" w:space="0" w:color="auto"/>
              <w:right w:val="single" w:sz="4" w:space="0" w:color="auto"/>
            </w:tcBorders>
            <w:shd w:val="clear" w:color="auto" w:fill="auto"/>
          </w:tcPr>
          <w:p w14:paraId="0F1237D5" w14:textId="77777777" w:rsidR="00215FEA" w:rsidRDefault="00215FEA" w:rsidP="00215FEA">
            <w:pPr>
              <w:pStyle w:val="ListParagraph"/>
              <w:numPr>
                <w:ilvl w:val="0"/>
                <w:numId w:val="20"/>
              </w:numPr>
              <w:spacing w:after="0"/>
              <w:ind w:right="144"/>
              <w:contextualSpacing/>
              <w:jc w:val="left"/>
              <w:rPr>
                <w:b/>
                <w:sz w:val="20"/>
                <w:szCs w:val="20"/>
                <w:lang w:val="es-ES_tradnl"/>
              </w:rPr>
            </w:pPr>
            <w:r>
              <w:rPr>
                <w:b/>
                <w:sz w:val="20"/>
                <w:szCs w:val="20"/>
                <w:lang w:val="es-ES_tradnl"/>
              </w:rPr>
              <w:t xml:space="preserve">Mejoras en la consolidación de los regímenes administrativos para la inclusión de trabajadores en la seguridad social </w:t>
            </w:r>
          </w:p>
          <w:p w14:paraId="6DE39AE1" w14:textId="52E0A476" w:rsidR="00215FEA" w:rsidRPr="008E16C5" w:rsidRDefault="00215FEA" w:rsidP="00215FEA">
            <w:pPr>
              <w:pStyle w:val="ListParagraph"/>
              <w:numPr>
                <w:ilvl w:val="0"/>
                <w:numId w:val="0"/>
              </w:numPr>
              <w:spacing w:after="0"/>
              <w:ind w:left="720" w:right="144"/>
              <w:contextualSpacing/>
              <w:jc w:val="left"/>
              <w:rPr>
                <w:b/>
                <w:sz w:val="20"/>
                <w:szCs w:val="20"/>
                <w:lang w:val="es-ES_tradnl"/>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4FB999C1" w14:textId="04B8B409" w:rsidR="00215FEA" w:rsidRPr="008E16C5" w:rsidRDefault="000E50EB" w:rsidP="00215FEA">
            <w:pPr>
              <w:ind w:left="144" w:right="144"/>
              <w:rPr>
                <w:sz w:val="20"/>
                <w:szCs w:val="20"/>
                <w:lang w:val="es-ES_tradnl"/>
              </w:rPr>
            </w:pPr>
            <w:r w:rsidRPr="000E50EB">
              <w:rPr>
                <w:sz w:val="20"/>
                <w:szCs w:val="20"/>
                <w:lang w:val="es-ES_tradnl"/>
              </w:rPr>
              <w:t>Tesorería de la Seguridad Social (TSS) y Dirección General de Ingresos Internos (DGII).</w:t>
            </w:r>
          </w:p>
        </w:tc>
        <w:tc>
          <w:tcPr>
            <w:tcW w:w="1348" w:type="pct"/>
            <w:tcBorders>
              <w:top w:val="single" w:sz="4" w:space="0" w:color="auto"/>
              <w:left w:val="single" w:sz="4" w:space="0" w:color="auto"/>
              <w:bottom w:val="single" w:sz="4" w:space="0" w:color="auto"/>
              <w:right w:val="single" w:sz="4" w:space="0" w:color="auto"/>
            </w:tcBorders>
            <w:shd w:val="clear" w:color="auto" w:fill="auto"/>
          </w:tcPr>
          <w:p w14:paraId="1E4C703C" w14:textId="60F57814" w:rsidR="00215FEA" w:rsidRPr="008E16C5" w:rsidRDefault="00215FEA" w:rsidP="00215FEA">
            <w:pPr>
              <w:ind w:left="144" w:right="144"/>
              <w:rPr>
                <w:sz w:val="20"/>
                <w:szCs w:val="20"/>
                <w:lang w:val="es-ES_tradnl"/>
              </w:rPr>
            </w:pPr>
            <w:r w:rsidRPr="00A7791C">
              <w:rPr>
                <w:sz w:val="20"/>
                <w:szCs w:val="20"/>
                <w:lang w:val="es-ES_tradnl"/>
              </w:rPr>
              <w:t xml:space="preserve">Diseño de una estrategia de monitoreo permanente </w:t>
            </w:r>
            <w:r>
              <w:rPr>
                <w:sz w:val="20"/>
                <w:szCs w:val="20"/>
                <w:lang w:val="es-ES_tradnl"/>
              </w:rPr>
              <w:t>para reducir</w:t>
            </w:r>
            <w:r w:rsidRPr="00A7791C">
              <w:rPr>
                <w:sz w:val="20"/>
                <w:szCs w:val="20"/>
                <w:lang w:val="es-ES_tradnl"/>
              </w:rPr>
              <w:t xml:space="preserve"> la evasión y elusión </w:t>
            </w:r>
            <w:r w:rsidR="000E50EB">
              <w:rPr>
                <w:sz w:val="20"/>
                <w:szCs w:val="20"/>
                <w:lang w:val="es-ES_tradnl"/>
              </w:rPr>
              <w:t xml:space="preserve">en las contribuciones a la seguridad social, </w:t>
            </w:r>
            <w:r w:rsidRPr="00A7791C">
              <w:rPr>
                <w:sz w:val="20"/>
                <w:szCs w:val="20"/>
                <w:lang w:val="es-ES_tradnl"/>
              </w:rPr>
              <w:t xml:space="preserve">en base a la </w:t>
            </w:r>
            <w:r w:rsidR="000E50EB">
              <w:rPr>
                <w:sz w:val="20"/>
                <w:szCs w:val="20"/>
                <w:lang w:val="es-ES_tradnl"/>
              </w:rPr>
              <w:t>coordinación entre</w:t>
            </w:r>
            <w:r w:rsidR="000E50EB" w:rsidRPr="00A7791C">
              <w:rPr>
                <w:sz w:val="20"/>
                <w:szCs w:val="20"/>
                <w:lang w:val="es-ES_tradnl"/>
              </w:rPr>
              <w:t xml:space="preserve"> </w:t>
            </w:r>
            <w:r w:rsidRPr="00A7791C">
              <w:rPr>
                <w:sz w:val="20"/>
                <w:szCs w:val="20"/>
                <w:lang w:val="es-ES_tradnl"/>
              </w:rPr>
              <w:t>los sistemas de información de registros fiscales y de la seguridad social.</w:t>
            </w:r>
          </w:p>
        </w:tc>
        <w:tc>
          <w:tcPr>
            <w:tcW w:w="1764" w:type="pct"/>
            <w:tcBorders>
              <w:top w:val="single" w:sz="4" w:space="0" w:color="auto"/>
              <w:left w:val="single" w:sz="4" w:space="0" w:color="auto"/>
              <w:bottom w:val="single" w:sz="4" w:space="0" w:color="auto"/>
              <w:right w:val="single" w:sz="4" w:space="0" w:color="auto"/>
            </w:tcBorders>
          </w:tcPr>
          <w:p w14:paraId="43A4353C" w14:textId="68B79C80" w:rsidR="000E50EB" w:rsidRPr="000E50EB" w:rsidRDefault="000E50EB" w:rsidP="000E50EB">
            <w:pPr>
              <w:tabs>
                <w:tab w:val="left" w:pos="567"/>
              </w:tabs>
              <w:ind w:left="109" w:right="72"/>
              <w:rPr>
                <w:sz w:val="20"/>
                <w:szCs w:val="20"/>
                <w:lang w:val="es-ES_tradnl"/>
              </w:rPr>
            </w:pPr>
            <w:r w:rsidRPr="000E50EB">
              <w:rPr>
                <w:sz w:val="20"/>
                <w:szCs w:val="20"/>
                <w:lang w:val="es-ES_tradnl"/>
              </w:rPr>
              <w:t xml:space="preserve">Informe de la TSS detallando la estrategia de monitoreo permanente </w:t>
            </w:r>
            <w:r>
              <w:rPr>
                <w:sz w:val="20"/>
                <w:szCs w:val="20"/>
                <w:lang w:val="es-ES_tradnl"/>
              </w:rPr>
              <w:t xml:space="preserve">diseñada para reducir </w:t>
            </w:r>
            <w:r w:rsidRPr="000E50EB">
              <w:rPr>
                <w:sz w:val="20"/>
                <w:szCs w:val="20"/>
                <w:lang w:val="es-ES_tradnl"/>
              </w:rPr>
              <w:t>la evasión y elusión en las contribuciones a la seguridad social.</w:t>
            </w:r>
          </w:p>
          <w:p w14:paraId="0D9B0FF3" w14:textId="77777777" w:rsidR="000E50EB" w:rsidRPr="000E50EB" w:rsidRDefault="000E50EB" w:rsidP="000E50EB">
            <w:pPr>
              <w:tabs>
                <w:tab w:val="left" w:pos="567"/>
              </w:tabs>
              <w:ind w:left="109" w:right="72"/>
              <w:rPr>
                <w:sz w:val="20"/>
                <w:szCs w:val="20"/>
                <w:lang w:val="es-ES_tradnl"/>
              </w:rPr>
            </w:pPr>
          </w:p>
          <w:p w14:paraId="10BF85E4" w14:textId="77777777" w:rsidR="000E50EB" w:rsidRPr="000E50EB" w:rsidRDefault="000E50EB" w:rsidP="000E50EB">
            <w:pPr>
              <w:tabs>
                <w:tab w:val="left" w:pos="567"/>
              </w:tabs>
              <w:ind w:left="109" w:right="72"/>
              <w:rPr>
                <w:sz w:val="20"/>
                <w:szCs w:val="20"/>
                <w:lang w:val="es-ES_tradnl"/>
              </w:rPr>
            </w:pPr>
            <w:r w:rsidRPr="000E50EB">
              <w:rPr>
                <w:sz w:val="20"/>
                <w:szCs w:val="20"/>
                <w:lang w:val="es-ES_tradnl"/>
              </w:rPr>
              <w:t>Informe de la DGII exponiendo los alcances del convenio entre la DGII y la TSS para compartir información de sus registros.</w:t>
            </w:r>
          </w:p>
          <w:p w14:paraId="757A6F95" w14:textId="3D159376" w:rsidR="00215FEA" w:rsidRDefault="00215FEA" w:rsidP="00215FEA">
            <w:pPr>
              <w:tabs>
                <w:tab w:val="left" w:pos="567"/>
              </w:tabs>
              <w:ind w:left="109" w:right="72"/>
              <w:rPr>
                <w:sz w:val="20"/>
                <w:szCs w:val="20"/>
                <w:lang w:val="es-ES_tradnl"/>
              </w:rPr>
            </w:pPr>
          </w:p>
        </w:tc>
      </w:tr>
    </w:tbl>
    <w:p w14:paraId="136E1E30" w14:textId="4E2959A0" w:rsidR="004213FF" w:rsidRDefault="004213FF" w:rsidP="004213FF">
      <w:pPr>
        <w:pStyle w:val="21Paragraph"/>
        <w:numPr>
          <w:ilvl w:val="0"/>
          <w:numId w:val="0"/>
        </w:numPr>
      </w:pPr>
    </w:p>
    <w:p w14:paraId="236028D1" w14:textId="22FF3EC6" w:rsidR="00326E42" w:rsidRDefault="00326E42" w:rsidP="004213FF">
      <w:pPr>
        <w:pStyle w:val="21Paragraph"/>
        <w:numPr>
          <w:ilvl w:val="0"/>
          <w:numId w:val="0"/>
        </w:numPr>
      </w:pPr>
    </w:p>
    <w:p w14:paraId="3517EDF3" w14:textId="77777777" w:rsidR="00326E42" w:rsidRPr="002A0795" w:rsidRDefault="00326E42" w:rsidP="004213FF">
      <w:pPr>
        <w:pStyle w:val="21Paragraph"/>
        <w:numPr>
          <w:ilvl w:val="0"/>
          <w:numId w:val="0"/>
        </w:numPr>
        <w:sectPr w:rsidR="00326E42" w:rsidRPr="002A0795" w:rsidSect="00B517B1">
          <w:type w:val="continuous"/>
          <w:pgSz w:w="15840" w:h="12240" w:orient="landscape" w:code="1"/>
          <w:pgMar w:top="1440" w:right="1800" w:bottom="1440" w:left="1800" w:header="706" w:footer="706" w:gutter="0"/>
          <w:cols w:space="708"/>
          <w:docGrid w:linePitch="360"/>
        </w:sectPr>
      </w:pPr>
    </w:p>
    <w:p w14:paraId="0288CA3F" w14:textId="5A3714DB" w:rsidR="004213FF" w:rsidRDefault="004213FF" w:rsidP="004213FF">
      <w:pPr>
        <w:pStyle w:val="21Paragraph"/>
        <w:ind w:left="720" w:hanging="720"/>
        <w:rPr>
          <w:rFonts w:ascii="Arial" w:hAnsi="Arial" w:cs="Arial"/>
          <w:sz w:val="22"/>
        </w:rPr>
      </w:pPr>
      <w:r w:rsidRPr="00503A8E">
        <w:rPr>
          <w:rFonts w:ascii="Arial" w:hAnsi="Arial" w:cs="Arial"/>
          <w:sz w:val="22"/>
        </w:rPr>
        <w:lastRenderedPageBreak/>
        <w:t xml:space="preserve">No se prevén costos adicionales para la implementación del Plan de Monitoreo, tales como levantar información primaria, pues la información necesaria para dar seguimiento a los indicadores de la matriz de resultados estará disponible, ya sea como resultado de las actividades contempladas en esta operación, o como resultado de la información que regularmente se genera en el país. </w:t>
      </w:r>
      <w:r w:rsidR="00C867B0" w:rsidRPr="00503A8E">
        <w:rPr>
          <w:rFonts w:ascii="Arial" w:hAnsi="Arial" w:cs="Arial"/>
          <w:sz w:val="22"/>
        </w:rPr>
        <w:t>Cualquier actividad necesaria</w:t>
      </w:r>
      <w:r w:rsidRPr="00503A8E">
        <w:rPr>
          <w:rFonts w:ascii="Arial" w:hAnsi="Arial" w:cs="Arial"/>
          <w:sz w:val="22"/>
        </w:rPr>
        <w:t xml:space="preserve"> para la verificación de indicadores incluidos en el Plan de Evaluación y los productos y actividades incluidas en el Plan de Evaluación y Matriz de Políticas, serán financiadas con recursos</w:t>
      </w:r>
      <w:r w:rsidRPr="00503A8E">
        <w:rPr>
          <w:rFonts w:ascii="Arial" w:hAnsi="Arial" w:cs="Arial"/>
          <w:bCs/>
          <w:iCs/>
          <w:sz w:val="22"/>
        </w:rPr>
        <w:t xml:space="preserve"> propios. </w:t>
      </w:r>
      <w:r w:rsidRPr="00503A8E">
        <w:rPr>
          <w:rFonts w:ascii="Arial" w:hAnsi="Arial" w:cs="Arial"/>
          <w:sz w:val="22"/>
        </w:rPr>
        <w:t xml:space="preserve"> </w:t>
      </w:r>
    </w:p>
    <w:p w14:paraId="0E280AF9" w14:textId="67105397" w:rsidR="00993426" w:rsidRPr="00503A8E" w:rsidRDefault="00D6577D" w:rsidP="004213FF">
      <w:pPr>
        <w:pStyle w:val="21Paragraph"/>
        <w:ind w:left="720" w:hanging="720"/>
        <w:rPr>
          <w:rFonts w:ascii="Arial" w:hAnsi="Arial" w:cs="Arial"/>
          <w:sz w:val="22"/>
        </w:rPr>
      </w:pPr>
      <w:r>
        <w:rPr>
          <w:rFonts w:ascii="Arial" w:hAnsi="Arial" w:cs="Arial"/>
          <w:sz w:val="22"/>
        </w:rPr>
        <w:t>Dentro de los 12 meses posteriores al cierre de la segunda operación programática, se llevará a cabo un Informe de Terminación de Proyecto (PCR) de la serie programática.</w:t>
      </w:r>
    </w:p>
    <w:bookmarkEnd w:id="5"/>
    <w:p w14:paraId="622678F2" w14:textId="77777777" w:rsidR="004213FF" w:rsidRPr="001C7FFD" w:rsidRDefault="004213FF" w:rsidP="004213FF">
      <w:pPr>
        <w:jc w:val="center"/>
        <w:rPr>
          <w:rFonts w:ascii="Times New Roman Bold" w:eastAsia="Times New Roman" w:hAnsi="Times New Roman Bold" w:cs="Times New Roman"/>
          <w:bCs/>
          <w:szCs w:val="20"/>
        </w:rPr>
      </w:pPr>
    </w:p>
    <w:p w14:paraId="78FABD65" w14:textId="77777777" w:rsidR="004213FF" w:rsidRPr="002A0795" w:rsidRDefault="004213FF" w:rsidP="004213FF">
      <w:pPr>
        <w:jc w:val="left"/>
        <w:rPr>
          <w:rFonts w:ascii="Times New Roman Bold" w:eastAsia="Times New Roman" w:hAnsi="Times New Roman Bold" w:cs="Times New Roman"/>
          <w:bCs/>
          <w:szCs w:val="20"/>
          <w:lang w:val="es-ES_tradnl"/>
        </w:rPr>
      </w:pPr>
      <w:r w:rsidRPr="002A0795">
        <w:rPr>
          <w:rFonts w:ascii="Times New Roman Bold" w:eastAsia="Times New Roman" w:hAnsi="Times New Roman Bold" w:cs="Times New Roman"/>
          <w:bCs/>
          <w:szCs w:val="20"/>
          <w:lang w:val="es-ES_tradnl"/>
        </w:rPr>
        <w:br w:type="page"/>
      </w:r>
    </w:p>
    <w:p w14:paraId="4640B198" w14:textId="77777777" w:rsidR="004213FF" w:rsidRPr="00503A8E" w:rsidRDefault="004213FF" w:rsidP="004213FF">
      <w:pPr>
        <w:pStyle w:val="Heading1"/>
        <w:keepLines w:val="0"/>
        <w:numPr>
          <w:ilvl w:val="0"/>
          <w:numId w:val="3"/>
        </w:numPr>
        <w:spacing w:before="240" w:after="240"/>
        <w:rPr>
          <w:rFonts w:eastAsia="Times New Roman"/>
          <w:bCs w:val="0"/>
          <w:color w:val="auto"/>
          <w:sz w:val="22"/>
          <w:szCs w:val="22"/>
        </w:rPr>
      </w:pPr>
      <w:bookmarkStart w:id="14" w:name="_Toc360529037"/>
      <w:r w:rsidRPr="00503A8E">
        <w:rPr>
          <w:rFonts w:eastAsia="Times New Roman"/>
          <w:bCs w:val="0"/>
          <w:color w:val="auto"/>
          <w:sz w:val="22"/>
          <w:szCs w:val="22"/>
        </w:rPr>
        <w:lastRenderedPageBreak/>
        <w:t>Evaluación</w:t>
      </w:r>
      <w:bookmarkEnd w:id="14"/>
    </w:p>
    <w:p w14:paraId="3AE9EF42" w14:textId="77777777" w:rsidR="004213FF" w:rsidRPr="00503A8E" w:rsidRDefault="004213FF" w:rsidP="004213FF">
      <w:pPr>
        <w:pStyle w:val="Heading3"/>
        <w:numPr>
          <w:ilvl w:val="0"/>
          <w:numId w:val="0"/>
        </w:numPr>
        <w:rPr>
          <w:rFonts w:ascii="Arial" w:hAnsi="Arial" w:cs="Arial"/>
          <w:sz w:val="22"/>
          <w:szCs w:val="22"/>
        </w:rPr>
      </w:pPr>
      <w:bookmarkStart w:id="15" w:name="_Toc360529038"/>
      <w:r w:rsidRPr="00503A8E">
        <w:rPr>
          <w:rFonts w:ascii="Arial" w:hAnsi="Arial" w:cs="Arial"/>
          <w:sz w:val="22"/>
          <w:szCs w:val="22"/>
        </w:rPr>
        <w:t>Objetivo del Plan de Evaluación</w:t>
      </w:r>
      <w:bookmarkEnd w:id="15"/>
    </w:p>
    <w:p w14:paraId="3B8C850D" w14:textId="77777777" w:rsidR="004213FF" w:rsidRPr="00503A8E" w:rsidRDefault="004213FF" w:rsidP="004213FF">
      <w:pPr>
        <w:pStyle w:val="21Paragraph"/>
        <w:ind w:left="720" w:hanging="720"/>
        <w:rPr>
          <w:rFonts w:ascii="Arial" w:hAnsi="Arial" w:cs="Arial"/>
          <w:sz w:val="22"/>
          <w:szCs w:val="22"/>
        </w:rPr>
      </w:pPr>
      <w:bookmarkStart w:id="16" w:name="_Toc360529039"/>
      <w:r w:rsidRPr="00503A8E">
        <w:rPr>
          <w:rFonts w:ascii="Arial" w:hAnsi="Arial" w:cs="Arial"/>
          <w:b/>
          <w:sz w:val="22"/>
          <w:szCs w:val="22"/>
        </w:rPr>
        <w:t xml:space="preserve">Objetivo del Programa. </w:t>
      </w:r>
      <w:r w:rsidRPr="00503A8E">
        <w:rPr>
          <w:rFonts w:ascii="Arial" w:hAnsi="Arial" w:cs="Arial"/>
          <w:sz w:val="22"/>
          <w:szCs w:val="22"/>
          <w:lang w:val="es-ES"/>
        </w:rPr>
        <w:t xml:space="preserve">El programa tiene como objetivo general la mejora de la productividad agregada, que se logra a través de tres objetivos específicos: (i) fortalecimiento de la regulación financiera para la mejora de la productividad; (ii) mejora del clima de negocios, la competencia y la innovación; y (iii) mejora del régimen laboral y de seguridad social. </w:t>
      </w:r>
    </w:p>
    <w:p w14:paraId="18D927E8" w14:textId="32F3B3A0" w:rsidR="004213FF" w:rsidRPr="00503A8E" w:rsidRDefault="004213FF" w:rsidP="004213FF">
      <w:pPr>
        <w:pStyle w:val="21Paragraph"/>
        <w:ind w:left="720" w:hanging="720"/>
        <w:rPr>
          <w:rFonts w:ascii="Arial" w:hAnsi="Arial" w:cs="Arial"/>
          <w:sz w:val="22"/>
          <w:szCs w:val="22"/>
        </w:rPr>
      </w:pPr>
      <w:r w:rsidRPr="00503A8E">
        <w:rPr>
          <w:rFonts w:ascii="Arial" w:hAnsi="Arial" w:cs="Arial"/>
          <w:b/>
          <w:sz w:val="22"/>
          <w:szCs w:val="22"/>
        </w:rPr>
        <w:t xml:space="preserve">Objetivo del Plan de Evaluación. </w:t>
      </w:r>
      <w:r w:rsidRPr="00503A8E">
        <w:rPr>
          <w:rFonts w:ascii="Arial" w:hAnsi="Arial" w:cs="Arial"/>
          <w:sz w:val="22"/>
          <w:szCs w:val="22"/>
        </w:rPr>
        <w:t>En función de este objetivo general del programa, el objetivo del plan de evaluación es cuantificar el impacto en productividad que han tenido las reformas. Sin embargo, cabe reiterar aquí la discusión realizada en el anexo de análisis de costo-beneficio.</w:t>
      </w:r>
      <w:r w:rsidRPr="00503A8E">
        <w:rPr>
          <w:rStyle w:val="FootnoteReference"/>
          <w:rFonts w:ascii="Arial" w:hAnsi="Arial" w:cs="Arial"/>
          <w:sz w:val="22"/>
          <w:szCs w:val="22"/>
        </w:rPr>
        <w:footnoteReference w:id="7"/>
      </w:r>
      <w:r w:rsidRPr="00503A8E">
        <w:rPr>
          <w:rFonts w:ascii="Arial" w:hAnsi="Arial" w:cs="Arial"/>
          <w:sz w:val="22"/>
          <w:szCs w:val="22"/>
        </w:rPr>
        <w:t xml:space="preserve"> El programa bajo consideración es complejo</w:t>
      </w:r>
      <w:r w:rsidR="00867DC2" w:rsidRPr="00503A8E">
        <w:rPr>
          <w:rFonts w:ascii="Arial" w:hAnsi="Arial" w:cs="Arial"/>
          <w:sz w:val="22"/>
          <w:szCs w:val="22"/>
        </w:rPr>
        <w:t>,</w:t>
      </w:r>
      <w:r w:rsidRPr="00503A8E">
        <w:rPr>
          <w:rFonts w:ascii="Arial" w:hAnsi="Arial" w:cs="Arial"/>
          <w:sz w:val="22"/>
          <w:szCs w:val="22"/>
        </w:rPr>
        <w:t xml:space="preserve"> tanto por su diseño como por las diversas áreas que se ven involucradas en el mismo. El amplio espectro de alcance de las reformas introduce una dificultad al momento de diseñar una estrategia que logre atribuir las ganancias de productividad derivadas de cada componente del programa de reformas. Así, la naturaleza misma del programa de reformas y su implementación limitan fuertemente el conjunto de métodos disponibles para realizar la evaluación de los impactos atribuibles a dichas reformas. Es por ello </w:t>
      </w:r>
      <w:proofErr w:type="gramStart"/>
      <w:r w:rsidRPr="00503A8E">
        <w:rPr>
          <w:rFonts w:ascii="Arial" w:hAnsi="Arial" w:cs="Arial"/>
          <w:sz w:val="22"/>
          <w:szCs w:val="22"/>
        </w:rPr>
        <w:t>que</w:t>
      </w:r>
      <w:proofErr w:type="gramEnd"/>
      <w:r w:rsidRPr="00503A8E">
        <w:rPr>
          <w:rFonts w:ascii="Arial" w:hAnsi="Arial" w:cs="Arial"/>
          <w:sz w:val="22"/>
          <w:szCs w:val="22"/>
        </w:rPr>
        <w:t>, en forma análoga a lo descrito en el análisis de costo-beneficio</w:t>
      </w:r>
      <w:r w:rsidR="00867DC2" w:rsidRPr="00503A8E">
        <w:rPr>
          <w:rFonts w:ascii="Arial" w:hAnsi="Arial" w:cs="Arial"/>
          <w:sz w:val="22"/>
          <w:szCs w:val="22"/>
        </w:rPr>
        <w:t>,</w:t>
      </w:r>
      <w:r w:rsidRPr="00503A8E">
        <w:rPr>
          <w:rFonts w:ascii="Arial" w:hAnsi="Arial" w:cs="Arial"/>
          <w:sz w:val="22"/>
          <w:szCs w:val="22"/>
        </w:rPr>
        <w:t xml:space="preserve"> se opta aquí por centrar el análisis en un subconjunto de reformas –el componente financiero</w:t>
      </w:r>
      <w:r w:rsidR="00BC5A4F" w:rsidRPr="00503A8E">
        <w:rPr>
          <w:rFonts w:ascii="Arial" w:hAnsi="Arial" w:cs="Arial"/>
          <w:sz w:val="22"/>
          <w:szCs w:val="22"/>
        </w:rPr>
        <w:t>,</w:t>
      </w:r>
      <w:r w:rsidR="00867DC2" w:rsidRPr="00503A8E">
        <w:rPr>
          <w:rFonts w:ascii="Arial" w:hAnsi="Arial" w:cs="Arial"/>
          <w:sz w:val="22"/>
          <w:szCs w:val="22"/>
        </w:rPr>
        <w:t xml:space="preserve"> el componente</w:t>
      </w:r>
      <w:r w:rsidR="00BC5A4F" w:rsidRPr="00503A8E">
        <w:rPr>
          <w:rFonts w:ascii="Arial" w:hAnsi="Arial" w:cs="Arial"/>
          <w:sz w:val="22"/>
          <w:szCs w:val="22"/>
        </w:rPr>
        <w:t xml:space="preserve"> de mejora de clima de negocios, y el componente de incentivos a la formalización</w:t>
      </w:r>
      <w:r w:rsidR="00867DC2" w:rsidRPr="00503A8E">
        <w:rPr>
          <w:rFonts w:ascii="Arial" w:hAnsi="Arial" w:cs="Arial"/>
          <w:sz w:val="22"/>
          <w:szCs w:val="22"/>
        </w:rPr>
        <w:t>–</w:t>
      </w:r>
      <w:r w:rsidRPr="00503A8E">
        <w:rPr>
          <w:rFonts w:ascii="Arial" w:hAnsi="Arial" w:cs="Arial"/>
          <w:sz w:val="22"/>
          <w:szCs w:val="22"/>
        </w:rPr>
        <w:t xml:space="preserve"> que tiene</w:t>
      </w:r>
      <w:r w:rsidR="00867DC2" w:rsidRPr="00503A8E">
        <w:rPr>
          <w:rFonts w:ascii="Arial" w:hAnsi="Arial" w:cs="Arial"/>
          <w:sz w:val="22"/>
          <w:szCs w:val="22"/>
        </w:rPr>
        <w:t>n</w:t>
      </w:r>
      <w:r w:rsidRPr="00503A8E">
        <w:rPr>
          <w:rFonts w:ascii="Arial" w:hAnsi="Arial" w:cs="Arial"/>
          <w:sz w:val="22"/>
          <w:szCs w:val="22"/>
        </w:rPr>
        <w:t xml:space="preserve"> de por sí una importancia específica destacable. </w:t>
      </w:r>
    </w:p>
    <w:p w14:paraId="5DDC9D23" w14:textId="4C2F9BB4" w:rsidR="004213FF" w:rsidRPr="00503A8E" w:rsidRDefault="004213FF" w:rsidP="004213FF">
      <w:pPr>
        <w:pStyle w:val="21Paragraph"/>
        <w:ind w:left="720" w:hanging="720"/>
        <w:rPr>
          <w:rFonts w:ascii="Arial" w:hAnsi="Arial" w:cs="Arial"/>
          <w:sz w:val="22"/>
          <w:szCs w:val="22"/>
        </w:rPr>
      </w:pPr>
      <w:r w:rsidRPr="00503A8E">
        <w:rPr>
          <w:rFonts w:ascii="Arial" w:hAnsi="Arial" w:cs="Arial"/>
          <w:b/>
          <w:sz w:val="22"/>
          <w:szCs w:val="22"/>
        </w:rPr>
        <w:t xml:space="preserve">Racionalidad de la evaluación. </w:t>
      </w:r>
      <w:r w:rsidRPr="00503A8E">
        <w:rPr>
          <w:rFonts w:ascii="Arial" w:hAnsi="Arial" w:cs="Arial"/>
          <w:sz w:val="22"/>
          <w:szCs w:val="22"/>
        </w:rPr>
        <w:t>Cabe insistir en este punto en la dificultad de utilizar ciertos métodos antes de pasar a la descripción del método propuesto. Una evaluación que compare la situación de estas variables antes y después de la implementación de las políticas estaría cont</w:t>
      </w:r>
      <w:r w:rsidR="006430B2" w:rsidRPr="00503A8E">
        <w:rPr>
          <w:rFonts w:ascii="Arial" w:hAnsi="Arial" w:cs="Arial"/>
          <w:sz w:val="22"/>
          <w:szCs w:val="22"/>
        </w:rPr>
        <w:t>aminada por un</w:t>
      </w:r>
      <w:r w:rsidRPr="00503A8E">
        <w:rPr>
          <w:rFonts w:ascii="Arial" w:hAnsi="Arial" w:cs="Arial"/>
          <w:sz w:val="22"/>
          <w:szCs w:val="22"/>
        </w:rPr>
        <w:t xml:space="preserve"> conjunto de factores adicionales a las reformas comprometidas que difícilmente pueden entenderse como estables en períodos relativamente cortos y menos aún en períodos de 5, 10, o 15 años. Estos factores pueden afectar la evolución de los indicadores seleccionados y por tanto "</w:t>
      </w:r>
      <w:r w:rsidR="00867DC2" w:rsidRPr="00503A8E">
        <w:rPr>
          <w:rFonts w:ascii="Arial" w:hAnsi="Arial" w:cs="Arial"/>
          <w:sz w:val="22"/>
          <w:szCs w:val="22"/>
        </w:rPr>
        <w:t>contaminar</w:t>
      </w:r>
      <w:r w:rsidRPr="00503A8E">
        <w:rPr>
          <w:rFonts w:ascii="Arial" w:hAnsi="Arial" w:cs="Arial"/>
          <w:sz w:val="22"/>
          <w:szCs w:val="22"/>
        </w:rPr>
        <w:t xml:space="preserve">" la atribución que pueda hacerse a los cambios comprometidos. Adicionalmente, la alternativa de definir un grupo de control que tenga características comparables a República Dominicana a los efectos de discernir la variabilidad atribuible a las reformas implementadas se enfrenta a variados problemas. En primer lugar, la construcción de dicho grupo de control ofrece de por sí desafíos difíciles de resolver. Uno de estos problemas es el de encontrar un conjunto lo suficientemente denso y estable en sus características que pueda servir de grupo de control. Dadas estas restricciones y limitaciones, se considera que una vía de evaluación alternativa que descanse sobre una combinación de métodos numéricos (calibración de un modelo de equilibrio general) con métodos econométricos puede resultar en una mejor aproximación al impacto atribuible a las reformas bajo consideración. Finalmente, </w:t>
      </w:r>
      <w:proofErr w:type="gramStart"/>
      <w:r w:rsidRPr="00503A8E">
        <w:rPr>
          <w:rFonts w:ascii="Arial" w:hAnsi="Arial" w:cs="Arial"/>
          <w:sz w:val="22"/>
          <w:szCs w:val="22"/>
        </w:rPr>
        <w:t>un  método</w:t>
      </w:r>
      <w:proofErr w:type="gramEnd"/>
      <w:r w:rsidRPr="00503A8E">
        <w:rPr>
          <w:rFonts w:ascii="Arial" w:hAnsi="Arial" w:cs="Arial"/>
          <w:sz w:val="22"/>
          <w:szCs w:val="22"/>
        </w:rPr>
        <w:t xml:space="preserve"> que descanse en un modelo de equilibrio general podría parcialmente </w:t>
      </w:r>
      <w:r w:rsidRPr="00503A8E">
        <w:rPr>
          <w:rFonts w:ascii="Arial" w:hAnsi="Arial" w:cs="Arial"/>
          <w:sz w:val="22"/>
          <w:szCs w:val="22"/>
        </w:rPr>
        <w:lastRenderedPageBreak/>
        <w:t>avanzar en considerar cambios más allá de las reformas financieras</w:t>
      </w:r>
      <w:r w:rsidR="00867DC2" w:rsidRPr="00503A8E">
        <w:rPr>
          <w:rFonts w:ascii="Arial" w:hAnsi="Arial" w:cs="Arial"/>
          <w:sz w:val="22"/>
          <w:szCs w:val="22"/>
        </w:rPr>
        <w:t xml:space="preserve">, clima de negocios, </w:t>
      </w:r>
      <w:r w:rsidR="00BC5A4F" w:rsidRPr="00503A8E">
        <w:rPr>
          <w:rFonts w:ascii="Arial" w:hAnsi="Arial" w:cs="Arial"/>
          <w:sz w:val="22"/>
          <w:szCs w:val="22"/>
        </w:rPr>
        <w:t>e incentivos a la formalización</w:t>
      </w:r>
      <w:r w:rsidRPr="00503A8E">
        <w:rPr>
          <w:rFonts w:ascii="Arial" w:hAnsi="Arial" w:cs="Arial"/>
          <w:sz w:val="22"/>
          <w:szCs w:val="22"/>
        </w:rPr>
        <w:t>.</w:t>
      </w:r>
      <w:r w:rsidRPr="00503A8E">
        <w:rPr>
          <w:rStyle w:val="FootnoteReference"/>
          <w:rFonts w:ascii="Arial" w:hAnsi="Arial" w:cs="Arial"/>
          <w:sz w:val="22"/>
          <w:szCs w:val="22"/>
        </w:rPr>
        <w:footnoteReference w:id="8"/>
      </w:r>
    </w:p>
    <w:p w14:paraId="738527D8" w14:textId="0D3B6C9F" w:rsidR="004213FF" w:rsidRPr="00503A8E" w:rsidRDefault="004213FF" w:rsidP="009B02A1">
      <w:pPr>
        <w:pStyle w:val="21Paragraph"/>
        <w:ind w:left="720" w:hanging="720"/>
        <w:rPr>
          <w:rFonts w:ascii="Arial" w:hAnsi="Arial" w:cs="Arial"/>
          <w:sz w:val="22"/>
          <w:szCs w:val="22"/>
        </w:rPr>
      </w:pPr>
      <w:r w:rsidRPr="00503A8E">
        <w:rPr>
          <w:rFonts w:ascii="Arial" w:hAnsi="Arial" w:cs="Arial"/>
          <w:sz w:val="22"/>
          <w:szCs w:val="22"/>
        </w:rPr>
        <w:t>En este sentido</w:t>
      </w:r>
      <w:r w:rsidR="00867DC2" w:rsidRPr="00503A8E">
        <w:rPr>
          <w:rFonts w:ascii="Arial" w:hAnsi="Arial" w:cs="Arial"/>
          <w:sz w:val="22"/>
          <w:szCs w:val="22"/>
        </w:rPr>
        <w:t>,</w:t>
      </w:r>
      <w:r w:rsidRPr="00503A8E">
        <w:rPr>
          <w:rFonts w:ascii="Arial" w:hAnsi="Arial" w:cs="Arial"/>
          <w:sz w:val="22"/>
          <w:szCs w:val="22"/>
        </w:rPr>
        <w:t xml:space="preserve"> lo que se va a considerar es el impacto de los componentes esenciales del programa, tal y como se han descrito en el POD de la operación:</w:t>
      </w:r>
    </w:p>
    <w:p w14:paraId="56568B65" w14:textId="6768C9D0" w:rsidR="004213FF" w:rsidRPr="00503A8E" w:rsidRDefault="004213FF" w:rsidP="00BF36E9">
      <w:pPr>
        <w:pStyle w:val="21Paragraph"/>
        <w:numPr>
          <w:ilvl w:val="0"/>
          <w:numId w:val="7"/>
        </w:numPr>
        <w:rPr>
          <w:rFonts w:ascii="Arial" w:hAnsi="Arial" w:cs="Arial"/>
          <w:sz w:val="22"/>
          <w:szCs w:val="22"/>
        </w:rPr>
      </w:pPr>
      <w:r w:rsidRPr="00503A8E">
        <w:rPr>
          <w:rFonts w:ascii="Arial" w:hAnsi="Arial" w:cs="Arial"/>
          <w:sz w:val="22"/>
          <w:szCs w:val="22"/>
        </w:rPr>
        <w:t xml:space="preserve">El componente de </w:t>
      </w:r>
      <w:r w:rsidR="00BF36E9" w:rsidRPr="00503A8E">
        <w:rPr>
          <w:rFonts w:ascii="Arial" w:hAnsi="Arial" w:cs="Arial"/>
          <w:sz w:val="22"/>
          <w:szCs w:val="22"/>
        </w:rPr>
        <w:t>la mejora en el alcance de la intermediación financiera;</w:t>
      </w:r>
    </w:p>
    <w:p w14:paraId="54AFCEF1" w14:textId="1E0D237D" w:rsidR="009B02A1" w:rsidRPr="00503A8E" w:rsidRDefault="00BF36E9" w:rsidP="00BF36E9">
      <w:pPr>
        <w:pStyle w:val="21Paragraph"/>
        <w:numPr>
          <w:ilvl w:val="0"/>
          <w:numId w:val="7"/>
        </w:numPr>
        <w:rPr>
          <w:rFonts w:ascii="Arial" w:hAnsi="Arial" w:cs="Arial"/>
          <w:sz w:val="22"/>
          <w:szCs w:val="22"/>
        </w:rPr>
      </w:pPr>
      <w:r w:rsidRPr="00503A8E">
        <w:rPr>
          <w:rFonts w:ascii="Arial" w:hAnsi="Arial" w:cs="Arial"/>
          <w:sz w:val="22"/>
          <w:szCs w:val="22"/>
        </w:rPr>
        <w:t>El componente de la mejora del clima de negocios y las políticas de desarrollo productivo e innovación; y,</w:t>
      </w:r>
    </w:p>
    <w:p w14:paraId="512E7A55" w14:textId="7071EF94" w:rsidR="004213FF" w:rsidRPr="00503A8E" w:rsidRDefault="00BF36E9" w:rsidP="00BF36E9">
      <w:pPr>
        <w:pStyle w:val="21Paragraph"/>
        <w:numPr>
          <w:ilvl w:val="0"/>
          <w:numId w:val="7"/>
        </w:numPr>
        <w:rPr>
          <w:rFonts w:ascii="Arial" w:hAnsi="Arial" w:cs="Arial"/>
          <w:sz w:val="22"/>
          <w:szCs w:val="22"/>
        </w:rPr>
      </w:pPr>
      <w:r w:rsidRPr="00503A8E">
        <w:rPr>
          <w:rFonts w:ascii="Arial" w:hAnsi="Arial" w:cs="Arial"/>
          <w:sz w:val="22"/>
          <w:szCs w:val="22"/>
        </w:rPr>
        <w:t>El componente de la mejora en las políticas de seguridad social y los incentivos a la formalidad</w:t>
      </w:r>
      <w:r w:rsidR="004213FF" w:rsidRPr="00503A8E">
        <w:rPr>
          <w:rFonts w:ascii="Arial" w:hAnsi="Arial" w:cs="Arial"/>
          <w:sz w:val="22"/>
          <w:szCs w:val="22"/>
        </w:rPr>
        <w:t xml:space="preserve">. </w:t>
      </w:r>
    </w:p>
    <w:p w14:paraId="7F17E425" w14:textId="77777777" w:rsidR="004213FF" w:rsidRPr="00503A8E" w:rsidRDefault="004213FF" w:rsidP="004213FF">
      <w:pPr>
        <w:pStyle w:val="21Paragraph"/>
        <w:numPr>
          <w:ilvl w:val="0"/>
          <w:numId w:val="0"/>
        </w:numPr>
        <w:rPr>
          <w:rFonts w:ascii="Arial" w:hAnsi="Arial" w:cs="Arial"/>
          <w:b/>
          <w:sz w:val="22"/>
          <w:szCs w:val="22"/>
        </w:rPr>
      </w:pPr>
      <w:r w:rsidRPr="00503A8E">
        <w:rPr>
          <w:rFonts w:ascii="Arial" w:hAnsi="Arial" w:cs="Arial"/>
          <w:b/>
          <w:sz w:val="22"/>
          <w:szCs w:val="22"/>
        </w:rPr>
        <w:t xml:space="preserve">Pregunta de evaluación </w:t>
      </w:r>
    </w:p>
    <w:p w14:paraId="52985467" w14:textId="3BC2C81C" w:rsidR="004213FF" w:rsidRPr="00503A8E" w:rsidRDefault="004213FF" w:rsidP="004213FF">
      <w:pPr>
        <w:pStyle w:val="21Paragraph"/>
        <w:ind w:left="720" w:hanging="720"/>
        <w:rPr>
          <w:rFonts w:ascii="Arial" w:hAnsi="Arial" w:cs="Arial"/>
          <w:sz w:val="22"/>
          <w:szCs w:val="22"/>
        </w:rPr>
      </w:pPr>
      <w:r w:rsidRPr="00503A8E">
        <w:rPr>
          <w:rFonts w:ascii="Arial" w:hAnsi="Arial" w:cs="Arial"/>
          <w:sz w:val="22"/>
          <w:szCs w:val="22"/>
        </w:rPr>
        <w:t xml:space="preserve">La principal pregunta de evaluación refiere a la cuantificación del impacto en la productividad de República Dominicana </w:t>
      </w:r>
      <w:r w:rsidR="00867DC2" w:rsidRPr="00503A8E">
        <w:rPr>
          <w:rFonts w:ascii="Arial" w:hAnsi="Arial" w:cs="Arial"/>
          <w:sz w:val="22"/>
          <w:szCs w:val="22"/>
        </w:rPr>
        <w:t>a</w:t>
      </w:r>
      <w:r w:rsidRPr="00503A8E">
        <w:rPr>
          <w:rFonts w:ascii="Arial" w:hAnsi="Arial" w:cs="Arial"/>
          <w:sz w:val="22"/>
          <w:szCs w:val="22"/>
        </w:rPr>
        <w:t xml:space="preserve">l proceso de reformas llevado a cabo con apoyo del programa. La evaluación estará, por lo tanto, orientada a determinar la variación en productividad atribuible a las reformas impulsadas principalmente en el ámbito del sector financiero y del clima de negocios. </w:t>
      </w:r>
    </w:p>
    <w:p w14:paraId="38EAE216" w14:textId="77777777" w:rsidR="004213FF" w:rsidRPr="00503A8E" w:rsidRDefault="004213FF" w:rsidP="004213FF">
      <w:pPr>
        <w:pStyle w:val="Heading3"/>
        <w:numPr>
          <w:ilvl w:val="0"/>
          <w:numId w:val="0"/>
        </w:numPr>
        <w:rPr>
          <w:rFonts w:ascii="Arial" w:hAnsi="Arial" w:cs="Arial"/>
          <w:sz w:val="22"/>
          <w:szCs w:val="22"/>
        </w:rPr>
      </w:pPr>
      <w:r w:rsidRPr="00503A8E">
        <w:rPr>
          <w:rFonts w:ascii="Arial" w:hAnsi="Arial" w:cs="Arial"/>
          <w:sz w:val="22"/>
          <w:szCs w:val="22"/>
        </w:rPr>
        <w:t>Elementos del Plan de Evaluación</w:t>
      </w:r>
      <w:bookmarkEnd w:id="16"/>
    </w:p>
    <w:p w14:paraId="25F04AB3" w14:textId="39E548E6" w:rsidR="004213FF" w:rsidRPr="00503A8E" w:rsidRDefault="004213FF" w:rsidP="004213FF">
      <w:pPr>
        <w:pStyle w:val="21Paragraph"/>
        <w:ind w:left="720" w:hanging="720"/>
        <w:rPr>
          <w:rFonts w:ascii="Arial" w:hAnsi="Arial" w:cs="Arial"/>
          <w:sz w:val="22"/>
          <w:szCs w:val="22"/>
        </w:rPr>
      </w:pPr>
      <w:r w:rsidRPr="00503A8E">
        <w:rPr>
          <w:rFonts w:ascii="Arial" w:hAnsi="Arial" w:cs="Arial"/>
          <w:sz w:val="22"/>
          <w:szCs w:val="22"/>
        </w:rPr>
        <w:t xml:space="preserve">Dada la naturaleza de las reformas, el plan de implementación propuesto para el programa, el proceso de generación de datos estadísticos, y la naturaleza de los procesos estocásticos involucrados, se espera que los efectos del programa –en caso de generarse </w:t>
      </w:r>
      <w:proofErr w:type="gramStart"/>
      <w:r w:rsidRPr="00503A8E">
        <w:rPr>
          <w:rFonts w:ascii="Arial" w:hAnsi="Arial" w:cs="Arial"/>
          <w:sz w:val="22"/>
          <w:szCs w:val="22"/>
        </w:rPr>
        <w:t>de acuerdo a</w:t>
      </w:r>
      <w:proofErr w:type="gramEnd"/>
      <w:r w:rsidRPr="00503A8E">
        <w:rPr>
          <w:rFonts w:ascii="Arial" w:hAnsi="Arial" w:cs="Arial"/>
          <w:sz w:val="22"/>
          <w:szCs w:val="22"/>
        </w:rPr>
        <w:t xml:space="preserve"> lo esperado, puedan comenzar a evaluarse hacia el año 20</w:t>
      </w:r>
      <w:r w:rsidR="00C34C8F" w:rsidRPr="00503A8E">
        <w:rPr>
          <w:rFonts w:ascii="Arial" w:hAnsi="Arial" w:cs="Arial"/>
          <w:sz w:val="22"/>
          <w:szCs w:val="22"/>
        </w:rPr>
        <w:t>20.</w:t>
      </w:r>
    </w:p>
    <w:p w14:paraId="0E6E6D4D" w14:textId="77777777" w:rsidR="004213FF" w:rsidRPr="00503A8E" w:rsidRDefault="004213FF" w:rsidP="004213FF">
      <w:pPr>
        <w:pStyle w:val="21Paragraph"/>
        <w:numPr>
          <w:ilvl w:val="0"/>
          <w:numId w:val="0"/>
        </w:numPr>
        <w:rPr>
          <w:rFonts w:ascii="Arial" w:hAnsi="Arial" w:cs="Arial"/>
          <w:b/>
          <w:sz w:val="22"/>
          <w:szCs w:val="22"/>
        </w:rPr>
      </w:pPr>
      <w:r w:rsidRPr="00503A8E">
        <w:rPr>
          <w:rFonts w:ascii="Arial" w:hAnsi="Arial" w:cs="Arial"/>
          <w:b/>
          <w:sz w:val="22"/>
          <w:szCs w:val="22"/>
        </w:rPr>
        <w:t xml:space="preserve">Consideraciones sobre los modelos de equilibrio general para el estudio de reformas que afectan al sector financiero </w:t>
      </w:r>
    </w:p>
    <w:p w14:paraId="3D63E642" w14:textId="6EBC5369" w:rsidR="004213FF" w:rsidRPr="00503A8E" w:rsidRDefault="004213FF" w:rsidP="004213FF">
      <w:pPr>
        <w:pStyle w:val="21Paragraph"/>
        <w:ind w:left="720" w:hanging="720"/>
        <w:rPr>
          <w:rFonts w:ascii="Arial" w:hAnsi="Arial" w:cs="Arial"/>
          <w:sz w:val="22"/>
          <w:szCs w:val="22"/>
        </w:rPr>
      </w:pPr>
      <w:r w:rsidRPr="00503A8E">
        <w:rPr>
          <w:rFonts w:ascii="Arial" w:hAnsi="Arial" w:cs="Arial"/>
          <w:b/>
          <w:sz w:val="22"/>
          <w:szCs w:val="22"/>
        </w:rPr>
        <w:t xml:space="preserve">Evaluación de reformas políticas con modelos de equilibrio general. </w:t>
      </w:r>
      <w:r w:rsidRPr="00503A8E">
        <w:rPr>
          <w:rFonts w:ascii="Arial" w:hAnsi="Arial" w:cs="Arial"/>
          <w:sz w:val="22"/>
          <w:szCs w:val="22"/>
        </w:rPr>
        <w:t>Dadas las restricciones que presentan métodos de evaluación más adecuados para llevar adelante evaluaciones de carácter microeconómico, una alternativa plausible y utilizada en la literatura consiste en la calibración de modelos de equilibrio general computado. Este enfoque ha sido utilizado en varios estudios para evaluar el impacto sobre el sector real de la economía luego de cambios que afectan al sistema financiero. En esta línea Buera et al. (2011)</w:t>
      </w:r>
      <w:r w:rsidRPr="00503A8E">
        <w:rPr>
          <w:rStyle w:val="FootnoteReference"/>
          <w:rFonts w:ascii="Arial" w:hAnsi="Arial" w:cs="Arial"/>
          <w:sz w:val="22"/>
          <w:szCs w:val="22"/>
        </w:rPr>
        <w:footnoteReference w:id="9"/>
      </w:r>
      <w:r w:rsidRPr="00503A8E">
        <w:rPr>
          <w:rFonts w:ascii="Arial" w:hAnsi="Arial" w:cs="Arial"/>
          <w:sz w:val="22"/>
          <w:szCs w:val="22"/>
        </w:rPr>
        <w:t xml:space="preserve"> proponen y calibran un modelo con dos sectores que difieren por la presencia de costos fijos afectando la escala de operación de las empresas, en el cual exploran los efectos de fricciones financieras y desarrollo financiero sobre TFP, y logran replicar en una gran proporción la distribución observada entre productividad y desarrollo financiero. Por otra parte, Greenwood et al. (2013)</w:t>
      </w:r>
      <w:r w:rsidRPr="00503A8E">
        <w:rPr>
          <w:rStyle w:val="FootnoteReference"/>
          <w:rFonts w:ascii="Arial" w:hAnsi="Arial" w:cs="Arial"/>
          <w:sz w:val="22"/>
          <w:szCs w:val="22"/>
        </w:rPr>
        <w:footnoteReference w:id="10"/>
      </w:r>
      <w:r w:rsidRPr="00503A8E">
        <w:rPr>
          <w:rFonts w:ascii="Arial" w:hAnsi="Arial" w:cs="Arial"/>
          <w:sz w:val="22"/>
          <w:szCs w:val="22"/>
        </w:rPr>
        <w:t xml:space="preserve"> exploran la importancia de cambios que afectan la eficiencia del sector financiero sobre el desarrollo de la economía real </w:t>
      </w:r>
      <w:r w:rsidRPr="00503A8E">
        <w:rPr>
          <w:rFonts w:ascii="Arial" w:hAnsi="Arial" w:cs="Arial"/>
          <w:sz w:val="22"/>
          <w:szCs w:val="22"/>
        </w:rPr>
        <w:lastRenderedPageBreak/>
        <w:t>también llevando adelante la calibración de un modelo de equilibrio general; los resultados de este ejercicio se encuentra conceptualmente alineados con los de Buera et al. (2011), ya que lograr establecer una relación de causalidad que explica en una alta proporción las disparidades observadas en TFP en función de los niveles de eficiencia del sistema financiero. A su vez, D’Erasmo y Moscoso Boedo también exploran el impacto de imperfecciones en los mercados financieros en un contexto de dualidad (empresas operando en sectores formales e informales). El aspecto considerado en este caso es el costo de recuperación (junto con barreras a la entrada y la estructura impositiva), y los resultado</w:t>
      </w:r>
      <w:r w:rsidR="006430B2" w:rsidRPr="00503A8E">
        <w:rPr>
          <w:rFonts w:ascii="Arial" w:hAnsi="Arial" w:cs="Arial"/>
          <w:sz w:val="22"/>
          <w:szCs w:val="22"/>
        </w:rPr>
        <w:t>s</w:t>
      </w:r>
      <w:r w:rsidRPr="00503A8E">
        <w:rPr>
          <w:rFonts w:ascii="Arial" w:hAnsi="Arial" w:cs="Arial"/>
          <w:sz w:val="22"/>
          <w:szCs w:val="22"/>
        </w:rPr>
        <w:t xml:space="preserve"> obtenidos indican que </w:t>
      </w:r>
      <w:proofErr w:type="gramStart"/>
      <w:r w:rsidRPr="00503A8E">
        <w:rPr>
          <w:rFonts w:ascii="Arial" w:hAnsi="Arial" w:cs="Arial"/>
          <w:sz w:val="22"/>
          <w:szCs w:val="22"/>
        </w:rPr>
        <w:t>la presencia de este tipo de distorsiones son cuantitativamente</w:t>
      </w:r>
      <w:proofErr w:type="gramEnd"/>
      <w:r w:rsidRPr="00503A8E">
        <w:rPr>
          <w:rFonts w:ascii="Arial" w:hAnsi="Arial" w:cs="Arial"/>
          <w:sz w:val="22"/>
          <w:szCs w:val="22"/>
        </w:rPr>
        <w:t xml:space="preserve"> importantes para explicar cambios en la productividad total de los factores.</w:t>
      </w:r>
    </w:p>
    <w:p w14:paraId="3C855029" w14:textId="77777777" w:rsidR="004213FF" w:rsidRPr="00503A8E" w:rsidRDefault="004213FF" w:rsidP="004213FF">
      <w:pPr>
        <w:pStyle w:val="21Paragraph"/>
        <w:ind w:left="720" w:hanging="720"/>
        <w:rPr>
          <w:rFonts w:ascii="Arial" w:hAnsi="Arial" w:cs="Arial"/>
          <w:sz w:val="22"/>
          <w:szCs w:val="22"/>
        </w:rPr>
      </w:pPr>
      <w:r w:rsidRPr="00503A8E">
        <w:rPr>
          <w:rFonts w:ascii="Arial" w:hAnsi="Arial" w:cs="Arial"/>
          <w:sz w:val="22"/>
          <w:szCs w:val="22"/>
        </w:rPr>
        <w:t xml:space="preserve">Hechas estas consideraciones sobre la utilización de modelos de equilibrio general para aproximar el impacto en productividad de cambios en el sistema financiero, se procede a continuación a discutir en mayor detalle el modelo a utilizar para el proceso de evaluación que buscará establecer el impacto en productividad que puede asociarse a los cambios resultantes de las reformas apoyadas por este programa. </w:t>
      </w:r>
    </w:p>
    <w:p w14:paraId="61611B18" w14:textId="77777777" w:rsidR="004213FF" w:rsidRPr="00503A8E" w:rsidRDefault="004213FF" w:rsidP="004213FF">
      <w:pPr>
        <w:pStyle w:val="21Paragraph"/>
        <w:numPr>
          <w:ilvl w:val="0"/>
          <w:numId w:val="0"/>
        </w:numPr>
        <w:rPr>
          <w:rFonts w:ascii="Arial" w:hAnsi="Arial" w:cs="Arial"/>
          <w:b/>
          <w:sz w:val="22"/>
          <w:szCs w:val="22"/>
        </w:rPr>
      </w:pPr>
      <w:r w:rsidRPr="00503A8E">
        <w:rPr>
          <w:rFonts w:ascii="Arial" w:hAnsi="Arial" w:cs="Arial"/>
          <w:b/>
          <w:sz w:val="22"/>
          <w:szCs w:val="22"/>
        </w:rPr>
        <w:t>Descripción y discusión del modelo a utilizar</w:t>
      </w:r>
    </w:p>
    <w:p w14:paraId="65595EA1" w14:textId="77777777" w:rsidR="004213FF" w:rsidRPr="00503A8E" w:rsidRDefault="004213FF" w:rsidP="004213FF">
      <w:pPr>
        <w:pStyle w:val="21Paragraph"/>
        <w:ind w:left="720" w:hanging="720"/>
        <w:rPr>
          <w:rFonts w:ascii="Arial" w:hAnsi="Arial" w:cs="Arial"/>
          <w:sz w:val="22"/>
          <w:szCs w:val="22"/>
        </w:rPr>
      </w:pPr>
      <w:proofErr w:type="gramStart"/>
      <w:r w:rsidRPr="00503A8E">
        <w:rPr>
          <w:rFonts w:ascii="Arial" w:hAnsi="Arial" w:cs="Arial"/>
          <w:sz w:val="22"/>
          <w:szCs w:val="22"/>
        </w:rPr>
        <w:t>El modelo a utilizar</w:t>
      </w:r>
      <w:proofErr w:type="gramEnd"/>
      <w:r w:rsidRPr="00503A8E">
        <w:rPr>
          <w:rFonts w:ascii="Arial" w:hAnsi="Arial" w:cs="Arial"/>
          <w:sz w:val="22"/>
          <w:szCs w:val="22"/>
        </w:rPr>
        <w:t xml:space="preserve"> es el propuesto por D’Erasmo (2013)</w:t>
      </w:r>
      <w:r w:rsidRPr="00503A8E">
        <w:rPr>
          <w:rStyle w:val="FootnoteReference"/>
          <w:rFonts w:ascii="Arial" w:hAnsi="Arial" w:cs="Arial"/>
          <w:sz w:val="22"/>
          <w:szCs w:val="22"/>
        </w:rPr>
        <w:footnoteReference w:id="11"/>
      </w:r>
      <w:r w:rsidRPr="00503A8E">
        <w:rPr>
          <w:rFonts w:ascii="Arial" w:hAnsi="Arial" w:cs="Arial"/>
          <w:sz w:val="22"/>
          <w:szCs w:val="22"/>
        </w:rPr>
        <w:t>, el cual es una extensión de D’Erasmo y Moscoso Boedo (2012)</w:t>
      </w:r>
      <w:r w:rsidRPr="00503A8E">
        <w:rPr>
          <w:rStyle w:val="FootnoteReference"/>
          <w:rFonts w:ascii="Arial" w:hAnsi="Arial" w:cs="Arial"/>
          <w:sz w:val="22"/>
          <w:szCs w:val="22"/>
        </w:rPr>
        <w:footnoteReference w:id="12"/>
      </w:r>
      <w:r w:rsidRPr="00503A8E">
        <w:rPr>
          <w:rFonts w:ascii="Arial" w:hAnsi="Arial" w:cs="Arial"/>
          <w:sz w:val="22"/>
          <w:szCs w:val="22"/>
        </w:rPr>
        <w:t>. Este modelo está específicamente diseñado para incorporar información sobre la eficiencia del sistema financiero (eficiencia de intermediación) y de los costos de fondeo; así como elementos del clima de negocios (costes fijos de operar en el sistema formal y eficiencia de las instituciones destinadas a garantizar el cumplimiento de los contratos). Más aún, el modelo específicamente considera una estructura con sectores formales e informales de participación endógena, lo cual lo hace particularmente adecuado para la representación de economías como la de República Dominicana.</w:t>
      </w:r>
      <w:r w:rsidRPr="00503A8E">
        <w:rPr>
          <w:rStyle w:val="FootnoteReference"/>
          <w:rFonts w:ascii="Arial" w:hAnsi="Arial" w:cs="Arial"/>
          <w:sz w:val="22"/>
          <w:szCs w:val="22"/>
        </w:rPr>
        <w:footnoteReference w:id="13"/>
      </w:r>
      <w:r w:rsidRPr="00503A8E">
        <w:rPr>
          <w:rFonts w:ascii="Arial" w:hAnsi="Arial" w:cs="Arial"/>
          <w:sz w:val="22"/>
          <w:szCs w:val="22"/>
        </w:rPr>
        <w:t xml:space="preserve"> </w:t>
      </w:r>
    </w:p>
    <w:p w14:paraId="30902A72" w14:textId="77777777" w:rsidR="004213FF" w:rsidRPr="00503A8E" w:rsidRDefault="004213FF" w:rsidP="004213FF">
      <w:pPr>
        <w:pStyle w:val="21Paragraph"/>
        <w:ind w:left="720" w:hanging="720"/>
        <w:rPr>
          <w:rFonts w:ascii="Arial" w:hAnsi="Arial" w:cs="Arial"/>
          <w:sz w:val="22"/>
          <w:szCs w:val="22"/>
        </w:rPr>
      </w:pPr>
      <w:r w:rsidRPr="00503A8E">
        <w:rPr>
          <w:rFonts w:ascii="Arial" w:hAnsi="Arial" w:cs="Arial"/>
          <w:b/>
          <w:sz w:val="22"/>
          <w:szCs w:val="22"/>
        </w:rPr>
        <w:t xml:space="preserve">Características y supuestos del modelo. </w:t>
      </w:r>
      <w:r w:rsidRPr="00503A8E">
        <w:rPr>
          <w:rFonts w:ascii="Arial" w:hAnsi="Arial" w:cs="Arial"/>
          <w:sz w:val="22"/>
          <w:szCs w:val="22"/>
        </w:rPr>
        <w:t xml:space="preserve">Por simplicidad expositiva se describe a continuación los aspectos principales del modelo a calibrar, que como se indicó corresponde al modelo detallado con precisión en D’Erasmo (2013). Cabe notar aquí que se señalaran las modificaciones a la especificación publicada, tal como se indica en la nota a pie número 21 del trabajo de referencia. Tal como indica el autor, la especificación alternativa que permite a las empresas informales transformarse en formales arrojaba equilibrios equivalentes (es decir, el modelo con esta posibilidad fue calibrado). Consultado el autor de porqué se optó por la especificación que no permitía este cambio refirió a motivos de parsimonia dado que es preferible siempre el modelo sencillo si se logra el mismo poder explicativo. Entonces, en lo que sigue, se señalan las modificaciones a las funciones de valor que habilitan el cambio de sector de una empresa informal. Al igual que lo hecho en el trabajo de Brasil, para República Dominicana también se </w:t>
      </w:r>
      <w:proofErr w:type="gramStart"/>
      <w:r w:rsidRPr="00503A8E">
        <w:rPr>
          <w:rFonts w:ascii="Arial" w:hAnsi="Arial" w:cs="Arial"/>
          <w:sz w:val="22"/>
          <w:szCs w:val="22"/>
        </w:rPr>
        <w:t>calibraran</w:t>
      </w:r>
      <w:proofErr w:type="gramEnd"/>
      <w:r w:rsidRPr="00503A8E">
        <w:rPr>
          <w:rFonts w:ascii="Arial" w:hAnsi="Arial" w:cs="Arial"/>
          <w:sz w:val="22"/>
          <w:szCs w:val="22"/>
        </w:rPr>
        <w:t xml:space="preserve"> ambas especificaciones.</w:t>
      </w:r>
    </w:p>
    <w:p w14:paraId="25B916BB" w14:textId="77777777" w:rsidR="004213FF" w:rsidRPr="00503A8E" w:rsidRDefault="004213FF" w:rsidP="004213FF">
      <w:pPr>
        <w:pStyle w:val="21Paragraph"/>
        <w:ind w:left="720" w:hanging="720"/>
        <w:rPr>
          <w:rFonts w:ascii="Arial" w:hAnsi="Arial" w:cs="Arial"/>
          <w:sz w:val="22"/>
          <w:szCs w:val="22"/>
        </w:rPr>
      </w:pPr>
      <w:r w:rsidRPr="00503A8E">
        <w:rPr>
          <w:rFonts w:ascii="Arial" w:hAnsi="Arial" w:cs="Arial"/>
          <w:i/>
          <w:sz w:val="22"/>
          <w:szCs w:val="22"/>
        </w:rPr>
        <w:lastRenderedPageBreak/>
        <w:t>Antecedentes</w:t>
      </w:r>
      <w:r w:rsidRPr="00503A8E">
        <w:rPr>
          <w:rFonts w:ascii="Arial" w:hAnsi="Arial" w:cs="Arial"/>
          <w:sz w:val="22"/>
          <w:szCs w:val="22"/>
        </w:rPr>
        <w:t>. Como se indicó, el modelo se basa en D’Erasmos y Moscoso and Boedo (2012) –que a la vez se sustenta en los trabajos de Hopenhayn (1992) y Cooley y Quadrini (2001). El modelo considera tres tipos de agentes: empresas (formales e informales), entidades financieras, y consumidores. Los consumidores se incorporan al modelo a través de un agente representativo que vive infinitamente y maximiza su utilidad esperada, cuya función de utilidad depende con las propiedades usuales de su nivel de consumo. El consumidor provee su trabajo en forma inelástica al salario de mercado (la función de utilidad no depende de los niveles de esfuerzo puesto en el trabajo).</w:t>
      </w:r>
    </w:p>
    <w:p w14:paraId="48A9CA11" w14:textId="77777777" w:rsidR="004213FF" w:rsidRPr="00503A8E" w:rsidRDefault="004213FF" w:rsidP="004213FF">
      <w:pPr>
        <w:pStyle w:val="21Paragraph"/>
        <w:ind w:left="720" w:hanging="720"/>
        <w:rPr>
          <w:rFonts w:ascii="Arial" w:hAnsi="Arial" w:cs="Arial"/>
          <w:sz w:val="22"/>
          <w:szCs w:val="22"/>
        </w:rPr>
      </w:pPr>
      <w:r w:rsidRPr="00503A8E">
        <w:rPr>
          <w:rFonts w:ascii="Arial" w:hAnsi="Arial" w:cs="Arial"/>
          <w:i/>
          <w:sz w:val="22"/>
          <w:szCs w:val="22"/>
        </w:rPr>
        <w:t>Dinámica de las empresas</w:t>
      </w:r>
      <w:r w:rsidRPr="00503A8E">
        <w:rPr>
          <w:rFonts w:ascii="Arial" w:hAnsi="Arial" w:cs="Arial"/>
          <w:sz w:val="22"/>
          <w:szCs w:val="22"/>
        </w:rPr>
        <w:t xml:space="preserve">. Las empresas llevan adelante un proyecto de inversión </w:t>
      </w:r>
      <w:proofErr w:type="gramStart"/>
      <w:r w:rsidRPr="00503A8E">
        <w:rPr>
          <w:rFonts w:ascii="Arial" w:hAnsi="Arial" w:cs="Arial"/>
          <w:sz w:val="22"/>
          <w:szCs w:val="22"/>
        </w:rPr>
        <w:t>de acuerdo a</w:t>
      </w:r>
      <w:proofErr w:type="gramEnd"/>
      <w:r w:rsidRPr="00503A8E">
        <w:rPr>
          <w:rFonts w:ascii="Arial" w:hAnsi="Arial" w:cs="Arial"/>
          <w:sz w:val="22"/>
          <w:szCs w:val="22"/>
        </w:rPr>
        <w:t xml:space="preserve"> una función de producción de retornos decrecientes en un factor compuesto determinado por una función neoclásica Cobb-Douglas. Existen dos tipos de empresas, formales e informales, que difieren a nivel productivo en la naturaleza del proceso que gobierna la evolución de sus productividades (con un proceso autorregresivo con una media de productividad alta y en el sector formal, y un proceso constante de baja productividad en el sector informal). Ambas firmas maximizan el valor presente del flujo de dividendos. Iniciar una empresa implica un costo fijo, luego de lo cual condicional en la elección de tecnología, y productividad revelada (a nivel individual) deciden si seguir operando (en el sector formal o informal) o si salen del mercado. Si deciden operar puede financiar sus inversiones con deuda o fondos internos. Las empresas formales además de ser más </w:t>
      </w:r>
      <w:proofErr w:type="gramStart"/>
      <w:r w:rsidRPr="00503A8E">
        <w:rPr>
          <w:rFonts w:ascii="Arial" w:hAnsi="Arial" w:cs="Arial"/>
          <w:sz w:val="22"/>
          <w:szCs w:val="22"/>
        </w:rPr>
        <w:t>productivas,</w:t>
      </w:r>
      <w:proofErr w:type="gramEnd"/>
      <w:r w:rsidRPr="00503A8E">
        <w:rPr>
          <w:rFonts w:ascii="Arial" w:hAnsi="Arial" w:cs="Arial"/>
          <w:sz w:val="22"/>
          <w:szCs w:val="22"/>
        </w:rPr>
        <w:t xml:space="preserve"> han de pagar un impuesto proporcional (no así las informales). Cuando una empresa formal abandona el mercado debe pasar por un proceso de quiebra </w:t>
      </w:r>
      <w:proofErr w:type="gramStart"/>
      <w:r w:rsidRPr="00503A8E">
        <w:rPr>
          <w:rFonts w:ascii="Arial" w:hAnsi="Arial" w:cs="Arial"/>
          <w:sz w:val="22"/>
          <w:szCs w:val="22"/>
        </w:rPr>
        <w:t>en caso que</w:t>
      </w:r>
      <w:proofErr w:type="gramEnd"/>
      <w:r w:rsidRPr="00503A8E">
        <w:rPr>
          <w:rFonts w:ascii="Arial" w:hAnsi="Arial" w:cs="Arial"/>
          <w:sz w:val="22"/>
          <w:szCs w:val="22"/>
        </w:rPr>
        <w:t xml:space="preserve"> entre en cesación de pagos; dicho proceso de quiebra tiene un costo proporcional al capital de la firma.</w:t>
      </w:r>
    </w:p>
    <w:p w14:paraId="34B9C89E" w14:textId="77777777" w:rsidR="004213FF" w:rsidRPr="00503A8E" w:rsidRDefault="004213FF" w:rsidP="004213FF">
      <w:pPr>
        <w:pStyle w:val="21Paragraph"/>
        <w:ind w:left="720" w:hanging="720"/>
        <w:rPr>
          <w:rFonts w:ascii="Arial" w:hAnsi="Arial" w:cs="Arial"/>
          <w:sz w:val="22"/>
          <w:szCs w:val="22"/>
        </w:rPr>
      </w:pPr>
      <w:r w:rsidRPr="00503A8E">
        <w:rPr>
          <w:rFonts w:ascii="Arial" w:hAnsi="Arial" w:cs="Arial"/>
          <w:i/>
          <w:sz w:val="22"/>
          <w:szCs w:val="22"/>
        </w:rPr>
        <w:t>Paso del sector informal al formal</w:t>
      </w:r>
      <w:r w:rsidRPr="00503A8E">
        <w:rPr>
          <w:rFonts w:ascii="Arial" w:hAnsi="Arial" w:cs="Arial"/>
          <w:sz w:val="22"/>
          <w:szCs w:val="22"/>
        </w:rPr>
        <w:t xml:space="preserve">. Según lo indicado en 3.11 se describen aquí los cambios que habilitan el paso de empresas informales al sector formal. En este caso, la ecuación (3) del documento de referencia pasa a ser </w:t>
      </w:r>
      <m:oMath>
        <m:sSup>
          <m:sSupPr>
            <m:ctrlPr>
              <w:rPr>
                <w:rFonts w:ascii="Cambria Math" w:hAnsi="Cambria Math" w:cs="Arial"/>
                <w:i/>
                <w:sz w:val="22"/>
                <w:szCs w:val="22"/>
                <w:lang w:val="en-US"/>
              </w:rPr>
            </m:ctrlPr>
          </m:sSupPr>
          <m:e>
            <m:r>
              <w:rPr>
                <w:rFonts w:ascii="Cambria Math" w:hAnsi="Cambria Math" w:cs="Arial"/>
                <w:sz w:val="22"/>
                <w:szCs w:val="22"/>
              </w:rPr>
              <m:t>W</m:t>
            </m:r>
            <m:ctrlPr>
              <w:rPr>
                <w:rFonts w:ascii="Cambria Math" w:hAnsi="Cambria Math" w:cs="Arial"/>
                <w:i/>
                <w:sz w:val="22"/>
                <w:szCs w:val="22"/>
              </w:rPr>
            </m:ctrlPr>
          </m:e>
          <m:sup>
            <m:r>
              <w:rPr>
                <w:rFonts w:ascii="Cambria Math" w:hAnsi="Cambria Math" w:cs="Arial"/>
                <w:sz w:val="22"/>
                <w:szCs w:val="22"/>
                <w:lang w:val="en-US"/>
              </w:rPr>
              <m:t>i</m:t>
            </m:r>
          </m:sup>
        </m:sSup>
        <m:d>
          <m:dPr>
            <m:ctrlPr>
              <w:rPr>
                <w:rFonts w:ascii="Cambria Math" w:hAnsi="Cambria Math" w:cs="Arial"/>
                <w:i/>
                <w:sz w:val="22"/>
                <w:szCs w:val="22"/>
                <w:lang w:val="en-US"/>
              </w:rPr>
            </m:ctrlPr>
          </m:dPr>
          <m:e>
            <m:acc>
              <m:accPr>
                <m:ctrlPr>
                  <w:rPr>
                    <w:rFonts w:ascii="Cambria Math" w:hAnsi="Cambria Math" w:cs="Arial"/>
                    <w:i/>
                    <w:sz w:val="22"/>
                    <w:szCs w:val="22"/>
                    <w:lang w:val="en-US"/>
                  </w:rPr>
                </m:ctrlPr>
              </m:accPr>
              <m:e>
                <m:r>
                  <w:rPr>
                    <w:rFonts w:ascii="Cambria Math" w:hAnsi="Cambria Math" w:cs="Arial"/>
                    <w:sz w:val="22"/>
                    <w:szCs w:val="22"/>
                    <w:lang w:val="en-US"/>
                  </w:rPr>
                  <m:t>z</m:t>
                </m:r>
              </m:e>
            </m:acc>
            <m:r>
              <w:rPr>
                <w:rFonts w:ascii="Cambria Math" w:hAnsi="Cambria Math" w:cs="Arial"/>
                <w:sz w:val="22"/>
                <w:szCs w:val="22"/>
              </w:rPr>
              <m:t>,</m:t>
            </m:r>
            <m:r>
              <w:rPr>
                <w:rFonts w:ascii="Cambria Math" w:hAnsi="Cambria Math" w:cs="Arial"/>
                <w:sz w:val="22"/>
                <w:szCs w:val="22"/>
                <w:lang w:val="en-US"/>
              </w:rPr>
              <m:t>k</m:t>
            </m:r>
            <m:r>
              <w:rPr>
                <w:rFonts w:ascii="Cambria Math" w:hAnsi="Cambria Math" w:cs="Arial"/>
                <w:sz w:val="22"/>
                <w:szCs w:val="22"/>
              </w:rPr>
              <m:t>,</m:t>
            </m:r>
            <m:r>
              <w:rPr>
                <w:rFonts w:ascii="Cambria Math" w:hAnsi="Cambria Math" w:cs="Arial"/>
                <w:sz w:val="22"/>
                <w:szCs w:val="22"/>
                <w:lang w:val="en-US"/>
              </w:rPr>
              <m:t>b</m:t>
            </m:r>
            <m:r>
              <w:rPr>
                <w:rFonts w:ascii="Cambria Math" w:hAnsi="Cambria Math" w:cs="Arial"/>
                <w:sz w:val="22"/>
                <w:szCs w:val="22"/>
              </w:rPr>
              <m:t>,</m:t>
            </m:r>
            <m:sSub>
              <m:sSubPr>
                <m:ctrlPr>
                  <w:rPr>
                    <w:rFonts w:ascii="Cambria Math" w:hAnsi="Cambria Math" w:cs="Arial"/>
                    <w:i/>
                    <w:sz w:val="22"/>
                    <w:szCs w:val="22"/>
                    <w:lang w:val="en-US"/>
                  </w:rPr>
                </m:ctrlPr>
              </m:sSubPr>
              <m:e>
                <m:r>
                  <w:rPr>
                    <w:rFonts w:ascii="Cambria Math" w:hAnsi="Cambria Math" w:cs="Arial"/>
                    <w:sz w:val="22"/>
                    <w:szCs w:val="22"/>
                    <w:lang w:val="en-US"/>
                  </w:rPr>
                  <m:t>c</m:t>
                </m:r>
              </m:e>
              <m:sub>
                <m:r>
                  <w:rPr>
                    <w:rFonts w:ascii="Cambria Math" w:hAnsi="Cambria Math" w:cs="Arial"/>
                    <w:sz w:val="22"/>
                    <w:szCs w:val="22"/>
                    <w:lang w:val="en-US"/>
                  </w:rPr>
                  <m:t>f</m:t>
                </m:r>
              </m:sub>
            </m:sSub>
          </m:e>
        </m:d>
        <m:r>
          <w:rPr>
            <w:rFonts w:ascii="Cambria Math" w:hAnsi="Cambria Math" w:cs="Arial"/>
            <w:sz w:val="22"/>
            <w:szCs w:val="22"/>
          </w:rPr>
          <m:t>=</m:t>
        </m:r>
        <m:r>
          <m:rPr>
            <m:sty m:val="p"/>
          </m:rPr>
          <w:rPr>
            <w:rFonts w:ascii="Cambria Math" w:hAnsi="Cambria Math" w:cs="Arial"/>
            <w:sz w:val="22"/>
            <w:szCs w:val="22"/>
          </w:rPr>
          <m:t>max</m:t>
        </m:r>
        <m:d>
          <m:dPr>
            <m:begChr m:val="{"/>
            <m:endChr m:val="}"/>
            <m:ctrlPr>
              <w:rPr>
                <w:rFonts w:ascii="Cambria Math" w:hAnsi="Cambria Math" w:cs="Arial"/>
                <w:sz w:val="22"/>
                <w:szCs w:val="22"/>
              </w:rPr>
            </m:ctrlPr>
          </m:dPr>
          <m:e>
            <m:r>
              <m:rPr>
                <m:sty m:val="p"/>
              </m:rPr>
              <w:rPr>
                <w:rFonts w:ascii="Cambria Math" w:hAnsi="Cambria Math" w:cs="Arial"/>
                <w:sz w:val="22"/>
                <w:szCs w:val="22"/>
              </w:rPr>
              <m:t>max</m:t>
            </m:r>
            <m:d>
              <m:dPr>
                <m:begChr m:val="{"/>
                <m:endChr m:val="}"/>
                <m:ctrlPr>
                  <w:rPr>
                    <w:rFonts w:ascii="Cambria Math" w:hAnsi="Cambria Math" w:cs="Arial"/>
                    <w:sz w:val="22"/>
                    <w:szCs w:val="22"/>
                  </w:rPr>
                </m:ctrlPr>
              </m:dPr>
              <m:e>
                <m:sSup>
                  <m:sSupPr>
                    <m:ctrlPr>
                      <w:rPr>
                        <w:rFonts w:ascii="Cambria Math" w:hAnsi="Cambria Math" w:cs="Arial"/>
                        <w:i/>
                        <w:sz w:val="22"/>
                        <w:szCs w:val="22"/>
                      </w:rPr>
                    </m:ctrlPr>
                  </m:sSupPr>
                  <m:e>
                    <m:r>
                      <w:rPr>
                        <w:rFonts w:ascii="Cambria Math" w:hAnsi="Cambria Math" w:cs="Arial"/>
                        <w:sz w:val="22"/>
                        <w:szCs w:val="22"/>
                      </w:rPr>
                      <m:t>V</m:t>
                    </m:r>
                  </m:e>
                  <m:sup>
                    <m:r>
                      <w:rPr>
                        <w:rFonts w:ascii="Cambria Math" w:hAnsi="Cambria Math" w:cs="Arial"/>
                        <w:sz w:val="22"/>
                        <w:szCs w:val="22"/>
                      </w:rPr>
                      <m:t>i</m:t>
                    </m:r>
                  </m:sup>
                </m:sSup>
                <m:d>
                  <m:dPr>
                    <m:ctrlPr>
                      <w:rPr>
                        <w:rFonts w:ascii="Cambria Math" w:hAnsi="Cambria Math" w:cs="Arial"/>
                        <w:i/>
                        <w:sz w:val="22"/>
                        <w:szCs w:val="22"/>
                      </w:rPr>
                    </m:ctrlPr>
                  </m:dPr>
                  <m:e>
                    <m:r>
                      <w:rPr>
                        <w:rFonts w:ascii="Cambria Math" w:hAnsi="Cambria Math" w:cs="Arial"/>
                        <w:sz w:val="22"/>
                        <w:szCs w:val="22"/>
                      </w:rPr>
                      <m:t>k,b,</m:t>
                    </m:r>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f</m:t>
                        </m:r>
                      </m:sub>
                    </m:sSub>
                  </m:e>
                </m:d>
                <m:r>
                  <w:rPr>
                    <w:rFonts w:ascii="Cambria Math" w:hAnsi="Cambria Math" w:cs="Arial"/>
                    <w:sz w:val="22"/>
                    <w:szCs w:val="22"/>
                  </w:rPr>
                  <m:t>,</m:t>
                </m:r>
                <m:sSup>
                  <m:sSupPr>
                    <m:ctrlPr>
                      <w:rPr>
                        <w:rFonts w:ascii="Cambria Math" w:hAnsi="Cambria Math" w:cs="Arial"/>
                        <w:i/>
                        <w:sz w:val="22"/>
                        <w:szCs w:val="22"/>
                      </w:rPr>
                    </m:ctrlPr>
                  </m:sSupPr>
                  <m:e>
                    <m:r>
                      <w:rPr>
                        <w:rFonts w:ascii="Cambria Math" w:hAnsi="Cambria Math" w:cs="Arial"/>
                        <w:sz w:val="22"/>
                        <w:szCs w:val="22"/>
                      </w:rPr>
                      <m:t>V</m:t>
                    </m:r>
                  </m:e>
                  <m:sup>
                    <m:r>
                      <w:rPr>
                        <w:rFonts w:ascii="Cambria Math" w:hAnsi="Cambria Math" w:cs="Arial"/>
                        <w:sz w:val="22"/>
                        <w:szCs w:val="22"/>
                      </w:rPr>
                      <m:t>f</m:t>
                    </m:r>
                  </m:sup>
                </m:sSup>
                <m:d>
                  <m:dPr>
                    <m:ctrlPr>
                      <w:rPr>
                        <w:rFonts w:ascii="Cambria Math" w:hAnsi="Cambria Math" w:cs="Arial"/>
                        <w:i/>
                        <w:sz w:val="22"/>
                        <w:szCs w:val="22"/>
                      </w:rPr>
                    </m:ctrlPr>
                  </m:dPr>
                  <m:e>
                    <m:acc>
                      <m:accPr>
                        <m:ctrlPr>
                          <w:rPr>
                            <w:rFonts w:ascii="Cambria Math" w:hAnsi="Cambria Math" w:cs="Arial"/>
                            <w:i/>
                            <w:sz w:val="22"/>
                            <w:szCs w:val="22"/>
                          </w:rPr>
                        </m:ctrlPr>
                      </m:accPr>
                      <m:e>
                        <m:r>
                          <m:rPr>
                            <m:sty m:val="p"/>
                          </m:rPr>
                          <w:rPr>
                            <w:rFonts w:ascii="Cambria Math" w:hAnsi="Cambria Math" w:cs="Arial"/>
                            <w:sz w:val="22"/>
                            <w:szCs w:val="22"/>
                          </w:rPr>
                          <m:t>z</m:t>
                        </m:r>
                      </m:e>
                    </m:acc>
                    <m:r>
                      <w:rPr>
                        <w:rFonts w:ascii="Cambria Math" w:hAnsi="Cambria Math" w:cs="Arial"/>
                        <w:sz w:val="22"/>
                        <w:szCs w:val="22"/>
                      </w:rPr>
                      <m:t>,k,b,c_f</m:t>
                    </m:r>
                  </m:e>
                </m:d>
              </m:e>
            </m:d>
            <m:r>
              <w:rPr>
                <w:rFonts w:ascii="Cambria Math" w:hAnsi="Cambria Math" w:cs="Arial"/>
                <w:sz w:val="22"/>
                <w:szCs w:val="22"/>
              </w:rPr>
              <m:t>,k</m:t>
            </m:r>
          </m:e>
        </m:d>
      </m:oMath>
      <w:r w:rsidRPr="00503A8E">
        <w:rPr>
          <w:rFonts w:ascii="Arial" w:hAnsi="Arial" w:cs="Arial"/>
          <w:sz w:val="22"/>
          <w:szCs w:val="22"/>
        </w:rPr>
        <w:t xml:space="preserve">, donde </w:t>
      </w:r>
      <m:oMath>
        <m:sSup>
          <m:sSupPr>
            <m:ctrlPr>
              <w:rPr>
                <w:rFonts w:ascii="Cambria Math" w:hAnsi="Cambria Math" w:cs="Arial"/>
                <w:i/>
                <w:sz w:val="22"/>
                <w:szCs w:val="22"/>
              </w:rPr>
            </m:ctrlPr>
          </m:sSupPr>
          <m:e>
            <m:r>
              <w:rPr>
                <w:rFonts w:ascii="Cambria Math" w:hAnsi="Cambria Math" w:cs="Arial"/>
                <w:sz w:val="22"/>
                <w:szCs w:val="22"/>
              </w:rPr>
              <m:t>V</m:t>
            </m:r>
          </m:e>
          <m:sup>
            <m:r>
              <w:rPr>
                <w:rFonts w:ascii="Cambria Math" w:hAnsi="Cambria Math" w:cs="Arial"/>
                <w:sz w:val="22"/>
                <w:szCs w:val="22"/>
              </w:rPr>
              <m:t>i</m:t>
            </m:r>
          </m:sup>
        </m:sSup>
        <m:d>
          <m:dPr>
            <m:ctrlPr>
              <w:rPr>
                <w:rFonts w:ascii="Cambria Math" w:hAnsi="Cambria Math" w:cs="Arial"/>
                <w:i/>
                <w:sz w:val="22"/>
                <w:szCs w:val="22"/>
              </w:rPr>
            </m:ctrlPr>
          </m:dPr>
          <m:e>
            <m:r>
              <w:rPr>
                <w:rFonts w:ascii="Cambria Math" w:hAnsi="Cambria Math" w:cs="Arial"/>
                <w:sz w:val="22"/>
                <w:szCs w:val="22"/>
              </w:rPr>
              <m:t>k,b,</m:t>
            </m:r>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f</m:t>
                </m:r>
              </m:sub>
            </m:sSub>
          </m:e>
        </m:d>
      </m:oMath>
      <w:r w:rsidRPr="00503A8E">
        <w:rPr>
          <w:rFonts w:ascii="Arial" w:hAnsi="Arial" w:cs="Arial"/>
          <w:sz w:val="22"/>
          <w:szCs w:val="22"/>
        </w:rPr>
        <w:t xml:space="preserve"> continúa como en el documento original con su respectiva restricción, pero donde se agrega la ecuación para el valor de continuar de informal a formal </w:t>
      </w:r>
      <m:oMath>
        <m:sSup>
          <m:sSupPr>
            <m:ctrlPr>
              <w:rPr>
                <w:rFonts w:ascii="Cambria Math" w:hAnsi="Cambria Math" w:cs="Arial"/>
                <w:i/>
                <w:sz w:val="22"/>
                <w:szCs w:val="22"/>
              </w:rPr>
            </m:ctrlPr>
          </m:sSupPr>
          <m:e>
            <m:r>
              <w:rPr>
                <w:rFonts w:ascii="Cambria Math" w:hAnsi="Cambria Math" w:cs="Arial"/>
                <w:sz w:val="22"/>
                <w:szCs w:val="22"/>
              </w:rPr>
              <m:t>V</m:t>
            </m:r>
          </m:e>
          <m:sup>
            <m:r>
              <w:rPr>
                <w:rFonts w:ascii="Cambria Math" w:hAnsi="Cambria Math" w:cs="Arial"/>
                <w:sz w:val="22"/>
                <w:szCs w:val="22"/>
              </w:rPr>
              <m:t>f</m:t>
            </m:r>
          </m:sup>
        </m:sSup>
        <m:d>
          <m:dPr>
            <m:ctrlPr>
              <w:rPr>
                <w:rFonts w:ascii="Cambria Math" w:hAnsi="Cambria Math" w:cs="Arial"/>
                <w:i/>
                <w:sz w:val="22"/>
                <w:szCs w:val="22"/>
              </w:rPr>
            </m:ctrlPr>
          </m:dPr>
          <m:e>
            <m:acc>
              <m:accPr>
                <m:ctrlPr>
                  <w:rPr>
                    <w:rFonts w:ascii="Cambria Math" w:hAnsi="Cambria Math" w:cs="Arial"/>
                    <w:i/>
                    <w:sz w:val="22"/>
                    <w:szCs w:val="22"/>
                  </w:rPr>
                </m:ctrlPr>
              </m:accPr>
              <m:e>
                <m:r>
                  <m:rPr>
                    <m:sty m:val="p"/>
                  </m:rPr>
                  <w:rPr>
                    <w:rFonts w:ascii="Cambria Math" w:hAnsi="Cambria Math" w:cs="Arial"/>
                    <w:sz w:val="22"/>
                    <w:szCs w:val="22"/>
                  </w:rPr>
                  <m:t>z</m:t>
                </m:r>
              </m:e>
            </m:acc>
            <m:r>
              <w:rPr>
                <w:rFonts w:ascii="Cambria Math" w:hAnsi="Cambria Math" w:cs="Arial"/>
                <w:sz w:val="22"/>
                <w:szCs w:val="22"/>
              </w:rPr>
              <m:t>,k,b,c_f</m:t>
            </m:r>
          </m:e>
        </m:d>
      </m:oMath>
      <w:r w:rsidRPr="00503A8E">
        <w:rPr>
          <w:rFonts w:ascii="Arial" w:hAnsi="Arial" w:cs="Arial"/>
          <w:sz w:val="22"/>
          <w:szCs w:val="22"/>
        </w:rPr>
        <w:t xml:space="preserve">, que es la misma en esencia que la </w:t>
      </w:r>
      <m:oMath>
        <m:sSup>
          <m:sSupPr>
            <m:ctrlPr>
              <w:rPr>
                <w:rFonts w:ascii="Cambria Math" w:hAnsi="Cambria Math" w:cs="Arial"/>
                <w:i/>
                <w:sz w:val="22"/>
                <w:szCs w:val="22"/>
              </w:rPr>
            </m:ctrlPr>
          </m:sSupPr>
          <m:e>
            <m:r>
              <w:rPr>
                <w:rFonts w:ascii="Cambria Math" w:hAnsi="Cambria Math" w:cs="Arial"/>
                <w:sz w:val="22"/>
                <w:szCs w:val="22"/>
              </w:rPr>
              <m:t>V</m:t>
            </m:r>
          </m:e>
          <m:sup>
            <m:r>
              <w:rPr>
                <w:rFonts w:ascii="Cambria Math" w:hAnsi="Cambria Math" w:cs="Arial"/>
                <w:sz w:val="22"/>
                <w:szCs w:val="22"/>
              </w:rPr>
              <m:t>f</m:t>
            </m:r>
          </m:sup>
        </m:sSup>
        <m:d>
          <m:dPr>
            <m:ctrlPr>
              <w:rPr>
                <w:rFonts w:ascii="Cambria Math" w:hAnsi="Cambria Math" w:cs="Arial"/>
                <w:i/>
                <w:sz w:val="22"/>
                <w:szCs w:val="22"/>
              </w:rPr>
            </m:ctrlPr>
          </m:dPr>
          <m:e>
            <m:r>
              <w:rPr>
                <w:rFonts w:ascii="Cambria Math" w:hAnsi="Cambria Math" w:cs="Arial"/>
                <w:sz w:val="22"/>
                <w:szCs w:val="22"/>
              </w:rPr>
              <m:t>z,k,b,c_f</m:t>
            </m:r>
          </m:e>
        </m:d>
      </m:oMath>
      <w:r w:rsidRPr="00503A8E">
        <w:rPr>
          <w:rFonts w:ascii="Arial" w:hAnsi="Arial" w:cs="Arial"/>
          <w:sz w:val="22"/>
          <w:szCs w:val="22"/>
        </w:rPr>
        <w:t xml:space="preserve"> del documento, pero que ahora toma en cuenta que el proceso que guiará la evolución de la productividad estará afectado por el valor (de inicio como formal o de transición de informal a formal, como quiera interpretarse) </w:t>
      </w:r>
      <m:oMath>
        <m:sSub>
          <m:sSubPr>
            <m:ctrlPr>
              <w:rPr>
                <w:rFonts w:ascii="Cambria Math" w:hAnsi="Cambria Math" w:cs="Arial"/>
                <w:i/>
                <w:sz w:val="22"/>
                <w:szCs w:val="22"/>
              </w:rPr>
            </m:ctrlPr>
          </m:sSubPr>
          <m:e>
            <m:r>
              <w:rPr>
                <w:rFonts w:ascii="Cambria Math" w:hAnsi="Cambria Math" w:cs="Arial"/>
                <w:sz w:val="22"/>
                <w:szCs w:val="22"/>
              </w:rPr>
              <m:t>μ</m:t>
            </m:r>
          </m:e>
          <m:sub>
            <m:r>
              <w:rPr>
                <w:rFonts w:ascii="Cambria Math" w:hAnsi="Cambria Math" w:cs="Arial"/>
                <w:sz w:val="22"/>
                <w:szCs w:val="22"/>
              </w:rPr>
              <m:t>l</m:t>
            </m:r>
          </m:sub>
        </m:sSub>
      </m:oMath>
      <w:r w:rsidRPr="00503A8E">
        <w:rPr>
          <w:rFonts w:ascii="Arial" w:hAnsi="Arial" w:cs="Arial"/>
          <w:sz w:val="22"/>
          <w:szCs w:val="22"/>
        </w:rPr>
        <w:t xml:space="preserve">. La restricción para el caso en que pase a formal sería </w:t>
      </w:r>
      <m:oMath>
        <m:sSup>
          <m:sSupPr>
            <m:ctrlPr>
              <w:rPr>
                <w:rFonts w:ascii="Cambria Math" w:hAnsi="Cambria Math" w:cs="Arial"/>
                <w:i/>
                <w:sz w:val="22"/>
                <w:szCs w:val="22"/>
                <w:lang w:val="en-US"/>
              </w:rPr>
            </m:ctrlPr>
          </m:sSupPr>
          <m:e>
            <m:r>
              <w:rPr>
                <w:rFonts w:ascii="Cambria Math" w:hAnsi="Cambria Math" w:cs="Arial"/>
                <w:sz w:val="22"/>
                <w:szCs w:val="22"/>
              </w:rPr>
              <m:t>d</m:t>
            </m:r>
            <m:ctrlPr>
              <w:rPr>
                <w:rFonts w:ascii="Cambria Math" w:hAnsi="Cambria Math" w:cs="Arial"/>
                <w:i/>
                <w:sz w:val="22"/>
                <w:szCs w:val="22"/>
              </w:rPr>
            </m:ctrlPr>
          </m:e>
          <m:sup>
            <m:r>
              <w:rPr>
                <w:rFonts w:ascii="Cambria Math" w:hAnsi="Cambria Math" w:cs="Arial"/>
                <w:sz w:val="22"/>
                <w:szCs w:val="22"/>
                <w:lang w:val="en-US"/>
              </w:rPr>
              <m:t>f</m:t>
            </m:r>
          </m:sup>
        </m:sSup>
        <m:r>
          <w:rPr>
            <w:rFonts w:ascii="Cambria Math" w:hAnsi="Cambria Math" w:cs="Arial"/>
            <w:sz w:val="22"/>
            <w:szCs w:val="22"/>
          </w:rPr>
          <m:t>=</m:t>
        </m:r>
        <m:d>
          <m:dPr>
            <m:ctrlPr>
              <w:rPr>
                <w:rFonts w:ascii="Cambria Math" w:hAnsi="Cambria Math" w:cs="Arial"/>
                <w:i/>
                <w:sz w:val="22"/>
                <w:szCs w:val="22"/>
                <w:lang w:val="en-US"/>
              </w:rPr>
            </m:ctrlPr>
          </m:dPr>
          <m:e>
            <m:r>
              <w:rPr>
                <w:rFonts w:ascii="Cambria Math" w:hAnsi="Cambria Math" w:cs="Arial"/>
                <w:sz w:val="22"/>
                <w:szCs w:val="22"/>
              </w:rPr>
              <m:t>1-</m:t>
            </m:r>
            <m:r>
              <w:rPr>
                <w:rFonts w:ascii="Cambria Math" w:hAnsi="Cambria Math" w:cs="Arial"/>
                <w:sz w:val="22"/>
                <w:szCs w:val="22"/>
                <w:lang w:val="en-US"/>
              </w:rPr>
              <m:t>τ</m:t>
            </m:r>
          </m:e>
        </m:d>
        <m:d>
          <m:dPr>
            <m:begChr m:val="["/>
            <m:endChr m:val="]"/>
            <m:ctrlPr>
              <w:rPr>
                <w:rFonts w:ascii="Cambria Math" w:hAnsi="Cambria Math" w:cs="Arial"/>
                <w:i/>
                <w:sz w:val="22"/>
                <w:szCs w:val="22"/>
                <w:lang w:val="en-US"/>
              </w:rPr>
            </m:ctrlPr>
          </m:dPr>
          <m:e>
            <m:acc>
              <m:accPr>
                <m:ctrlPr>
                  <w:rPr>
                    <w:rFonts w:ascii="Cambria Math" w:hAnsi="Cambria Math" w:cs="Arial"/>
                    <w:i/>
                    <w:sz w:val="22"/>
                    <w:szCs w:val="22"/>
                    <w:lang w:val="en-US"/>
                  </w:rPr>
                </m:ctrlPr>
              </m:accPr>
              <m:e>
                <m:r>
                  <w:rPr>
                    <w:rFonts w:ascii="Cambria Math" w:hAnsi="Cambria Math" w:cs="Arial"/>
                    <w:sz w:val="22"/>
                    <w:szCs w:val="22"/>
                    <w:lang w:val="en-US"/>
                  </w:rPr>
                  <m:t>z</m:t>
                </m:r>
              </m:e>
            </m:acc>
            <m:sSup>
              <m:sSupPr>
                <m:ctrlPr>
                  <w:rPr>
                    <w:rFonts w:ascii="Cambria Math" w:hAnsi="Cambria Math" w:cs="Arial"/>
                    <w:i/>
                    <w:sz w:val="22"/>
                    <w:szCs w:val="22"/>
                    <w:lang w:val="en-US"/>
                  </w:rPr>
                </m:ctrlPr>
              </m:sSupPr>
              <m:e>
                <m:d>
                  <m:dPr>
                    <m:ctrlPr>
                      <w:rPr>
                        <w:rFonts w:ascii="Cambria Math" w:hAnsi="Cambria Math" w:cs="Arial"/>
                        <w:i/>
                        <w:sz w:val="22"/>
                        <w:szCs w:val="22"/>
                        <w:lang w:val="en-US"/>
                      </w:rPr>
                    </m:ctrlPr>
                  </m:dPr>
                  <m:e>
                    <m:sSup>
                      <m:sSupPr>
                        <m:ctrlPr>
                          <w:rPr>
                            <w:rFonts w:ascii="Cambria Math" w:hAnsi="Cambria Math" w:cs="Arial"/>
                            <w:i/>
                            <w:sz w:val="22"/>
                            <w:szCs w:val="22"/>
                            <w:lang w:val="en-US"/>
                          </w:rPr>
                        </m:ctrlPr>
                      </m:sSupPr>
                      <m:e>
                        <m:r>
                          <w:rPr>
                            <w:rFonts w:ascii="Cambria Math" w:hAnsi="Cambria Math" w:cs="Arial"/>
                            <w:sz w:val="22"/>
                            <w:szCs w:val="22"/>
                            <w:lang w:val="en-US"/>
                          </w:rPr>
                          <m:t>k</m:t>
                        </m:r>
                      </m:e>
                      <m:sup>
                        <m:r>
                          <w:rPr>
                            <w:rFonts w:ascii="Cambria Math" w:hAnsi="Cambria Math" w:cs="Arial"/>
                            <w:sz w:val="22"/>
                            <w:szCs w:val="22"/>
                            <w:lang w:val="en-US"/>
                          </w:rPr>
                          <m:t>α</m:t>
                        </m:r>
                      </m:sup>
                    </m:sSup>
                    <m:sSup>
                      <m:sSupPr>
                        <m:ctrlPr>
                          <w:rPr>
                            <w:rFonts w:ascii="Cambria Math" w:hAnsi="Cambria Math" w:cs="Arial"/>
                            <w:i/>
                            <w:sz w:val="22"/>
                            <w:szCs w:val="22"/>
                            <w:lang w:val="en-US"/>
                          </w:rPr>
                        </m:ctrlPr>
                      </m:sSupPr>
                      <m:e>
                        <m:r>
                          <w:rPr>
                            <w:rFonts w:ascii="Cambria Math" w:hAnsi="Cambria Math" w:cs="Arial"/>
                            <w:sz w:val="22"/>
                            <w:szCs w:val="22"/>
                            <w:lang w:val="en-US"/>
                          </w:rPr>
                          <m:t>n</m:t>
                        </m:r>
                      </m:e>
                      <m:sup>
                        <m:r>
                          <w:rPr>
                            <w:rFonts w:ascii="Cambria Math" w:hAnsi="Cambria Math" w:cs="Arial"/>
                            <w:sz w:val="22"/>
                            <w:szCs w:val="22"/>
                          </w:rPr>
                          <m:t>1-</m:t>
                        </m:r>
                        <m:r>
                          <w:rPr>
                            <w:rFonts w:ascii="Cambria Math" w:hAnsi="Cambria Math" w:cs="Arial"/>
                            <w:sz w:val="22"/>
                            <w:szCs w:val="22"/>
                            <w:lang w:val="en-US"/>
                          </w:rPr>
                          <m:t>α</m:t>
                        </m:r>
                      </m:sup>
                    </m:sSup>
                  </m:e>
                </m:d>
              </m:e>
              <m:sup>
                <m:r>
                  <w:rPr>
                    <w:rFonts w:ascii="Cambria Math" w:hAnsi="Cambria Math" w:cs="Arial"/>
                    <w:sz w:val="22"/>
                    <w:szCs w:val="22"/>
                    <w:lang w:val="en-US"/>
                  </w:rPr>
                  <m:t>γ</m:t>
                </m:r>
              </m:sup>
            </m:sSup>
            <m:r>
              <w:rPr>
                <w:rFonts w:ascii="Cambria Math" w:hAnsi="Cambria Math" w:cs="Arial"/>
                <w:sz w:val="22"/>
                <w:szCs w:val="22"/>
              </w:rPr>
              <m:t>-</m:t>
            </m:r>
            <m:sSub>
              <m:sSubPr>
                <m:ctrlPr>
                  <w:rPr>
                    <w:rFonts w:ascii="Cambria Math" w:hAnsi="Cambria Math" w:cs="Arial"/>
                    <w:i/>
                    <w:sz w:val="22"/>
                    <w:szCs w:val="22"/>
                    <w:lang w:val="en-US"/>
                  </w:rPr>
                </m:ctrlPr>
              </m:sSubPr>
              <m:e>
                <m:r>
                  <w:rPr>
                    <w:rFonts w:ascii="Cambria Math" w:hAnsi="Cambria Math" w:cs="Arial"/>
                    <w:sz w:val="22"/>
                    <w:szCs w:val="22"/>
                    <w:lang w:val="en-US"/>
                  </w:rPr>
                  <m:t>c</m:t>
                </m:r>
              </m:e>
              <m:sub>
                <m:r>
                  <w:rPr>
                    <w:rFonts w:ascii="Cambria Math" w:hAnsi="Cambria Math" w:cs="Arial"/>
                    <w:sz w:val="22"/>
                    <w:szCs w:val="22"/>
                    <w:lang w:val="en-US"/>
                  </w:rPr>
                  <m:t>f</m:t>
                </m:r>
              </m:sub>
            </m:sSub>
            <m:r>
              <w:rPr>
                <w:rFonts w:ascii="Cambria Math" w:hAnsi="Cambria Math" w:cs="Arial"/>
                <w:sz w:val="22"/>
                <w:szCs w:val="22"/>
              </w:rPr>
              <m:t>-</m:t>
            </m:r>
            <m:r>
              <w:rPr>
                <w:rFonts w:ascii="Cambria Math" w:hAnsi="Cambria Math" w:cs="Arial"/>
                <w:sz w:val="22"/>
                <w:szCs w:val="22"/>
                <w:lang w:val="en-US"/>
              </w:rPr>
              <m:t>w</m:t>
            </m:r>
            <m:d>
              <m:dPr>
                <m:ctrlPr>
                  <w:rPr>
                    <w:rFonts w:ascii="Cambria Math" w:hAnsi="Cambria Math" w:cs="Arial"/>
                    <w:i/>
                    <w:sz w:val="22"/>
                    <w:szCs w:val="22"/>
                    <w:lang w:val="en-US"/>
                  </w:rPr>
                </m:ctrlPr>
              </m:dPr>
              <m:e>
                <m:r>
                  <w:rPr>
                    <w:rFonts w:ascii="Cambria Math" w:hAnsi="Cambria Math" w:cs="Arial"/>
                    <w:sz w:val="22"/>
                    <w:szCs w:val="22"/>
                  </w:rPr>
                  <m:t>1+</m:t>
                </m:r>
                <m:sSub>
                  <m:sSubPr>
                    <m:ctrlPr>
                      <w:rPr>
                        <w:rFonts w:ascii="Cambria Math" w:hAnsi="Cambria Math" w:cs="Arial"/>
                        <w:i/>
                        <w:sz w:val="22"/>
                        <w:szCs w:val="22"/>
                        <w:lang w:val="en-US"/>
                      </w:rPr>
                    </m:ctrlPr>
                  </m:sSubPr>
                  <m:e>
                    <m:r>
                      <w:rPr>
                        <w:rFonts w:ascii="Cambria Math" w:hAnsi="Cambria Math" w:cs="Arial"/>
                        <w:sz w:val="22"/>
                        <w:szCs w:val="22"/>
                        <w:lang w:val="en-US"/>
                      </w:rPr>
                      <m:t>τ</m:t>
                    </m:r>
                  </m:e>
                  <m:sub>
                    <m:r>
                      <w:rPr>
                        <w:rFonts w:ascii="Cambria Math" w:hAnsi="Cambria Math" w:cs="Arial"/>
                        <w:sz w:val="22"/>
                        <w:szCs w:val="22"/>
                        <w:lang w:val="en-US"/>
                      </w:rPr>
                      <m:t>w</m:t>
                    </m:r>
                    <m:r>
                      <w:rPr>
                        <w:rFonts w:ascii="Cambria Math" w:hAnsi="Cambria Math" w:cs="Arial"/>
                        <w:sz w:val="22"/>
                        <w:szCs w:val="22"/>
                      </w:rPr>
                      <m:t xml:space="preserve"> </m:t>
                    </m:r>
                  </m:sub>
                </m:sSub>
              </m:e>
            </m:d>
            <m:r>
              <w:rPr>
                <w:rFonts w:ascii="Cambria Math" w:hAnsi="Cambria Math" w:cs="Arial"/>
                <w:sz w:val="22"/>
                <w:szCs w:val="22"/>
                <w:lang w:val="en-US"/>
              </w:rPr>
              <m:t>n</m:t>
            </m:r>
          </m:e>
        </m:d>
        <m:r>
          <w:rPr>
            <w:rFonts w:ascii="Cambria Math" w:hAnsi="Cambria Math" w:cs="Arial"/>
            <w:sz w:val="22"/>
            <w:szCs w:val="22"/>
          </w:rPr>
          <m:t>-</m:t>
        </m:r>
        <m:sSup>
          <m:sSupPr>
            <m:ctrlPr>
              <w:rPr>
                <w:rFonts w:ascii="Cambria Math" w:hAnsi="Cambria Math" w:cs="Arial"/>
                <w:i/>
                <w:sz w:val="22"/>
                <w:szCs w:val="22"/>
                <w:lang w:val="en-US"/>
              </w:rPr>
            </m:ctrlPr>
          </m:sSupPr>
          <m:e>
            <m:r>
              <w:rPr>
                <w:rFonts w:ascii="Cambria Math" w:hAnsi="Cambria Math" w:cs="Arial"/>
                <w:sz w:val="22"/>
                <w:szCs w:val="22"/>
                <w:lang w:val="en-US"/>
              </w:rPr>
              <m:t>k</m:t>
            </m:r>
          </m:e>
          <m:sup>
            <m:r>
              <w:rPr>
                <w:rFonts w:ascii="Cambria Math" w:hAnsi="Cambria Math" w:cs="Arial"/>
                <w:sz w:val="22"/>
                <w:szCs w:val="22"/>
              </w:rPr>
              <m:t>'</m:t>
            </m:r>
          </m:sup>
        </m:sSup>
        <m:r>
          <w:rPr>
            <w:rFonts w:ascii="Cambria Math" w:hAnsi="Cambria Math" w:cs="Arial"/>
            <w:sz w:val="22"/>
            <w:szCs w:val="22"/>
          </w:rPr>
          <m:t>+</m:t>
        </m:r>
        <m:d>
          <m:dPr>
            <m:ctrlPr>
              <w:rPr>
                <w:rFonts w:ascii="Cambria Math" w:hAnsi="Cambria Math" w:cs="Arial"/>
                <w:i/>
                <w:sz w:val="22"/>
                <w:szCs w:val="22"/>
                <w:lang w:val="en-US"/>
              </w:rPr>
            </m:ctrlPr>
          </m:dPr>
          <m:e>
            <m:r>
              <w:rPr>
                <w:rFonts w:ascii="Cambria Math" w:hAnsi="Cambria Math" w:cs="Arial"/>
                <w:sz w:val="22"/>
                <w:szCs w:val="22"/>
              </w:rPr>
              <m:t>1+</m:t>
            </m:r>
            <m:r>
              <w:rPr>
                <w:rFonts w:ascii="Cambria Math" w:hAnsi="Cambria Math" w:cs="Arial"/>
                <w:sz w:val="22"/>
                <w:szCs w:val="22"/>
                <w:lang w:val="en-US"/>
              </w:rPr>
              <m:t>δ</m:t>
            </m:r>
          </m:e>
        </m:d>
        <m:r>
          <w:rPr>
            <w:rFonts w:ascii="Cambria Math" w:hAnsi="Cambria Math" w:cs="Arial"/>
            <w:sz w:val="22"/>
            <w:szCs w:val="22"/>
            <w:lang w:val="en-US"/>
          </w:rPr>
          <m:t>k</m:t>
        </m:r>
        <m:r>
          <w:rPr>
            <w:rFonts w:ascii="Cambria Math" w:hAnsi="Cambria Math" w:cs="Arial"/>
            <w:sz w:val="22"/>
            <w:szCs w:val="22"/>
          </w:rPr>
          <m:t>+</m:t>
        </m:r>
        <m:sSup>
          <m:sSupPr>
            <m:ctrlPr>
              <w:rPr>
                <w:rFonts w:ascii="Cambria Math" w:hAnsi="Cambria Math" w:cs="Arial"/>
                <w:i/>
                <w:sz w:val="22"/>
                <w:szCs w:val="22"/>
                <w:lang w:val="en-US"/>
              </w:rPr>
            </m:ctrlPr>
          </m:sSupPr>
          <m:e>
            <m:r>
              <w:rPr>
                <w:rFonts w:ascii="Cambria Math" w:hAnsi="Cambria Math" w:cs="Arial"/>
                <w:sz w:val="22"/>
                <w:szCs w:val="22"/>
                <w:lang w:val="en-US"/>
              </w:rPr>
              <m:t>q</m:t>
            </m:r>
          </m:e>
          <m:sup>
            <m:r>
              <w:rPr>
                <w:rFonts w:ascii="Cambria Math" w:hAnsi="Cambria Math" w:cs="Arial"/>
                <w:sz w:val="22"/>
                <w:szCs w:val="22"/>
                <w:lang w:val="en-US"/>
              </w:rPr>
              <m:t>f</m:t>
            </m:r>
          </m:sup>
        </m:sSup>
        <m:d>
          <m:dPr>
            <m:ctrlPr>
              <w:rPr>
                <w:rFonts w:ascii="Cambria Math" w:hAnsi="Cambria Math" w:cs="Arial"/>
                <w:i/>
                <w:sz w:val="22"/>
                <w:szCs w:val="22"/>
                <w:lang w:val="en-US"/>
              </w:rPr>
            </m:ctrlPr>
          </m:dPr>
          <m:e>
            <m:sSup>
              <m:sSupPr>
                <m:ctrlPr>
                  <w:rPr>
                    <w:rFonts w:ascii="Cambria Math" w:hAnsi="Cambria Math" w:cs="Arial"/>
                    <w:i/>
                    <w:sz w:val="22"/>
                    <w:szCs w:val="22"/>
                    <w:lang w:val="en-US"/>
                  </w:rPr>
                </m:ctrlPr>
              </m:sSupPr>
              <m:e>
                <m:r>
                  <w:rPr>
                    <w:rFonts w:ascii="Cambria Math" w:hAnsi="Cambria Math" w:cs="Arial"/>
                    <w:sz w:val="22"/>
                    <w:szCs w:val="22"/>
                    <w:lang w:val="en-US"/>
                  </w:rPr>
                  <m:t>k</m:t>
                </m:r>
              </m:e>
              <m:sup>
                <m:r>
                  <w:rPr>
                    <w:rFonts w:ascii="Cambria Math" w:hAnsi="Cambria Math" w:cs="Arial"/>
                    <w:sz w:val="22"/>
                    <w:szCs w:val="22"/>
                  </w:rPr>
                  <m:t>'</m:t>
                </m:r>
              </m:sup>
            </m:sSup>
            <m:r>
              <w:rPr>
                <w:rFonts w:ascii="Cambria Math" w:hAnsi="Cambria Math" w:cs="Arial"/>
                <w:sz w:val="22"/>
                <w:szCs w:val="22"/>
              </w:rPr>
              <m:t>,</m:t>
            </m:r>
            <m:sSup>
              <m:sSupPr>
                <m:ctrlPr>
                  <w:rPr>
                    <w:rFonts w:ascii="Cambria Math" w:hAnsi="Cambria Math" w:cs="Arial"/>
                    <w:i/>
                    <w:sz w:val="22"/>
                    <w:szCs w:val="22"/>
                    <w:lang w:val="en-US"/>
                  </w:rPr>
                </m:ctrlPr>
              </m:sSupPr>
              <m:e>
                <m:r>
                  <w:rPr>
                    <w:rFonts w:ascii="Cambria Math" w:hAnsi="Cambria Math" w:cs="Arial"/>
                    <w:sz w:val="22"/>
                    <w:szCs w:val="22"/>
                    <w:lang w:val="en-US"/>
                  </w:rPr>
                  <m:t>b</m:t>
                </m:r>
              </m:e>
              <m:sup>
                <m:r>
                  <w:rPr>
                    <w:rFonts w:ascii="Cambria Math" w:hAnsi="Cambria Math" w:cs="Arial"/>
                    <w:sz w:val="22"/>
                    <w:szCs w:val="22"/>
                  </w:rPr>
                  <m:t>'</m:t>
                </m:r>
              </m:sup>
            </m:sSup>
            <m:r>
              <w:rPr>
                <w:rFonts w:ascii="Cambria Math" w:hAnsi="Cambria Math" w:cs="Arial"/>
                <w:sz w:val="22"/>
                <w:szCs w:val="22"/>
              </w:rPr>
              <m:t>,</m:t>
            </m:r>
            <m:acc>
              <m:accPr>
                <m:ctrlPr>
                  <w:rPr>
                    <w:rFonts w:ascii="Cambria Math" w:hAnsi="Cambria Math" w:cs="Arial"/>
                    <w:i/>
                    <w:sz w:val="22"/>
                    <w:szCs w:val="22"/>
                    <w:lang w:val="en-US"/>
                  </w:rPr>
                </m:ctrlPr>
              </m:accPr>
              <m:e>
                <m:r>
                  <w:rPr>
                    <w:rFonts w:ascii="Cambria Math" w:hAnsi="Cambria Math" w:cs="Arial"/>
                    <w:sz w:val="22"/>
                    <w:szCs w:val="22"/>
                    <w:lang w:val="en-US"/>
                  </w:rPr>
                  <m:t>z</m:t>
                </m:r>
              </m:e>
            </m:acc>
          </m:e>
        </m:d>
        <m:sSup>
          <m:sSupPr>
            <m:ctrlPr>
              <w:rPr>
                <w:rFonts w:ascii="Cambria Math" w:hAnsi="Cambria Math" w:cs="Arial"/>
                <w:i/>
                <w:sz w:val="22"/>
                <w:szCs w:val="22"/>
                <w:lang w:val="en-US"/>
              </w:rPr>
            </m:ctrlPr>
          </m:sSupPr>
          <m:e>
            <m:r>
              <w:rPr>
                <w:rFonts w:ascii="Cambria Math" w:hAnsi="Cambria Math" w:cs="Arial"/>
                <w:sz w:val="22"/>
                <w:szCs w:val="22"/>
                <w:lang w:val="en-US"/>
              </w:rPr>
              <m:t>b</m:t>
            </m:r>
          </m:e>
          <m:sup>
            <m:r>
              <w:rPr>
                <w:rFonts w:ascii="Cambria Math" w:hAnsi="Cambria Math" w:cs="Arial"/>
                <w:sz w:val="22"/>
                <w:szCs w:val="22"/>
              </w:rPr>
              <m:t>'</m:t>
            </m:r>
          </m:sup>
        </m:sSup>
        <m:r>
          <w:rPr>
            <w:rFonts w:ascii="Cambria Math" w:hAnsi="Cambria Math" w:cs="Arial"/>
            <w:sz w:val="22"/>
            <w:szCs w:val="22"/>
          </w:rPr>
          <m:t>-</m:t>
        </m:r>
        <m:r>
          <w:rPr>
            <w:rFonts w:ascii="Cambria Math" w:hAnsi="Cambria Math" w:cs="Arial"/>
            <w:sz w:val="22"/>
            <w:szCs w:val="22"/>
            <w:lang w:val="en-US"/>
          </w:rPr>
          <m:t>b</m:t>
        </m:r>
        <m:r>
          <w:rPr>
            <w:rFonts w:ascii="Cambria Math" w:hAnsi="Cambria Math" w:cs="Arial"/>
            <w:sz w:val="22"/>
            <w:szCs w:val="22"/>
          </w:rPr>
          <m:t>≥0</m:t>
        </m:r>
      </m:oMath>
      <w:r w:rsidRPr="00503A8E">
        <w:rPr>
          <w:rFonts w:ascii="Arial" w:hAnsi="Arial" w:cs="Arial"/>
          <w:sz w:val="22"/>
          <w:szCs w:val="22"/>
        </w:rPr>
        <w:t xml:space="preserve">, con el proceso relevante que guía la productividad en el momento de cambio a </w:t>
      </w:r>
      <m:oMath>
        <m:r>
          <w:rPr>
            <w:rFonts w:ascii="Cambria Math" w:hAnsi="Cambria Math" w:cs="Arial"/>
            <w:sz w:val="22"/>
            <w:szCs w:val="22"/>
          </w:rPr>
          <m:t>ln</m:t>
        </m:r>
        <m:d>
          <m:dPr>
            <m:ctrlPr>
              <w:rPr>
                <w:rFonts w:ascii="Cambria Math" w:hAnsi="Cambria Math" w:cs="Arial"/>
                <w:i/>
                <w:sz w:val="22"/>
                <w:szCs w:val="22"/>
              </w:rPr>
            </m:ctrlPr>
          </m:dPr>
          <m:e>
            <m:sSub>
              <m:sSubPr>
                <m:ctrlPr>
                  <w:rPr>
                    <w:rFonts w:ascii="Cambria Math" w:hAnsi="Cambria Math" w:cs="Arial"/>
                    <w:i/>
                    <w:sz w:val="22"/>
                    <w:szCs w:val="22"/>
                  </w:rPr>
                </m:ctrlPr>
              </m:sSubPr>
              <m:e>
                <m:acc>
                  <m:accPr>
                    <m:ctrlPr>
                      <w:rPr>
                        <w:rFonts w:ascii="Cambria Math" w:hAnsi="Cambria Math" w:cs="Arial"/>
                        <w:i/>
                        <w:sz w:val="22"/>
                        <w:szCs w:val="22"/>
                      </w:rPr>
                    </m:ctrlPr>
                  </m:accPr>
                  <m:e>
                    <m:r>
                      <w:rPr>
                        <w:rFonts w:ascii="Cambria Math" w:hAnsi="Cambria Math" w:cs="Arial"/>
                        <w:sz w:val="22"/>
                        <w:szCs w:val="22"/>
                      </w:rPr>
                      <m:t>z</m:t>
                    </m:r>
                  </m:e>
                </m:acc>
              </m:e>
              <m:sub>
                <m:r>
                  <w:rPr>
                    <w:rFonts w:ascii="Cambria Math" w:hAnsi="Cambria Math" w:cs="Arial"/>
                    <w:sz w:val="22"/>
                    <w:szCs w:val="22"/>
                  </w:rPr>
                  <m:t>t+1</m:t>
                </m:r>
              </m:sub>
            </m:sSub>
            <m:r>
              <w:rPr>
                <w:rFonts w:ascii="Cambria Math" w:hAnsi="Cambria Math" w:cs="Arial"/>
                <w:sz w:val="22"/>
                <w:szCs w:val="22"/>
              </w:rPr>
              <m:t xml:space="preserve"> </m:t>
            </m:r>
          </m:e>
        </m:d>
        <m:r>
          <w:rPr>
            <w:rFonts w:ascii="Cambria Math" w:hAnsi="Cambria Math" w:cs="Arial"/>
            <w:sz w:val="22"/>
            <w:szCs w:val="22"/>
          </w:rPr>
          <m:t>=</m:t>
        </m:r>
        <m:d>
          <m:dPr>
            <m:ctrlPr>
              <w:rPr>
                <w:rFonts w:ascii="Cambria Math" w:hAnsi="Cambria Math" w:cs="Arial"/>
                <w:i/>
                <w:sz w:val="22"/>
                <w:szCs w:val="22"/>
              </w:rPr>
            </m:ctrlPr>
          </m:dPr>
          <m:e>
            <m:r>
              <w:rPr>
                <w:rFonts w:ascii="Cambria Math" w:hAnsi="Cambria Math" w:cs="Arial"/>
                <w:sz w:val="22"/>
                <w:szCs w:val="22"/>
              </w:rPr>
              <m:t>1-ρ</m:t>
            </m:r>
          </m:e>
        </m:d>
        <m:r>
          <w:rPr>
            <w:rFonts w:ascii="Cambria Math" w:hAnsi="Cambria Math" w:cs="Arial"/>
            <w:sz w:val="22"/>
            <w:szCs w:val="22"/>
          </w:rPr>
          <m:t>ln</m:t>
        </m:r>
        <m:d>
          <m:dPr>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μ</m:t>
                </m:r>
              </m:e>
              <m:sub>
                <m:r>
                  <w:rPr>
                    <w:rFonts w:ascii="Cambria Math" w:hAnsi="Cambria Math" w:cs="Arial"/>
                    <w:sz w:val="22"/>
                    <w:szCs w:val="22"/>
                  </w:rPr>
                  <m:t>h</m:t>
                </m:r>
              </m:sub>
            </m:sSub>
          </m:e>
        </m:d>
        <m:r>
          <w:rPr>
            <w:rFonts w:ascii="Cambria Math" w:hAnsi="Cambria Math" w:cs="Arial"/>
            <w:sz w:val="22"/>
            <w:szCs w:val="22"/>
          </w:rPr>
          <m:t>+ρln</m:t>
        </m:r>
        <m:d>
          <m:dPr>
            <m:ctrlPr>
              <w:rPr>
                <w:rFonts w:ascii="Cambria Math" w:hAnsi="Cambria Math" w:cs="Arial"/>
                <w:i/>
                <w:sz w:val="22"/>
                <w:szCs w:val="22"/>
              </w:rPr>
            </m:ctrlPr>
          </m:dPr>
          <m:e>
            <m:sSub>
              <m:sSubPr>
                <m:ctrlPr>
                  <w:rPr>
                    <w:rFonts w:ascii="Cambria Math" w:hAnsi="Cambria Math" w:cs="Arial"/>
                    <w:i/>
                    <w:sz w:val="22"/>
                    <w:szCs w:val="22"/>
                  </w:rPr>
                </m:ctrlPr>
              </m:sSubPr>
              <m:e>
                <m:acc>
                  <m:accPr>
                    <m:ctrlPr>
                      <w:rPr>
                        <w:rFonts w:ascii="Cambria Math" w:hAnsi="Cambria Math" w:cs="Arial"/>
                        <w:i/>
                        <w:sz w:val="22"/>
                        <w:szCs w:val="22"/>
                      </w:rPr>
                    </m:ctrlPr>
                  </m:accPr>
                  <m:e>
                    <m:r>
                      <w:rPr>
                        <w:rFonts w:ascii="Cambria Math" w:hAnsi="Cambria Math" w:cs="Arial"/>
                        <w:sz w:val="22"/>
                        <w:szCs w:val="22"/>
                      </w:rPr>
                      <m:t>z</m:t>
                    </m:r>
                  </m:e>
                </m:acc>
              </m:e>
              <m:sub>
                <m:r>
                  <w:rPr>
                    <w:rFonts w:ascii="Cambria Math" w:hAnsi="Cambria Math" w:cs="Arial"/>
                    <w:sz w:val="22"/>
                    <w:szCs w:val="22"/>
                  </w:rPr>
                  <m:t>t</m:t>
                </m:r>
              </m:sub>
            </m:sSub>
          </m:e>
        </m:d>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ϵ</m:t>
            </m:r>
          </m:e>
          <m:sub>
            <m:r>
              <w:rPr>
                <w:rFonts w:ascii="Cambria Math" w:hAnsi="Cambria Math" w:cs="Arial"/>
                <w:sz w:val="22"/>
                <w:szCs w:val="22"/>
              </w:rPr>
              <m:t>t+1</m:t>
            </m:r>
          </m:sub>
        </m:sSub>
      </m:oMath>
      <w:r w:rsidRPr="00503A8E">
        <w:rPr>
          <w:rFonts w:ascii="Arial" w:hAnsi="Arial" w:cs="Arial"/>
          <w:sz w:val="22"/>
          <w:szCs w:val="22"/>
        </w:rPr>
        <w:t xml:space="preserve"> donde al comienzo de la transición </w:t>
      </w:r>
      <m:oMath>
        <m:sSub>
          <m:sSubPr>
            <m:ctrlPr>
              <w:rPr>
                <w:rFonts w:ascii="Cambria Math" w:hAnsi="Cambria Math" w:cs="Arial"/>
                <w:i/>
                <w:sz w:val="22"/>
                <w:szCs w:val="22"/>
              </w:rPr>
            </m:ctrlPr>
          </m:sSubPr>
          <m:e>
            <m:acc>
              <m:accPr>
                <m:ctrlPr>
                  <w:rPr>
                    <w:rFonts w:ascii="Cambria Math" w:hAnsi="Cambria Math" w:cs="Arial"/>
                    <w:i/>
                    <w:sz w:val="22"/>
                    <w:szCs w:val="22"/>
                  </w:rPr>
                </m:ctrlPr>
              </m:accPr>
              <m:e>
                <m:r>
                  <w:rPr>
                    <w:rFonts w:ascii="Cambria Math" w:hAnsi="Cambria Math" w:cs="Arial"/>
                    <w:sz w:val="22"/>
                    <w:szCs w:val="22"/>
                  </w:rPr>
                  <m:t>z</m:t>
                </m:r>
              </m:e>
            </m:acc>
          </m:e>
          <m:sub>
            <m:r>
              <w:rPr>
                <w:rFonts w:ascii="Cambria Math" w:hAnsi="Cambria Math" w:cs="Arial"/>
                <w:sz w:val="22"/>
                <w:szCs w:val="22"/>
              </w:rPr>
              <m:t>t</m:t>
            </m:r>
          </m:sub>
        </m:sSub>
        <m:r>
          <w:rPr>
            <w:rFonts w:ascii="Cambria Math" w:hAnsi="Cambria Math" w:cs="Arial"/>
            <w:sz w:val="22"/>
            <w:szCs w:val="22"/>
          </w:rPr>
          <m:t>=</m:t>
        </m:r>
        <m:sSub>
          <m:sSubPr>
            <m:ctrlPr>
              <w:rPr>
                <w:rFonts w:ascii="Cambria Math" w:hAnsi="Cambria Math" w:cs="Arial"/>
                <w:i/>
                <w:sz w:val="22"/>
                <w:szCs w:val="22"/>
                <w:lang w:val="en-US"/>
              </w:rPr>
            </m:ctrlPr>
          </m:sSubPr>
          <m:e>
            <m:r>
              <w:rPr>
                <w:rFonts w:ascii="Cambria Math" w:hAnsi="Cambria Math" w:cs="Arial"/>
                <w:sz w:val="22"/>
                <w:szCs w:val="22"/>
                <w:lang w:val="en-US"/>
              </w:rPr>
              <m:t>μ</m:t>
            </m:r>
          </m:e>
          <m:sub>
            <m:r>
              <w:rPr>
                <w:rFonts w:ascii="Cambria Math" w:hAnsi="Cambria Math" w:cs="Arial"/>
                <w:sz w:val="22"/>
                <w:szCs w:val="22"/>
                <w:lang w:val="en-US"/>
              </w:rPr>
              <m:t>l</m:t>
            </m:r>
          </m:sub>
        </m:sSub>
      </m:oMath>
      <w:r w:rsidRPr="00503A8E">
        <w:rPr>
          <w:rFonts w:ascii="Arial" w:hAnsi="Arial" w:cs="Arial"/>
          <w:sz w:val="22"/>
          <w:szCs w:val="22"/>
        </w:rPr>
        <w:t>.</w:t>
      </w:r>
    </w:p>
    <w:p w14:paraId="56521217" w14:textId="77777777" w:rsidR="004213FF" w:rsidRPr="00503A8E" w:rsidRDefault="004213FF" w:rsidP="004213FF">
      <w:pPr>
        <w:pStyle w:val="21Paragraph"/>
        <w:ind w:left="720" w:hanging="720"/>
        <w:rPr>
          <w:rFonts w:ascii="Arial" w:hAnsi="Arial" w:cs="Arial"/>
          <w:sz w:val="22"/>
          <w:szCs w:val="22"/>
        </w:rPr>
      </w:pPr>
      <w:r w:rsidRPr="00503A8E">
        <w:rPr>
          <w:rFonts w:ascii="Arial" w:hAnsi="Arial" w:cs="Arial"/>
          <w:i/>
          <w:sz w:val="22"/>
          <w:szCs w:val="22"/>
        </w:rPr>
        <w:t xml:space="preserve">Contrato financiero. </w:t>
      </w:r>
      <w:r w:rsidRPr="00503A8E">
        <w:rPr>
          <w:rFonts w:ascii="Arial" w:hAnsi="Arial" w:cs="Arial"/>
          <w:sz w:val="22"/>
          <w:szCs w:val="22"/>
        </w:rPr>
        <w:t>Los mercados de crédito son imperfectos. Los intermediarios financieros son competitivos, neutrales al riesgo, y tienen acceso a los mercados internacionales a la tasa libre de riesgo. En caso de que una firma deudora entre en situación de default se procede a la liquidación de la misma, que como se indicó tiene un costo proporcional al capital involucrado en la quiebra. A su vez, los intermediarios financieros incurren en un costo de intermediación proporcional al monto prestando, y solo puede ejecutar deudas si han sido contraídas por empresas formales.</w:t>
      </w:r>
    </w:p>
    <w:p w14:paraId="258CDB24" w14:textId="3F0B8232" w:rsidR="004213FF" w:rsidRPr="00503A8E" w:rsidRDefault="004213FF" w:rsidP="004213FF">
      <w:pPr>
        <w:pStyle w:val="21Paragraph"/>
        <w:ind w:left="720" w:hanging="720"/>
        <w:rPr>
          <w:rFonts w:ascii="Arial" w:hAnsi="Arial" w:cs="Arial"/>
          <w:sz w:val="22"/>
          <w:szCs w:val="22"/>
        </w:rPr>
      </w:pPr>
      <w:r w:rsidRPr="00503A8E">
        <w:rPr>
          <w:rFonts w:ascii="Arial" w:hAnsi="Arial" w:cs="Arial"/>
          <w:sz w:val="22"/>
          <w:szCs w:val="22"/>
        </w:rPr>
        <w:lastRenderedPageBreak/>
        <w:t>A partir de esta caracterización de mercado (m</w:t>
      </w:r>
      <w:r w:rsidR="00B517B1" w:rsidRPr="00503A8E">
        <w:rPr>
          <w:rFonts w:ascii="Arial" w:hAnsi="Arial" w:cs="Arial"/>
          <w:sz w:val="22"/>
          <w:szCs w:val="22"/>
        </w:rPr>
        <w:t>á</w:t>
      </w:r>
      <w:r w:rsidRPr="00503A8E">
        <w:rPr>
          <w:rFonts w:ascii="Arial" w:hAnsi="Arial" w:cs="Arial"/>
          <w:sz w:val="22"/>
          <w:szCs w:val="22"/>
        </w:rPr>
        <w:t>s una serie de reglas específicas respecto de la secuencia en la que se distribuye información entre los agentes</w:t>
      </w:r>
      <w:r w:rsidR="00B517B1" w:rsidRPr="00503A8E">
        <w:rPr>
          <w:rFonts w:ascii="Arial" w:hAnsi="Arial" w:cs="Arial"/>
          <w:sz w:val="22"/>
          <w:szCs w:val="22"/>
        </w:rPr>
        <w:t>)</w:t>
      </w:r>
      <w:r w:rsidRPr="00503A8E">
        <w:rPr>
          <w:rFonts w:ascii="Arial" w:hAnsi="Arial" w:cs="Arial"/>
          <w:sz w:val="22"/>
          <w:szCs w:val="22"/>
        </w:rPr>
        <w:t>, y los procesos de entrada y salida del mercado, se define un equilibrio estacionario competitivo en el que empresas y bancos maximizan beneficios, la distribución de empresas es estacionaria, y los mercados de factores se encuentran en equilibrio.</w:t>
      </w:r>
      <w:r w:rsidRPr="00503A8E">
        <w:rPr>
          <w:rStyle w:val="FootnoteReference"/>
          <w:rFonts w:ascii="Arial" w:hAnsi="Arial" w:cs="Arial"/>
          <w:sz w:val="22"/>
          <w:szCs w:val="22"/>
        </w:rPr>
        <w:footnoteReference w:id="14"/>
      </w:r>
    </w:p>
    <w:p w14:paraId="27BFC54D" w14:textId="75CE67A6" w:rsidR="004213FF" w:rsidRPr="00503A8E" w:rsidRDefault="004213FF" w:rsidP="004213FF">
      <w:pPr>
        <w:pStyle w:val="21Paragraph"/>
        <w:ind w:left="720" w:hanging="720"/>
        <w:rPr>
          <w:rFonts w:ascii="Arial" w:hAnsi="Arial" w:cs="Arial"/>
          <w:sz w:val="22"/>
          <w:szCs w:val="22"/>
        </w:rPr>
      </w:pPr>
      <w:r w:rsidRPr="00503A8E">
        <w:rPr>
          <w:rFonts w:ascii="Arial" w:hAnsi="Arial" w:cs="Arial"/>
          <w:b/>
          <w:sz w:val="22"/>
          <w:szCs w:val="22"/>
        </w:rPr>
        <w:t>Extensiones y definiciones alternativas</w:t>
      </w:r>
      <w:r w:rsidRPr="00503A8E">
        <w:rPr>
          <w:rFonts w:ascii="Arial" w:hAnsi="Arial" w:cs="Arial"/>
          <w:sz w:val="22"/>
          <w:szCs w:val="22"/>
        </w:rPr>
        <w:t>. En caso de que una vez calibrado el modelo, lo</w:t>
      </w:r>
      <w:r w:rsidR="007832E7" w:rsidRPr="00503A8E">
        <w:rPr>
          <w:rFonts w:ascii="Arial" w:hAnsi="Arial" w:cs="Arial"/>
          <w:sz w:val="22"/>
          <w:szCs w:val="22"/>
        </w:rPr>
        <w:t>s</w:t>
      </w:r>
      <w:r w:rsidRPr="00503A8E">
        <w:rPr>
          <w:rFonts w:ascii="Arial" w:hAnsi="Arial" w:cs="Arial"/>
          <w:sz w:val="22"/>
          <w:szCs w:val="22"/>
        </w:rPr>
        <w:t xml:space="preserve"> momentos de la distribución de empresas no sean adecuadamente satisfactorios (aún bajo la especificación alternativa calibrada que permite el paso de informal a formal), el autor del modelo aquí considerado ha sugerido tres potenciales vías de modificación que mejoraría dicho ajuste: i. en la especificación alternativa se supone que la empresa recibe una señal de su productividad inicial antes de entrar –en lugar de una realización inicial de distribución de productividad. Si la correlación y la productividad inicial es menor que la usada para el proceso de productividad, las empresas que originalmente invirtieron un capital significativo pueden encontrarse con baja productividad y contratando menos trabajadores en el período inicial; ii. Suponer que la demanda que enfrenta una empresa nueva depende del tiempo que lleva en el mercado, y; iii. Incorporar una probabilidad de detección cuando las empresas están operando fuera del sector formal. Así, si una empresa es detectada y forzada a formalizarse, un conjunto de las empresas pequeñas sería llevado al segmento de tamaño de 1-4 trabajadores. Como se indica, estas son modificaci</w:t>
      </w:r>
      <w:r w:rsidR="00B517B1" w:rsidRPr="00503A8E">
        <w:rPr>
          <w:rFonts w:ascii="Arial" w:hAnsi="Arial" w:cs="Arial"/>
          <w:sz w:val="22"/>
          <w:szCs w:val="22"/>
        </w:rPr>
        <w:t>ones</w:t>
      </w:r>
      <w:r w:rsidRPr="00503A8E">
        <w:rPr>
          <w:rFonts w:ascii="Arial" w:hAnsi="Arial" w:cs="Arial"/>
          <w:sz w:val="22"/>
          <w:szCs w:val="22"/>
        </w:rPr>
        <w:t xml:space="preserve"> que el autor del modelo considera como formas plausibles de mejorar el ajuste en la distribución de tamaño en caso de que el ajuste no sea completamente satisfactorio. </w:t>
      </w:r>
    </w:p>
    <w:p w14:paraId="0300F0EB" w14:textId="77777777" w:rsidR="004213FF" w:rsidRPr="00503A8E" w:rsidRDefault="004213FF" w:rsidP="004213FF">
      <w:pPr>
        <w:pStyle w:val="21Paragraph"/>
        <w:numPr>
          <w:ilvl w:val="0"/>
          <w:numId w:val="0"/>
        </w:numPr>
        <w:rPr>
          <w:rFonts w:ascii="Arial" w:hAnsi="Arial" w:cs="Arial"/>
          <w:b/>
          <w:sz w:val="22"/>
          <w:szCs w:val="22"/>
        </w:rPr>
      </w:pPr>
      <w:r w:rsidRPr="00503A8E">
        <w:rPr>
          <w:rFonts w:ascii="Arial" w:hAnsi="Arial" w:cs="Arial"/>
          <w:b/>
          <w:sz w:val="22"/>
          <w:szCs w:val="22"/>
        </w:rPr>
        <w:t xml:space="preserve">Método de Calibración y Fuentes de información. </w:t>
      </w:r>
    </w:p>
    <w:p w14:paraId="562727F5" w14:textId="0A6B4E5C" w:rsidR="004213FF" w:rsidRPr="00503A8E" w:rsidRDefault="004213FF" w:rsidP="004213FF">
      <w:pPr>
        <w:pStyle w:val="21Paragraph"/>
        <w:ind w:left="720" w:hanging="720"/>
        <w:rPr>
          <w:rFonts w:ascii="Arial" w:hAnsi="Arial" w:cs="Arial"/>
          <w:sz w:val="22"/>
          <w:szCs w:val="22"/>
        </w:rPr>
      </w:pPr>
      <w:r w:rsidRPr="00503A8E">
        <w:rPr>
          <w:rFonts w:ascii="Arial" w:hAnsi="Arial" w:cs="Arial"/>
          <w:sz w:val="22"/>
          <w:szCs w:val="22"/>
        </w:rPr>
        <w:t xml:space="preserve">Con el marco teórico descrito (que se encuentra adecuadamente detallado en D’Erasmo, 2013), se procederá a la calibración del modelo para ajustarlo a los momentos correspondientes a la economía de República Dominicana. En forma análoga a la calibración Realizada por D’Erasmo, se procederá en dos etapas. En la primera se fijaran los siguiente parámetros: i) factor de descuento, consistente con la tasa de interés real para República Dominicana en los últimos 10 años con información disponible en el BCRD; ii) luego se determinará una medida de gastos generales a activos de los tres principales bancos de República Dominicana según activos con información pública de los respectivos balances; iii) la participación del capital dada por la función de producción se tomará en el valor de 0.33 en línea con el supuesto estándar en la literatura; iv) el parámetro de retornos decrecientes se fijará en 0.85 también en línea con valores reportados en la literatura; v) la tasa de depreciación del capital también será alineada con los valores típicos de la literatura en 7%; vi) la autocorrelación para el proceso de productividad de la firma formal será tomado de la literatura. Con estos valores, en la segunda etapa de calibración se seleccionaran los valores medios del procesos de productividad para las firmas formales e informales, la volatilidad del proceso de autorregresivo en las empresas formales, los costos operativos y las probabilidades asociadas a los dos niveles de costos operativos de manera tal que se aproximen los siguientes momentos de la economía de República Dominicana: i) la participación de trabajadores formales (tomados de la Encuesta </w:t>
      </w:r>
      <w:r w:rsidRPr="00503A8E">
        <w:rPr>
          <w:rFonts w:ascii="Arial" w:hAnsi="Arial" w:cs="Arial"/>
          <w:sz w:val="22"/>
          <w:szCs w:val="22"/>
        </w:rPr>
        <w:lastRenderedPageBreak/>
        <w:t xml:space="preserve">Nacional de Fuerza de Trabajo, ENFT); ii) el tamaño promedio de las empresas formales (ECH, cuestionario de actividad económica); iii) crédito al sector privado no financiero en relación al PBI (BCRD); iv) edad promedio empresas informales (literatura existente en economías comparables y ENFT).  </w:t>
      </w:r>
    </w:p>
    <w:p w14:paraId="00645020" w14:textId="06BF3882" w:rsidR="004213FF" w:rsidRPr="00503A8E" w:rsidRDefault="004213FF" w:rsidP="004213FF">
      <w:pPr>
        <w:pStyle w:val="21Paragraph"/>
        <w:ind w:left="720" w:hanging="720"/>
        <w:rPr>
          <w:rFonts w:ascii="Arial" w:hAnsi="Arial" w:cs="Arial"/>
          <w:sz w:val="22"/>
          <w:szCs w:val="22"/>
        </w:rPr>
      </w:pPr>
      <w:r w:rsidRPr="00503A8E">
        <w:rPr>
          <w:rFonts w:ascii="Arial" w:hAnsi="Arial" w:cs="Arial"/>
          <w:b/>
          <w:sz w:val="22"/>
          <w:szCs w:val="22"/>
        </w:rPr>
        <w:t>Parámetros centrales para la evaluación.</w:t>
      </w:r>
      <w:r w:rsidRPr="00503A8E">
        <w:rPr>
          <w:rFonts w:ascii="Arial" w:hAnsi="Arial" w:cs="Arial"/>
          <w:sz w:val="22"/>
          <w:szCs w:val="22"/>
        </w:rPr>
        <w:t xml:space="preserve"> A efectos de la evaluación de políticas que se pretende realizar, los parámetros centrales del modelo son los que afectan </w:t>
      </w:r>
      <w:r w:rsidR="00B517B1" w:rsidRPr="00503A8E">
        <w:rPr>
          <w:rFonts w:ascii="Arial" w:hAnsi="Arial" w:cs="Arial"/>
          <w:sz w:val="22"/>
          <w:szCs w:val="22"/>
        </w:rPr>
        <w:t>la decisión</w:t>
      </w:r>
      <w:r w:rsidRPr="00503A8E">
        <w:rPr>
          <w:rFonts w:ascii="Arial" w:hAnsi="Arial" w:cs="Arial"/>
          <w:sz w:val="22"/>
          <w:szCs w:val="22"/>
        </w:rPr>
        <w:t xml:space="preserve"> de las empresas </w:t>
      </w:r>
      <w:r w:rsidR="00B517B1" w:rsidRPr="00503A8E">
        <w:rPr>
          <w:rFonts w:ascii="Arial" w:hAnsi="Arial" w:cs="Arial"/>
          <w:sz w:val="22"/>
          <w:szCs w:val="22"/>
        </w:rPr>
        <w:t xml:space="preserve">de </w:t>
      </w:r>
      <w:r w:rsidRPr="00503A8E">
        <w:rPr>
          <w:rFonts w:ascii="Arial" w:hAnsi="Arial" w:cs="Arial"/>
          <w:sz w:val="22"/>
          <w:szCs w:val="22"/>
        </w:rPr>
        <w:t xml:space="preserve">operar en el sector formal o informal. Las empresas escogen operar en el sector formal (informal) si los beneficios en términos de mejor acceso al financiamiento compensan </w:t>
      </w:r>
      <w:r w:rsidR="00B517B1" w:rsidRPr="00503A8E">
        <w:rPr>
          <w:rFonts w:ascii="Arial" w:hAnsi="Arial" w:cs="Arial"/>
          <w:sz w:val="22"/>
          <w:szCs w:val="22"/>
        </w:rPr>
        <w:t xml:space="preserve">(no compensan) </w:t>
      </w:r>
      <w:r w:rsidRPr="00503A8E">
        <w:rPr>
          <w:rFonts w:ascii="Arial" w:hAnsi="Arial" w:cs="Arial"/>
          <w:sz w:val="22"/>
          <w:szCs w:val="22"/>
        </w:rPr>
        <w:t>los costos de operar en el mercado formal. Los parámetros clave por tanto para identificar esta decisión son el costo del crédito por un lado y, por otro, el costo de operar en el sector formal (entendido no sólo como los impuestos a pagar sino también como el costo abrir y registrar una empresa</w:t>
      </w:r>
      <w:r w:rsidR="00B517B1" w:rsidRPr="00503A8E">
        <w:rPr>
          <w:rFonts w:ascii="Arial" w:hAnsi="Arial" w:cs="Arial"/>
          <w:sz w:val="22"/>
          <w:szCs w:val="22"/>
        </w:rPr>
        <w:t xml:space="preserve"> y cumplir con las distintas regulaciones</w:t>
      </w:r>
      <w:r w:rsidRPr="00503A8E">
        <w:rPr>
          <w:rFonts w:ascii="Arial" w:hAnsi="Arial" w:cs="Arial"/>
          <w:sz w:val="22"/>
          <w:szCs w:val="22"/>
        </w:rPr>
        <w:t xml:space="preserve">). </w:t>
      </w:r>
    </w:p>
    <w:p w14:paraId="2362959F" w14:textId="65B3C8D3" w:rsidR="004213FF" w:rsidRPr="00503A8E" w:rsidRDefault="004213FF" w:rsidP="004213FF">
      <w:pPr>
        <w:pStyle w:val="21Paragraph"/>
        <w:numPr>
          <w:ilvl w:val="0"/>
          <w:numId w:val="8"/>
        </w:numPr>
        <w:rPr>
          <w:rFonts w:ascii="Arial" w:hAnsi="Arial" w:cs="Arial"/>
          <w:sz w:val="22"/>
          <w:szCs w:val="22"/>
        </w:rPr>
      </w:pPr>
      <w:r w:rsidRPr="00503A8E">
        <w:rPr>
          <w:rFonts w:ascii="Arial" w:hAnsi="Arial" w:cs="Arial"/>
          <w:sz w:val="22"/>
          <w:szCs w:val="22"/>
        </w:rPr>
        <w:t xml:space="preserve">El costo del crédito y, por tanto, el margen de intermediación (suponiendo que el tipo al que se endeudan los bancos no varía), se deriva en el modelo de Erasmo y Moscoso Boedo de la cantidad del crédito que se espera recuperar en caso de incumplimiento. Este parámetro se mide en el modelo a través de las mediciones de derechos legales y de costos de cerrar un negocio que realiza el </w:t>
      </w:r>
      <w:r w:rsidRPr="00503A8E">
        <w:rPr>
          <w:rFonts w:ascii="Arial" w:hAnsi="Arial" w:cs="Arial"/>
          <w:i/>
          <w:sz w:val="22"/>
          <w:szCs w:val="22"/>
        </w:rPr>
        <w:t>Doing Business</w:t>
      </w:r>
      <w:r w:rsidRPr="00503A8E">
        <w:rPr>
          <w:rFonts w:ascii="Arial" w:hAnsi="Arial" w:cs="Arial"/>
          <w:sz w:val="22"/>
          <w:szCs w:val="22"/>
        </w:rPr>
        <w:t>. Ambas medidas están afectadas directamente por el programa en su componente de mejora de la regulación financiera para la productividad, en especial, la aprobación de una nueva ley de garantías mejorará el indicador de protección de los derechos de los acreedores. También las mejoras en el código mercantil (componente de quiebras), mejorar</w:t>
      </w:r>
      <w:r w:rsidR="00BC5A4F" w:rsidRPr="00503A8E">
        <w:rPr>
          <w:rFonts w:ascii="Arial" w:hAnsi="Arial" w:cs="Arial"/>
          <w:sz w:val="22"/>
          <w:szCs w:val="22"/>
        </w:rPr>
        <w:t>á</w:t>
      </w:r>
      <w:r w:rsidRPr="00503A8E">
        <w:rPr>
          <w:rFonts w:ascii="Arial" w:hAnsi="Arial" w:cs="Arial"/>
          <w:sz w:val="22"/>
          <w:szCs w:val="22"/>
        </w:rPr>
        <w:t xml:space="preserve"> la ejecución de garantías tal y como se mide en el indicador de cerrar un negocio del </w:t>
      </w:r>
      <w:r w:rsidRPr="00503A8E">
        <w:rPr>
          <w:rFonts w:ascii="Arial" w:hAnsi="Arial" w:cs="Arial"/>
          <w:i/>
          <w:sz w:val="22"/>
          <w:szCs w:val="22"/>
        </w:rPr>
        <w:t xml:space="preserve">Doing Business </w:t>
      </w:r>
      <w:r w:rsidRPr="00503A8E">
        <w:rPr>
          <w:rFonts w:ascii="Arial" w:hAnsi="Arial" w:cs="Arial"/>
          <w:sz w:val="22"/>
          <w:szCs w:val="22"/>
        </w:rPr>
        <w:t xml:space="preserve">(en términos de costos y el valor recuperado que se espera en caso de insolvencia o impago de créditos). </w:t>
      </w:r>
    </w:p>
    <w:p w14:paraId="1812BEDF" w14:textId="70E791CA" w:rsidR="004213FF" w:rsidRPr="00503A8E" w:rsidRDefault="004213FF" w:rsidP="004213FF">
      <w:pPr>
        <w:pStyle w:val="21Paragraph"/>
        <w:numPr>
          <w:ilvl w:val="0"/>
          <w:numId w:val="8"/>
        </w:numPr>
        <w:rPr>
          <w:rFonts w:ascii="Arial" w:hAnsi="Arial" w:cs="Arial"/>
          <w:sz w:val="22"/>
          <w:szCs w:val="22"/>
        </w:rPr>
      </w:pPr>
      <w:r w:rsidRPr="00503A8E">
        <w:rPr>
          <w:rFonts w:ascii="Arial" w:hAnsi="Arial" w:cs="Arial"/>
          <w:sz w:val="22"/>
          <w:szCs w:val="22"/>
        </w:rPr>
        <w:t>Los costos de operar en el sector formal se derivan de los costes de entrada construidos a partir del indicador de Apertura de Negocios del Doing Business (tiempo y coste en porcentaje de la renta por habitante), medida que se tran</w:t>
      </w:r>
      <w:r w:rsidR="00BC5A4F" w:rsidRPr="00503A8E">
        <w:rPr>
          <w:rFonts w:ascii="Arial" w:hAnsi="Arial" w:cs="Arial"/>
          <w:sz w:val="22"/>
          <w:szCs w:val="22"/>
        </w:rPr>
        <w:t>s</w:t>
      </w:r>
      <w:r w:rsidRPr="00503A8E">
        <w:rPr>
          <w:rFonts w:ascii="Arial" w:hAnsi="Arial" w:cs="Arial"/>
          <w:sz w:val="22"/>
          <w:szCs w:val="22"/>
        </w:rPr>
        <w:t>forma a salarios suponiendo que un trab</w:t>
      </w:r>
      <w:r w:rsidR="00BC5A4F" w:rsidRPr="00503A8E">
        <w:rPr>
          <w:rFonts w:ascii="Arial" w:hAnsi="Arial" w:cs="Arial"/>
          <w:sz w:val="22"/>
          <w:szCs w:val="22"/>
        </w:rPr>
        <w:t>a</w:t>
      </w:r>
      <w:r w:rsidRPr="00503A8E">
        <w:rPr>
          <w:rFonts w:ascii="Arial" w:hAnsi="Arial" w:cs="Arial"/>
          <w:sz w:val="22"/>
          <w:szCs w:val="22"/>
        </w:rPr>
        <w:t>jador tiene que estar plenamente empleado durante esos días. La dimensión temporal se suma a la de costes suponiendo que la renta por habitante y los salarios están perfectamente correlacionados. En la calibración otras variables relativas a operar en el sector formal también comprendidas en el modelo de Erasmo y Moscoso Boedo serán: el coste de pagar impuestos en términos de tiempos y tipos impositivos (obtenidos del Doing Business)</w:t>
      </w:r>
      <w:r w:rsidRPr="00503A8E">
        <w:rPr>
          <w:rStyle w:val="FootnoteReference"/>
          <w:rFonts w:ascii="Arial" w:hAnsi="Arial" w:cs="Arial"/>
          <w:sz w:val="22"/>
          <w:szCs w:val="22"/>
        </w:rPr>
        <w:t xml:space="preserve"> </w:t>
      </w:r>
      <w:r w:rsidRPr="00503A8E">
        <w:rPr>
          <w:rStyle w:val="FootnoteReference"/>
          <w:rFonts w:ascii="Arial" w:hAnsi="Arial" w:cs="Arial"/>
          <w:sz w:val="22"/>
          <w:szCs w:val="22"/>
        </w:rPr>
        <w:footnoteReference w:id="15"/>
      </w:r>
      <w:r w:rsidRPr="00503A8E">
        <w:rPr>
          <w:rFonts w:ascii="Arial" w:hAnsi="Arial" w:cs="Arial"/>
          <w:sz w:val="22"/>
          <w:szCs w:val="22"/>
        </w:rPr>
        <w:t xml:space="preserve">. </w:t>
      </w:r>
    </w:p>
    <w:p w14:paraId="2231252A" w14:textId="62DB2879" w:rsidR="004213FF" w:rsidRPr="00503A8E" w:rsidRDefault="004213FF" w:rsidP="004213FF">
      <w:pPr>
        <w:pStyle w:val="21Paragraph"/>
        <w:numPr>
          <w:ilvl w:val="0"/>
          <w:numId w:val="8"/>
        </w:numPr>
        <w:rPr>
          <w:rFonts w:ascii="Arial" w:hAnsi="Arial" w:cs="Arial"/>
          <w:sz w:val="22"/>
          <w:szCs w:val="22"/>
        </w:rPr>
      </w:pPr>
      <w:r w:rsidRPr="00503A8E">
        <w:rPr>
          <w:rFonts w:ascii="Arial" w:hAnsi="Arial" w:cs="Arial"/>
          <w:sz w:val="22"/>
          <w:szCs w:val="22"/>
        </w:rPr>
        <w:t>Adicionalmente a la estructura de costos a la entrada presentada al modelo de Erasmo, siguiendo los modelos de Bernabé Lopez (2013) o Antunes y Cavalcanti (2007), este trabajo incorporará también otros costes de entrada al sector formal y que el programa tiene por objeto simplificar. En especial, se tendrá en cuenta el efecto no solo del tiempo y coste en porcentaje de la renta, sino también el requisito de capital mínimo actualmente contemplada en la legislación (</w:t>
      </w:r>
      <w:r w:rsidR="00C13D57">
        <w:rPr>
          <w:rFonts w:ascii="Arial" w:hAnsi="Arial" w:cs="Arial"/>
          <w:sz w:val="22"/>
          <w:szCs w:val="22"/>
        </w:rPr>
        <w:t xml:space="preserve">RD$ </w:t>
      </w:r>
      <w:r w:rsidRPr="00503A8E">
        <w:rPr>
          <w:rFonts w:ascii="Arial" w:hAnsi="Arial" w:cs="Arial"/>
          <w:sz w:val="22"/>
          <w:szCs w:val="22"/>
        </w:rPr>
        <w:t>100</w:t>
      </w:r>
      <w:r w:rsidR="00C13D57">
        <w:rPr>
          <w:rFonts w:ascii="Arial" w:hAnsi="Arial" w:cs="Arial"/>
          <w:sz w:val="22"/>
          <w:szCs w:val="22"/>
        </w:rPr>
        <w:t>.00</w:t>
      </w:r>
      <w:r w:rsidR="00BC5A4F" w:rsidRPr="00503A8E">
        <w:rPr>
          <w:rFonts w:ascii="Arial" w:hAnsi="Arial" w:cs="Arial"/>
          <w:sz w:val="22"/>
          <w:szCs w:val="22"/>
        </w:rPr>
        <w:t>0</w:t>
      </w:r>
      <w:r w:rsidRPr="00503A8E">
        <w:rPr>
          <w:rFonts w:ascii="Arial" w:hAnsi="Arial" w:cs="Arial"/>
          <w:sz w:val="22"/>
          <w:szCs w:val="22"/>
        </w:rPr>
        <w:t xml:space="preserve"> </w:t>
      </w:r>
      <w:r w:rsidR="00D44F15" w:rsidRPr="00503A8E">
        <w:rPr>
          <w:rFonts w:ascii="Arial" w:hAnsi="Arial" w:cs="Arial"/>
          <w:sz w:val="22"/>
          <w:szCs w:val="22"/>
        </w:rPr>
        <w:t>pesos</w:t>
      </w:r>
      <w:r w:rsidR="00C13D57">
        <w:rPr>
          <w:rFonts w:ascii="Arial" w:hAnsi="Arial" w:cs="Arial"/>
          <w:sz w:val="22"/>
          <w:szCs w:val="22"/>
        </w:rPr>
        <w:t xml:space="preserve"> dominicanos, es decir, más de US$ 2.000</w:t>
      </w:r>
      <w:r w:rsidRPr="00503A8E">
        <w:rPr>
          <w:rFonts w:ascii="Arial" w:hAnsi="Arial" w:cs="Arial"/>
          <w:sz w:val="22"/>
          <w:szCs w:val="22"/>
        </w:rPr>
        <w:t xml:space="preserve">). </w:t>
      </w:r>
      <w:r w:rsidR="00C0047E">
        <w:rPr>
          <w:rFonts w:ascii="Arial" w:hAnsi="Arial" w:cs="Arial"/>
          <w:sz w:val="22"/>
          <w:szCs w:val="22"/>
        </w:rPr>
        <w:t>La eliminación de</w:t>
      </w:r>
      <w:r w:rsidR="00C13D57" w:rsidRPr="00503A8E">
        <w:rPr>
          <w:rFonts w:ascii="Arial" w:hAnsi="Arial" w:cs="Arial"/>
          <w:sz w:val="22"/>
          <w:szCs w:val="22"/>
        </w:rPr>
        <w:t xml:space="preserve"> </w:t>
      </w:r>
      <w:r w:rsidR="00C13D57">
        <w:rPr>
          <w:rFonts w:ascii="Arial" w:hAnsi="Arial" w:cs="Arial"/>
          <w:sz w:val="22"/>
          <w:szCs w:val="22"/>
        </w:rPr>
        <w:t xml:space="preserve">dicho </w:t>
      </w:r>
      <w:r w:rsidRPr="00503A8E">
        <w:rPr>
          <w:rFonts w:ascii="Arial" w:hAnsi="Arial" w:cs="Arial"/>
          <w:sz w:val="22"/>
          <w:szCs w:val="22"/>
        </w:rPr>
        <w:t xml:space="preserve">requisito </w:t>
      </w:r>
      <w:r w:rsidR="00C13D57">
        <w:rPr>
          <w:rFonts w:ascii="Arial" w:hAnsi="Arial" w:cs="Arial"/>
          <w:sz w:val="22"/>
          <w:szCs w:val="22"/>
        </w:rPr>
        <w:t xml:space="preserve">de capital </w:t>
      </w:r>
      <w:proofErr w:type="gramStart"/>
      <w:r w:rsidR="00C13D57">
        <w:rPr>
          <w:rFonts w:ascii="Arial" w:hAnsi="Arial" w:cs="Arial"/>
          <w:sz w:val="22"/>
          <w:szCs w:val="22"/>
        </w:rPr>
        <w:t xml:space="preserve">mínimo </w:t>
      </w:r>
      <w:r w:rsidRPr="00503A8E">
        <w:rPr>
          <w:rFonts w:ascii="Arial" w:hAnsi="Arial" w:cs="Arial"/>
          <w:sz w:val="22"/>
          <w:szCs w:val="22"/>
        </w:rPr>
        <w:t>previst</w:t>
      </w:r>
      <w:r w:rsidR="00C0047E">
        <w:rPr>
          <w:rFonts w:ascii="Arial" w:hAnsi="Arial" w:cs="Arial"/>
          <w:sz w:val="22"/>
          <w:szCs w:val="22"/>
        </w:rPr>
        <w:t>a</w:t>
      </w:r>
      <w:proofErr w:type="gramEnd"/>
      <w:r w:rsidRPr="00503A8E">
        <w:rPr>
          <w:rFonts w:ascii="Arial" w:hAnsi="Arial" w:cs="Arial"/>
          <w:sz w:val="22"/>
          <w:szCs w:val="22"/>
        </w:rPr>
        <w:t xml:space="preserve"> </w:t>
      </w:r>
      <w:r w:rsidR="00C0047E">
        <w:rPr>
          <w:rFonts w:ascii="Arial" w:hAnsi="Arial" w:cs="Arial"/>
          <w:sz w:val="22"/>
          <w:szCs w:val="22"/>
        </w:rPr>
        <w:t>como parte de los acuerdos de</w:t>
      </w:r>
      <w:r w:rsidRPr="00503A8E">
        <w:rPr>
          <w:rFonts w:ascii="Arial" w:hAnsi="Arial" w:cs="Arial"/>
          <w:sz w:val="22"/>
          <w:szCs w:val="22"/>
        </w:rPr>
        <w:t xml:space="preserve"> la </w:t>
      </w:r>
      <w:r w:rsidRPr="00503A8E">
        <w:rPr>
          <w:rFonts w:ascii="Arial" w:hAnsi="Arial" w:cs="Arial"/>
          <w:sz w:val="22"/>
          <w:szCs w:val="22"/>
        </w:rPr>
        <w:lastRenderedPageBreak/>
        <w:t>segunda operación el programa permite un mayor ajuste del modelo</w:t>
      </w:r>
      <w:r w:rsidR="00C0047E">
        <w:rPr>
          <w:rFonts w:ascii="Arial" w:hAnsi="Arial" w:cs="Arial"/>
          <w:sz w:val="22"/>
          <w:szCs w:val="22"/>
        </w:rPr>
        <w:t>,</w:t>
      </w:r>
      <w:r w:rsidRPr="00503A8E">
        <w:rPr>
          <w:rFonts w:ascii="Arial" w:hAnsi="Arial" w:cs="Arial"/>
          <w:sz w:val="22"/>
          <w:szCs w:val="22"/>
        </w:rPr>
        <w:t xml:space="preserve"> tanto a la realidad de los costes de transición del sector formal al informal como a las políticas implantadas por el programa.  La introducción de estos ajustes en el modelo permite replicar adecuadamente la estructura de las empresas, </w:t>
      </w:r>
      <w:r w:rsidR="00BC5A4F" w:rsidRPr="00503A8E">
        <w:rPr>
          <w:rFonts w:ascii="Arial" w:hAnsi="Arial" w:cs="Arial"/>
          <w:sz w:val="22"/>
          <w:szCs w:val="22"/>
        </w:rPr>
        <w:t>en forma análoga a la que</w:t>
      </w:r>
      <w:r w:rsidRPr="00503A8E">
        <w:rPr>
          <w:rFonts w:ascii="Arial" w:hAnsi="Arial" w:cs="Arial"/>
          <w:sz w:val="22"/>
          <w:szCs w:val="22"/>
        </w:rPr>
        <w:t xml:space="preserve"> se muestra en la tabla siguiente</w:t>
      </w:r>
      <w:r w:rsidR="00BC5A4F" w:rsidRPr="00503A8E">
        <w:rPr>
          <w:rFonts w:ascii="Arial" w:hAnsi="Arial" w:cs="Arial"/>
          <w:sz w:val="22"/>
          <w:szCs w:val="22"/>
        </w:rPr>
        <w:t xml:space="preserve"> para la economía de los </w:t>
      </w:r>
      <w:proofErr w:type="gramStart"/>
      <w:r w:rsidR="00BC5A4F" w:rsidRPr="00503A8E">
        <w:rPr>
          <w:rFonts w:ascii="Arial" w:hAnsi="Arial" w:cs="Arial"/>
          <w:sz w:val="22"/>
          <w:szCs w:val="22"/>
        </w:rPr>
        <w:t>EE.UU.</w:t>
      </w:r>
      <w:proofErr w:type="gramEnd"/>
      <w:r w:rsidRPr="00503A8E">
        <w:rPr>
          <w:rFonts w:ascii="Arial" w:hAnsi="Arial" w:cs="Arial"/>
          <w:sz w:val="22"/>
          <w:szCs w:val="22"/>
        </w:rPr>
        <w:t>, extraída de Bernabé (2013):</w:t>
      </w:r>
    </w:p>
    <w:p w14:paraId="526B7FEB" w14:textId="77777777" w:rsidR="004213FF" w:rsidRPr="00503A8E" w:rsidRDefault="004213FF" w:rsidP="00503A8E">
      <w:pPr>
        <w:pStyle w:val="21Paragraph"/>
        <w:numPr>
          <w:ilvl w:val="0"/>
          <w:numId w:val="0"/>
        </w:numPr>
        <w:ind w:left="1350" w:hanging="360"/>
        <w:rPr>
          <w:rFonts w:ascii="Arial" w:hAnsi="Arial" w:cs="Arial"/>
          <w:sz w:val="22"/>
          <w:szCs w:val="22"/>
        </w:rPr>
      </w:pPr>
      <w:r w:rsidRPr="00503A8E">
        <w:rPr>
          <w:rFonts w:ascii="Arial" w:hAnsi="Arial" w:cs="Arial"/>
          <w:noProof/>
          <w:sz w:val="18"/>
          <w:szCs w:val="22"/>
          <w:lang w:val="en-US"/>
        </w:rPr>
        <w:drawing>
          <wp:inline distT="0" distB="0" distL="0" distR="0" wp14:anchorId="2CD1C3E8" wp14:editId="2CC0A68E">
            <wp:extent cx="5128260" cy="2202815"/>
            <wp:effectExtent l="0" t="0" r="0" b="698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29515" cy="2203354"/>
                    </a:xfrm>
                    <a:prstGeom prst="rect">
                      <a:avLst/>
                    </a:prstGeom>
                    <a:noFill/>
                    <a:ln>
                      <a:noFill/>
                    </a:ln>
                  </pic:spPr>
                </pic:pic>
              </a:graphicData>
            </a:graphic>
          </wp:inline>
        </w:drawing>
      </w:r>
    </w:p>
    <w:p w14:paraId="0117350A" w14:textId="77777777" w:rsidR="004213FF" w:rsidRPr="00503A8E" w:rsidRDefault="004213FF" w:rsidP="004213FF">
      <w:pPr>
        <w:pStyle w:val="21Paragraph"/>
        <w:ind w:left="720" w:hanging="720"/>
        <w:rPr>
          <w:rFonts w:ascii="Arial" w:hAnsi="Arial" w:cs="Arial"/>
          <w:sz w:val="22"/>
          <w:szCs w:val="22"/>
        </w:rPr>
      </w:pPr>
      <w:r w:rsidRPr="00503A8E">
        <w:rPr>
          <w:rFonts w:ascii="Arial" w:hAnsi="Arial" w:cs="Arial"/>
          <w:b/>
          <w:i/>
          <w:sz w:val="22"/>
          <w:szCs w:val="22"/>
        </w:rPr>
        <w:t>Contrafactuales</w:t>
      </w:r>
      <w:r w:rsidRPr="00503A8E">
        <w:rPr>
          <w:rFonts w:ascii="Arial" w:hAnsi="Arial" w:cs="Arial"/>
          <w:b/>
          <w:sz w:val="22"/>
          <w:szCs w:val="22"/>
        </w:rPr>
        <w:t xml:space="preserve"> para el análisis de políticas: </w:t>
      </w:r>
      <w:r w:rsidRPr="00503A8E">
        <w:rPr>
          <w:rFonts w:ascii="Arial" w:hAnsi="Arial" w:cs="Arial"/>
          <w:sz w:val="22"/>
          <w:szCs w:val="22"/>
        </w:rPr>
        <w:t xml:space="preserve">Identificados estos parámetros se procederá a realizar un análisis cuantitativo los efectos sobre la TFP de tres contrafactuales fundamentales: </w:t>
      </w:r>
    </w:p>
    <w:p w14:paraId="725A6BDD" w14:textId="77777777" w:rsidR="004213FF" w:rsidRPr="00503A8E" w:rsidRDefault="004213FF" w:rsidP="004213FF">
      <w:pPr>
        <w:pStyle w:val="21Paragraph"/>
        <w:numPr>
          <w:ilvl w:val="0"/>
          <w:numId w:val="9"/>
        </w:numPr>
        <w:rPr>
          <w:rFonts w:ascii="Arial" w:hAnsi="Arial" w:cs="Arial"/>
          <w:sz w:val="22"/>
          <w:szCs w:val="22"/>
        </w:rPr>
      </w:pPr>
      <w:r w:rsidRPr="00503A8E">
        <w:rPr>
          <w:rFonts w:ascii="Arial" w:hAnsi="Arial" w:cs="Arial"/>
          <w:sz w:val="22"/>
          <w:szCs w:val="22"/>
        </w:rPr>
        <w:t>Las mejoras en la ejecución de garantías medidas por el Doing Business entre el periodo 2013 – 2018.</w:t>
      </w:r>
    </w:p>
    <w:p w14:paraId="11E8F613" w14:textId="77777777" w:rsidR="004213FF" w:rsidRPr="00503A8E" w:rsidRDefault="004213FF" w:rsidP="004213FF">
      <w:pPr>
        <w:pStyle w:val="21Paragraph"/>
        <w:numPr>
          <w:ilvl w:val="0"/>
          <w:numId w:val="9"/>
        </w:numPr>
        <w:rPr>
          <w:rFonts w:ascii="Arial" w:hAnsi="Arial" w:cs="Arial"/>
          <w:sz w:val="22"/>
          <w:szCs w:val="22"/>
        </w:rPr>
      </w:pPr>
      <w:r w:rsidRPr="00503A8E">
        <w:rPr>
          <w:rFonts w:ascii="Arial" w:hAnsi="Arial" w:cs="Arial"/>
          <w:sz w:val="22"/>
          <w:szCs w:val="22"/>
        </w:rPr>
        <w:t xml:space="preserve">Las reducciones de los costes de abrir una empresa medidas por el Doing Business entre el periodo 2013 – 2018.  </w:t>
      </w:r>
    </w:p>
    <w:p w14:paraId="3134EE6D" w14:textId="77777777" w:rsidR="004213FF" w:rsidRPr="00503A8E" w:rsidRDefault="004213FF" w:rsidP="004213FF">
      <w:pPr>
        <w:pStyle w:val="21Paragraph"/>
        <w:numPr>
          <w:ilvl w:val="0"/>
          <w:numId w:val="9"/>
        </w:numPr>
        <w:rPr>
          <w:rFonts w:ascii="Arial" w:hAnsi="Arial" w:cs="Arial"/>
          <w:sz w:val="22"/>
          <w:szCs w:val="22"/>
        </w:rPr>
      </w:pPr>
      <w:r w:rsidRPr="00503A8E">
        <w:rPr>
          <w:rFonts w:ascii="Arial" w:hAnsi="Arial" w:cs="Arial"/>
          <w:sz w:val="22"/>
          <w:szCs w:val="22"/>
        </w:rPr>
        <w:t xml:space="preserve">La combinación de i) y ii). </w:t>
      </w:r>
    </w:p>
    <w:p w14:paraId="56AB95ED" w14:textId="77777777" w:rsidR="004213FF" w:rsidRPr="00503A8E" w:rsidRDefault="004213FF" w:rsidP="004213FF">
      <w:pPr>
        <w:pStyle w:val="21Paragraph"/>
        <w:numPr>
          <w:ilvl w:val="0"/>
          <w:numId w:val="0"/>
        </w:numPr>
        <w:ind w:left="1440"/>
        <w:rPr>
          <w:rFonts w:ascii="Arial" w:hAnsi="Arial" w:cs="Arial"/>
          <w:sz w:val="22"/>
          <w:szCs w:val="22"/>
        </w:rPr>
      </w:pPr>
    </w:p>
    <w:p w14:paraId="0FA38622" w14:textId="77777777" w:rsidR="004213FF" w:rsidRPr="00503A8E" w:rsidRDefault="004213FF" w:rsidP="004213FF">
      <w:pPr>
        <w:pStyle w:val="21Paragraph"/>
        <w:ind w:left="720" w:hanging="720"/>
        <w:rPr>
          <w:rFonts w:ascii="Arial" w:hAnsi="Arial" w:cs="Arial"/>
          <w:sz w:val="22"/>
          <w:szCs w:val="22"/>
        </w:rPr>
      </w:pPr>
      <w:r w:rsidRPr="00503A8E">
        <w:rPr>
          <w:rFonts w:ascii="Arial" w:hAnsi="Arial" w:cs="Arial"/>
          <w:b/>
          <w:sz w:val="22"/>
          <w:szCs w:val="22"/>
        </w:rPr>
        <w:t>Ventajas de la aproximación.</w:t>
      </w:r>
      <w:r w:rsidRPr="00503A8E">
        <w:rPr>
          <w:rFonts w:ascii="Arial" w:hAnsi="Arial" w:cs="Arial"/>
          <w:b/>
          <w:i/>
          <w:sz w:val="22"/>
          <w:szCs w:val="22"/>
        </w:rPr>
        <w:t xml:space="preserve"> </w:t>
      </w:r>
      <w:r w:rsidRPr="00503A8E">
        <w:rPr>
          <w:rFonts w:ascii="Arial" w:hAnsi="Arial" w:cs="Arial"/>
          <w:sz w:val="22"/>
          <w:szCs w:val="22"/>
        </w:rPr>
        <w:t>En ausencia de</w:t>
      </w:r>
      <w:r w:rsidRPr="00503A8E">
        <w:rPr>
          <w:rFonts w:ascii="Arial" w:hAnsi="Arial" w:cs="Arial"/>
          <w:b/>
          <w:sz w:val="22"/>
          <w:szCs w:val="22"/>
        </w:rPr>
        <w:t xml:space="preserve"> </w:t>
      </w:r>
      <w:r w:rsidRPr="00503A8E">
        <w:rPr>
          <w:rFonts w:ascii="Arial" w:hAnsi="Arial" w:cs="Arial"/>
          <w:sz w:val="22"/>
          <w:szCs w:val="22"/>
        </w:rPr>
        <w:t xml:space="preserve">elementos para una evaluación de impacto microeconómica (por ejemplo, la identificación de un experimento natural o un grupo de control sintético) debido a las características de las reformas y del país, la aproximación permite una evaluación rigurosa de los efectos de los cambios legales realizados tras la reforma en un contexto de equilibrio general que permitirá: (i) mantener constantes los parámetros que no hayan cambiado tras la reforma y, por tanto, identificar los efectos de los cambios realizados y de los mecanismos concretos a través de los cuales estos cambios impactan en la productividad; (ii) contribuir a la literatura de los modelos de equilibrio general computable aplicados en materia de fricciones financieras aplicados a la región; (iii) examinar los efectos del programa también sobre la composición de la economía entre formal e informal. </w:t>
      </w:r>
    </w:p>
    <w:p w14:paraId="0F5D8273" w14:textId="77777777" w:rsidR="004213FF" w:rsidRPr="00503A8E" w:rsidRDefault="004213FF" w:rsidP="004213FF">
      <w:pPr>
        <w:pStyle w:val="Heading3"/>
        <w:numPr>
          <w:ilvl w:val="0"/>
          <w:numId w:val="0"/>
        </w:numPr>
        <w:rPr>
          <w:rFonts w:ascii="Arial" w:hAnsi="Arial" w:cs="Arial"/>
          <w:sz w:val="22"/>
          <w:szCs w:val="22"/>
        </w:rPr>
      </w:pPr>
      <w:bookmarkStart w:id="17" w:name="_Toc360529045"/>
      <w:r w:rsidRPr="00503A8E">
        <w:rPr>
          <w:rFonts w:ascii="Arial" w:hAnsi="Arial" w:cs="Arial"/>
          <w:sz w:val="22"/>
          <w:szCs w:val="22"/>
        </w:rPr>
        <w:t>Planificación y Presupuesto del Programa de Evaluación</w:t>
      </w:r>
      <w:bookmarkEnd w:id="17"/>
    </w:p>
    <w:p w14:paraId="11621CD1" w14:textId="3697E9EA" w:rsidR="004213FF" w:rsidRPr="00503A8E" w:rsidRDefault="004213FF" w:rsidP="004213FF">
      <w:pPr>
        <w:pStyle w:val="21Paragraph"/>
        <w:ind w:left="720" w:hanging="720"/>
        <w:rPr>
          <w:rFonts w:ascii="Arial" w:hAnsi="Arial" w:cs="Arial"/>
          <w:b/>
          <w:sz w:val="22"/>
          <w:szCs w:val="22"/>
        </w:rPr>
      </w:pPr>
      <w:r w:rsidRPr="00503A8E">
        <w:rPr>
          <w:rFonts w:ascii="Arial" w:hAnsi="Arial" w:cs="Arial"/>
          <w:sz w:val="22"/>
          <w:szCs w:val="22"/>
        </w:rPr>
        <w:t xml:space="preserve">En la Tabla 3, se presenta el plan de trabajo para la implementación del Plan de Evaluación. En particular, hacia el último trimestre de </w:t>
      </w:r>
      <w:r w:rsidR="003B6E48" w:rsidRPr="00503A8E">
        <w:rPr>
          <w:rFonts w:ascii="Arial" w:hAnsi="Arial" w:cs="Arial"/>
          <w:sz w:val="22"/>
          <w:szCs w:val="22"/>
        </w:rPr>
        <w:t xml:space="preserve">2019 </w:t>
      </w:r>
      <w:r w:rsidRPr="00503A8E">
        <w:rPr>
          <w:rFonts w:ascii="Arial" w:hAnsi="Arial" w:cs="Arial"/>
          <w:sz w:val="22"/>
          <w:szCs w:val="22"/>
        </w:rPr>
        <w:t xml:space="preserve">se prevé la contratación de un consultor para llevar adelante la calibración del modelo de equilibrio general como así la estimación econométrica del efecto del programa </w:t>
      </w:r>
      <w:r w:rsidRPr="00503A8E">
        <w:rPr>
          <w:rFonts w:ascii="Arial" w:hAnsi="Arial" w:cs="Arial"/>
          <w:sz w:val="22"/>
          <w:szCs w:val="22"/>
        </w:rPr>
        <w:lastRenderedPageBreak/>
        <w:t xml:space="preserve">sobre la productividad. El tiempo estimado de conclusión de esta consultoría se ubica en 6 meses, y su costo es reducido dado que no se requiere un desarrollo a </w:t>
      </w:r>
      <w:proofErr w:type="gramStart"/>
      <w:r w:rsidRPr="00503A8E">
        <w:rPr>
          <w:rFonts w:ascii="Arial" w:hAnsi="Arial" w:cs="Arial"/>
          <w:sz w:val="22"/>
          <w:szCs w:val="22"/>
        </w:rPr>
        <w:t>nivel  teórico</w:t>
      </w:r>
      <w:proofErr w:type="gramEnd"/>
      <w:r w:rsidRPr="00503A8E">
        <w:rPr>
          <w:rFonts w:ascii="Arial" w:hAnsi="Arial" w:cs="Arial"/>
          <w:sz w:val="22"/>
          <w:szCs w:val="22"/>
        </w:rPr>
        <w:t>. Adicionalmente se prevé la realización de actividades de difusión cuyo costo puede ser cubierto con recursos transaccionales de la división.</w:t>
      </w:r>
    </w:p>
    <w:p w14:paraId="7BF849C0" w14:textId="77777777" w:rsidR="004213FF" w:rsidRPr="00503A8E" w:rsidRDefault="004213FF" w:rsidP="004213FF">
      <w:pPr>
        <w:jc w:val="left"/>
        <w:rPr>
          <w:b/>
          <w:sz w:val="22"/>
          <w:szCs w:val="22"/>
          <w:lang w:val="es-ES_tradnl"/>
        </w:rPr>
      </w:pPr>
    </w:p>
    <w:p w14:paraId="7F32440E" w14:textId="77777777" w:rsidR="004213FF" w:rsidRPr="00503A8E" w:rsidRDefault="004213FF" w:rsidP="004213FF">
      <w:pPr>
        <w:pStyle w:val="21Paragraph"/>
        <w:numPr>
          <w:ilvl w:val="0"/>
          <w:numId w:val="0"/>
        </w:numPr>
        <w:ind w:left="3870" w:firstLine="450"/>
        <w:rPr>
          <w:rFonts w:ascii="Arial" w:hAnsi="Arial" w:cs="Arial"/>
          <w:b/>
          <w:sz w:val="20"/>
          <w:szCs w:val="22"/>
        </w:rPr>
      </w:pPr>
      <w:r w:rsidRPr="00503A8E">
        <w:rPr>
          <w:rFonts w:ascii="Arial" w:hAnsi="Arial" w:cs="Arial"/>
          <w:b/>
          <w:sz w:val="20"/>
          <w:szCs w:val="22"/>
        </w:rPr>
        <w:t>Tabla 3</w:t>
      </w:r>
    </w:p>
    <w:p w14:paraId="4669D049" w14:textId="77777777" w:rsidR="004213FF" w:rsidRPr="00503A8E" w:rsidRDefault="004213FF" w:rsidP="004213FF">
      <w:pPr>
        <w:jc w:val="center"/>
        <w:rPr>
          <w:b/>
          <w:sz w:val="20"/>
          <w:szCs w:val="22"/>
          <w:lang w:val="es-ES_tradnl"/>
        </w:rPr>
      </w:pPr>
      <w:r w:rsidRPr="00503A8E">
        <w:rPr>
          <w:b/>
          <w:sz w:val="20"/>
          <w:szCs w:val="22"/>
          <w:lang w:val="es-ES_tradnl"/>
        </w:rPr>
        <w:t>Planificación y Presupuesto del Programa de Evaluación</w:t>
      </w:r>
    </w:p>
    <w:tbl>
      <w:tblPr>
        <w:tblW w:w="802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4"/>
        <w:gridCol w:w="272"/>
        <w:gridCol w:w="272"/>
        <w:gridCol w:w="272"/>
        <w:gridCol w:w="316"/>
        <w:gridCol w:w="316"/>
        <w:gridCol w:w="316"/>
        <w:gridCol w:w="272"/>
        <w:gridCol w:w="272"/>
        <w:gridCol w:w="783"/>
        <w:gridCol w:w="2178"/>
      </w:tblGrid>
      <w:tr w:rsidR="004213FF" w:rsidRPr="00503A8E" w14:paraId="260A7DA2" w14:textId="77777777" w:rsidTr="00B517B1">
        <w:trPr>
          <w:trHeight w:val="300"/>
          <w:jc w:val="right"/>
        </w:trPr>
        <w:tc>
          <w:tcPr>
            <w:tcW w:w="2844" w:type="dxa"/>
            <w:shd w:val="clear" w:color="000000" w:fill="8DB4E2"/>
            <w:noWrap/>
            <w:vAlign w:val="bottom"/>
            <w:hideMark/>
          </w:tcPr>
          <w:p w14:paraId="64685C74" w14:textId="77777777" w:rsidR="004213FF" w:rsidRPr="00503A8E" w:rsidRDefault="004213FF" w:rsidP="00B517B1">
            <w:pPr>
              <w:jc w:val="left"/>
              <w:rPr>
                <w:rFonts w:eastAsia="Times New Roman"/>
                <w:b/>
                <w:bCs/>
                <w:color w:val="000000"/>
                <w:sz w:val="20"/>
                <w:szCs w:val="22"/>
                <w:lang w:val="en-US"/>
              </w:rPr>
            </w:pPr>
            <w:r w:rsidRPr="00503A8E">
              <w:rPr>
                <w:rFonts w:eastAsia="Times New Roman"/>
                <w:b/>
                <w:bCs/>
                <w:color w:val="000000"/>
                <w:sz w:val="20"/>
                <w:szCs w:val="22"/>
                <w:lang w:val="en-US"/>
              </w:rPr>
              <w:t xml:space="preserve">Actividades </w:t>
            </w:r>
          </w:p>
        </w:tc>
        <w:tc>
          <w:tcPr>
            <w:tcW w:w="1114" w:type="dxa"/>
            <w:gridSpan w:val="4"/>
            <w:shd w:val="clear" w:color="000000" w:fill="8DB4E2"/>
            <w:noWrap/>
            <w:vAlign w:val="bottom"/>
            <w:hideMark/>
          </w:tcPr>
          <w:p w14:paraId="12AFC97A" w14:textId="27867043" w:rsidR="004213FF" w:rsidRPr="00503A8E" w:rsidRDefault="00C34C8F" w:rsidP="00B517B1">
            <w:pPr>
              <w:jc w:val="center"/>
              <w:rPr>
                <w:rFonts w:eastAsia="Times New Roman"/>
                <w:b/>
                <w:bCs/>
                <w:color w:val="000000"/>
                <w:sz w:val="20"/>
                <w:szCs w:val="22"/>
                <w:lang w:val="en-US"/>
              </w:rPr>
            </w:pPr>
            <w:r w:rsidRPr="00503A8E">
              <w:rPr>
                <w:rFonts w:eastAsia="Times New Roman"/>
                <w:b/>
                <w:bCs/>
                <w:color w:val="000000"/>
                <w:sz w:val="20"/>
                <w:szCs w:val="22"/>
                <w:lang w:val="en-US"/>
              </w:rPr>
              <w:t>2019</w:t>
            </w:r>
          </w:p>
        </w:tc>
        <w:tc>
          <w:tcPr>
            <w:tcW w:w="1172" w:type="dxa"/>
            <w:gridSpan w:val="4"/>
            <w:shd w:val="clear" w:color="000000" w:fill="8DB4E2"/>
            <w:noWrap/>
            <w:vAlign w:val="bottom"/>
            <w:hideMark/>
          </w:tcPr>
          <w:p w14:paraId="7CD1000B" w14:textId="255E5D00" w:rsidR="004213FF" w:rsidRPr="00503A8E" w:rsidRDefault="00C34C8F" w:rsidP="00B517B1">
            <w:pPr>
              <w:jc w:val="center"/>
              <w:rPr>
                <w:rFonts w:eastAsia="Times New Roman"/>
                <w:b/>
                <w:bCs/>
                <w:color w:val="000000"/>
                <w:sz w:val="20"/>
                <w:szCs w:val="22"/>
                <w:lang w:val="en-US"/>
              </w:rPr>
            </w:pPr>
            <w:r w:rsidRPr="00503A8E">
              <w:rPr>
                <w:rFonts w:eastAsia="Times New Roman"/>
                <w:b/>
                <w:bCs/>
                <w:color w:val="000000"/>
                <w:sz w:val="20"/>
                <w:szCs w:val="22"/>
                <w:lang w:val="en-US"/>
              </w:rPr>
              <w:t>2020</w:t>
            </w:r>
          </w:p>
        </w:tc>
        <w:tc>
          <w:tcPr>
            <w:tcW w:w="720" w:type="dxa"/>
            <w:shd w:val="clear" w:color="000000" w:fill="8DB4E2"/>
            <w:noWrap/>
            <w:vAlign w:val="bottom"/>
            <w:hideMark/>
          </w:tcPr>
          <w:p w14:paraId="78FBA512" w14:textId="77777777" w:rsidR="004213FF" w:rsidRPr="00503A8E" w:rsidRDefault="004213FF" w:rsidP="00B517B1">
            <w:pPr>
              <w:jc w:val="left"/>
              <w:rPr>
                <w:rFonts w:eastAsia="Times New Roman"/>
                <w:b/>
                <w:bCs/>
                <w:color w:val="000000"/>
                <w:sz w:val="20"/>
                <w:szCs w:val="22"/>
                <w:lang w:val="en-US"/>
              </w:rPr>
            </w:pPr>
            <w:r w:rsidRPr="00503A8E">
              <w:rPr>
                <w:rFonts w:eastAsia="Times New Roman"/>
                <w:b/>
                <w:bCs/>
                <w:color w:val="000000"/>
                <w:sz w:val="20"/>
                <w:szCs w:val="22"/>
                <w:lang w:val="en-US"/>
              </w:rPr>
              <w:t>Costo</w:t>
            </w:r>
          </w:p>
        </w:tc>
        <w:tc>
          <w:tcPr>
            <w:tcW w:w="2178" w:type="dxa"/>
            <w:shd w:val="clear" w:color="000000" w:fill="8DB4E2"/>
            <w:noWrap/>
            <w:vAlign w:val="bottom"/>
            <w:hideMark/>
          </w:tcPr>
          <w:p w14:paraId="68F8A623" w14:textId="77777777" w:rsidR="004213FF" w:rsidRPr="00503A8E" w:rsidRDefault="004213FF" w:rsidP="00B517B1">
            <w:pPr>
              <w:jc w:val="left"/>
              <w:rPr>
                <w:rFonts w:eastAsia="Times New Roman"/>
                <w:b/>
                <w:bCs/>
                <w:color w:val="000000"/>
                <w:sz w:val="20"/>
                <w:szCs w:val="22"/>
                <w:lang w:val="en-US"/>
              </w:rPr>
            </w:pPr>
            <w:r w:rsidRPr="00503A8E">
              <w:rPr>
                <w:rFonts w:eastAsia="Times New Roman"/>
                <w:b/>
                <w:bCs/>
                <w:color w:val="000000"/>
                <w:sz w:val="20"/>
                <w:szCs w:val="22"/>
                <w:lang w:val="en-US"/>
              </w:rPr>
              <w:t>Fuente financiamiento</w:t>
            </w:r>
          </w:p>
        </w:tc>
      </w:tr>
      <w:tr w:rsidR="004213FF" w:rsidRPr="00503A8E" w14:paraId="155694B0" w14:textId="77777777" w:rsidTr="00B517B1">
        <w:trPr>
          <w:trHeight w:val="773"/>
          <w:jc w:val="right"/>
        </w:trPr>
        <w:tc>
          <w:tcPr>
            <w:tcW w:w="2844" w:type="dxa"/>
            <w:shd w:val="clear" w:color="000000" w:fill="FFFFFF"/>
            <w:vAlign w:val="center"/>
            <w:hideMark/>
          </w:tcPr>
          <w:p w14:paraId="7B827F6C" w14:textId="77777777" w:rsidR="004213FF" w:rsidRPr="00503A8E" w:rsidRDefault="004213FF" w:rsidP="00B517B1">
            <w:pPr>
              <w:jc w:val="left"/>
              <w:rPr>
                <w:rFonts w:eastAsia="Times New Roman"/>
                <w:color w:val="000000"/>
                <w:sz w:val="20"/>
                <w:szCs w:val="22"/>
                <w:lang w:val="es-AR"/>
              </w:rPr>
            </w:pPr>
            <w:r w:rsidRPr="00503A8E">
              <w:rPr>
                <w:rFonts w:eastAsia="Times New Roman"/>
                <w:color w:val="000000"/>
                <w:sz w:val="20"/>
                <w:szCs w:val="22"/>
                <w:lang w:val="es-AR"/>
              </w:rPr>
              <w:t>Calibración modelo y estimación efecto en productividad financiera</w:t>
            </w:r>
          </w:p>
        </w:tc>
        <w:tc>
          <w:tcPr>
            <w:tcW w:w="266" w:type="dxa"/>
            <w:shd w:val="clear" w:color="000000" w:fill="FFFFFF"/>
            <w:noWrap/>
            <w:vAlign w:val="center"/>
            <w:hideMark/>
          </w:tcPr>
          <w:p w14:paraId="585F4EB0" w14:textId="77777777" w:rsidR="004213FF" w:rsidRPr="00503A8E" w:rsidRDefault="004213FF" w:rsidP="00B517B1">
            <w:pPr>
              <w:jc w:val="left"/>
              <w:rPr>
                <w:rFonts w:eastAsia="Times New Roman"/>
                <w:color w:val="000000"/>
                <w:sz w:val="20"/>
                <w:szCs w:val="22"/>
                <w:lang w:val="es-AR"/>
              </w:rPr>
            </w:pPr>
            <w:r w:rsidRPr="00503A8E">
              <w:rPr>
                <w:rFonts w:eastAsia="Times New Roman"/>
                <w:color w:val="000000"/>
                <w:sz w:val="20"/>
                <w:szCs w:val="22"/>
                <w:lang w:val="es-AR"/>
              </w:rPr>
              <w:t> </w:t>
            </w:r>
          </w:p>
        </w:tc>
        <w:tc>
          <w:tcPr>
            <w:tcW w:w="266" w:type="dxa"/>
            <w:shd w:val="clear" w:color="000000" w:fill="FFFFFF"/>
            <w:noWrap/>
            <w:vAlign w:val="center"/>
            <w:hideMark/>
          </w:tcPr>
          <w:p w14:paraId="5B5AAAE6" w14:textId="77777777" w:rsidR="004213FF" w:rsidRPr="00503A8E" w:rsidRDefault="004213FF" w:rsidP="00B517B1">
            <w:pPr>
              <w:jc w:val="left"/>
              <w:rPr>
                <w:rFonts w:eastAsia="Times New Roman"/>
                <w:color w:val="000000"/>
                <w:sz w:val="20"/>
                <w:szCs w:val="22"/>
                <w:lang w:val="es-AR"/>
              </w:rPr>
            </w:pPr>
            <w:r w:rsidRPr="00503A8E">
              <w:rPr>
                <w:rFonts w:eastAsia="Times New Roman"/>
                <w:color w:val="000000"/>
                <w:sz w:val="20"/>
                <w:szCs w:val="22"/>
                <w:lang w:val="es-AR"/>
              </w:rPr>
              <w:t> </w:t>
            </w:r>
          </w:p>
        </w:tc>
        <w:tc>
          <w:tcPr>
            <w:tcW w:w="266" w:type="dxa"/>
            <w:shd w:val="clear" w:color="000000" w:fill="FFFFFF"/>
            <w:noWrap/>
            <w:vAlign w:val="center"/>
            <w:hideMark/>
          </w:tcPr>
          <w:p w14:paraId="405B2826" w14:textId="77777777" w:rsidR="004213FF" w:rsidRPr="00503A8E" w:rsidRDefault="004213FF" w:rsidP="00B517B1">
            <w:pPr>
              <w:jc w:val="left"/>
              <w:rPr>
                <w:rFonts w:eastAsia="Times New Roman"/>
                <w:color w:val="000000"/>
                <w:sz w:val="20"/>
                <w:szCs w:val="22"/>
                <w:lang w:val="es-AR"/>
              </w:rPr>
            </w:pPr>
            <w:r w:rsidRPr="00503A8E">
              <w:rPr>
                <w:rFonts w:eastAsia="Times New Roman"/>
                <w:color w:val="000000"/>
                <w:sz w:val="20"/>
                <w:szCs w:val="22"/>
                <w:lang w:val="es-AR"/>
              </w:rPr>
              <w:t> </w:t>
            </w:r>
          </w:p>
        </w:tc>
        <w:tc>
          <w:tcPr>
            <w:tcW w:w="316" w:type="dxa"/>
            <w:shd w:val="clear" w:color="000000" w:fill="FFFFFF"/>
            <w:noWrap/>
            <w:vAlign w:val="center"/>
            <w:hideMark/>
          </w:tcPr>
          <w:p w14:paraId="0420178B" w14:textId="77777777" w:rsidR="004213FF" w:rsidRPr="00503A8E" w:rsidRDefault="004213FF" w:rsidP="00B517B1">
            <w:pPr>
              <w:jc w:val="left"/>
              <w:rPr>
                <w:rFonts w:eastAsia="Times New Roman"/>
                <w:color w:val="000000"/>
                <w:sz w:val="20"/>
                <w:szCs w:val="22"/>
                <w:lang w:val="en-US"/>
              </w:rPr>
            </w:pPr>
            <w:r w:rsidRPr="00503A8E">
              <w:rPr>
                <w:rFonts w:eastAsia="Times New Roman"/>
                <w:color w:val="000000"/>
                <w:sz w:val="20"/>
                <w:szCs w:val="22"/>
                <w:lang w:val="en-US"/>
              </w:rPr>
              <w:t>x</w:t>
            </w:r>
          </w:p>
        </w:tc>
        <w:tc>
          <w:tcPr>
            <w:tcW w:w="316" w:type="dxa"/>
            <w:shd w:val="clear" w:color="000000" w:fill="FFFFFF"/>
            <w:noWrap/>
            <w:vAlign w:val="center"/>
            <w:hideMark/>
          </w:tcPr>
          <w:p w14:paraId="5E33EBE3" w14:textId="77777777" w:rsidR="004213FF" w:rsidRPr="00503A8E" w:rsidRDefault="004213FF" w:rsidP="00B517B1">
            <w:pPr>
              <w:jc w:val="left"/>
              <w:rPr>
                <w:rFonts w:eastAsia="Times New Roman"/>
                <w:color w:val="000000"/>
                <w:sz w:val="20"/>
                <w:szCs w:val="22"/>
                <w:lang w:val="en-US"/>
              </w:rPr>
            </w:pPr>
            <w:r w:rsidRPr="00503A8E">
              <w:rPr>
                <w:rFonts w:eastAsia="Times New Roman"/>
                <w:color w:val="000000"/>
                <w:sz w:val="20"/>
                <w:szCs w:val="22"/>
                <w:lang w:val="en-US"/>
              </w:rPr>
              <w:t>x</w:t>
            </w:r>
          </w:p>
        </w:tc>
        <w:tc>
          <w:tcPr>
            <w:tcW w:w="316" w:type="dxa"/>
            <w:shd w:val="clear" w:color="000000" w:fill="FFFFFF"/>
            <w:noWrap/>
            <w:vAlign w:val="center"/>
            <w:hideMark/>
          </w:tcPr>
          <w:p w14:paraId="08ED4CBE" w14:textId="77777777" w:rsidR="004213FF" w:rsidRPr="00503A8E" w:rsidRDefault="004213FF" w:rsidP="00B517B1">
            <w:pPr>
              <w:jc w:val="left"/>
              <w:rPr>
                <w:rFonts w:eastAsia="Times New Roman"/>
                <w:color w:val="000000"/>
                <w:sz w:val="20"/>
                <w:szCs w:val="22"/>
                <w:lang w:val="en-US"/>
              </w:rPr>
            </w:pPr>
            <w:r w:rsidRPr="00503A8E">
              <w:rPr>
                <w:rFonts w:eastAsia="Times New Roman"/>
                <w:color w:val="000000"/>
                <w:sz w:val="20"/>
                <w:szCs w:val="22"/>
                <w:lang w:val="en-US"/>
              </w:rPr>
              <w:t> </w:t>
            </w:r>
          </w:p>
        </w:tc>
        <w:tc>
          <w:tcPr>
            <w:tcW w:w="270" w:type="dxa"/>
            <w:shd w:val="clear" w:color="000000" w:fill="FFFFFF"/>
            <w:noWrap/>
            <w:vAlign w:val="center"/>
            <w:hideMark/>
          </w:tcPr>
          <w:p w14:paraId="12A5D05F" w14:textId="77777777" w:rsidR="004213FF" w:rsidRPr="00503A8E" w:rsidRDefault="004213FF" w:rsidP="00B517B1">
            <w:pPr>
              <w:jc w:val="left"/>
              <w:rPr>
                <w:rFonts w:eastAsia="Times New Roman"/>
                <w:color w:val="000000"/>
                <w:sz w:val="20"/>
                <w:szCs w:val="22"/>
                <w:lang w:val="en-US"/>
              </w:rPr>
            </w:pPr>
            <w:r w:rsidRPr="00503A8E">
              <w:rPr>
                <w:rFonts w:eastAsia="Times New Roman"/>
                <w:color w:val="000000"/>
                <w:sz w:val="20"/>
                <w:szCs w:val="22"/>
                <w:lang w:val="en-US"/>
              </w:rPr>
              <w:t> </w:t>
            </w:r>
          </w:p>
        </w:tc>
        <w:tc>
          <w:tcPr>
            <w:tcW w:w="270" w:type="dxa"/>
            <w:shd w:val="clear" w:color="000000" w:fill="FFFFFF"/>
            <w:noWrap/>
            <w:vAlign w:val="center"/>
            <w:hideMark/>
          </w:tcPr>
          <w:p w14:paraId="7E377A97" w14:textId="77777777" w:rsidR="004213FF" w:rsidRPr="00503A8E" w:rsidRDefault="004213FF" w:rsidP="00B517B1">
            <w:pPr>
              <w:jc w:val="left"/>
              <w:rPr>
                <w:rFonts w:eastAsia="Times New Roman"/>
                <w:color w:val="000000"/>
                <w:sz w:val="20"/>
                <w:szCs w:val="22"/>
                <w:lang w:val="en-US"/>
              </w:rPr>
            </w:pPr>
            <w:r w:rsidRPr="00503A8E">
              <w:rPr>
                <w:rFonts w:eastAsia="Times New Roman"/>
                <w:color w:val="000000"/>
                <w:sz w:val="20"/>
                <w:szCs w:val="22"/>
                <w:lang w:val="en-US"/>
              </w:rPr>
              <w:t> </w:t>
            </w:r>
          </w:p>
        </w:tc>
        <w:tc>
          <w:tcPr>
            <w:tcW w:w="720" w:type="dxa"/>
            <w:shd w:val="clear" w:color="000000" w:fill="FFFFFF"/>
            <w:noWrap/>
            <w:vAlign w:val="center"/>
            <w:hideMark/>
          </w:tcPr>
          <w:p w14:paraId="3166E7E5" w14:textId="77777777" w:rsidR="004213FF" w:rsidRPr="00503A8E" w:rsidRDefault="004213FF" w:rsidP="00B517B1">
            <w:pPr>
              <w:jc w:val="left"/>
              <w:rPr>
                <w:rFonts w:eastAsia="Times New Roman"/>
                <w:color w:val="000000"/>
                <w:sz w:val="20"/>
                <w:szCs w:val="22"/>
                <w:lang w:val="en-US"/>
              </w:rPr>
            </w:pPr>
            <w:r w:rsidRPr="00503A8E">
              <w:rPr>
                <w:rFonts w:eastAsia="Times New Roman"/>
                <w:color w:val="000000"/>
                <w:sz w:val="20"/>
                <w:szCs w:val="22"/>
                <w:lang w:val="en-US"/>
              </w:rPr>
              <w:t>7,000</w:t>
            </w:r>
          </w:p>
        </w:tc>
        <w:tc>
          <w:tcPr>
            <w:tcW w:w="2178" w:type="dxa"/>
            <w:shd w:val="clear" w:color="000000" w:fill="FFFFFF"/>
            <w:noWrap/>
            <w:vAlign w:val="center"/>
            <w:hideMark/>
          </w:tcPr>
          <w:p w14:paraId="53DB0B8A" w14:textId="5D207410" w:rsidR="004213FF" w:rsidRPr="00503A8E" w:rsidRDefault="004213FF" w:rsidP="00B517B1">
            <w:pPr>
              <w:jc w:val="left"/>
              <w:rPr>
                <w:rFonts w:eastAsia="Times New Roman"/>
                <w:color w:val="000000"/>
                <w:sz w:val="20"/>
                <w:szCs w:val="22"/>
                <w:lang w:val="es-AR"/>
              </w:rPr>
            </w:pPr>
            <w:r w:rsidRPr="00503A8E">
              <w:rPr>
                <w:rFonts w:eastAsia="Times New Roman"/>
                <w:color w:val="000000"/>
                <w:sz w:val="20"/>
                <w:szCs w:val="22"/>
                <w:lang w:val="es-AR"/>
              </w:rPr>
              <w:t>Fondos propios y recursos transaccionales IFD/</w:t>
            </w:r>
            <w:r w:rsidR="003B6E48" w:rsidRPr="00503A8E">
              <w:rPr>
                <w:rFonts w:eastAsia="Times New Roman"/>
                <w:color w:val="000000"/>
                <w:sz w:val="20"/>
                <w:szCs w:val="22"/>
                <w:lang w:val="es-AR"/>
              </w:rPr>
              <w:t>CTI</w:t>
            </w:r>
            <w:r w:rsidR="00DF555C" w:rsidRPr="00503A8E">
              <w:rPr>
                <w:rFonts w:eastAsia="Times New Roman"/>
                <w:color w:val="000000"/>
                <w:sz w:val="20"/>
                <w:szCs w:val="22"/>
                <w:lang w:val="es-AR"/>
              </w:rPr>
              <w:t xml:space="preserve"> junto con IFD/CMF</w:t>
            </w:r>
          </w:p>
        </w:tc>
      </w:tr>
      <w:tr w:rsidR="004213FF" w:rsidRPr="00503A8E" w14:paraId="0E0C261E" w14:textId="77777777" w:rsidTr="00B517B1">
        <w:trPr>
          <w:trHeight w:val="620"/>
          <w:jc w:val="right"/>
        </w:trPr>
        <w:tc>
          <w:tcPr>
            <w:tcW w:w="2844" w:type="dxa"/>
            <w:shd w:val="clear" w:color="000000" w:fill="FFFFFF"/>
            <w:vAlign w:val="center"/>
            <w:hideMark/>
          </w:tcPr>
          <w:p w14:paraId="3592D877" w14:textId="77777777" w:rsidR="004213FF" w:rsidRPr="00503A8E" w:rsidRDefault="004213FF" w:rsidP="00B517B1">
            <w:pPr>
              <w:jc w:val="left"/>
              <w:rPr>
                <w:rFonts w:eastAsia="Times New Roman"/>
                <w:color w:val="000000"/>
                <w:sz w:val="20"/>
                <w:szCs w:val="22"/>
                <w:lang w:val="es-AR"/>
              </w:rPr>
            </w:pPr>
            <w:r w:rsidRPr="00503A8E">
              <w:rPr>
                <w:rFonts w:eastAsia="Times New Roman"/>
                <w:color w:val="000000"/>
                <w:sz w:val="20"/>
                <w:szCs w:val="22"/>
                <w:lang w:val="es-AR"/>
              </w:rPr>
              <w:t>Informe de resultados y actividades de difusión.</w:t>
            </w:r>
          </w:p>
        </w:tc>
        <w:tc>
          <w:tcPr>
            <w:tcW w:w="266" w:type="dxa"/>
            <w:shd w:val="clear" w:color="000000" w:fill="FFFFFF"/>
            <w:noWrap/>
            <w:vAlign w:val="center"/>
            <w:hideMark/>
          </w:tcPr>
          <w:p w14:paraId="5D870D5E" w14:textId="77777777" w:rsidR="004213FF" w:rsidRPr="00503A8E" w:rsidRDefault="004213FF" w:rsidP="00B517B1">
            <w:pPr>
              <w:jc w:val="left"/>
              <w:rPr>
                <w:rFonts w:eastAsia="Times New Roman"/>
                <w:color w:val="000000"/>
                <w:sz w:val="20"/>
                <w:szCs w:val="22"/>
                <w:lang w:val="es-AR"/>
              </w:rPr>
            </w:pPr>
            <w:r w:rsidRPr="00503A8E">
              <w:rPr>
                <w:rFonts w:eastAsia="Times New Roman"/>
                <w:color w:val="000000"/>
                <w:sz w:val="20"/>
                <w:szCs w:val="22"/>
                <w:lang w:val="es-AR"/>
              </w:rPr>
              <w:t> </w:t>
            </w:r>
          </w:p>
        </w:tc>
        <w:tc>
          <w:tcPr>
            <w:tcW w:w="266" w:type="dxa"/>
            <w:shd w:val="clear" w:color="000000" w:fill="FFFFFF"/>
            <w:noWrap/>
            <w:vAlign w:val="center"/>
            <w:hideMark/>
          </w:tcPr>
          <w:p w14:paraId="2118BB92" w14:textId="77777777" w:rsidR="004213FF" w:rsidRPr="00503A8E" w:rsidRDefault="004213FF" w:rsidP="00B517B1">
            <w:pPr>
              <w:jc w:val="left"/>
              <w:rPr>
                <w:rFonts w:eastAsia="Times New Roman"/>
                <w:color w:val="000000"/>
                <w:sz w:val="20"/>
                <w:szCs w:val="22"/>
                <w:lang w:val="es-AR"/>
              </w:rPr>
            </w:pPr>
            <w:r w:rsidRPr="00503A8E">
              <w:rPr>
                <w:rFonts w:eastAsia="Times New Roman"/>
                <w:color w:val="000000"/>
                <w:sz w:val="20"/>
                <w:szCs w:val="22"/>
                <w:lang w:val="es-AR"/>
              </w:rPr>
              <w:t> </w:t>
            </w:r>
          </w:p>
        </w:tc>
        <w:tc>
          <w:tcPr>
            <w:tcW w:w="266" w:type="dxa"/>
            <w:shd w:val="clear" w:color="000000" w:fill="FFFFFF"/>
            <w:noWrap/>
            <w:vAlign w:val="center"/>
            <w:hideMark/>
          </w:tcPr>
          <w:p w14:paraId="4CE0A382" w14:textId="77777777" w:rsidR="004213FF" w:rsidRPr="00503A8E" w:rsidRDefault="004213FF" w:rsidP="00B517B1">
            <w:pPr>
              <w:jc w:val="left"/>
              <w:rPr>
                <w:rFonts w:eastAsia="Times New Roman"/>
                <w:color w:val="000000"/>
                <w:sz w:val="20"/>
                <w:szCs w:val="22"/>
                <w:lang w:val="es-AR"/>
              </w:rPr>
            </w:pPr>
            <w:r w:rsidRPr="00503A8E">
              <w:rPr>
                <w:rFonts w:eastAsia="Times New Roman"/>
                <w:color w:val="000000"/>
                <w:sz w:val="20"/>
                <w:szCs w:val="22"/>
                <w:lang w:val="es-AR"/>
              </w:rPr>
              <w:t> </w:t>
            </w:r>
          </w:p>
        </w:tc>
        <w:tc>
          <w:tcPr>
            <w:tcW w:w="316" w:type="dxa"/>
            <w:shd w:val="clear" w:color="000000" w:fill="FFFFFF"/>
            <w:noWrap/>
            <w:vAlign w:val="center"/>
            <w:hideMark/>
          </w:tcPr>
          <w:p w14:paraId="60ED9967" w14:textId="77777777" w:rsidR="004213FF" w:rsidRPr="00503A8E" w:rsidRDefault="004213FF" w:rsidP="00B517B1">
            <w:pPr>
              <w:jc w:val="left"/>
              <w:rPr>
                <w:rFonts w:eastAsia="Times New Roman"/>
                <w:color w:val="000000"/>
                <w:sz w:val="20"/>
                <w:szCs w:val="22"/>
                <w:lang w:val="es-AR"/>
              </w:rPr>
            </w:pPr>
            <w:r w:rsidRPr="00503A8E">
              <w:rPr>
                <w:rFonts w:eastAsia="Times New Roman"/>
                <w:color w:val="000000"/>
                <w:sz w:val="20"/>
                <w:szCs w:val="22"/>
                <w:lang w:val="es-AR"/>
              </w:rPr>
              <w:t> </w:t>
            </w:r>
          </w:p>
        </w:tc>
        <w:tc>
          <w:tcPr>
            <w:tcW w:w="316" w:type="dxa"/>
            <w:shd w:val="clear" w:color="000000" w:fill="FFFFFF"/>
            <w:noWrap/>
            <w:vAlign w:val="center"/>
            <w:hideMark/>
          </w:tcPr>
          <w:p w14:paraId="1622E2D5" w14:textId="77777777" w:rsidR="004213FF" w:rsidRPr="00503A8E" w:rsidRDefault="004213FF" w:rsidP="00B517B1">
            <w:pPr>
              <w:jc w:val="left"/>
              <w:rPr>
                <w:rFonts w:eastAsia="Times New Roman"/>
                <w:color w:val="000000"/>
                <w:sz w:val="20"/>
                <w:szCs w:val="22"/>
                <w:lang w:val="es-AR"/>
              </w:rPr>
            </w:pPr>
            <w:r w:rsidRPr="00503A8E">
              <w:rPr>
                <w:rFonts w:eastAsia="Times New Roman"/>
                <w:color w:val="000000"/>
                <w:sz w:val="20"/>
                <w:szCs w:val="22"/>
                <w:lang w:val="es-AR"/>
              </w:rPr>
              <w:t> </w:t>
            </w:r>
          </w:p>
        </w:tc>
        <w:tc>
          <w:tcPr>
            <w:tcW w:w="316" w:type="dxa"/>
            <w:shd w:val="clear" w:color="000000" w:fill="FFFFFF"/>
            <w:noWrap/>
            <w:vAlign w:val="center"/>
            <w:hideMark/>
          </w:tcPr>
          <w:p w14:paraId="5364B3C2" w14:textId="77777777" w:rsidR="004213FF" w:rsidRPr="00503A8E" w:rsidRDefault="004213FF" w:rsidP="00B517B1">
            <w:pPr>
              <w:jc w:val="left"/>
              <w:rPr>
                <w:rFonts w:eastAsia="Times New Roman"/>
                <w:color w:val="000000"/>
                <w:sz w:val="20"/>
                <w:szCs w:val="22"/>
                <w:lang w:val="en-US"/>
              </w:rPr>
            </w:pPr>
            <w:r w:rsidRPr="00503A8E">
              <w:rPr>
                <w:rFonts w:eastAsia="Times New Roman"/>
                <w:color w:val="000000"/>
                <w:sz w:val="20"/>
                <w:szCs w:val="22"/>
                <w:lang w:val="en-US"/>
              </w:rPr>
              <w:t>x</w:t>
            </w:r>
          </w:p>
        </w:tc>
        <w:tc>
          <w:tcPr>
            <w:tcW w:w="270" w:type="dxa"/>
            <w:shd w:val="clear" w:color="000000" w:fill="FFFFFF"/>
            <w:noWrap/>
            <w:vAlign w:val="center"/>
            <w:hideMark/>
          </w:tcPr>
          <w:p w14:paraId="59510406" w14:textId="77777777" w:rsidR="004213FF" w:rsidRPr="00503A8E" w:rsidRDefault="004213FF" w:rsidP="00B517B1">
            <w:pPr>
              <w:jc w:val="left"/>
              <w:rPr>
                <w:rFonts w:eastAsia="Times New Roman"/>
                <w:color w:val="000000"/>
                <w:sz w:val="20"/>
                <w:szCs w:val="22"/>
                <w:lang w:val="en-US"/>
              </w:rPr>
            </w:pPr>
            <w:r w:rsidRPr="00503A8E">
              <w:rPr>
                <w:rFonts w:eastAsia="Times New Roman"/>
                <w:color w:val="000000"/>
                <w:sz w:val="20"/>
                <w:szCs w:val="22"/>
                <w:lang w:val="en-US"/>
              </w:rPr>
              <w:t> </w:t>
            </w:r>
          </w:p>
        </w:tc>
        <w:tc>
          <w:tcPr>
            <w:tcW w:w="270" w:type="dxa"/>
            <w:shd w:val="clear" w:color="000000" w:fill="FFFFFF"/>
            <w:noWrap/>
            <w:vAlign w:val="center"/>
            <w:hideMark/>
          </w:tcPr>
          <w:p w14:paraId="14143F43" w14:textId="77777777" w:rsidR="004213FF" w:rsidRPr="00503A8E" w:rsidRDefault="004213FF" w:rsidP="00B517B1">
            <w:pPr>
              <w:jc w:val="left"/>
              <w:rPr>
                <w:rFonts w:eastAsia="Times New Roman"/>
                <w:color w:val="000000"/>
                <w:sz w:val="20"/>
                <w:szCs w:val="22"/>
                <w:lang w:val="en-US"/>
              </w:rPr>
            </w:pPr>
            <w:r w:rsidRPr="00503A8E">
              <w:rPr>
                <w:rFonts w:eastAsia="Times New Roman"/>
                <w:color w:val="000000"/>
                <w:sz w:val="20"/>
                <w:szCs w:val="22"/>
                <w:lang w:val="en-US"/>
              </w:rPr>
              <w:t> </w:t>
            </w:r>
          </w:p>
        </w:tc>
        <w:tc>
          <w:tcPr>
            <w:tcW w:w="720" w:type="dxa"/>
            <w:shd w:val="clear" w:color="000000" w:fill="FFFFFF"/>
            <w:noWrap/>
            <w:vAlign w:val="center"/>
            <w:hideMark/>
          </w:tcPr>
          <w:p w14:paraId="67CBA216" w14:textId="77777777" w:rsidR="004213FF" w:rsidRPr="00503A8E" w:rsidRDefault="004213FF" w:rsidP="00B517B1">
            <w:pPr>
              <w:jc w:val="left"/>
              <w:rPr>
                <w:rFonts w:eastAsia="Times New Roman"/>
                <w:color w:val="000000"/>
                <w:sz w:val="20"/>
                <w:szCs w:val="22"/>
                <w:lang w:val="en-US"/>
              </w:rPr>
            </w:pPr>
            <w:r w:rsidRPr="00503A8E">
              <w:rPr>
                <w:rFonts w:eastAsia="Times New Roman"/>
                <w:color w:val="000000"/>
                <w:sz w:val="20"/>
                <w:szCs w:val="22"/>
                <w:lang w:val="en-US"/>
              </w:rPr>
              <w:t>1,000</w:t>
            </w:r>
          </w:p>
        </w:tc>
        <w:tc>
          <w:tcPr>
            <w:tcW w:w="2178" w:type="dxa"/>
            <w:shd w:val="clear" w:color="000000" w:fill="FFFFFF"/>
            <w:vAlign w:val="center"/>
            <w:hideMark/>
          </w:tcPr>
          <w:p w14:paraId="0A162167" w14:textId="4646D567" w:rsidR="004213FF" w:rsidRPr="00503A8E" w:rsidRDefault="004213FF" w:rsidP="00B517B1">
            <w:pPr>
              <w:jc w:val="left"/>
              <w:rPr>
                <w:rFonts w:eastAsia="Times New Roman"/>
                <w:color w:val="000000"/>
                <w:sz w:val="20"/>
                <w:szCs w:val="22"/>
                <w:lang w:val="es-AR"/>
              </w:rPr>
            </w:pPr>
            <w:r w:rsidRPr="00503A8E">
              <w:rPr>
                <w:rFonts w:eastAsia="Times New Roman"/>
                <w:color w:val="000000"/>
                <w:sz w:val="20"/>
                <w:szCs w:val="22"/>
                <w:lang w:val="es-AR"/>
              </w:rPr>
              <w:t>Fondos propios y recursos transaccionales IFD/</w:t>
            </w:r>
            <w:r w:rsidR="003B6E48" w:rsidRPr="00503A8E">
              <w:rPr>
                <w:rFonts w:eastAsia="Times New Roman"/>
                <w:color w:val="000000"/>
                <w:sz w:val="20"/>
                <w:szCs w:val="22"/>
                <w:lang w:val="es-AR"/>
              </w:rPr>
              <w:t>CTI</w:t>
            </w:r>
            <w:r w:rsidR="00DF555C" w:rsidRPr="00503A8E">
              <w:rPr>
                <w:rFonts w:eastAsia="Times New Roman"/>
                <w:color w:val="000000"/>
                <w:sz w:val="20"/>
                <w:szCs w:val="22"/>
                <w:lang w:val="es-AR"/>
              </w:rPr>
              <w:t xml:space="preserve"> junto con IFD/CMF</w:t>
            </w:r>
          </w:p>
        </w:tc>
      </w:tr>
    </w:tbl>
    <w:p w14:paraId="031EFB22" w14:textId="77777777" w:rsidR="004213FF" w:rsidRPr="00503A8E" w:rsidRDefault="004213FF" w:rsidP="004213FF">
      <w:pPr>
        <w:jc w:val="center"/>
        <w:rPr>
          <w:b/>
          <w:sz w:val="22"/>
          <w:szCs w:val="22"/>
          <w:lang w:val="es-AR"/>
        </w:rPr>
      </w:pPr>
    </w:p>
    <w:p w14:paraId="5694FD99" w14:textId="77777777" w:rsidR="0094517B" w:rsidRPr="00503A8E" w:rsidRDefault="0094517B">
      <w:pPr>
        <w:rPr>
          <w:sz w:val="22"/>
          <w:szCs w:val="22"/>
          <w:lang w:val="es-AR"/>
        </w:rPr>
      </w:pPr>
    </w:p>
    <w:sectPr w:rsidR="0094517B" w:rsidRPr="00503A8E" w:rsidSect="00B517B1">
      <w:type w:val="continuous"/>
      <w:pgSz w:w="12240" w:h="15840" w:code="1"/>
      <w:pgMar w:top="1440" w:right="1800" w:bottom="144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92E00F" w14:textId="77777777" w:rsidR="00F6733C" w:rsidRDefault="00F6733C" w:rsidP="004213FF">
      <w:r>
        <w:separator/>
      </w:r>
    </w:p>
  </w:endnote>
  <w:endnote w:type="continuationSeparator" w:id="0">
    <w:p w14:paraId="2863AFEC" w14:textId="77777777" w:rsidR="00F6733C" w:rsidRDefault="00F6733C" w:rsidP="00421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A1B5EE" w14:textId="77777777" w:rsidR="00F6733C" w:rsidRDefault="00F6733C" w:rsidP="004213FF">
      <w:r>
        <w:separator/>
      </w:r>
    </w:p>
  </w:footnote>
  <w:footnote w:type="continuationSeparator" w:id="0">
    <w:p w14:paraId="3B78D438" w14:textId="77777777" w:rsidR="00F6733C" w:rsidRDefault="00F6733C" w:rsidP="004213FF">
      <w:r>
        <w:continuationSeparator/>
      </w:r>
    </w:p>
  </w:footnote>
  <w:footnote w:id="1">
    <w:p w14:paraId="01AC24CC" w14:textId="77777777" w:rsidR="00993426" w:rsidRPr="00503A8E" w:rsidRDefault="00993426" w:rsidP="00206E32">
      <w:pPr>
        <w:pStyle w:val="FootnoteText"/>
        <w:spacing w:after="0"/>
        <w:ind w:left="180" w:hanging="180"/>
        <w:rPr>
          <w:rFonts w:ascii="Arial" w:hAnsi="Arial"/>
          <w:sz w:val="18"/>
          <w:szCs w:val="18"/>
        </w:rPr>
      </w:pPr>
      <w:r w:rsidRPr="00503A8E">
        <w:rPr>
          <w:rStyle w:val="FootnoteReference"/>
          <w:rFonts w:ascii="Arial" w:hAnsi="Arial"/>
          <w:spacing w:val="0"/>
          <w:sz w:val="18"/>
          <w:szCs w:val="18"/>
        </w:rPr>
        <w:footnoteRef/>
      </w:r>
      <w:r w:rsidRPr="00503A8E">
        <w:rPr>
          <w:rFonts w:ascii="Arial" w:hAnsi="Arial"/>
          <w:sz w:val="18"/>
          <w:szCs w:val="18"/>
        </w:rPr>
        <w:t xml:space="preserve"> </w:t>
      </w:r>
      <w:r w:rsidRPr="00503A8E">
        <w:rPr>
          <w:rFonts w:ascii="Arial" w:hAnsi="Arial"/>
          <w:sz w:val="18"/>
          <w:szCs w:val="18"/>
        </w:rPr>
        <w:tab/>
        <w:t xml:space="preserve">Datos en base a </w:t>
      </w:r>
      <w:bookmarkStart w:id="3" w:name="_Hlk485294757"/>
      <w:r w:rsidRPr="00503A8E">
        <w:rPr>
          <w:rFonts w:ascii="Arial" w:hAnsi="Arial"/>
          <w:sz w:val="18"/>
          <w:szCs w:val="18"/>
        </w:rPr>
        <w:t xml:space="preserve">Fondo Monetario Internacional (FMI), Artículo IV para República Dominicana, 2017 </w:t>
      </w:r>
      <w:bookmarkEnd w:id="3"/>
      <w:r w:rsidRPr="00503A8E">
        <w:rPr>
          <w:rFonts w:ascii="Arial" w:hAnsi="Arial"/>
          <w:sz w:val="18"/>
          <w:szCs w:val="18"/>
        </w:rPr>
        <w:t xml:space="preserve">y </w:t>
      </w:r>
      <w:r w:rsidRPr="00503A8E">
        <w:rPr>
          <w:rFonts w:ascii="Arial" w:hAnsi="Arial"/>
          <w:i/>
          <w:sz w:val="18"/>
          <w:szCs w:val="18"/>
        </w:rPr>
        <w:t>World Economic Outlook</w:t>
      </w:r>
      <w:r w:rsidRPr="00503A8E">
        <w:rPr>
          <w:rFonts w:ascii="Arial" w:hAnsi="Arial"/>
          <w:sz w:val="18"/>
          <w:szCs w:val="18"/>
        </w:rPr>
        <w:t xml:space="preserve"> (WEO).</w:t>
      </w:r>
    </w:p>
  </w:footnote>
  <w:footnote w:id="2">
    <w:p w14:paraId="440C55D7" w14:textId="77777777" w:rsidR="00993426" w:rsidRPr="00503A8E" w:rsidRDefault="00993426" w:rsidP="00206E32">
      <w:pPr>
        <w:ind w:left="180" w:hanging="180"/>
        <w:rPr>
          <w:sz w:val="18"/>
          <w:szCs w:val="18"/>
        </w:rPr>
      </w:pPr>
      <w:r w:rsidRPr="00503A8E">
        <w:rPr>
          <w:rStyle w:val="FootnoteReference"/>
          <w:sz w:val="18"/>
          <w:szCs w:val="18"/>
        </w:rPr>
        <w:footnoteRef/>
      </w:r>
      <w:r w:rsidRPr="00503A8E">
        <w:rPr>
          <w:sz w:val="18"/>
          <w:szCs w:val="18"/>
        </w:rPr>
        <w:t xml:space="preserve"> </w:t>
      </w:r>
      <w:r w:rsidRPr="00503A8E">
        <w:rPr>
          <w:sz w:val="18"/>
          <w:szCs w:val="18"/>
        </w:rPr>
        <w:tab/>
        <w:t xml:space="preserve">Únicamente por detrás de Panamá y Chile. </w:t>
      </w:r>
    </w:p>
  </w:footnote>
  <w:footnote w:id="3">
    <w:p w14:paraId="2845E7A2" w14:textId="0367C34D" w:rsidR="00993426" w:rsidRPr="00503A8E" w:rsidRDefault="00993426" w:rsidP="00206E32">
      <w:pPr>
        <w:pStyle w:val="FootnoteText"/>
        <w:spacing w:after="0"/>
        <w:ind w:left="180" w:hanging="180"/>
        <w:rPr>
          <w:rFonts w:ascii="Arial" w:hAnsi="Arial"/>
          <w:sz w:val="18"/>
          <w:szCs w:val="18"/>
          <w:lang w:val="es-ES_tradnl"/>
        </w:rPr>
      </w:pPr>
      <w:r w:rsidRPr="00503A8E">
        <w:rPr>
          <w:rStyle w:val="FootnoteReference"/>
          <w:rFonts w:ascii="Arial" w:hAnsi="Arial"/>
          <w:spacing w:val="0"/>
          <w:sz w:val="18"/>
          <w:szCs w:val="18"/>
        </w:rPr>
        <w:footnoteRef/>
      </w:r>
      <w:r w:rsidRPr="00503A8E">
        <w:rPr>
          <w:rFonts w:ascii="Arial" w:hAnsi="Arial"/>
          <w:sz w:val="18"/>
          <w:szCs w:val="18"/>
        </w:rPr>
        <w:t xml:space="preserve"> </w:t>
      </w:r>
      <w:r w:rsidRPr="00503A8E">
        <w:rPr>
          <w:rFonts w:ascii="Arial" w:hAnsi="Arial"/>
          <w:sz w:val="18"/>
          <w:szCs w:val="18"/>
        </w:rPr>
        <w:tab/>
        <w:t xml:space="preserve">Véase Johnson, C. 2013. </w:t>
      </w:r>
      <w:hyperlink r:id="rId1" w:history="1">
        <w:r w:rsidRPr="00503A8E">
          <w:rPr>
            <w:rStyle w:val="Hyperlink"/>
            <w:rFonts w:ascii="Arial" w:hAnsi="Arial" w:cs="Arial"/>
            <w:i/>
            <w:sz w:val="18"/>
            <w:szCs w:val="18"/>
            <w:lang w:val="es-ES_tradnl"/>
          </w:rPr>
          <w:t>Potential Output and Output Gap in Central America, Panama and Dominican Republic,</w:t>
        </w:r>
      </w:hyperlink>
      <w:r w:rsidRPr="00503A8E">
        <w:rPr>
          <w:rFonts w:ascii="Arial" w:hAnsi="Arial"/>
          <w:sz w:val="18"/>
          <w:szCs w:val="18"/>
          <w:lang w:val="es-ES_tradnl"/>
        </w:rPr>
        <w:t xml:space="preserve"> IMF WP13/145, y Fondo Monetario Internacional (FMI), Artículo IV para República Dominicana, 2017.  </w:t>
      </w:r>
    </w:p>
  </w:footnote>
  <w:footnote w:id="4">
    <w:p w14:paraId="1CD40A1F" w14:textId="77777777" w:rsidR="00993426" w:rsidRPr="00503A8E" w:rsidRDefault="00993426" w:rsidP="00206E32">
      <w:pPr>
        <w:pStyle w:val="FootnoteText"/>
        <w:spacing w:after="0"/>
        <w:rPr>
          <w:rFonts w:ascii="Arial" w:hAnsi="Arial"/>
          <w:sz w:val="18"/>
          <w:szCs w:val="18"/>
          <w:lang w:val="es-ES_tradnl"/>
        </w:rPr>
      </w:pPr>
      <w:r w:rsidRPr="00503A8E">
        <w:rPr>
          <w:rStyle w:val="FootnoteReference"/>
          <w:rFonts w:ascii="Arial" w:hAnsi="Arial"/>
          <w:spacing w:val="0"/>
          <w:sz w:val="18"/>
          <w:szCs w:val="18"/>
        </w:rPr>
        <w:footnoteRef/>
      </w:r>
      <w:r w:rsidRPr="00503A8E">
        <w:rPr>
          <w:rFonts w:ascii="Arial" w:hAnsi="Arial"/>
          <w:sz w:val="18"/>
          <w:szCs w:val="18"/>
          <w:lang w:val="es-ES_tradnl"/>
        </w:rPr>
        <w:t xml:space="preserve">  Ver FMI, Artículo IV para República Dominicana, 2017.</w:t>
      </w:r>
    </w:p>
  </w:footnote>
  <w:footnote w:id="5">
    <w:p w14:paraId="6AB30433" w14:textId="4424F3C7" w:rsidR="00993426" w:rsidRPr="00A8648F" w:rsidRDefault="00993426" w:rsidP="004213FF">
      <w:pPr>
        <w:pStyle w:val="FootnoteText"/>
        <w:spacing w:after="0"/>
        <w:ind w:left="180" w:hanging="180"/>
        <w:rPr>
          <w:sz w:val="20"/>
          <w:szCs w:val="20"/>
          <w:lang w:val="en-US"/>
        </w:rPr>
      </w:pPr>
      <w:r w:rsidRPr="00503A8E">
        <w:rPr>
          <w:rStyle w:val="FootnoteReference"/>
          <w:rFonts w:ascii="Arial" w:hAnsi="Arial"/>
          <w:spacing w:val="0"/>
          <w:sz w:val="18"/>
          <w:szCs w:val="18"/>
        </w:rPr>
        <w:footnoteRef/>
      </w:r>
      <w:r w:rsidRPr="00503A8E">
        <w:rPr>
          <w:rStyle w:val="FootnoteReference"/>
          <w:rFonts w:ascii="Arial" w:hAnsi="Arial"/>
          <w:spacing w:val="0"/>
          <w:sz w:val="18"/>
          <w:szCs w:val="18"/>
        </w:rPr>
        <w:t xml:space="preserve"> </w:t>
      </w:r>
      <w:r w:rsidRPr="00503A8E">
        <w:rPr>
          <w:rFonts w:ascii="Arial" w:hAnsi="Arial"/>
          <w:sz w:val="18"/>
          <w:szCs w:val="18"/>
        </w:rPr>
        <w:tab/>
      </w:r>
      <w:r w:rsidRPr="00503A8E">
        <w:rPr>
          <w:rFonts w:ascii="Arial" w:hAnsi="Arial"/>
          <w:sz w:val="18"/>
          <w:szCs w:val="18"/>
          <w:lang w:val="es-ES_tradnl"/>
        </w:rPr>
        <w:t xml:space="preserve">Véase por ejemplo FMI, Artículo, IV, 2017; </w:t>
      </w:r>
      <w:hyperlink r:id="rId2" w:anchor="firm-characteristics" w:history="1">
        <w:r w:rsidRPr="00503A8E">
          <w:rPr>
            <w:rFonts w:ascii="Arial" w:hAnsi="Arial"/>
            <w:i/>
            <w:sz w:val="18"/>
            <w:szCs w:val="18"/>
            <w:lang w:val="es-ES_tradnl"/>
          </w:rPr>
          <w:t>Enterprise Surveys</w:t>
        </w:r>
      </w:hyperlink>
      <w:r w:rsidRPr="00503A8E">
        <w:rPr>
          <w:rFonts w:ascii="Arial" w:hAnsi="Arial"/>
          <w:sz w:val="18"/>
          <w:szCs w:val="18"/>
          <w:lang w:val="es-ES_tradnl"/>
        </w:rPr>
        <w:t xml:space="preserve">, 2016; y Op. </w:t>
      </w:r>
      <w:r w:rsidRPr="00503A8E">
        <w:rPr>
          <w:rFonts w:ascii="Arial" w:hAnsi="Arial"/>
          <w:sz w:val="18"/>
          <w:szCs w:val="18"/>
          <w:lang w:val="en-US"/>
        </w:rPr>
        <w:t>Cit. 6.</w:t>
      </w:r>
      <w:r w:rsidRPr="00A8648F">
        <w:rPr>
          <w:sz w:val="20"/>
          <w:szCs w:val="20"/>
          <w:lang w:val="en-US"/>
        </w:rPr>
        <w:t xml:space="preserve"> </w:t>
      </w:r>
    </w:p>
  </w:footnote>
  <w:footnote w:id="6">
    <w:p w14:paraId="70B518A7" w14:textId="2024317B" w:rsidR="00993426" w:rsidRPr="00503A8E" w:rsidRDefault="00993426" w:rsidP="00C1043D">
      <w:pPr>
        <w:pStyle w:val="FootnoteText"/>
        <w:spacing w:after="0"/>
        <w:ind w:left="180" w:hanging="180"/>
        <w:rPr>
          <w:rFonts w:ascii="Arial" w:hAnsi="Arial"/>
          <w:sz w:val="18"/>
          <w:szCs w:val="20"/>
          <w:lang w:val="en-US"/>
        </w:rPr>
      </w:pPr>
      <w:r w:rsidRPr="00503A8E">
        <w:rPr>
          <w:rStyle w:val="FootnoteReference"/>
          <w:rFonts w:ascii="Arial" w:hAnsi="Arial"/>
          <w:sz w:val="18"/>
          <w:szCs w:val="20"/>
        </w:rPr>
        <w:footnoteRef/>
      </w:r>
      <w:r w:rsidRPr="00503A8E">
        <w:rPr>
          <w:rFonts w:ascii="Arial" w:hAnsi="Arial"/>
          <w:sz w:val="18"/>
          <w:szCs w:val="20"/>
          <w:lang w:val="en-US"/>
        </w:rPr>
        <w:t xml:space="preserve"> </w:t>
      </w:r>
      <w:r w:rsidRPr="00503A8E">
        <w:rPr>
          <w:rFonts w:ascii="Arial" w:hAnsi="Arial"/>
          <w:sz w:val="18"/>
          <w:szCs w:val="20"/>
          <w:lang w:val="en-US"/>
        </w:rPr>
        <w:tab/>
        <w:t xml:space="preserve">Swiston, A. y Barrot, Luis Diego. </w:t>
      </w:r>
      <w:r w:rsidRPr="00503A8E">
        <w:rPr>
          <w:rFonts w:ascii="Arial" w:hAnsi="Arial"/>
          <w:i/>
          <w:sz w:val="18"/>
          <w:szCs w:val="20"/>
          <w:lang w:val="en-US"/>
        </w:rPr>
        <w:t>The Role of Structural Reforms in Raising Economic Growth in Central America</w:t>
      </w:r>
      <w:r w:rsidRPr="00503A8E">
        <w:rPr>
          <w:rFonts w:ascii="Arial" w:hAnsi="Arial"/>
          <w:sz w:val="18"/>
          <w:szCs w:val="20"/>
          <w:lang w:val="en-US"/>
        </w:rPr>
        <w:t xml:space="preserve">. IMF Working Paper. WP/11/248. Véase también IMF, 2017. </w:t>
      </w:r>
      <w:r w:rsidRPr="00503A8E">
        <w:rPr>
          <w:rFonts w:ascii="Arial" w:hAnsi="Arial"/>
          <w:i/>
          <w:sz w:val="18"/>
          <w:szCs w:val="20"/>
          <w:lang w:val="en-US"/>
        </w:rPr>
        <w:t>Artículo IV</w:t>
      </w:r>
      <w:r w:rsidRPr="00503A8E">
        <w:rPr>
          <w:rFonts w:ascii="Arial" w:hAnsi="Arial"/>
          <w:sz w:val="18"/>
          <w:szCs w:val="20"/>
          <w:lang w:val="en-US"/>
        </w:rPr>
        <w:t>, Selected Issues.</w:t>
      </w:r>
    </w:p>
  </w:footnote>
  <w:footnote w:id="7">
    <w:p w14:paraId="6E7FAFBB" w14:textId="32BF9ECD" w:rsidR="00993426" w:rsidRPr="00503A8E" w:rsidRDefault="00993426" w:rsidP="00C1043D">
      <w:pPr>
        <w:pStyle w:val="FootnoteText"/>
        <w:spacing w:after="0"/>
        <w:ind w:left="180" w:hanging="180"/>
        <w:rPr>
          <w:rFonts w:ascii="Arial" w:hAnsi="Arial"/>
          <w:sz w:val="20"/>
          <w:szCs w:val="20"/>
          <w:lang w:val="es-ES_tradnl"/>
        </w:rPr>
      </w:pPr>
      <w:r w:rsidRPr="00503A8E">
        <w:rPr>
          <w:rStyle w:val="FootnoteReference"/>
          <w:rFonts w:ascii="Arial" w:hAnsi="Arial"/>
          <w:sz w:val="18"/>
          <w:szCs w:val="20"/>
        </w:rPr>
        <w:footnoteRef/>
      </w:r>
      <w:r w:rsidRPr="00503A8E">
        <w:rPr>
          <w:rFonts w:ascii="Arial" w:hAnsi="Arial"/>
          <w:sz w:val="18"/>
          <w:szCs w:val="20"/>
          <w:lang w:val="es-ES_tradnl"/>
        </w:rPr>
        <w:t xml:space="preserve">  Dado que estas consideraciones ya han sido realizadas en mayor detalle en el anexo de análisis económico se presenta aquí una versión esquemática y reducida de la misma. Para mayor detalle ver anexo de costo- beneficio.</w:t>
      </w:r>
    </w:p>
  </w:footnote>
  <w:footnote w:id="8">
    <w:p w14:paraId="33859CE2" w14:textId="77777777" w:rsidR="00993426" w:rsidRPr="00503A8E" w:rsidRDefault="00993426" w:rsidP="00C1043D">
      <w:pPr>
        <w:pStyle w:val="FootnoteText"/>
        <w:spacing w:after="0"/>
        <w:ind w:left="180" w:hanging="180"/>
        <w:rPr>
          <w:rFonts w:ascii="Arial" w:hAnsi="Arial"/>
          <w:sz w:val="18"/>
          <w:szCs w:val="20"/>
          <w:lang w:val="es-ES_tradnl"/>
        </w:rPr>
      </w:pPr>
      <w:r w:rsidRPr="00503A8E">
        <w:rPr>
          <w:rStyle w:val="FootnoteReference"/>
          <w:rFonts w:ascii="Arial" w:hAnsi="Arial"/>
          <w:sz w:val="18"/>
          <w:szCs w:val="20"/>
        </w:rPr>
        <w:footnoteRef/>
      </w:r>
      <w:r w:rsidRPr="00503A8E">
        <w:rPr>
          <w:rFonts w:ascii="Arial" w:hAnsi="Arial"/>
          <w:sz w:val="18"/>
          <w:szCs w:val="20"/>
        </w:rPr>
        <w:t xml:space="preserve"> </w:t>
      </w:r>
      <w:r w:rsidRPr="00503A8E">
        <w:rPr>
          <w:rFonts w:ascii="Arial" w:hAnsi="Arial"/>
          <w:sz w:val="18"/>
          <w:szCs w:val="20"/>
          <w:lang w:val="es-ES_tradnl"/>
        </w:rPr>
        <w:t>Cabe recordar aquí que la riqueza de los modelos de equilibrio general viene a costa de su complejidad computacional, y que aumentar la complejidad del modelo resulta en aumentos substanciales en la dificultad de encontrar soluciones numéricas a los mismos, por lo que no son una solución inmediata a los problemas ya discutidos.</w:t>
      </w:r>
    </w:p>
  </w:footnote>
  <w:footnote w:id="9">
    <w:p w14:paraId="27E05EFF" w14:textId="28E61961" w:rsidR="00993426" w:rsidRPr="00503A8E" w:rsidRDefault="00993426" w:rsidP="00C1043D">
      <w:pPr>
        <w:pStyle w:val="FootnoteText"/>
        <w:spacing w:after="0"/>
        <w:ind w:left="180" w:hanging="180"/>
        <w:rPr>
          <w:rFonts w:ascii="Arial" w:hAnsi="Arial"/>
          <w:sz w:val="18"/>
          <w:szCs w:val="20"/>
          <w:lang w:val="en-US"/>
        </w:rPr>
      </w:pPr>
      <w:r w:rsidRPr="00503A8E">
        <w:rPr>
          <w:rStyle w:val="FootnoteReference"/>
          <w:rFonts w:ascii="Arial" w:hAnsi="Arial"/>
          <w:sz w:val="18"/>
          <w:szCs w:val="20"/>
        </w:rPr>
        <w:footnoteRef/>
      </w:r>
      <w:r w:rsidRPr="00503A8E">
        <w:rPr>
          <w:rFonts w:ascii="Arial" w:hAnsi="Arial"/>
          <w:sz w:val="18"/>
          <w:szCs w:val="20"/>
          <w:lang w:val="en-US"/>
        </w:rPr>
        <w:t xml:space="preserve"> </w:t>
      </w:r>
      <w:r>
        <w:rPr>
          <w:rFonts w:ascii="Arial" w:hAnsi="Arial"/>
          <w:sz w:val="18"/>
          <w:szCs w:val="20"/>
          <w:lang w:val="en-US"/>
        </w:rPr>
        <w:t xml:space="preserve">  </w:t>
      </w:r>
      <w:r w:rsidRPr="00503A8E">
        <w:rPr>
          <w:rFonts w:ascii="Arial" w:hAnsi="Arial"/>
          <w:sz w:val="18"/>
          <w:szCs w:val="20"/>
          <w:lang w:val="en-US"/>
        </w:rPr>
        <w:t>Buera, Francisco J., Joseph P. Kaboski, and Yongseok Shin</w:t>
      </w:r>
      <w:r w:rsidRPr="00503A8E">
        <w:rPr>
          <w:rFonts w:ascii="Arial" w:hAnsi="Arial"/>
          <w:i/>
          <w:sz w:val="18"/>
          <w:szCs w:val="20"/>
          <w:lang w:val="en-US"/>
        </w:rPr>
        <w:t>. Finance and Development: A Tale of Two Sectors.</w:t>
      </w:r>
      <w:r w:rsidRPr="00503A8E">
        <w:rPr>
          <w:rFonts w:ascii="Arial" w:hAnsi="Arial"/>
          <w:sz w:val="18"/>
          <w:szCs w:val="20"/>
          <w:lang w:val="en-US"/>
        </w:rPr>
        <w:t xml:space="preserve"> American Economic Review 101.5: 1964-2002, 2011</w:t>
      </w:r>
    </w:p>
  </w:footnote>
  <w:footnote w:id="10">
    <w:p w14:paraId="65A92EC2" w14:textId="7854FAA5" w:rsidR="00993426" w:rsidRPr="00503A8E" w:rsidRDefault="00993426" w:rsidP="00C1043D">
      <w:pPr>
        <w:pStyle w:val="FootnoteText"/>
        <w:spacing w:after="0"/>
        <w:ind w:left="180" w:hanging="180"/>
        <w:rPr>
          <w:sz w:val="20"/>
          <w:szCs w:val="20"/>
          <w:lang w:val="en-US"/>
        </w:rPr>
      </w:pPr>
      <w:r w:rsidRPr="00503A8E">
        <w:rPr>
          <w:rStyle w:val="FootnoteReference"/>
          <w:rFonts w:ascii="Arial" w:hAnsi="Arial"/>
          <w:sz w:val="18"/>
          <w:szCs w:val="20"/>
        </w:rPr>
        <w:footnoteRef/>
      </w:r>
      <w:r w:rsidRPr="00503A8E">
        <w:rPr>
          <w:rFonts w:ascii="Arial" w:hAnsi="Arial"/>
          <w:sz w:val="18"/>
          <w:szCs w:val="20"/>
          <w:lang w:val="en-US"/>
        </w:rPr>
        <w:t xml:space="preserve"> </w:t>
      </w:r>
      <w:r>
        <w:rPr>
          <w:rFonts w:ascii="Arial" w:hAnsi="Arial"/>
          <w:sz w:val="18"/>
          <w:szCs w:val="20"/>
          <w:lang w:val="en-US"/>
        </w:rPr>
        <w:t xml:space="preserve"> </w:t>
      </w:r>
      <w:r w:rsidRPr="00503A8E">
        <w:rPr>
          <w:rFonts w:ascii="Arial" w:hAnsi="Arial"/>
          <w:sz w:val="18"/>
          <w:szCs w:val="20"/>
          <w:lang w:val="en-US"/>
        </w:rPr>
        <w:t xml:space="preserve">Greenwood, Jeremy, Juan M. Sanchez, and Cheng Wang. </w:t>
      </w:r>
      <w:r w:rsidRPr="00503A8E">
        <w:rPr>
          <w:rFonts w:ascii="Arial" w:hAnsi="Arial"/>
          <w:i/>
          <w:sz w:val="18"/>
          <w:szCs w:val="20"/>
          <w:lang w:val="en-US"/>
        </w:rPr>
        <w:t>Quantifying the impact of financial development on economic development</w:t>
      </w:r>
      <w:r w:rsidRPr="00503A8E">
        <w:rPr>
          <w:rFonts w:ascii="Arial" w:hAnsi="Arial"/>
          <w:sz w:val="18"/>
          <w:szCs w:val="20"/>
          <w:lang w:val="en-US"/>
        </w:rPr>
        <w:t>. Review of Economic Dynamics 16.1: 194-215, 2013</w:t>
      </w:r>
    </w:p>
  </w:footnote>
  <w:footnote w:id="11">
    <w:p w14:paraId="2673A551" w14:textId="12055EF9" w:rsidR="00993426" w:rsidRPr="00503A8E" w:rsidRDefault="00993426" w:rsidP="00C1043D">
      <w:pPr>
        <w:pStyle w:val="FootnoteText"/>
        <w:spacing w:after="0"/>
        <w:ind w:left="180" w:hanging="180"/>
        <w:rPr>
          <w:rFonts w:ascii="Arial" w:hAnsi="Arial"/>
          <w:sz w:val="18"/>
          <w:szCs w:val="20"/>
          <w:lang w:val="en-US"/>
        </w:rPr>
      </w:pPr>
      <w:r w:rsidRPr="00503A8E">
        <w:rPr>
          <w:rStyle w:val="FootnoteReference"/>
          <w:rFonts w:ascii="Arial" w:hAnsi="Arial"/>
          <w:sz w:val="18"/>
          <w:szCs w:val="20"/>
        </w:rPr>
        <w:footnoteRef/>
      </w:r>
      <w:r w:rsidRPr="00503A8E">
        <w:rPr>
          <w:rFonts w:ascii="Arial" w:hAnsi="Arial"/>
          <w:sz w:val="18"/>
          <w:szCs w:val="20"/>
          <w:lang w:val="en-US"/>
        </w:rPr>
        <w:t xml:space="preserve"> D'Erasmo, Pablo N. </w:t>
      </w:r>
      <w:r w:rsidRPr="00503A8E">
        <w:rPr>
          <w:rFonts w:ascii="Arial" w:hAnsi="Arial"/>
          <w:i/>
          <w:sz w:val="18"/>
          <w:szCs w:val="20"/>
          <w:lang w:val="en-US"/>
        </w:rPr>
        <w:t>Access to Credit and the Size of the Formal Sector in Brazil</w:t>
      </w:r>
      <w:r w:rsidRPr="00503A8E">
        <w:rPr>
          <w:rFonts w:ascii="Arial" w:hAnsi="Arial"/>
          <w:sz w:val="18"/>
          <w:szCs w:val="20"/>
          <w:lang w:val="en-US"/>
        </w:rPr>
        <w:t>, 2013.</w:t>
      </w:r>
    </w:p>
  </w:footnote>
  <w:footnote w:id="12">
    <w:p w14:paraId="3C14B7C7" w14:textId="77777777" w:rsidR="00993426" w:rsidRPr="00503A8E" w:rsidRDefault="00993426" w:rsidP="00C1043D">
      <w:pPr>
        <w:pStyle w:val="FootnoteText"/>
        <w:spacing w:after="0"/>
        <w:ind w:left="180" w:hanging="180"/>
        <w:rPr>
          <w:rFonts w:ascii="Arial" w:hAnsi="Arial"/>
          <w:i/>
          <w:sz w:val="18"/>
          <w:szCs w:val="20"/>
          <w:lang w:val="es-ES_tradnl"/>
        </w:rPr>
      </w:pPr>
      <w:r w:rsidRPr="00503A8E">
        <w:rPr>
          <w:rStyle w:val="FootnoteReference"/>
          <w:rFonts w:ascii="Arial" w:hAnsi="Arial"/>
          <w:sz w:val="18"/>
          <w:szCs w:val="20"/>
        </w:rPr>
        <w:footnoteRef/>
      </w:r>
      <w:r w:rsidRPr="00503A8E">
        <w:rPr>
          <w:rFonts w:ascii="Arial" w:hAnsi="Arial"/>
          <w:sz w:val="18"/>
          <w:szCs w:val="20"/>
          <w:lang w:val="pt-BR"/>
        </w:rPr>
        <w:t xml:space="preserve"> </w:t>
      </w:r>
      <w:r>
        <w:rPr>
          <w:rFonts w:ascii="Arial" w:hAnsi="Arial"/>
          <w:sz w:val="18"/>
          <w:szCs w:val="20"/>
          <w:lang w:val="pt-BR"/>
        </w:rPr>
        <w:t xml:space="preserve"> </w:t>
      </w:r>
      <w:r w:rsidRPr="00503A8E">
        <w:rPr>
          <w:rFonts w:ascii="Arial" w:hAnsi="Arial"/>
          <w:sz w:val="18"/>
          <w:szCs w:val="20"/>
          <w:lang w:val="pt-BR"/>
        </w:rPr>
        <w:t xml:space="preserve">D’Erasmo, P., and H.J. Moscoso Boedo. </w:t>
      </w:r>
      <w:r w:rsidRPr="00503A8E">
        <w:rPr>
          <w:rFonts w:ascii="Arial" w:hAnsi="Arial"/>
          <w:i/>
          <w:sz w:val="18"/>
          <w:szCs w:val="20"/>
          <w:lang w:val="en-US"/>
        </w:rPr>
        <w:t>Financial Structure, Informality, and Development</w:t>
      </w:r>
      <w:r w:rsidRPr="00503A8E">
        <w:rPr>
          <w:rFonts w:ascii="Arial" w:hAnsi="Arial"/>
          <w:sz w:val="18"/>
          <w:szCs w:val="20"/>
          <w:lang w:val="en-US"/>
        </w:rPr>
        <w:t xml:space="preserve">. </w:t>
      </w:r>
      <w:r w:rsidRPr="00503A8E">
        <w:rPr>
          <w:rFonts w:ascii="Arial" w:hAnsi="Arial"/>
          <w:i/>
          <w:sz w:val="18"/>
          <w:szCs w:val="20"/>
          <w:lang w:val="es-ES_tradnl"/>
        </w:rPr>
        <w:t xml:space="preserve">Journal of Monetary  </w:t>
      </w:r>
    </w:p>
    <w:p w14:paraId="3D99C9ED" w14:textId="235CC534" w:rsidR="00993426" w:rsidRPr="00503A8E" w:rsidRDefault="00993426" w:rsidP="00C1043D">
      <w:pPr>
        <w:pStyle w:val="FootnoteText"/>
        <w:spacing w:after="0"/>
        <w:ind w:left="180" w:hanging="180"/>
        <w:rPr>
          <w:rFonts w:ascii="Arial" w:hAnsi="Arial"/>
          <w:i/>
          <w:sz w:val="18"/>
          <w:szCs w:val="20"/>
          <w:lang w:val="es-ES_tradnl"/>
        </w:rPr>
      </w:pPr>
      <w:r w:rsidRPr="00503A8E">
        <w:rPr>
          <w:rFonts w:ascii="Arial" w:hAnsi="Arial"/>
          <w:i/>
          <w:sz w:val="18"/>
          <w:szCs w:val="20"/>
          <w:lang w:val="es-ES_tradnl"/>
        </w:rPr>
        <w:t xml:space="preserve">     Economics 59(3): 286-302, 2012</w:t>
      </w:r>
    </w:p>
  </w:footnote>
  <w:footnote w:id="13">
    <w:p w14:paraId="72FDC1CC" w14:textId="36CAF396" w:rsidR="00993426" w:rsidRDefault="00993426" w:rsidP="00C1043D">
      <w:pPr>
        <w:pStyle w:val="FootnoteText"/>
        <w:spacing w:after="0"/>
        <w:ind w:left="180" w:hanging="180"/>
        <w:rPr>
          <w:rFonts w:ascii="Arial" w:hAnsi="Arial"/>
          <w:sz w:val="18"/>
          <w:szCs w:val="20"/>
          <w:lang w:val="es-ES_tradnl"/>
        </w:rPr>
      </w:pPr>
      <w:r w:rsidRPr="00503A8E">
        <w:rPr>
          <w:rStyle w:val="FootnoteReference"/>
          <w:rFonts w:ascii="Arial" w:hAnsi="Arial"/>
          <w:sz w:val="18"/>
          <w:szCs w:val="20"/>
        </w:rPr>
        <w:footnoteRef/>
      </w:r>
      <w:r w:rsidRPr="00503A8E">
        <w:rPr>
          <w:rFonts w:ascii="Arial" w:hAnsi="Arial"/>
          <w:sz w:val="18"/>
          <w:szCs w:val="20"/>
          <w:lang w:val="es-ES_tradnl"/>
        </w:rPr>
        <w:t xml:space="preserve"> </w:t>
      </w:r>
      <w:r>
        <w:rPr>
          <w:rFonts w:ascii="Arial" w:hAnsi="Arial"/>
          <w:sz w:val="18"/>
          <w:szCs w:val="20"/>
          <w:lang w:val="es-ES_tradnl"/>
        </w:rPr>
        <w:t xml:space="preserve"> </w:t>
      </w:r>
      <w:r w:rsidRPr="00503A8E">
        <w:rPr>
          <w:rFonts w:ascii="Arial" w:hAnsi="Arial"/>
          <w:sz w:val="18"/>
          <w:szCs w:val="20"/>
          <w:lang w:val="es-ES_tradnl"/>
        </w:rPr>
        <w:t xml:space="preserve">Cabe insistirse en el punto de que la calibración se hará con referencia a los procesos estocásticos </w:t>
      </w:r>
      <w:r>
        <w:rPr>
          <w:rFonts w:ascii="Arial" w:hAnsi="Arial"/>
          <w:sz w:val="18"/>
          <w:szCs w:val="20"/>
          <w:lang w:val="es-ES_tradnl"/>
        </w:rPr>
        <w:t xml:space="preserve"> </w:t>
      </w:r>
    </w:p>
    <w:p w14:paraId="4FE45719" w14:textId="484DC269" w:rsidR="00993426" w:rsidRPr="00503A8E" w:rsidRDefault="00993426" w:rsidP="00C1043D">
      <w:pPr>
        <w:pStyle w:val="FootnoteText"/>
        <w:spacing w:after="0"/>
        <w:ind w:left="180" w:hanging="180"/>
        <w:rPr>
          <w:sz w:val="20"/>
          <w:szCs w:val="20"/>
          <w:lang w:val="es-ES_tradnl"/>
        </w:rPr>
      </w:pPr>
      <w:r>
        <w:rPr>
          <w:rFonts w:ascii="Arial" w:hAnsi="Arial"/>
          <w:sz w:val="18"/>
          <w:szCs w:val="20"/>
          <w:lang w:val="es-ES_tradnl"/>
        </w:rPr>
        <w:t xml:space="preserve">      </w:t>
      </w:r>
      <w:r w:rsidRPr="00503A8E">
        <w:rPr>
          <w:rFonts w:ascii="Arial" w:hAnsi="Arial"/>
          <w:sz w:val="18"/>
          <w:szCs w:val="20"/>
          <w:lang w:val="es-ES_tradnl"/>
        </w:rPr>
        <w:t>correspondientes a República Dominicana.</w:t>
      </w:r>
    </w:p>
  </w:footnote>
  <w:footnote w:id="14">
    <w:p w14:paraId="05EE374C" w14:textId="6172EC23" w:rsidR="00993426" w:rsidRPr="00503A8E" w:rsidRDefault="00993426" w:rsidP="00C1043D">
      <w:pPr>
        <w:pStyle w:val="FootnoteText"/>
        <w:spacing w:after="0"/>
        <w:ind w:left="180" w:hanging="180"/>
        <w:rPr>
          <w:rFonts w:ascii="Arial" w:hAnsi="Arial"/>
          <w:sz w:val="20"/>
          <w:szCs w:val="20"/>
        </w:rPr>
      </w:pPr>
      <w:r w:rsidRPr="00503A8E">
        <w:rPr>
          <w:rStyle w:val="FootnoteReference"/>
          <w:rFonts w:ascii="Arial" w:hAnsi="Arial"/>
          <w:sz w:val="18"/>
          <w:szCs w:val="20"/>
        </w:rPr>
        <w:footnoteRef/>
      </w:r>
      <w:r w:rsidRPr="00503A8E">
        <w:rPr>
          <w:rFonts w:ascii="Arial" w:hAnsi="Arial"/>
          <w:sz w:val="18"/>
          <w:szCs w:val="20"/>
        </w:rPr>
        <w:t xml:space="preserve"> Cabe acotar una vez más que el modelo se presenta con </w:t>
      </w:r>
      <w:r w:rsidRPr="00503A8E">
        <w:rPr>
          <w:rFonts w:ascii="Arial" w:hAnsi="Arial"/>
          <w:sz w:val="18"/>
          <w:szCs w:val="20"/>
          <w:lang w:val="es-ES_tradnl"/>
        </w:rPr>
        <w:t>precisión</w:t>
      </w:r>
      <w:r w:rsidRPr="00503A8E">
        <w:rPr>
          <w:rFonts w:ascii="Arial" w:hAnsi="Arial"/>
          <w:sz w:val="18"/>
          <w:szCs w:val="20"/>
        </w:rPr>
        <w:t xml:space="preserve"> en D’Erasmo (2013) y que aquí se está presentando en forma resumida. </w:t>
      </w:r>
    </w:p>
  </w:footnote>
  <w:footnote w:id="15">
    <w:p w14:paraId="6FE2230B" w14:textId="77777777" w:rsidR="00993426" w:rsidRDefault="00993426" w:rsidP="00C1043D">
      <w:pPr>
        <w:pStyle w:val="FootnoteText"/>
        <w:spacing w:after="0"/>
        <w:ind w:left="180" w:hanging="180"/>
        <w:rPr>
          <w:rFonts w:ascii="Arial" w:hAnsi="Arial"/>
          <w:sz w:val="18"/>
          <w:szCs w:val="20"/>
        </w:rPr>
      </w:pPr>
      <w:r w:rsidRPr="00503A8E">
        <w:rPr>
          <w:rStyle w:val="FootnoteReference"/>
          <w:rFonts w:ascii="Arial" w:hAnsi="Arial"/>
          <w:sz w:val="18"/>
          <w:szCs w:val="20"/>
        </w:rPr>
        <w:footnoteRef/>
      </w:r>
      <w:r w:rsidRPr="00503A8E">
        <w:rPr>
          <w:rFonts w:ascii="Arial" w:hAnsi="Arial"/>
          <w:sz w:val="18"/>
          <w:szCs w:val="20"/>
        </w:rPr>
        <w:t xml:space="preserve"> </w:t>
      </w:r>
      <w:r>
        <w:rPr>
          <w:rFonts w:ascii="Arial" w:hAnsi="Arial"/>
          <w:sz w:val="18"/>
          <w:szCs w:val="20"/>
        </w:rPr>
        <w:t xml:space="preserve"> </w:t>
      </w:r>
      <w:r w:rsidRPr="00503A8E">
        <w:rPr>
          <w:rFonts w:ascii="Arial" w:hAnsi="Arial"/>
          <w:sz w:val="18"/>
          <w:szCs w:val="20"/>
        </w:rPr>
        <w:t xml:space="preserve">Por consistencia, al igual que en D’Erasmo (2013), se seguirá el procedimiento de cálculo de estos parámetros </w:t>
      </w:r>
      <w:r>
        <w:rPr>
          <w:rFonts w:ascii="Arial" w:hAnsi="Arial"/>
          <w:sz w:val="18"/>
          <w:szCs w:val="20"/>
        </w:rPr>
        <w:t xml:space="preserve">  </w:t>
      </w:r>
    </w:p>
    <w:p w14:paraId="1ECC1097" w14:textId="2048B1A5" w:rsidR="00993426" w:rsidRPr="00503A8E" w:rsidRDefault="00993426" w:rsidP="00C1043D">
      <w:pPr>
        <w:pStyle w:val="FootnoteText"/>
        <w:spacing w:after="0"/>
        <w:ind w:left="180" w:hanging="180"/>
        <w:rPr>
          <w:rFonts w:ascii="Arial" w:hAnsi="Arial"/>
          <w:sz w:val="20"/>
          <w:szCs w:val="20"/>
        </w:rPr>
      </w:pPr>
      <w:r>
        <w:rPr>
          <w:rFonts w:ascii="Arial" w:hAnsi="Arial"/>
          <w:sz w:val="18"/>
          <w:szCs w:val="20"/>
        </w:rPr>
        <w:t xml:space="preserve">     </w:t>
      </w:r>
      <w:r w:rsidRPr="00503A8E">
        <w:rPr>
          <w:rFonts w:ascii="Arial" w:hAnsi="Arial"/>
          <w:sz w:val="18"/>
          <w:szCs w:val="20"/>
        </w:rPr>
        <w:t>según el procedimiento propuesto en D’Erasmo y Moscoso-Boedo (2012).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3C7C2" w14:textId="638B1F23" w:rsidR="00993426" w:rsidRPr="00503A8E" w:rsidRDefault="00993426" w:rsidP="00B517B1">
    <w:pPr>
      <w:jc w:val="right"/>
      <w:rPr>
        <w:bCs/>
        <w:smallCaps/>
        <w:sz w:val="18"/>
        <w:szCs w:val="20"/>
        <w:lang w:val="es-ES_tradnl"/>
      </w:rPr>
    </w:pPr>
    <w:r w:rsidRPr="00503A8E">
      <w:rPr>
        <w:bCs/>
        <w:smallCaps/>
        <w:sz w:val="18"/>
        <w:szCs w:val="20"/>
        <w:lang w:val="es-ES_tradnl"/>
      </w:rPr>
      <w:t>DR-L1121</w:t>
    </w:r>
  </w:p>
  <w:p w14:paraId="38B3343F" w14:textId="4176A3C3" w:rsidR="00993426" w:rsidRPr="00503A8E" w:rsidRDefault="00993426" w:rsidP="00B517B1">
    <w:pPr>
      <w:jc w:val="right"/>
      <w:rPr>
        <w:sz w:val="18"/>
        <w:szCs w:val="20"/>
        <w:lang w:val="es-ES_tradnl"/>
      </w:rPr>
    </w:pPr>
    <w:r w:rsidRPr="00503A8E">
      <w:rPr>
        <w:bCs/>
        <w:sz w:val="18"/>
        <w:szCs w:val="20"/>
        <w:lang w:val="es-ES_tradnl"/>
      </w:rPr>
      <w:t xml:space="preserve">Página </w:t>
    </w:r>
    <w:r w:rsidRPr="00503A8E">
      <w:rPr>
        <w:bCs/>
        <w:sz w:val="18"/>
        <w:szCs w:val="20"/>
        <w:lang w:val="es-ES_tradnl"/>
      </w:rPr>
      <w:fldChar w:fldCharType="begin"/>
    </w:r>
    <w:r w:rsidRPr="00503A8E">
      <w:rPr>
        <w:bCs/>
        <w:sz w:val="18"/>
        <w:szCs w:val="20"/>
        <w:lang w:val="es-ES_tradnl"/>
      </w:rPr>
      <w:instrText xml:space="preserve"> PAGE  \* Arabic  \* MERGEFORMAT </w:instrText>
    </w:r>
    <w:r w:rsidRPr="00503A8E">
      <w:rPr>
        <w:bCs/>
        <w:sz w:val="18"/>
        <w:szCs w:val="20"/>
        <w:lang w:val="es-ES_tradnl"/>
      </w:rPr>
      <w:fldChar w:fldCharType="separate"/>
    </w:r>
    <w:r w:rsidR="00237585">
      <w:rPr>
        <w:bCs/>
        <w:noProof/>
        <w:sz w:val="18"/>
        <w:szCs w:val="20"/>
        <w:lang w:val="es-ES_tradnl"/>
      </w:rPr>
      <w:t>11</w:t>
    </w:r>
    <w:r w:rsidRPr="00503A8E">
      <w:rPr>
        <w:bCs/>
        <w:sz w:val="18"/>
        <w:szCs w:val="20"/>
        <w:lang w:val="es-ES_tradnl"/>
      </w:rPr>
      <w:fldChar w:fldCharType="end"/>
    </w:r>
    <w:r w:rsidRPr="00503A8E">
      <w:rPr>
        <w:bCs/>
        <w:sz w:val="18"/>
        <w:szCs w:val="20"/>
        <w:lang w:val="es-ES_tradnl"/>
      </w:rPr>
      <w:t xml:space="preserve"> de </w:t>
    </w:r>
    <w:r w:rsidRPr="00503A8E">
      <w:rPr>
        <w:bCs/>
        <w:sz w:val="18"/>
        <w:szCs w:val="20"/>
        <w:lang w:val="es-ES_tradnl"/>
      </w:rPr>
      <w:fldChar w:fldCharType="begin"/>
    </w:r>
    <w:r w:rsidRPr="00503A8E">
      <w:rPr>
        <w:bCs/>
        <w:sz w:val="18"/>
        <w:szCs w:val="20"/>
        <w:lang w:val="es-ES_tradnl"/>
      </w:rPr>
      <w:instrText xml:space="preserve"> NUMPAGES  \* Arabic  \* MERGEFORMAT </w:instrText>
    </w:r>
    <w:r w:rsidRPr="00503A8E">
      <w:rPr>
        <w:bCs/>
        <w:sz w:val="18"/>
        <w:szCs w:val="20"/>
        <w:lang w:val="es-ES_tradnl"/>
      </w:rPr>
      <w:fldChar w:fldCharType="separate"/>
    </w:r>
    <w:r w:rsidR="00237585">
      <w:rPr>
        <w:bCs/>
        <w:noProof/>
        <w:sz w:val="18"/>
        <w:szCs w:val="20"/>
        <w:lang w:val="es-ES_tradnl"/>
      </w:rPr>
      <w:t>20</w:t>
    </w:r>
    <w:r w:rsidRPr="00503A8E">
      <w:rPr>
        <w:bCs/>
        <w:sz w:val="18"/>
        <w:szCs w:val="20"/>
        <w:lang w:val="es-ES_tradnl"/>
      </w:rPr>
      <w:fldChar w:fldCharType="end"/>
    </w:r>
  </w:p>
  <w:p w14:paraId="4DE81566" w14:textId="77777777" w:rsidR="00993426" w:rsidRPr="00503A8E" w:rsidRDefault="00993426" w:rsidP="00B517B1">
    <w:pPr>
      <w:pStyle w:val="Header"/>
      <w:rPr>
        <w:rFonts w:ascii="Arial" w:hAnsi="Arial"/>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2A73"/>
    <w:multiLevelType w:val="multilevel"/>
    <w:tmpl w:val="B7A2709A"/>
    <w:lvl w:ilvl="0">
      <w:start w:val="1"/>
      <w:numFmt w:val="decimal"/>
      <w:lvlText w:val="%1."/>
      <w:lvlJc w:val="left"/>
      <w:pPr>
        <w:ind w:left="0" w:hanging="360"/>
      </w:pPr>
      <w:rPr>
        <w:rFonts w:hint="default"/>
      </w:rPr>
    </w:lvl>
    <w:lvl w:ilvl="1">
      <w:start w:val="1"/>
      <w:numFmt w:val="decimal"/>
      <w:pStyle w:val="ListParagraph"/>
      <w:lvlText w:val="3.%2."/>
      <w:lvlJc w:val="left"/>
      <w:pPr>
        <w:ind w:left="432" w:hanging="432"/>
      </w:pPr>
      <w:rPr>
        <w:rFonts w:hint="default"/>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1" w15:restartNumberingAfterBreak="0">
    <w:nsid w:val="09372558"/>
    <w:multiLevelType w:val="multilevel"/>
    <w:tmpl w:val="35FEA49C"/>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 w15:restartNumberingAfterBreak="0">
    <w:nsid w:val="19EB73A3"/>
    <w:multiLevelType w:val="hybridMultilevel"/>
    <w:tmpl w:val="A7028438"/>
    <w:lvl w:ilvl="0" w:tplc="04090019">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960C46"/>
    <w:multiLevelType w:val="hybridMultilevel"/>
    <w:tmpl w:val="141A829C"/>
    <w:lvl w:ilvl="0" w:tplc="6B308728">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9ED31D7"/>
    <w:multiLevelType w:val="multilevel"/>
    <w:tmpl w:val="92CAFE10"/>
    <w:lvl w:ilvl="0">
      <w:start w:val="1"/>
      <w:numFmt w:val="upperRoman"/>
      <w:lvlText w:val="%1."/>
      <w:lvlJc w:val="left"/>
      <w:pPr>
        <w:ind w:left="990" w:hanging="720"/>
      </w:pPr>
      <w:rPr>
        <w:rFonts w:hint="default"/>
      </w:rPr>
    </w:lvl>
    <w:lvl w:ilvl="1">
      <w:start w:val="1"/>
      <w:numFmt w:val="decimal"/>
      <w:pStyle w:val="21Paragraph"/>
      <w:isLgl/>
      <w:lvlText w:val="%1.%2"/>
      <w:lvlJc w:val="left"/>
      <w:pPr>
        <w:ind w:left="1350" w:hanging="360"/>
      </w:pPr>
      <w:rPr>
        <w:rFonts w:hint="default"/>
        <w:b w:val="0"/>
      </w:rPr>
    </w:lvl>
    <w:lvl w:ilvl="2">
      <w:start w:val="1"/>
      <w:numFmt w:val="decimal"/>
      <w:isLgl/>
      <w:lvlText w:val="%1.%2.%3"/>
      <w:lvlJc w:val="left"/>
      <w:pPr>
        <w:ind w:left="1008" w:hanging="720"/>
      </w:pPr>
      <w:rPr>
        <w:rFonts w:hint="default"/>
      </w:rPr>
    </w:lvl>
    <w:lvl w:ilvl="3">
      <w:start w:val="1"/>
      <w:numFmt w:val="decimal"/>
      <w:isLgl/>
      <w:lvlText w:val="%1.%2.%3.%4"/>
      <w:lvlJc w:val="left"/>
      <w:pPr>
        <w:ind w:left="1008" w:hanging="720"/>
      </w:pPr>
      <w:rPr>
        <w:rFonts w:hint="default"/>
      </w:rPr>
    </w:lvl>
    <w:lvl w:ilvl="4">
      <w:start w:val="1"/>
      <w:numFmt w:val="decimal"/>
      <w:isLgl/>
      <w:lvlText w:val="%1.%2.%3.%4.%5"/>
      <w:lvlJc w:val="left"/>
      <w:pPr>
        <w:ind w:left="1368" w:hanging="1080"/>
      </w:pPr>
      <w:rPr>
        <w:rFonts w:hint="default"/>
      </w:rPr>
    </w:lvl>
    <w:lvl w:ilvl="5">
      <w:start w:val="1"/>
      <w:numFmt w:val="decimal"/>
      <w:isLgl/>
      <w:lvlText w:val="%1.%2.%3.%4.%5.%6"/>
      <w:lvlJc w:val="left"/>
      <w:pPr>
        <w:ind w:left="1368" w:hanging="1080"/>
      </w:pPr>
      <w:rPr>
        <w:rFonts w:hint="default"/>
      </w:rPr>
    </w:lvl>
    <w:lvl w:ilvl="6">
      <w:start w:val="1"/>
      <w:numFmt w:val="decimal"/>
      <w:isLgl/>
      <w:lvlText w:val="%1.%2.%3.%4.%5.%6.%7"/>
      <w:lvlJc w:val="left"/>
      <w:pPr>
        <w:ind w:left="1728" w:hanging="1440"/>
      </w:pPr>
      <w:rPr>
        <w:rFonts w:hint="default"/>
      </w:rPr>
    </w:lvl>
    <w:lvl w:ilvl="7">
      <w:start w:val="1"/>
      <w:numFmt w:val="decimal"/>
      <w:isLgl/>
      <w:lvlText w:val="%1.%2.%3.%4.%5.%6.%7.%8"/>
      <w:lvlJc w:val="left"/>
      <w:pPr>
        <w:ind w:left="1728" w:hanging="1440"/>
      </w:pPr>
      <w:rPr>
        <w:rFonts w:hint="default"/>
      </w:rPr>
    </w:lvl>
    <w:lvl w:ilvl="8">
      <w:start w:val="1"/>
      <w:numFmt w:val="decimal"/>
      <w:isLgl/>
      <w:lvlText w:val="%1.%2.%3.%4.%5.%6.%7.%8.%9"/>
      <w:lvlJc w:val="left"/>
      <w:pPr>
        <w:ind w:left="2088" w:hanging="1800"/>
      </w:pPr>
      <w:rPr>
        <w:rFonts w:hint="default"/>
      </w:rPr>
    </w:lvl>
  </w:abstractNum>
  <w:abstractNum w:abstractNumId="5" w15:restartNumberingAfterBreak="0">
    <w:nsid w:val="3ABD2D3E"/>
    <w:multiLevelType w:val="hybridMultilevel"/>
    <w:tmpl w:val="9F1216EA"/>
    <w:lvl w:ilvl="0" w:tplc="6B308728">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CD15D50"/>
    <w:multiLevelType w:val="hybridMultilevel"/>
    <w:tmpl w:val="79AE7680"/>
    <w:lvl w:ilvl="0" w:tplc="E1E0F5BA">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2F878B7"/>
    <w:multiLevelType w:val="multilevel"/>
    <w:tmpl w:val="F66E76D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lang w:val="es-ES_tradnl"/>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15:restartNumberingAfterBreak="0">
    <w:nsid w:val="47665714"/>
    <w:multiLevelType w:val="hybridMultilevel"/>
    <w:tmpl w:val="73B2D5D6"/>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036E0F"/>
    <w:multiLevelType w:val="hybridMultilevel"/>
    <w:tmpl w:val="FE0496A6"/>
    <w:lvl w:ilvl="0" w:tplc="B4BE570E">
      <w:start w:val="1"/>
      <w:numFmt w:val="bullet"/>
      <w:lvlText w:val=""/>
      <w:lvlJc w:val="left"/>
      <w:pPr>
        <w:ind w:left="720" w:hanging="360"/>
      </w:pPr>
      <w:rPr>
        <w:rFonts w:ascii="Symbol" w:hAnsi="Symbol" w:hint="default"/>
        <w:lang w:val="es-E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D5549B"/>
    <w:multiLevelType w:val="hybridMultilevel"/>
    <w:tmpl w:val="304C1FD8"/>
    <w:lvl w:ilvl="0" w:tplc="8E0A88DA">
      <w:start w:val="1"/>
      <w:numFmt w:val="lowerLetter"/>
      <w:pStyle w:val="Heading3"/>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532C08AC"/>
    <w:multiLevelType w:val="hybridMultilevel"/>
    <w:tmpl w:val="DB9EF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5772CE"/>
    <w:multiLevelType w:val="hybridMultilevel"/>
    <w:tmpl w:val="2BA6FD02"/>
    <w:lvl w:ilvl="0" w:tplc="6B308728">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9923C8"/>
    <w:multiLevelType w:val="multilevel"/>
    <w:tmpl w:val="22AC6D34"/>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b w:val="0"/>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4" w15:restartNumberingAfterBreak="0">
    <w:nsid w:val="61C17FE2"/>
    <w:multiLevelType w:val="hybridMultilevel"/>
    <w:tmpl w:val="F35A8B6C"/>
    <w:lvl w:ilvl="0" w:tplc="F0F20428">
      <w:start w:val="1"/>
      <w:numFmt w:val="lowerRoman"/>
      <w:lvlText w:val="%1)"/>
      <w:lvlJc w:val="lef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5" w15:restartNumberingAfterBreak="0">
    <w:nsid w:val="67A3204D"/>
    <w:multiLevelType w:val="hybridMultilevel"/>
    <w:tmpl w:val="1BE237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A40C8D"/>
    <w:multiLevelType w:val="hybridMultilevel"/>
    <w:tmpl w:val="5C42C686"/>
    <w:lvl w:ilvl="0" w:tplc="5A02922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E7B3BA9"/>
    <w:multiLevelType w:val="hybridMultilevel"/>
    <w:tmpl w:val="2D6CF3DA"/>
    <w:lvl w:ilvl="0" w:tplc="B4BE570E">
      <w:start w:val="1"/>
      <w:numFmt w:val="bullet"/>
      <w:lvlText w:val=""/>
      <w:lvlJc w:val="left"/>
      <w:pPr>
        <w:ind w:left="720" w:hanging="360"/>
      </w:pPr>
      <w:rPr>
        <w:rFonts w:ascii="Symbol" w:hAnsi="Symbol" w:hint="default"/>
        <w:lang w:val="es-E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C805D8"/>
    <w:multiLevelType w:val="hybridMultilevel"/>
    <w:tmpl w:val="C77A4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EC4317"/>
    <w:multiLevelType w:val="hybridMultilevel"/>
    <w:tmpl w:val="9F5C3E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3"/>
  </w:num>
  <w:num w:numId="3">
    <w:abstractNumId w:val="4"/>
  </w:num>
  <w:num w:numId="4">
    <w:abstractNumId w:val="10"/>
  </w:num>
  <w:num w:numId="5">
    <w:abstractNumId w:val="10"/>
    <w:lvlOverride w:ilvl="0">
      <w:startOverride w:val="1"/>
    </w:lvlOverride>
  </w:num>
  <w:num w:numId="6">
    <w:abstractNumId w:val="7"/>
  </w:num>
  <w:num w:numId="7">
    <w:abstractNumId w:val="14"/>
  </w:num>
  <w:num w:numId="8">
    <w:abstractNumId w:val="6"/>
  </w:num>
  <w:num w:numId="9">
    <w:abstractNumId w:val="16"/>
  </w:num>
  <w:num w:numId="10">
    <w:abstractNumId w:val="17"/>
  </w:num>
  <w:num w:numId="11">
    <w:abstractNumId w:val="9"/>
  </w:num>
  <w:num w:numId="12">
    <w:abstractNumId w:val="3"/>
  </w:num>
  <w:num w:numId="13">
    <w:abstractNumId w:val="12"/>
  </w:num>
  <w:num w:numId="14">
    <w:abstractNumId w:val="5"/>
  </w:num>
  <w:num w:numId="15">
    <w:abstractNumId w:val="11"/>
  </w:num>
  <w:num w:numId="16">
    <w:abstractNumId w:val="18"/>
  </w:num>
  <w:num w:numId="17">
    <w:abstractNumId w:val="8"/>
  </w:num>
  <w:num w:numId="18">
    <w:abstractNumId w:val="2"/>
  </w:num>
  <w:num w:numId="19">
    <w:abstractNumId w:val="19"/>
  </w:num>
  <w:num w:numId="20">
    <w:abstractNumId w:val="15"/>
  </w:num>
  <w:num w:numId="21">
    <w:abstractNumId w:val="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3FF"/>
    <w:rsid w:val="00011095"/>
    <w:rsid w:val="00082312"/>
    <w:rsid w:val="000B22CB"/>
    <w:rsid w:val="000D5468"/>
    <w:rsid w:val="000E50EB"/>
    <w:rsid w:val="0013636D"/>
    <w:rsid w:val="001C7FFD"/>
    <w:rsid w:val="001E3D88"/>
    <w:rsid w:val="00206E32"/>
    <w:rsid w:val="00215FEA"/>
    <w:rsid w:val="00237585"/>
    <w:rsid w:val="00245288"/>
    <w:rsid w:val="002464F4"/>
    <w:rsid w:val="00261FCD"/>
    <w:rsid w:val="002A4D93"/>
    <w:rsid w:val="002B72DD"/>
    <w:rsid w:val="00326E42"/>
    <w:rsid w:val="003A7132"/>
    <w:rsid w:val="003B6E48"/>
    <w:rsid w:val="003D4451"/>
    <w:rsid w:val="00407961"/>
    <w:rsid w:val="0041291B"/>
    <w:rsid w:val="00420CDA"/>
    <w:rsid w:val="004213FF"/>
    <w:rsid w:val="00473602"/>
    <w:rsid w:val="004A2461"/>
    <w:rsid w:val="004E026C"/>
    <w:rsid w:val="004F36A7"/>
    <w:rsid w:val="00503A8E"/>
    <w:rsid w:val="00516CEC"/>
    <w:rsid w:val="00524225"/>
    <w:rsid w:val="00564DB7"/>
    <w:rsid w:val="005A3CF5"/>
    <w:rsid w:val="005D3841"/>
    <w:rsid w:val="005D63DC"/>
    <w:rsid w:val="005E6AFB"/>
    <w:rsid w:val="006210EC"/>
    <w:rsid w:val="006430B2"/>
    <w:rsid w:val="006719BE"/>
    <w:rsid w:val="006A34BB"/>
    <w:rsid w:val="006A4C8D"/>
    <w:rsid w:val="006F3D71"/>
    <w:rsid w:val="00704BE5"/>
    <w:rsid w:val="007832E7"/>
    <w:rsid w:val="007C64BB"/>
    <w:rsid w:val="007D6775"/>
    <w:rsid w:val="007F5093"/>
    <w:rsid w:val="00825709"/>
    <w:rsid w:val="00867DC2"/>
    <w:rsid w:val="00880BB4"/>
    <w:rsid w:val="008A7C72"/>
    <w:rsid w:val="008B1C4F"/>
    <w:rsid w:val="00927A6E"/>
    <w:rsid w:val="0094517B"/>
    <w:rsid w:val="0098316B"/>
    <w:rsid w:val="00993426"/>
    <w:rsid w:val="009B02A1"/>
    <w:rsid w:val="00A12974"/>
    <w:rsid w:val="00A258C1"/>
    <w:rsid w:val="00A35885"/>
    <w:rsid w:val="00A955D4"/>
    <w:rsid w:val="00B06682"/>
    <w:rsid w:val="00B517B1"/>
    <w:rsid w:val="00B71108"/>
    <w:rsid w:val="00BA6CCF"/>
    <w:rsid w:val="00BC5A4F"/>
    <w:rsid w:val="00BD134E"/>
    <w:rsid w:val="00BF02DC"/>
    <w:rsid w:val="00BF36E9"/>
    <w:rsid w:val="00C0047E"/>
    <w:rsid w:val="00C1043D"/>
    <w:rsid w:val="00C13D57"/>
    <w:rsid w:val="00C34C8F"/>
    <w:rsid w:val="00C521D6"/>
    <w:rsid w:val="00C867B0"/>
    <w:rsid w:val="00CC133F"/>
    <w:rsid w:val="00CD4EA7"/>
    <w:rsid w:val="00D24A02"/>
    <w:rsid w:val="00D44F15"/>
    <w:rsid w:val="00D6577D"/>
    <w:rsid w:val="00D77F0E"/>
    <w:rsid w:val="00DD4A5B"/>
    <w:rsid w:val="00DF555C"/>
    <w:rsid w:val="00F02C08"/>
    <w:rsid w:val="00F45188"/>
    <w:rsid w:val="00F46921"/>
    <w:rsid w:val="00F6733C"/>
    <w:rsid w:val="00F87224"/>
    <w:rsid w:val="00F940CB"/>
    <w:rsid w:val="00F949EA"/>
    <w:rsid w:val="00F95F2A"/>
    <w:rsid w:val="00FB1264"/>
    <w:rsid w:val="00FD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681FA"/>
  <w15:docId w15:val="{8444D956-12A2-42AD-B815-430417C1B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13FF"/>
    <w:pPr>
      <w:spacing w:after="0" w:line="240" w:lineRule="auto"/>
      <w:jc w:val="both"/>
    </w:pPr>
    <w:rPr>
      <w:rFonts w:ascii="Arial" w:eastAsia="MS Mincho" w:hAnsi="Arial" w:cs="Arial"/>
      <w:sz w:val="24"/>
      <w:szCs w:val="24"/>
      <w:lang w:val="es-ES"/>
    </w:rPr>
  </w:style>
  <w:style w:type="paragraph" w:styleId="Heading1">
    <w:name w:val="heading 1"/>
    <w:aliases w:val="Heading 1.I"/>
    <w:basedOn w:val="Normal"/>
    <w:next w:val="Normal"/>
    <w:link w:val="Heading1Char"/>
    <w:qFormat/>
    <w:rsid w:val="004213FF"/>
    <w:pPr>
      <w:keepNext/>
      <w:keepLines/>
      <w:numPr>
        <w:numId w:val="2"/>
      </w:numPr>
      <w:jc w:val="left"/>
      <w:outlineLvl w:val="0"/>
    </w:pPr>
    <w:rPr>
      <w:rFonts w:eastAsia="MS Gothic"/>
      <w:b/>
      <w:bCs/>
      <w:color w:val="345A8A"/>
      <w:sz w:val="28"/>
      <w:szCs w:val="28"/>
      <w:lang w:val="es-ES_tradnl"/>
    </w:rPr>
  </w:style>
  <w:style w:type="paragraph" w:styleId="Heading3">
    <w:name w:val="heading 3"/>
    <w:basedOn w:val="Normal"/>
    <w:next w:val="Normal"/>
    <w:link w:val="Heading3Char"/>
    <w:uiPriority w:val="9"/>
    <w:qFormat/>
    <w:rsid w:val="004213FF"/>
    <w:pPr>
      <w:keepNext/>
      <w:keepLines/>
      <w:numPr>
        <w:numId w:val="4"/>
      </w:numPr>
      <w:tabs>
        <w:tab w:val="left" w:pos="1134"/>
        <w:tab w:val="left" w:pos="1560"/>
      </w:tabs>
      <w:spacing w:before="200" w:after="240"/>
      <w:outlineLvl w:val="2"/>
    </w:pPr>
    <w:rPr>
      <w:rFonts w:ascii="Times New Roman" w:eastAsia="MS Gothic" w:hAnsi="Times New Roman" w:cs="Times New Roman"/>
      <w:b/>
      <w:bCs/>
      <w:lang w:val="es-ES_tradnl"/>
    </w:rPr>
  </w:style>
  <w:style w:type="paragraph" w:styleId="Heading4">
    <w:name w:val="heading 4"/>
    <w:aliases w:val="Heading 4.a"/>
    <w:basedOn w:val="Normal"/>
    <w:next w:val="Normal"/>
    <w:link w:val="Heading4Char"/>
    <w:unhideWhenUsed/>
    <w:qFormat/>
    <w:rsid w:val="004213FF"/>
    <w:pPr>
      <w:keepNext/>
      <w:numPr>
        <w:ilvl w:val="2"/>
        <w:numId w:val="2"/>
      </w:numPr>
      <w:tabs>
        <w:tab w:val="left" w:pos="1440"/>
      </w:tabs>
      <w:spacing w:before="120" w:after="120"/>
      <w:outlineLvl w:val="3"/>
    </w:pPr>
    <w:rPr>
      <w:u w:val="single"/>
    </w:rPr>
  </w:style>
  <w:style w:type="paragraph" w:styleId="Heading5">
    <w:name w:val="heading 5"/>
    <w:aliases w:val="Heading 5.(i)"/>
    <w:next w:val="Normal"/>
    <w:link w:val="Heading5Char"/>
    <w:qFormat/>
    <w:rsid w:val="004213FF"/>
    <w:pPr>
      <w:keepNext/>
      <w:numPr>
        <w:ilvl w:val="3"/>
        <w:numId w:val="2"/>
      </w:numPr>
      <w:spacing w:before="120" w:after="120" w:line="240" w:lineRule="auto"/>
      <w:jc w:val="both"/>
      <w:outlineLvl w:val="4"/>
    </w:pPr>
    <w:rPr>
      <w:rFonts w:ascii="Times New Roman Bold" w:eastAsia="Times New Roman" w:hAnsi="Times New Roman Bold" w:cs="Times New Roman"/>
      <w:b/>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4213FF"/>
    <w:rPr>
      <w:rFonts w:ascii="Arial" w:eastAsia="MS Gothic" w:hAnsi="Arial" w:cs="Arial"/>
      <w:b/>
      <w:bCs/>
      <w:color w:val="345A8A"/>
      <w:sz w:val="28"/>
      <w:szCs w:val="28"/>
      <w:lang w:val="es-ES_tradnl"/>
    </w:rPr>
  </w:style>
  <w:style w:type="character" w:customStyle="1" w:styleId="Heading3Char">
    <w:name w:val="Heading 3 Char"/>
    <w:basedOn w:val="DefaultParagraphFont"/>
    <w:link w:val="Heading3"/>
    <w:uiPriority w:val="9"/>
    <w:rsid w:val="004213FF"/>
    <w:rPr>
      <w:rFonts w:ascii="Times New Roman" w:eastAsia="MS Gothic" w:hAnsi="Times New Roman" w:cs="Times New Roman"/>
      <w:b/>
      <w:bCs/>
      <w:sz w:val="24"/>
      <w:szCs w:val="24"/>
      <w:lang w:val="es-ES_tradnl"/>
    </w:rPr>
  </w:style>
  <w:style w:type="character" w:customStyle="1" w:styleId="Heading4Char">
    <w:name w:val="Heading 4 Char"/>
    <w:aliases w:val="Heading 4.a Char"/>
    <w:basedOn w:val="DefaultParagraphFont"/>
    <w:link w:val="Heading4"/>
    <w:rsid w:val="004213FF"/>
    <w:rPr>
      <w:rFonts w:ascii="Arial" w:eastAsia="MS Mincho" w:hAnsi="Arial" w:cs="Arial"/>
      <w:sz w:val="24"/>
      <w:szCs w:val="24"/>
      <w:u w:val="single"/>
      <w:lang w:val="es-ES"/>
    </w:rPr>
  </w:style>
  <w:style w:type="character" w:customStyle="1" w:styleId="Heading5Char">
    <w:name w:val="Heading 5 Char"/>
    <w:aliases w:val="Heading 5.(i) Char"/>
    <w:basedOn w:val="DefaultParagraphFont"/>
    <w:link w:val="Heading5"/>
    <w:rsid w:val="004213FF"/>
    <w:rPr>
      <w:rFonts w:ascii="Times New Roman Bold" w:eastAsia="Times New Roman" w:hAnsi="Times New Roman Bold" w:cs="Times New Roman"/>
      <w:b/>
      <w:noProof/>
      <w:sz w:val="24"/>
      <w:szCs w:val="24"/>
    </w:rPr>
  </w:style>
  <w:style w:type="paragraph" w:styleId="Header">
    <w:name w:val="header"/>
    <w:basedOn w:val="Normal"/>
    <w:link w:val="HeaderChar"/>
    <w:uiPriority w:val="99"/>
    <w:rsid w:val="004213FF"/>
    <w:pPr>
      <w:tabs>
        <w:tab w:val="center" w:pos="4680"/>
        <w:tab w:val="right" w:pos="9360"/>
      </w:tabs>
      <w:spacing w:after="120"/>
    </w:pPr>
    <w:rPr>
      <w:rFonts w:ascii="Calibri" w:eastAsia="Times New Roman" w:hAnsi="Calibri"/>
      <w:szCs w:val="22"/>
      <w:lang w:val="es-ES_tradnl"/>
    </w:rPr>
  </w:style>
  <w:style w:type="character" w:customStyle="1" w:styleId="HeaderChar">
    <w:name w:val="Header Char"/>
    <w:basedOn w:val="DefaultParagraphFont"/>
    <w:link w:val="Header"/>
    <w:uiPriority w:val="99"/>
    <w:rsid w:val="004213FF"/>
    <w:rPr>
      <w:rFonts w:ascii="Calibri" w:eastAsia="Times New Roman" w:hAnsi="Calibri" w:cs="Arial"/>
      <w:sz w:val="24"/>
      <w:lang w:val="es-ES_tradnl"/>
    </w:rPr>
  </w:style>
  <w:style w:type="paragraph" w:styleId="Title">
    <w:name w:val="Title"/>
    <w:basedOn w:val="Normal"/>
    <w:link w:val="TitleChar"/>
    <w:qFormat/>
    <w:rsid w:val="004213FF"/>
    <w:pPr>
      <w:spacing w:after="120"/>
    </w:pPr>
  </w:style>
  <w:style w:type="character" w:customStyle="1" w:styleId="TitleChar">
    <w:name w:val="Title Char"/>
    <w:basedOn w:val="DefaultParagraphFont"/>
    <w:link w:val="Title"/>
    <w:rsid w:val="004213FF"/>
    <w:rPr>
      <w:rFonts w:ascii="Arial" w:eastAsia="MS Mincho" w:hAnsi="Arial" w:cs="Arial"/>
      <w:sz w:val="24"/>
      <w:szCs w:val="24"/>
      <w:lang w:val="es-ES"/>
    </w:rPr>
  </w:style>
  <w:style w:type="paragraph" w:customStyle="1" w:styleId="Paragraph">
    <w:name w:val="Paragraph"/>
    <w:aliases w:val="paragraph,p,PARAGRAPH,PG,pa,at"/>
    <w:basedOn w:val="BodyTextIndent"/>
    <w:link w:val="ParagraphChar"/>
    <w:qFormat/>
    <w:rsid w:val="004213FF"/>
    <w:pPr>
      <w:tabs>
        <w:tab w:val="num" w:pos="720"/>
      </w:tabs>
      <w:spacing w:before="120"/>
      <w:ind w:left="720" w:hanging="720"/>
      <w:outlineLvl w:val="1"/>
    </w:pPr>
    <w:rPr>
      <w:rFonts w:ascii="Times New Roman" w:hAnsi="Times New Roman"/>
    </w:rPr>
  </w:style>
  <w:style w:type="character" w:customStyle="1" w:styleId="ParagraphChar">
    <w:name w:val="Paragraph Char"/>
    <w:link w:val="Paragraph"/>
    <w:locked/>
    <w:rsid w:val="004213FF"/>
    <w:rPr>
      <w:rFonts w:ascii="Times New Roman" w:eastAsia="MS Mincho" w:hAnsi="Times New Roman" w:cs="Arial"/>
      <w:sz w:val="24"/>
      <w:szCs w:val="24"/>
      <w:lang w:val="es-ES"/>
    </w:rPr>
  </w:style>
  <w:style w:type="paragraph" w:styleId="FootnoteText">
    <w:name w:val="footnote text"/>
    <w:aliases w:val="fn,texto de nota al pie,Nota a pie/Bibliog,footnote,foottextfra,F,Texto nota pie Car Car Car Car Car Car Car Car,Texto nota pie Car Car Car,Footnote Text Char Char Char Char Char Char,Texto nota pie Car Car Car Car Car,Texto nota pie Car1"/>
    <w:basedOn w:val="Normal"/>
    <w:link w:val="FootnoteTextChar"/>
    <w:uiPriority w:val="99"/>
    <w:unhideWhenUsed/>
    <w:qFormat/>
    <w:rsid w:val="004213FF"/>
    <w:pPr>
      <w:keepNext/>
      <w:keepLines/>
      <w:spacing w:after="120"/>
      <w:ind w:left="288" w:hanging="288"/>
    </w:pPr>
    <w:rPr>
      <w:rFonts w:ascii="Times New Roman" w:hAnsi="Times New Roman"/>
      <w:spacing w:val="-3"/>
    </w:rPr>
  </w:style>
  <w:style w:type="character" w:customStyle="1" w:styleId="FootnoteTextChar">
    <w:name w:val="Footnote Text Char"/>
    <w:aliases w:val="fn Char,texto de nota al pie Char,Nota a pie/Bibliog Char,footnote Char,foottextfra Char,F Char,Texto nota pie Car Car Car Car Car Car Car Car Char,Texto nota pie Car Car Car Char,Footnote Text Char Char Char Char Char Char Char"/>
    <w:basedOn w:val="DefaultParagraphFont"/>
    <w:link w:val="FootnoteText"/>
    <w:uiPriority w:val="99"/>
    <w:rsid w:val="004213FF"/>
    <w:rPr>
      <w:rFonts w:ascii="Times New Roman" w:eastAsia="MS Mincho" w:hAnsi="Times New Roman" w:cs="Arial"/>
      <w:spacing w:val="-3"/>
      <w:sz w:val="24"/>
      <w:szCs w:val="24"/>
      <w:lang w:val="es-ES"/>
    </w:rPr>
  </w:style>
  <w:style w:type="character" w:styleId="Hyperlink">
    <w:name w:val="Hyperlink"/>
    <w:uiPriority w:val="99"/>
    <w:unhideWhenUsed/>
    <w:rsid w:val="004213FF"/>
    <w:rPr>
      <w:rFonts w:cs="Times New Roman"/>
      <w:color w:val="0000FF"/>
      <w:u w:val="single"/>
    </w:rPr>
  </w:style>
  <w:style w:type="paragraph" w:customStyle="1" w:styleId="ColorfulList-Accent11">
    <w:name w:val="Colorful List - Accent 11"/>
    <w:basedOn w:val="Normal"/>
    <w:link w:val="ColorfulList-Accent1Char"/>
    <w:uiPriority w:val="34"/>
    <w:qFormat/>
    <w:rsid w:val="004213FF"/>
    <w:pPr>
      <w:spacing w:after="120"/>
    </w:pPr>
  </w:style>
  <w:style w:type="paragraph" w:styleId="ListParagraph">
    <w:name w:val="List Paragraph"/>
    <w:basedOn w:val="Normal"/>
    <w:uiPriority w:val="34"/>
    <w:qFormat/>
    <w:rsid w:val="004213FF"/>
    <w:pPr>
      <w:numPr>
        <w:ilvl w:val="1"/>
        <w:numId w:val="1"/>
      </w:numPr>
      <w:spacing w:after="120"/>
    </w:pPr>
    <w:rPr>
      <w:sz w:val="22"/>
      <w:szCs w:val="22"/>
    </w:rPr>
  </w:style>
  <w:style w:type="character" w:styleId="FootnoteReference">
    <w:name w:val="footnote reference"/>
    <w:aliases w:val="ftref,titulo 2,Fußnotenzeichen DISS,16 Point,Superscript 6 Point,BVI fnr, BVI fnr,Знак сноски 1,referencia nota al pie,FC,Footnote Referencefra,Ref. de nota al pie.,Footnote Reference.SES,Ref. de nota al pie EDEP,pie pddes,fr,SUPERS"/>
    <w:uiPriority w:val="99"/>
    <w:unhideWhenUsed/>
    <w:qFormat/>
    <w:rsid w:val="004213FF"/>
    <w:rPr>
      <w:vertAlign w:val="superscript"/>
    </w:rPr>
  </w:style>
  <w:style w:type="paragraph" w:customStyle="1" w:styleId="AutoNumpara">
    <w:name w:val="AutoNumpara"/>
    <w:basedOn w:val="BodyTextIndent"/>
    <w:rsid w:val="004213FF"/>
    <w:pPr>
      <w:numPr>
        <w:ilvl w:val="1"/>
        <w:numId w:val="2"/>
      </w:numPr>
      <w:tabs>
        <w:tab w:val="clear" w:pos="720"/>
        <w:tab w:val="num" w:pos="360"/>
      </w:tabs>
      <w:spacing w:before="120"/>
      <w:ind w:left="360" w:firstLine="0"/>
    </w:pPr>
    <w:rPr>
      <w:rFonts w:ascii="Times New Roman" w:eastAsia="Times New Roman" w:hAnsi="Times New Roman" w:cs="Times New Roman"/>
      <w:noProof/>
      <w:spacing w:val="-2"/>
      <w:lang w:val="es-ES_tradnl"/>
    </w:rPr>
  </w:style>
  <w:style w:type="character" w:customStyle="1" w:styleId="ColorfulList-Accent1Char">
    <w:name w:val="Colorful List - Accent 1 Char"/>
    <w:link w:val="ColorfulList-Accent11"/>
    <w:uiPriority w:val="34"/>
    <w:rsid w:val="004213FF"/>
    <w:rPr>
      <w:rFonts w:ascii="Arial" w:eastAsia="MS Mincho" w:hAnsi="Arial" w:cs="Arial"/>
      <w:sz w:val="24"/>
      <w:szCs w:val="24"/>
      <w:lang w:val="es-ES"/>
    </w:rPr>
  </w:style>
  <w:style w:type="paragraph" w:customStyle="1" w:styleId="21Paragraph">
    <w:name w:val="2.1 Paragraph"/>
    <w:basedOn w:val="Normal"/>
    <w:qFormat/>
    <w:rsid w:val="004213FF"/>
    <w:pPr>
      <w:numPr>
        <w:ilvl w:val="1"/>
        <w:numId w:val="3"/>
      </w:numPr>
      <w:spacing w:before="120" w:after="120"/>
    </w:pPr>
    <w:rPr>
      <w:rFonts w:ascii="Times New Roman" w:hAnsi="Times New Roman" w:cs="Times New Roman"/>
      <w:lang w:val="es-ES_tradnl"/>
    </w:rPr>
  </w:style>
  <w:style w:type="paragraph" w:customStyle="1" w:styleId="Newpage">
    <w:name w:val="Newpage"/>
    <w:basedOn w:val="Normal"/>
    <w:rsid w:val="004213FF"/>
    <w:pPr>
      <w:tabs>
        <w:tab w:val="left" w:pos="1440"/>
        <w:tab w:val="left" w:pos="3060"/>
      </w:tabs>
      <w:jc w:val="center"/>
    </w:pPr>
    <w:rPr>
      <w:rFonts w:ascii="Times New Roman" w:eastAsia="Times New Roman" w:hAnsi="Times New Roman"/>
      <w:b/>
      <w:smallCaps/>
      <w:spacing w:val="-3"/>
      <w:szCs w:val="20"/>
      <w:lang w:val="es-ES_tradnl"/>
    </w:rPr>
  </w:style>
  <w:style w:type="paragraph" w:styleId="BodyTextIndent">
    <w:name w:val="Body Text Indent"/>
    <w:basedOn w:val="Normal"/>
    <w:link w:val="BodyTextIndentChar"/>
    <w:uiPriority w:val="99"/>
    <w:semiHidden/>
    <w:unhideWhenUsed/>
    <w:rsid w:val="004213FF"/>
    <w:pPr>
      <w:spacing w:after="120"/>
      <w:ind w:left="360"/>
    </w:pPr>
  </w:style>
  <w:style w:type="character" w:customStyle="1" w:styleId="BodyTextIndentChar">
    <w:name w:val="Body Text Indent Char"/>
    <w:basedOn w:val="DefaultParagraphFont"/>
    <w:link w:val="BodyTextIndent"/>
    <w:uiPriority w:val="99"/>
    <w:semiHidden/>
    <w:rsid w:val="004213FF"/>
    <w:rPr>
      <w:rFonts w:ascii="Arial" w:eastAsia="MS Mincho" w:hAnsi="Arial" w:cs="Arial"/>
      <w:sz w:val="24"/>
      <w:szCs w:val="24"/>
      <w:lang w:val="es-ES"/>
    </w:rPr>
  </w:style>
  <w:style w:type="paragraph" w:styleId="BalloonText">
    <w:name w:val="Balloon Text"/>
    <w:basedOn w:val="Normal"/>
    <w:link w:val="BalloonTextChar"/>
    <w:uiPriority w:val="99"/>
    <w:semiHidden/>
    <w:unhideWhenUsed/>
    <w:rsid w:val="004213FF"/>
    <w:rPr>
      <w:rFonts w:ascii="Tahoma" w:hAnsi="Tahoma" w:cs="Tahoma"/>
      <w:sz w:val="16"/>
      <w:szCs w:val="16"/>
    </w:rPr>
  </w:style>
  <w:style w:type="character" w:customStyle="1" w:styleId="BalloonTextChar">
    <w:name w:val="Balloon Text Char"/>
    <w:basedOn w:val="DefaultParagraphFont"/>
    <w:link w:val="BalloonText"/>
    <w:uiPriority w:val="99"/>
    <w:semiHidden/>
    <w:rsid w:val="004213FF"/>
    <w:rPr>
      <w:rFonts w:ascii="Tahoma" w:eastAsia="MS Mincho" w:hAnsi="Tahoma" w:cs="Tahoma"/>
      <w:sz w:val="16"/>
      <w:szCs w:val="16"/>
      <w:lang w:val="es-ES"/>
    </w:rPr>
  </w:style>
  <w:style w:type="character" w:styleId="CommentReference">
    <w:name w:val="annotation reference"/>
    <w:basedOn w:val="DefaultParagraphFont"/>
    <w:uiPriority w:val="99"/>
    <w:semiHidden/>
    <w:unhideWhenUsed/>
    <w:rsid w:val="00C521D6"/>
    <w:rPr>
      <w:sz w:val="16"/>
      <w:szCs w:val="16"/>
    </w:rPr>
  </w:style>
  <w:style w:type="paragraph" w:styleId="CommentText">
    <w:name w:val="annotation text"/>
    <w:basedOn w:val="Normal"/>
    <w:link w:val="CommentTextChar"/>
    <w:uiPriority w:val="99"/>
    <w:semiHidden/>
    <w:unhideWhenUsed/>
    <w:rsid w:val="00C521D6"/>
    <w:rPr>
      <w:sz w:val="20"/>
      <w:szCs w:val="20"/>
    </w:rPr>
  </w:style>
  <w:style w:type="character" w:customStyle="1" w:styleId="CommentTextChar">
    <w:name w:val="Comment Text Char"/>
    <w:basedOn w:val="DefaultParagraphFont"/>
    <w:link w:val="CommentText"/>
    <w:uiPriority w:val="99"/>
    <w:semiHidden/>
    <w:rsid w:val="00C521D6"/>
    <w:rPr>
      <w:rFonts w:ascii="Arial" w:eastAsia="MS Mincho" w:hAnsi="Arial" w:cs="Arial"/>
      <w:sz w:val="20"/>
      <w:szCs w:val="20"/>
      <w:lang w:val="es-ES"/>
    </w:rPr>
  </w:style>
  <w:style w:type="paragraph" w:styleId="CommentSubject">
    <w:name w:val="annotation subject"/>
    <w:basedOn w:val="CommentText"/>
    <w:next w:val="CommentText"/>
    <w:link w:val="CommentSubjectChar"/>
    <w:uiPriority w:val="99"/>
    <w:semiHidden/>
    <w:unhideWhenUsed/>
    <w:rsid w:val="00C521D6"/>
    <w:rPr>
      <w:b/>
      <w:bCs/>
    </w:rPr>
  </w:style>
  <w:style w:type="character" w:customStyle="1" w:styleId="CommentSubjectChar">
    <w:name w:val="Comment Subject Char"/>
    <w:basedOn w:val="CommentTextChar"/>
    <w:link w:val="CommentSubject"/>
    <w:uiPriority w:val="99"/>
    <w:semiHidden/>
    <w:rsid w:val="00C521D6"/>
    <w:rPr>
      <w:rFonts w:ascii="Arial" w:eastAsia="MS Mincho" w:hAnsi="Arial" w:cs="Arial"/>
      <w:b/>
      <w:bCs/>
      <w:sz w:val="20"/>
      <w:szCs w:val="20"/>
      <w:lang w:val="es-ES"/>
    </w:rPr>
  </w:style>
  <w:style w:type="paragraph" w:styleId="Footer">
    <w:name w:val="footer"/>
    <w:basedOn w:val="Normal"/>
    <w:link w:val="FooterChar"/>
    <w:uiPriority w:val="99"/>
    <w:unhideWhenUsed/>
    <w:rsid w:val="009B02A1"/>
    <w:pPr>
      <w:tabs>
        <w:tab w:val="center" w:pos="4680"/>
        <w:tab w:val="right" w:pos="9360"/>
      </w:tabs>
    </w:pPr>
  </w:style>
  <w:style w:type="character" w:customStyle="1" w:styleId="FooterChar">
    <w:name w:val="Footer Char"/>
    <w:basedOn w:val="DefaultParagraphFont"/>
    <w:link w:val="Footer"/>
    <w:uiPriority w:val="99"/>
    <w:rsid w:val="009B02A1"/>
    <w:rPr>
      <w:rFonts w:ascii="Arial" w:eastAsia="MS Mincho" w:hAnsi="Arial" w:cs="Arial"/>
      <w:sz w:val="24"/>
      <w:szCs w:val="24"/>
      <w:lang w:val="es-ES"/>
    </w:rPr>
  </w:style>
  <w:style w:type="paragraph" w:customStyle="1" w:styleId="Chapter">
    <w:name w:val="Chapter"/>
    <w:basedOn w:val="Normal"/>
    <w:next w:val="Normal"/>
    <w:rsid w:val="00206E32"/>
    <w:pPr>
      <w:keepNext/>
      <w:tabs>
        <w:tab w:val="left" w:pos="1440"/>
        <w:tab w:val="num" w:pos="1800"/>
      </w:tabs>
      <w:spacing w:before="240" w:after="240"/>
      <w:ind w:left="1152" w:firstLine="288"/>
      <w:jc w:val="center"/>
    </w:pPr>
    <w:rPr>
      <w:rFonts w:ascii="Times New Roman" w:eastAsiaTheme="minorEastAsia" w:hAnsi="Times New Roman" w:cs="Times New Roman"/>
      <w:b/>
      <w:smallCaps/>
      <w:szCs w:val="22"/>
      <w:lang w:val="en-US"/>
    </w:rPr>
  </w:style>
  <w:style w:type="paragraph" w:customStyle="1" w:styleId="subpar">
    <w:name w:val="subpar"/>
    <w:basedOn w:val="BodyTextIndent3"/>
    <w:rsid w:val="00206E32"/>
    <w:pPr>
      <w:spacing w:before="120"/>
      <w:ind w:left="864" w:hanging="504"/>
      <w:outlineLvl w:val="2"/>
    </w:pPr>
    <w:rPr>
      <w:rFonts w:ascii="Times New Roman" w:eastAsiaTheme="minorEastAsia" w:hAnsi="Times New Roman" w:cs="Times New Roman"/>
      <w:sz w:val="24"/>
      <w:lang w:val="en-US"/>
    </w:rPr>
  </w:style>
  <w:style w:type="paragraph" w:customStyle="1" w:styleId="SubSubPar">
    <w:name w:val="SubSubPar"/>
    <w:basedOn w:val="subpar"/>
    <w:rsid w:val="00206E32"/>
    <w:pPr>
      <w:tabs>
        <w:tab w:val="left" w:pos="0"/>
        <w:tab w:val="num" w:pos="1296"/>
      </w:tabs>
      <w:ind w:left="1296" w:hanging="648"/>
    </w:pPr>
  </w:style>
  <w:style w:type="paragraph" w:styleId="BodyTextIndent3">
    <w:name w:val="Body Text Indent 3"/>
    <w:basedOn w:val="Normal"/>
    <w:link w:val="BodyTextIndent3Char"/>
    <w:uiPriority w:val="99"/>
    <w:semiHidden/>
    <w:unhideWhenUsed/>
    <w:rsid w:val="00206E3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06E32"/>
    <w:rPr>
      <w:rFonts w:ascii="Arial" w:eastAsia="MS Mincho" w:hAnsi="Arial" w:cs="Arial"/>
      <w:sz w:val="16"/>
      <w:szCs w:val="16"/>
      <w:lang w:val="es-ES"/>
    </w:rPr>
  </w:style>
  <w:style w:type="character" w:styleId="UnresolvedMention">
    <w:name w:val="Unresolved Mention"/>
    <w:basedOn w:val="DefaultParagraphFont"/>
    <w:uiPriority w:val="99"/>
    <w:semiHidden/>
    <w:unhideWhenUsed/>
    <w:rsid w:val="00503A8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file:///C:\Users\BEATRIZGO\Desktop\DR-L1121\www.formalizate.gob.do"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nterprisesurveys.org/Data/ExploreEconomies/2010/dominican-republic" TargetMode="External"/><Relationship Id="rId1" Type="http://schemas.openxmlformats.org/officeDocument/2006/relationships/hyperlink" Target="http://www.imf.org/external/pubs/ft/wp/2013/wp1314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EAC237-4B17-49D8-BDE9-6CE8499CE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20</Pages>
  <Words>6216</Words>
  <Characters>34189</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40325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Alejandro Támola</dc:creator>
  <cp:lastModifiedBy>Torrico Duran, Blanca Paola</cp:lastModifiedBy>
  <cp:revision>10</cp:revision>
  <dcterms:created xsi:type="dcterms:W3CDTF">2017-10-05T01:21:00Z</dcterms:created>
  <dcterms:modified xsi:type="dcterms:W3CDTF">2017-10-10T01:19:00Z</dcterms:modified>
</cp:coreProperties>
</file>