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36BB2" w14:textId="77777777" w:rsidR="00496482" w:rsidRPr="003923D7" w:rsidRDefault="00496482" w:rsidP="00171F45">
      <w:pPr>
        <w:pStyle w:val="SubSubPar"/>
        <w:numPr>
          <w:ilvl w:val="0"/>
          <w:numId w:val="0"/>
        </w:numPr>
        <w:spacing w:after="0"/>
        <w:jc w:val="center"/>
        <w:rPr>
          <w:rFonts w:ascii="Arial" w:hAnsi="Arial" w:cs="Arial"/>
          <w:smallCaps/>
          <w:lang w:val="es-ES"/>
        </w:rPr>
      </w:pPr>
      <w:r w:rsidRPr="003923D7">
        <w:rPr>
          <w:rFonts w:ascii="Arial" w:hAnsi="Arial" w:cs="Arial"/>
          <w:smallCaps/>
          <w:lang w:val="es-ES"/>
        </w:rPr>
        <w:t>Documento del Banco Interamericano De Desarrollo</w:t>
      </w:r>
    </w:p>
    <w:p w14:paraId="20275087" w14:textId="77777777" w:rsidR="00496482" w:rsidRPr="003923D7" w:rsidRDefault="00496482" w:rsidP="00171F45">
      <w:pPr>
        <w:tabs>
          <w:tab w:val="left" w:pos="1440"/>
          <w:tab w:val="left" w:pos="3060"/>
        </w:tabs>
        <w:jc w:val="center"/>
        <w:rPr>
          <w:rFonts w:ascii="Arial" w:hAnsi="Arial" w:cs="Arial"/>
          <w:smallCaps/>
          <w:lang w:val="es-ES_tradnl"/>
        </w:rPr>
      </w:pPr>
    </w:p>
    <w:p w14:paraId="1F48FBC0" w14:textId="77777777" w:rsidR="00496482" w:rsidRPr="003923D7" w:rsidRDefault="00496482" w:rsidP="00496482">
      <w:pPr>
        <w:tabs>
          <w:tab w:val="left" w:pos="1440"/>
          <w:tab w:val="left" w:pos="3060"/>
        </w:tabs>
        <w:jc w:val="center"/>
        <w:rPr>
          <w:rFonts w:ascii="Arial" w:hAnsi="Arial" w:cs="Arial"/>
          <w:lang w:val="es-ES_tradnl"/>
        </w:rPr>
      </w:pPr>
    </w:p>
    <w:p w14:paraId="4DEEAAC6" w14:textId="77777777" w:rsidR="00496482" w:rsidRPr="003923D7" w:rsidRDefault="00496482" w:rsidP="00496482">
      <w:pPr>
        <w:tabs>
          <w:tab w:val="left" w:pos="1440"/>
          <w:tab w:val="left" w:pos="3060"/>
        </w:tabs>
        <w:jc w:val="center"/>
        <w:rPr>
          <w:rFonts w:ascii="Arial" w:hAnsi="Arial" w:cs="Arial"/>
          <w:lang w:val="es-ES_tradnl"/>
        </w:rPr>
      </w:pPr>
    </w:p>
    <w:p w14:paraId="581A4658" w14:textId="77777777" w:rsidR="00496482" w:rsidRPr="003923D7" w:rsidRDefault="00496482" w:rsidP="00496482">
      <w:pPr>
        <w:tabs>
          <w:tab w:val="left" w:pos="1440"/>
          <w:tab w:val="left" w:pos="3060"/>
        </w:tabs>
        <w:jc w:val="center"/>
        <w:rPr>
          <w:rFonts w:ascii="Arial" w:hAnsi="Arial" w:cs="Arial"/>
          <w:lang w:val="es-ES_tradnl"/>
        </w:rPr>
      </w:pPr>
    </w:p>
    <w:p w14:paraId="030984B3" w14:textId="77777777" w:rsidR="00F830E2" w:rsidRPr="003923D7" w:rsidRDefault="00F830E2" w:rsidP="00496482">
      <w:pPr>
        <w:tabs>
          <w:tab w:val="left" w:pos="1440"/>
          <w:tab w:val="left" w:pos="3060"/>
        </w:tabs>
        <w:jc w:val="center"/>
        <w:rPr>
          <w:rFonts w:ascii="Arial" w:hAnsi="Arial" w:cs="Arial"/>
          <w:lang w:val="es-ES_tradnl"/>
        </w:rPr>
      </w:pPr>
    </w:p>
    <w:p w14:paraId="1F347BA1" w14:textId="77777777" w:rsidR="00F830E2" w:rsidRPr="003923D7" w:rsidRDefault="00F830E2" w:rsidP="00496482">
      <w:pPr>
        <w:tabs>
          <w:tab w:val="left" w:pos="1440"/>
          <w:tab w:val="left" w:pos="3060"/>
        </w:tabs>
        <w:jc w:val="center"/>
        <w:rPr>
          <w:rFonts w:ascii="Arial" w:hAnsi="Arial" w:cs="Arial"/>
          <w:lang w:val="es-ES_tradnl"/>
        </w:rPr>
      </w:pPr>
    </w:p>
    <w:p w14:paraId="3B779699" w14:textId="77777777" w:rsidR="00F830E2" w:rsidRPr="003923D7" w:rsidRDefault="00F830E2" w:rsidP="00496482">
      <w:pPr>
        <w:tabs>
          <w:tab w:val="left" w:pos="1440"/>
          <w:tab w:val="left" w:pos="3060"/>
        </w:tabs>
        <w:jc w:val="center"/>
        <w:rPr>
          <w:rFonts w:ascii="Arial" w:hAnsi="Arial" w:cs="Arial"/>
          <w:lang w:val="es-ES_tradnl"/>
        </w:rPr>
      </w:pPr>
    </w:p>
    <w:p w14:paraId="75D94485" w14:textId="77777777" w:rsidR="00496482" w:rsidRPr="003923D7" w:rsidRDefault="004E2CBA" w:rsidP="00496482">
      <w:pPr>
        <w:tabs>
          <w:tab w:val="left" w:pos="1440"/>
          <w:tab w:val="left" w:pos="3060"/>
        </w:tabs>
        <w:jc w:val="center"/>
        <w:rPr>
          <w:rFonts w:ascii="Arial" w:hAnsi="Arial" w:cs="Arial"/>
          <w:b/>
          <w:smallCaps/>
          <w:sz w:val="28"/>
          <w:szCs w:val="28"/>
          <w:lang w:val="es-ES_tradnl"/>
        </w:rPr>
      </w:pPr>
      <w:r w:rsidRPr="003923D7">
        <w:rPr>
          <w:rFonts w:ascii="Arial" w:hAnsi="Arial" w:cs="Arial"/>
          <w:b/>
          <w:smallCaps/>
          <w:sz w:val="28"/>
          <w:szCs w:val="28"/>
          <w:lang w:val="es-ES_tradnl"/>
        </w:rPr>
        <w:t>República Dominicana</w:t>
      </w:r>
    </w:p>
    <w:p w14:paraId="2B269376" w14:textId="77777777" w:rsidR="00496482" w:rsidRPr="003923D7" w:rsidRDefault="00496482" w:rsidP="00496482">
      <w:pPr>
        <w:tabs>
          <w:tab w:val="left" w:pos="1440"/>
          <w:tab w:val="left" w:pos="3060"/>
        </w:tabs>
        <w:jc w:val="center"/>
        <w:rPr>
          <w:rFonts w:ascii="Arial" w:hAnsi="Arial" w:cs="Arial"/>
          <w:smallCaps/>
          <w:sz w:val="28"/>
          <w:szCs w:val="28"/>
          <w:lang w:val="es-ES_tradnl"/>
        </w:rPr>
      </w:pPr>
    </w:p>
    <w:p w14:paraId="01F3D423" w14:textId="77777777" w:rsidR="00496482" w:rsidRPr="003923D7" w:rsidRDefault="00496482" w:rsidP="00496482">
      <w:pPr>
        <w:tabs>
          <w:tab w:val="left" w:pos="1440"/>
          <w:tab w:val="left" w:pos="3060"/>
        </w:tabs>
        <w:jc w:val="center"/>
        <w:rPr>
          <w:rFonts w:ascii="Arial" w:hAnsi="Arial" w:cs="Arial"/>
          <w:smallCaps/>
          <w:sz w:val="28"/>
          <w:szCs w:val="28"/>
          <w:lang w:val="es-ES_tradnl"/>
        </w:rPr>
      </w:pPr>
    </w:p>
    <w:p w14:paraId="021DF406" w14:textId="77777777" w:rsidR="00827A7F" w:rsidRPr="003923D7" w:rsidRDefault="004E2CBA" w:rsidP="00496482">
      <w:pPr>
        <w:pStyle w:val="Newpage"/>
        <w:rPr>
          <w:rFonts w:ascii="Arial" w:hAnsi="Arial" w:cs="Arial"/>
          <w:sz w:val="28"/>
          <w:szCs w:val="28"/>
          <w:lang w:val="es-MX"/>
        </w:rPr>
      </w:pPr>
      <w:r w:rsidRPr="003923D7">
        <w:rPr>
          <w:rFonts w:ascii="Arial" w:hAnsi="Arial" w:cs="Arial"/>
          <w:sz w:val="28"/>
          <w:szCs w:val="28"/>
          <w:lang w:val="es-MX"/>
        </w:rPr>
        <w:t>Programa de Mejora de la Productividad y la Formalización en República dominicana</w:t>
      </w:r>
      <w:r w:rsidR="00157EDA" w:rsidRPr="003923D7">
        <w:rPr>
          <w:rFonts w:ascii="Arial" w:hAnsi="Arial" w:cs="Arial"/>
          <w:sz w:val="28"/>
          <w:szCs w:val="28"/>
          <w:lang w:val="es-MX"/>
        </w:rPr>
        <w:t xml:space="preserve"> II</w:t>
      </w:r>
    </w:p>
    <w:p w14:paraId="52272B3A" w14:textId="77777777" w:rsidR="004E2CBA" w:rsidRPr="003923D7" w:rsidRDefault="004E2CBA" w:rsidP="00496482">
      <w:pPr>
        <w:pStyle w:val="Newpage"/>
        <w:rPr>
          <w:rFonts w:ascii="Arial" w:hAnsi="Arial" w:cs="Arial"/>
          <w:sz w:val="28"/>
          <w:szCs w:val="28"/>
          <w:lang w:val="es-MX"/>
        </w:rPr>
      </w:pPr>
    </w:p>
    <w:p w14:paraId="43B21E84" w14:textId="77777777" w:rsidR="00496482" w:rsidRPr="003923D7" w:rsidRDefault="00496482" w:rsidP="00496482">
      <w:pPr>
        <w:pStyle w:val="Newpage"/>
        <w:rPr>
          <w:rFonts w:ascii="Arial" w:hAnsi="Arial" w:cs="Arial"/>
          <w:sz w:val="28"/>
          <w:szCs w:val="28"/>
          <w:lang w:val="es-MX"/>
        </w:rPr>
      </w:pPr>
      <w:r w:rsidRPr="003923D7">
        <w:rPr>
          <w:rFonts w:ascii="Arial" w:hAnsi="Arial" w:cs="Arial"/>
          <w:sz w:val="28"/>
          <w:szCs w:val="28"/>
          <w:lang w:val="es-MX"/>
        </w:rPr>
        <w:t>(</w:t>
      </w:r>
      <w:r w:rsidR="00157EDA" w:rsidRPr="003923D7">
        <w:rPr>
          <w:rFonts w:ascii="Arial" w:hAnsi="Arial" w:cs="Arial"/>
          <w:sz w:val="28"/>
          <w:szCs w:val="28"/>
          <w:lang w:val="es-MX"/>
        </w:rPr>
        <w:t>DR-L1121</w:t>
      </w:r>
      <w:r w:rsidRPr="003923D7">
        <w:rPr>
          <w:rFonts w:ascii="Arial" w:hAnsi="Arial" w:cs="Arial"/>
          <w:sz w:val="28"/>
          <w:szCs w:val="28"/>
          <w:lang w:val="es-MX"/>
        </w:rPr>
        <w:t>)</w:t>
      </w:r>
    </w:p>
    <w:p w14:paraId="234986F8" w14:textId="77777777" w:rsidR="00496482" w:rsidRPr="003923D7" w:rsidRDefault="00496482" w:rsidP="00496482">
      <w:pPr>
        <w:tabs>
          <w:tab w:val="left" w:pos="1440"/>
          <w:tab w:val="left" w:pos="3060"/>
        </w:tabs>
        <w:rPr>
          <w:rFonts w:ascii="Arial" w:hAnsi="Arial" w:cs="Arial"/>
          <w:smallCaps/>
          <w:sz w:val="28"/>
          <w:szCs w:val="28"/>
          <w:lang w:val="es-ES_tradnl"/>
        </w:rPr>
      </w:pPr>
    </w:p>
    <w:p w14:paraId="56CBA9D7" w14:textId="77777777" w:rsidR="00F830E2" w:rsidRPr="003923D7" w:rsidRDefault="00F830E2" w:rsidP="00496482">
      <w:pPr>
        <w:tabs>
          <w:tab w:val="left" w:pos="1440"/>
          <w:tab w:val="left" w:pos="3060"/>
        </w:tabs>
        <w:jc w:val="center"/>
        <w:rPr>
          <w:rFonts w:ascii="Arial" w:hAnsi="Arial" w:cs="Arial"/>
          <w:smallCaps/>
          <w:sz w:val="28"/>
          <w:szCs w:val="28"/>
          <w:lang w:val="es-MX"/>
        </w:rPr>
      </w:pPr>
    </w:p>
    <w:p w14:paraId="5E3F7D76" w14:textId="77777777" w:rsidR="00F830E2" w:rsidRPr="003923D7" w:rsidRDefault="00F830E2" w:rsidP="00496482">
      <w:pPr>
        <w:tabs>
          <w:tab w:val="left" w:pos="1440"/>
          <w:tab w:val="left" w:pos="3060"/>
        </w:tabs>
        <w:jc w:val="center"/>
        <w:rPr>
          <w:rFonts w:ascii="Arial" w:hAnsi="Arial" w:cs="Arial"/>
          <w:smallCaps/>
          <w:sz w:val="28"/>
          <w:szCs w:val="28"/>
          <w:lang w:val="es-MX"/>
        </w:rPr>
      </w:pPr>
    </w:p>
    <w:p w14:paraId="44BD0856" w14:textId="77777777" w:rsidR="00496482" w:rsidRPr="003923D7" w:rsidRDefault="00496482" w:rsidP="00496482">
      <w:pPr>
        <w:tabs>
          <w:tab w:val="left" w:pos="1440"/>
          <w:tab w:val="left" w:pos="3060"/>
        </w:tabs>
        <w:jc w:val="center"/>
        <w:outlineLvl w:val="0"/>
        <w:rPr>
          <w:rFonts w:ascii="Arial" w:hAnsi="Arial" w:cs="Arial"/>
          <w:b/>
          <w:smallCaps/>
          <w:sz w:val="28"/>
          <w:szCs w:val="28"/>
          <w:lang w:val="es-ES_tradnl"/>
        </w:rPr>
      </w:pPr>
      <w:r w:rsidRPr="003923D7">
        <w:rPr>
          <w:rFonts w:ascii="Arial" w:hAnsi="Arial" w:cs="Arial"/>
          <w:b/>
          <w:smallCaps/>
          <w:sz w:val="28"/>
          <w:szCs w:val="28"/>
          <w:lang w:val="es-MX"/>
        </w:rPr>
        <w:t>Análisis Económico</w:t>
      </w:r>
    </w:p>
    <w:p w14:paraId="22F5975F" w14:textId="77777777" w:rsidR="00496482" w:rsidRPr="003923D7" w:rsidRDefault="00496482" w:rsidP="001E1C12">
      <w:pPr>
        <w:jc w:val="both"/>
        <w:rPr>
          <w:rFonts w:ascii="Arial" w:hAnsi="Arial" w:cs="Arial"/>
          <w:b/>
          <w:sz w:val="24"/>
          <w:szCs w:val="32"/>
          <w:lang w:val="es-ES_tradnl"/>
        </w:rPr>
      </w:pPr>
    </w:p>
    <w:p w14:paraId="42BCDFF8" w14:textId="77777777" w:rsidR="001F06A4" w:rsidRPr="003923D7" w:rsidRDefault="001F06A4" w:rsidP="001E1C12">
      <w:pPr>
        <w:jc w:val="both"/>
        <w:rPr>
          <w:rFonts w:ascii="Arial" w:hAnsi="Arial" w:cs="Arial"/>
          <w:b/>
          <w:sz w:val="24"/>
          <w:szCs w:val="32"/>
          <w:lang w:val="es-ES_tradnl"/>
        </w:rPr>
      </w:pPr>
    </w:p>
    <w:p w14:paraId="62E8F95E" w14:textId="77777777" w:rsidR="001F06A4" w:rsidRPr="003923D7" w:rsidRDefault="001F06A4" w:rsidP="001E1C12">
      <w:pPr>
        <w:jc w:val="both"/>
        <w:rPr>
          <w:rFonts w:ascii="Arial" w:hAnsi="Arial" w:cs="Arial"/>
          <w:b/>
          <w:sz w:val="24"/>
          <w:szCs w:val="32"/>
          <w:lang w:val="es-ES_tradnl"/>
        </w:rPr>
      </w:pPr>
    </w:p>
    <w:p w14:paraId="1EB387E8" w14:textId="77777777" w:rsidR="001F06A4" w:rsidRPr="003923D7" w:rsidRDefault="001F06A4" w:rsidP="001F06A4">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Arial" w:hAnsi="Arial" w:cs="Arial"/>
          <w:lang w:val="es-ES_tradnl"/>
        </w:rPr>
      </w:pPr>
      <w:r w:rsidRPr="003923D7">
        <w:rPr>
          <w:rFonts w:ascii="Arial" w:hAnsi="Arial" w:cs="Arial"/>
          <w:lang w:val="es-ES_tradnl"/>
        </w:rPr>
        <w:t xml:space="preserve">Este documento fue preparado por </w:t>
      </w:r>
      <w:r w:rsidR="00B7430D" w:rsidRPr="003923D7">
        <w:rPr>
          <w:rFonts w:ascii="Arial" w:hAnsi="Arial" w:cs="Arial"/>
          <w:lang w:val="es-ES_tradnl"/>
        </w:rPr>
        <w:t xml:space="preserve">Alejandro Tamola (IFD/CMF) y actualizado por </w:t>
      </w:r>
      <w:r w:rsidR="00157EDA" w:rsidRPr="003923D7">
        <w:rPr>
          <w:rFonts w:ascii="Arial" w:hAnsi="Arial" w:cs="Arial"/>
          <w:lang w:val="es-ES_tradnl"/>
        </w:rPr>
        <w:t xml:space="preserve">Gregorio Arévalo (IFD/CTI), sobre la base de la evaluación económica </w:t>
      </w:r>
      <w:r w:rsidR="00B7430D" w:rsidRPr="003923D7">
        <w:rPr>
          <w:rFonts w:ascii="Arial" w:hAnsi="Arial" w:cs="Arial"/>
          <w:lang w:val="es-ES_tradnl"/>
        </w:rPr>
        <w:t>realizada</w:t>
      </w:r>
      <w:r w:rsidR="00663283" w:rsidRPr="003923D7">
        <w:rPr>
          <w:rFonts w:ascii="Arial" w:hAnsi="Arial" w:cs="Arial"/>
          <w:lang w:val="es-ES_tradnl"/>
        </w:rPr>
        <w:t xml:space="preserve"> </w:t>
      </w:r>
      <w:r w:rsidR="00157EDA" w:rsidRPr="003923D7">
        <w:rPr>
          <w:rFonts w:ascii="Arial" w:hAnsi="Arial" w:cs="Arial"/>
          <w:lang w:val="es-ES_tradnl"/>
        </w:rPr>
        <w:t>en ocasión de</w:t>
      </w:r>
      <w:r w:rsidR="001C7636" w:rsidRPr="003923D7">
        <w:rPr>
          <w:rFonts w:ascii="Arial" w:hAnsi="Arial" w:cs="Arial"/>
          <w:lang w:val="es-ES_tradnl"/>
        </w:rPr>
        <w:t>l primer programa de la S</w:t>
      </w:r>
      <w:r w:rsidR="00157EDA" w:rsidRPr="003923D7">
        <w:rPr>
          <w:rFonts w:ascii="Arial" w:hAnsi="Arial" w:cs="Arial"/>
          <w:lang w:val="es-ES_tradnl"/>
        </w:rPr>
        <w:t xml:space="preserve">erie </w:t>
      </w:r>
      <w:r w:rsidR="001C7636" w:rsidRPr="003923D7">
        <w:rPr>
          <w:rFonts w:ascii="Arial" w:hAnsi="Arial" w:cs="Arial"/>
          <w:lang w:val="es-ES_tradnl"/>
        </w:rPr>
        <w:t>P</w:t>
      </w:r>
      <w:r w:rsidR="00157EDA" w:rsidRPr="003923D7">
        <w:rPr>
          <w:rFonts w:ascii="Arial" w:hAnsi="Arial" w:cs="Arial"/>
          <w:lang w:val="es-ES_tradnl"/>
        </w:rPr>
        <w:t>rogramática (DR-L1072)</w:t>
      </w:r>
      <w:r w:rsidRPr="003923D7">
        <w:rPr>
          <w:rFonts w:ascii="Arial" w:hAnsi="Arial" w:cs="Arial"/>
          <w:lang w:val="es-ES_tradnl"/>
        </w:rPr>
        <w:t>.</w:t>
      </w:r>
    </w:p>
    <w:p w14:paraId="68719350" w14:textId="77777777" w:rsidR="00EE37B1" w:rsidRPr="003923D7" w:rsidRDefault="00EE37B1" w:rsidP="001E1C12">
      <w:pPr>
        <w:jc w:val="both"/>
        <w:rPr>
          <w:rFonts w:ascii="Arial" w:hAnsi="Arial" w:cs="Arial"/>
          <w:b/>
          <w:sz w:val="24"/>
          <w:szCs w:val="32"/>
          <w:lang w:val="es-ES_tradnl"/>
        </w:rPr>
      </w:pPr>
    </w:p>
    <w:p w14:paraId="682D6191" w14:textId="77777777" w:rsidR="005813A7" w:rsidRPr="003923D7" w:rsidRDefault="005813A7" w:rsidP="005813A7">
      <w:pPr>
        <w:pStyle w:val="Newpage"/>
        <w:tabs>
          <w:tab w:val="clear" w:pos="3060"/>
        </w:tabs>
        <w:rPr>
          <w:rFonts w:ascii="Arial" w:hAnsi="Arial" w:cs="Arial"/>
        </w:rPr>
      </w:pPr>
      <w:bookmarkStart w:id="0" w:name="Contents"/>
      <w:r w:rsidRPr="003923D7">
        <w:rPr>
          <w:rFonts w:ascii="Arial" w:hAnsi="Arial" w:cs="Arial"/>
        </w:rPr>
        <w:t>Contenido</w:t>
      </w:r>
    </w:p>
    <w:bookmarkEnd w:id="0"/>
    <w:p w14:paraId="3004DB08" w14:textId="77777777" w:rsidR="00F830E2" w:rsidRPr="003923D7" w:rsidRDefault="00F830E2" w:rsidP="001E1C12">
      <w:pPr>
        <w:jc w:val="both"/>
        <w:rPr>
          <w:rFonts w:ascii="Arial" w:hAnsi="Arial" w:cs="Arial"/>
          <w:b/>
          <w:sz w:val="24"/>
          <w:szCs w:val="24"/>
          <w:lang w:val="es-ES_tradnl"/>
        </w:rPr>
      </w:pPr>
    </w:p>
    <w:p w14:paraId="45539633" w14:textId="77777777" w:rsidR="00E93BCF" w:rsidRPr="003923D7" w:rsidRDefault="00062F5D">
      <w:pPr>
        <w:pStyle w:val="TOC1"/>
        <w:rPr>
          <w:rFonts w:ascii="Arial" w:hAnsi="Arial" w:cs="Arial"/>
          <w:smallCaps w:val="0"/>
          <w:noProof/>
          <w:sz w:val="22"/>
          <w:lang w:val="es-ES_tradnl"/>
        </w:rPr>
      </w:pPr>
      <w:r w:rsidRPr="003923D7">
        <w:rPr>
          <w:rFonts w:ascii="Arial" w:hAnsi="Arial" w:cs="Arial"/>
          <w:lang w:val="es-ES_tradnl"/>
        </w:rPr>
        <w:fldChar w:fldCharType="begin"/>
      </w:r>
      <w:r w:rsidR="008C4F91" w:rsidRPr="003923D7">
        <w:rPr>
          <w:rFonts w:ascii="Arial" w:hAnsi="Arial" w:cs="Arial"/>
          <w:lang w:val="es-ES_tradnl"/>
        </w:rPr>
        <w:instrText xml:space="preserve"> TOC \f \t "Chapter,1,FirstHeading,2,SecHeading,3" </w:instrText>
      </w:r>
      <w:r w:rsidRPr="003923D7">
        <w:rPr>
          <w:rFonts w:ascii="Arial" w:hAnsi="Arial" w:cs="Arial"/>
          <w:lang w:val="es-ES_tradnl"/>
        </w:rPr>
        <w:fldChar w:fldCharType="separate"/>
      </w:r>
      <w:r w:rsidR="00E93BCF" w:rsidRPr="003923D7">
        <w:rPr>
          <w:rFonts w:ascii="Arial" w:hAnsi="Arial" w:cs="Arial"/>
          <w:noProof/>
          <w:lang w:val="es-ES_tradnl"/>
        </w:rPr>
        <w:t>I.</w:t>
      </w:r>
      <w:r w:rsidR="00E93BCF" w:rsidRPr="003923D7">
        <w:rPr>
          <w:rFonts w:ascii="Arial" w:hAnsi="Arial" w:cs="Arial"/>
          <w:smallCaps w:val="0"/>
          <w:noProof/>
          <w:sz w:val="22"/>
          <w:lang w:val="es-ES_tradnl"/>
        </w:rPr>
        <w:tab/>
      </w:r>
      <w:r w:rsidR="00E93BCF" w:rsidRPr="003923D7">
        <w:rPr>
          <w:rFonts w:ascii="Arial" w:hAnsi="Arial" w:cs="Arial"/>
          <w:noProof/>
          <w:lang w:val="es-ES_tradnl"/>
        </w:rPr>
        <w:t>Introducción</w:t>
      </w:r>
      <w:r w:rsidR="00E93BCF" w:rsidRPr="003923D7">
        <w:rPr>
          <w:rFonts w:ascii="Arial" w:hAnsi="Arial" w:cs="Arial"/>
          <w:noProof/>
          <w:lang w:val="es-ES_tradnl"/>
        </w:rPr>
        <w:tab/>
      </w:r>
      <w:r w:rsidR="00E93BCF" w:rsidRPr="003923D7">
        <w:rPr>
          <w:rFonts w:ascii="Arial" w:hAnsi="Arial" w:cs="Arial"/>
          <w:noProof/>
        </w:rPr>
        <w:fldChar w:fldCharType="begin"/>
      </w:r>
      <w:r w:rsidR="00E93BCF" w:rsidRPr="003923D7">
        <w:rPr>
          <w:rFonts w:ascii="Arial" w:hAnsi="Arial" w:cs="Arial"/>
          <w:noProof/>
          <w:lang w:val="es-ES_tradnl"/>
        </w:rPr>
        <w:instrText xml:space="preserve"> PAGEREF _Toc398196140 \h </w:instrText>
      </w:r>
      <w:r w:rsidR="00E93BCF" w:rsidRPr="003923D7">
        <w:rPr>
          <w:rFonts w:ascii="Arial" w:hAnsi="Arial" w:cs="Arial"/>
          <w:noProof/>
        </w:rPr>
      </w:r>
      <w:r w:rsidR="00E93BCF" w:rsidRPr="003923D7">
        <w:rPr>
          <w:rFonts w:ascii="Arial" w:hAnsi="Arial" w:cs="Arial"/>
          <w:noProof/>
        </w:rPr>
        <w:fldChar w:fldCharType="separate"/>
      </w:r>
      <w:r w:rsidR="00B85DA9" w:rsidRPr="003923D7">
        <w:rPr>
          <w:rFonts w:ascii="Arial" w:hAnsi="Arial" w:cs="Arial"/>
          <w:noProof/>
          <w:lang w:val="es-ES_tradnl"/>
        </w:rPr>
        <w:t>1</w:t>
      </w:r>
      <w:r w:rsidR="00E93BCF" w:rsidRPr="003923D7">
        <w:rPr>
          <w:rFonts w:ascii="Arial" w:hAnsi="Arial" w:cs="Arial"/>
          <w:noProof/>
        </w:rPr>
        <w:fldChar w:fldCharType="end"/>
      </w:r>
    </w:p>
    <w:p w14:paraId="32B609A1" w14:textId="77777777" w:rsidR="00E93BCF" w:rsidRPr="003923D7" w:rsidRDefault="00E93BCF">
      <w:pPr>
        <w:pStyle w:val="TOC1"/>
        <w:rPr>
          <w:rFonts w:ascii="Arial" w:hAnsi="Arial" w:cs="Arial"/>
          <w:smallCaps w:val="0"/>
          <w:noProof/>
          <w:sz w:val="22"/>
          <w:lang w:val="es-ES_tradnl"/>
        </w:rPr>
      </w:pPr>
      <w:r w:rsidRPr="003923D7">
        <w:rPr>
          <w:rFonts w:ascii="Arial" w:hAnsi="Arial" w:cs="Arial"/>
          <w:noProof/>
          <w:lang w:val="es-ES_tradnl"/>
        </w:rPr>
        <w:t>II.</w:t>
      </w:r>
      <w:r w:rsidRPr="003923D7">
        <w:rPr>
          <w:rFonts w:ascii="Arial" w:hAnsi="Arial" w:cs="Arial"/>
          <w:smallCaps w:val="0"/>
          <w:noProof/>
          <w:sz w:val="22"/>
          <w:lang w:val="es-ES_tradnl"/>
        </w:rPr>
        <w:tab/>
      </w:r>
      <w:r w:rsidRPr="003923D7">
        <w:rPr>
          <w:rFonts w:ascii="Arial" w:hAnsi="Arial" w:cs="Arial"/>
          <w:noProof/>
          <w:lang w:val="es-ES_tradnl"/>
        </w:rPr>
        <w:t>Metodología y Supuestos</w:t>
      </w:r>
      <w:r w:rsidRPr="003923D7">
        <w:rPr>
          <w:rFonts w:ascii="Arial" w:hAnsi="Arial" w:cs="Arial"/>
          <w:noProof/>
          <w:lang w:val="es-ES_tradnl"/>
        </w:rPr>
        <w:tab/>
      </w:r>
      <w:r w:rsidRPr="003923D7">
        <w:rPr>
          <w:rFonts w:ascii="Arial" w:hAnsi="Arial" w:cs="Arial"/>
          <w:noProof/>
        </w:rPr>
        <w:fldChar w:fldCharType="begin"/>
      </w:r>
      <w:r w:rsidRPr="003923D7">
        <w:rPr>
          <w:rFonts w:ascii="Arial" w:hAnsi="Arial" w:cs="Arial"/>
          <w:noProof/>
          <w:lang w:val="es-ES_tradnl"/>
        </w:rPr>
        <w:instrText xml:space="preserve"> PAGEREF _Toc398196141 \h </w:instrText>
      </w:r>
      <w:r w:rsidRPr="003923D7">
        <w:rPr>
          <w:rFonts w:ascii="Arial" w:hAnsi="Arial" w:cs="Arial"/>
          <w:noProof/>
        </w:rPr>
      </w:r>
      <w:r w:rsidRPr="003923D7">
        <w:rPr>
          <w:rFonts w:ascii="Arial" w:hAnsi="Arial" w:cs="Arial"/>
          <w:noProof/>
        </w:rPr>
        <w:fldChar w:fldCharType="separate"/>
      </w:r>
      <w:r w:rsidR="00B85DA9" w:rsidRPr="003923D7">
        <w:rPr>
          <w:rFonts w:ascii="Arial" w:hAnsi="Arial" w:cs="Arial"/>
          <w:noProof/>
          <w:lang w:val="es-ES_tradnl"/>
        </w:rPr>
        <w:t>1</w:t>
      </w:r>
      <w:r w:rsidRPr="003923D7">
        <w:rPr>
          <w:rFonts w:ascii="Arial" w:hAnsi="Arial" w:cs="Arial"/>
          <w:noProof/>
        </w:rPr>
        <w:fldChar w:fldCharType="end"/>
      </w:r>
    </w:p>
    <w:p w14:paraId="0C9C3CEF" w14:textId="77777777" w:rsidR="00E93BCF" w:rsidRPr="003923D7" w:rsidRDefault="00E93BCF">
      <w:pPr>
        <w:pStyle w:val="TOC1"/>
        <w:rPr>
          <w:rFonts w:ascii="Arial" w:hAnsi="Arial" w:cs="Arial"/>
          <w:smallCaps w:val="0"/>
          <w:noProof/>
          <w:sz w:val="22"/>
          <w:lang w:val="es-ES_tradnl"/>
        </w:rPr>
      </w:pPr>
      <w:r w:rsidRPr="003923D7">
        <w:rPr>
          <w:rFonts w:ascii="Arial" w:hAnsi="Arial" w:cs="Arial"/>
          <w:noProof/>
          <w:lang w:val="es-ES_tradnl"/>
        </w:rPr>
        <w:t>III.</w:t>
      </w:r>
      <w:r w:rsidRPr="003923D7">
        <w:rPr>
          <w:rFonts w:ascii="Arial" w:hAnsi="Arial" w:cs="Arial"/>
          <w:smallCaps w:val="0"/>
          <w:noProof/>
          <w:sz w:val="22"/>
          <w:lang w:val="es-ES_tradnl"/>
        </w:rPr>
        <w:tab/>
      </w:r>
      <w:r w:rsidRPr="003923D7">
        <w:rPr>
          <w:rFonts w:ascii="Arial" w:hAnsi="Arial" w:cs="Arial"/>
          <w:noProof/>
          <w:lang w:val="es-ES_tradnl"/>
        </w:rPr>
        <w:t>Valoración del Beneficio Económico</w:t>
      </w:r>
      <w:r w:rsidRPr="003923D7">
        <w:rPr>
          <w:rFonts w:ascii="Arial" w:hAnsi="Arial" w:cs="Arial"/>
          <w:noProof/>
          <w:lang w:val="es-ES_tradnl"/>
        </w:rPr>
        <w:tab/>
      </w:r>
      <w:r w:rsidRPr="003923D7">
        <w:rPr>
          <w:rFonts w:ascii="Arial" w:hAnsi="Arial" w:cs="Arial"/>
          <w:noProof/>
        </w:rPr>
        <w:fldChar w:fldCharType="begin"/>
      </w:r>
      <w:r w:rsidRPr="003923D7">
        <w:rPr>
          <w:rFonts w:ascii="Arial" w:hAnsi="Arial" w:cs="Arial"/>
          <w:noProof/>
          <w:lang w:val="es-ES_tradnl"/>
        </w:rPr>
        <w:instrText xml:space="preserve"> PAGEREF _Toc398196142 \h </w:instrText>
      </w:r>
      <w:r w:rsidRPr="003923D7">
        <w:rPr>
          <w:rFonts w:ascii="Arial" w:hAnsi="Arial" w:cs="Arial"/>
          <w:noProof/>
        </w:rPr>
      </w:r>
      <w:r w:rsidRPr="003923D7">
        <w:rPr>
          <w:rFonts w:ascii="Arial" w:hAnsi="Arial" w:cs="Arial"/>
          <w:noProof/>
        </w:rPr>
        <w:fldChar w:fldCharType="separate"/>
      </w:r>
      <w:r w:rsidR="00B85DA9" w:rsidRPr="003923D7">
        <w:rPr>
          <w:rFonts w:ascii="Arial" w:hAnsi="Arial" w:cs="Arial"/>
          <w:noProof/>
          <w:lang w:val="es-ES_tradnl"/>
        </w:rPr>
        <w:t>2</w:t>
      </w:r>
      <w:r w:rsidRPr="003923D7">
        <w:rPr>
          <w:rFonts w:ascii="Arial" w:hAnsi="Arial" w:cs="Arial"/>
          <w:noProof/>
        </w:rPr>
        <w:fldChar w:fldCharType="end"/>
      </w:r>
    </w:p>
    <w:p w14:paraId="60DA4F53" w14:textId="77777777" w:rsidR="00E93BCF" w:rsidRPr="003923D7" w:rsidRDefault="00E93BCF">
      <w:pPr>
        <w:pStyle w:val="TOC1"/>
        <w:rPr>
          <w:rFonts w:ascii="Arial" w:hAnsi="Arial" w:cs="Arial"/>
          <w:smallCaps w:val="0"/>
          <w:noProof/>
          <w:sz w:val="22"/>
          <w:lang w:val="es-ES_tradnl"/>
        </w:rPr>
      </w:pPr>
      <w:r w:rsidRPr="003923D7">
        <w:rPr>
          <w:rFonts w:ascii="Arial" w:hAnsi="Arial" w:cs="Arial"/>
          <w:noProof/>
          <w:lang w:val="es-ES_tradnl"/>
        </w:rPr>
        <w:t>IV.</w:t>
      </w:r>
      <w:r w:rsidRPr="003923D7">
        <w:rPr>
          <w:rFonts w:ascii="Arial" w:hAnsi="Arial" w:cs="Arial"/>
          <w:smallCaps w:val="0"/>
          <w:noProof/>
          <w:sz w:val="22"/>
          <w:lang w:val="es-ES_tradnl"/>
        </w:rPr>
        <w:tab/>
      </w:r>
      <w:r w:rsidRPr="003923D7">
        <w:rPr>
          <w:rFonts w:ascii="Arial" w:hAnsi="Arial" w:cs="Arial"/>
          <w:noProof/>
          <w:lang w:val="es-ES_tradnl"/>
        </w:rPr>
        <w:t>Análisis de Sensibilidad</w:t>
      </w:r>
      <w:r w:rsidRPr="003923D7">
        <w:rPr>
          <w:rFonts w:ascii="Arial" w:hAnsi="Arial" w:cs="Arial"/>
          <w:noProof/>
          <w:lang w:val="es-ES_tradnl"/>
        </w:rPr>
        <w:tab/>
      </w:r>
      <w:r w:rsidRPr="003923D7">
        <w:rPr>
          <w:rFonts w:ascii="Arial" w:hAnsi="Arial" w:cs="Arial"/>
          <w:noProof/>
        </w:rPr>
        <w:fldChar w:fldCharType="begin"/>
      </w:r>
      <w:r w:rsidRPr="003923D7">
        <w:rPr>
          <w:rFonts w:ascii="Arial" w:hAnsi="Arial" w:cs="Arial"/>
          <w:noProof/>
          <w:lang w:val="es-ES_tradnl"/>
        </w:rPr>
        <w:instrText xml:space="preserve"> PAGEREF _Toc398196143 \h </w:instrText>
      </w:r>
      <w:r w:rsidRPr="003923D7">
        <w:rPr>
          <w:rFonts w:ascii="Arial" w:hAnsi="Arial" w:cs="Arial"/>
          <w:noProof/>
        </w:rPr>
      </w:r>
      <w:r w:rsidRPr="003923D7">
        <w:rPr>
          <w:rFonts w:ascii="Arial" w:hAnsi="Arial" w:cs="Arial"/>
          <w:noProof/>
        </w:rPr>
        <w:fldChar w:fldCharType="separate"/>
      </w:r>
      <w:r w:rsidR="00B85DA9" w:rsidRPr="003923D7">
        <w:rPr>
          <w:rFonts w:ascii="Arial" w:hAnsi="Arial" w:cs="Arial"/>
          <w:noProof/>
          <w:lang w:val="es-ES_tradnl"/>
        </w:rPr>
        <w:t>3</w:t>
      </w:r>
      <w:r w:rsidRPr="003923D7">
        <w:rPr>
          <w:rFonts w:ascii="Arial" w:hAnsi="Arial" w:cs="Arial"/>
          <w:noProof/>
        </w:rPr>
        <w:fldChar w:fldCharType="end"/>
      </w:r>
    </w:p>
    <w:p w14:paraId="32220D54" w14:textId="77777777" w:rsidR="00E93BCF" w:rsidRPr="003923D7" w:rsidRDefault="00E93BCF">
      <w:pPr>
        <w:pStyle w:val="TOC1"/>
        <w:rPr>
          <w:rFonts w:ascii="Arial" w:hAnsi="Arial" w:cs="Arial"/>
          <w:smallCaps w:val="0"/>
          <w:noProof/>
          <w:sz w:val="22"/>
          <w:lang w:val="es-ES_tradnl"/>
        </w:rPr>
      </w:pPr>
      <w:r w:rsidRPr="003923D7">
        <w:rPr>
          <w:rFonts w:ascii="Arial" w:hAnsi="Arial" w:cs="Arial"/>
          <w:noProof/>
          <w:lang w:val="es-ES_tradnl"/>
        </w:rPr>
        <w:t>V.</w:t>
      </w:r>
      <w:r w:rsidRPr="003923D7">
        <w:rPr>
          <w:rFonts w:ascii="Arial" w:hAnsi="Arial" w:cs="Arial"/>
          <w:smallCaps w:val="0"/>
          <w:noProof/>
          <w:sz w:val="22"/>
          <w:lang w:val="es-ES_tradnl"/>
        </w:rPr>
        <w:tab/>
      </w:r>
      <w:r w:rsidRPr="003923D7">
        <w:rPr>
          <w:rFonts w:ascii="Arial" w:hAnsi="Arial" w:cs="Arial"/>
          <w:noProof/>
          <w:lang w:val="es-ES_tradnl"/>
        </w:rPr>
        <w:t>Conclusiones</w:t>
      </w:r>
      <w:r w:rsidRPr="003923D7">
        <w:rPr>
          <w:rFonts w:ascii="Arial" w:hAnsi="Arial" w:cs="Arial"/>
          <w:noProof/>
          <w:lang w:val="es-ES_tradnl"/>
        </w:rPr>
        <w:tab/>
      </w:r>
      <w:r w:rsidRPr="003923D7">
        <w:rPr>
          <w:rFonts w:ascii="Arial" w:hAnsi="Arial" w:cs="Arial"/>
          <w:noProof/>
        </w:rPr>
        <w:fldChar w:fldCharType="begin"/>
      </w:r>
      <w:r w:rsidRPr="003923D7">
        <w:rPr>
          <w:rFonts w:ascii="Arial" w:hAnsi="Arial" w:cs="Arial"/>
          <w:noProof/>
          <w:lang w:val="es-ES_tradnl"/>
        </w:rPr>
        <w:instrText xml:space="preserve"> PAGEREF _Toc398196144 \h </w:instrText>
      </w:r>
      <w:r w:rsidRPr="003923D7">
        <w:rPr>
          <w:rFonts w:ascii="Arial" w:hAnsi="Arial" w:cs="Arial"/>
          <w:noProof/>
        </w:rPr>
      </w:r>
      <w:r w:rsidRPr="003923D7">
        <w:rPr>
          <w:rFonts w:ascii="Arial" w:hAnsi="Arial" w:cs="Arial"/>
          <w:noProof/>
        </w:rPr>
        <w:fldChar w:fldCharType="separate"/>
      </w:r>
      <w:r w:rsidR="00B85DA9" w:rsidRPr="003923D7">
        <w:rPr>
          <w:rFonts w:ascii="Arial" w:hAnsi="Arial" w:cs="Arial"/>
          <w:noProof/>
          <w:lang w:val="es-ES_tradnl"/>
        </w:rPr>
        <w:t>6</w:t>
      </w:r>
      <w:r w:rsidRPr="003923D7">
        <w:rPr>
          <w:rFonts w:ascii="Arial" w:hAnsi="Arial" w:cs="Arial"/>
          <w:noProof/>
        </w:rPr>
        <w:fldChar w:fldCharType="end"/>
      </w:r>
    </w:p>
    <w:p w14:paraId="5F6611C0" w14:textId="77777777" w:rsidR="00095F4F" w:rsidRPr="003923D7" w:rsidRDefault="00062F5D" w:rsidP="00042B9E">
      <w:pPr>
        <w:jc w:val="both"/>
        <w:rPr>
          <w:rFonts w:ascii="Arial" w:hAnsi="Arial" w:cs="Arial"/>
          <w:b/>
          <w:noProof/>
          <w:sz w:val="24"/>
          <w:lang w:val="es-ES_tradnl"/>
        </w:rPr>
        <w:sectPr w:rsidR="00095F4F" w:rsidRPr="003923D7" w:rsidSect="00767E95">
          <w:pgSz w:w="12240" w:h="15840"/>
          <w:pgMar w:top="1440" w:right="1800" w:bottom="1440" w:left="1800" w:header="720" w:footer="720" w:gutter="0"/>
          <w:cols w:space="720"/>
          <w:titlePg/>
          <w:docGrid w:linePitch="360"/>
        </w:sectPr>
      </w:pPr>
      <w:r w:rsidRPr="003923D7">
        <w:rPr>
          <w:rFonts w:ascii="Arial" w:hAnsi="Arial" w:cs="Arial"/>
          <w:sz w:val="24"/>
          <w:lang w:val="es-ES_tradnl"/>
        </w:rPr>
        <w:fldChar w:fldCharType="end"/>
      </w:r>
    </w:p>
    <w:p w14:paraId="69C3E277" w14:textId="77777777" w:rsidR="00C86F50" w:rsidRPr="003923D7" w:rsidRDefault="00C86F50" w:rsidP="001E1C12">
      <w:pPr>
        <w:jc w:val="center"/>
        <w:rPr>
          <w:rFonts w:ascii="Arial" w:hAnsi="Arial" w:cs="Arial"/>
          <w:b/>
          <w:sz w:val="24"/>
          <w:lang w:val="es-ES_tradnl"/>
        </w:rPr>
      </w:pPr>
      <w:bookmarkStart w:id="1" w:name="_Toc298764664"/>
    </w:p>
    <w:p w14:paraId="55A51D3A" w14:textId="77777777" w:rsidR="00767E95" w:rsidRPr="003923D7" w:rsidRDefault="00767E95" w:rsidP="001E1C12">
      <w:pPr>
        <w:jc w:val="center"/>
        <w:rPr>
          <w:rFonts w:ascii="Arial" w:hAnsi="Arial" w:cs="Arial"/>
          <w:b/>
          <w:sz w:val="24"/>
          <w:lang w:val="es-ES_tradnl"/>
        </w:rPr>
        <w:sectPr w:rsidR="00767E95" w:rsidRPr="003923D7" w:rsidSect="00767E95">
          <w:headerReference w:type="even" r:id="rId8"/>
          <w:headerReference w:type="default" r:id="rId9"/>
          <w:headerReference w:type="first" r:id="rId10"/>
          <w:type w:val="continuous"/>
          <w:pgSz w:w="12240" w:h="15840"/>
          <w:pgMar w:top="1440" w:right="1800" w:bottom="1440" w:left="1800" w:header="720" w:footer="720" w:gutter="0"/>
          <w:cols w:space="720"/>
          <w:titlePg/>
          <w:docGrid w:linePitch="360"/>
        </w:sectPr>
      </w:pPr>
    </w:p>
    <w:p w14:paraId="3A5F0F90" w14:textId="77777777" w:rsidR="001E00BB" w:rsidRPr="003923D7" w:rsidRDefault="001E4EF5" w:rsidP="00885418">
      <w:pPr>
        <w:pStyle w:val="Chapter"/>
        <w:numPr>
          <w:ilvl w:val="0"/>
          <w:numId w:val="3"/>
        </w:numPr>
        <w:rPr>
          <w:rFonts w:ascii="Arial" w:hAnsi="Arial" w:cs="Arial"/>
          <w:lang w:val="es-ES_tradnl"/>
        </w:rPr>
      </w:pPr>
      <w:bookmarkStart w:id="2" w:name="_Toc398196140"/>
      <w:bookmarkEnd w:id="1"/>
      <w:r w:rsidRPr="003923D7">
        <w:rPr>
          <w:rFonts w:ascii="Arial" w:hAnsi="Arial" w:cs="Arial"/>
          <w:lang w:val="es-ES_tradnl"/>
        </w:rPr>
        <w:lastRenderedPageBreak/>
        <w:t>Introducción</w:t>
      </w:r>
      <w:bookmarkEnd w:id="2"/>
      <w:r w:rsidR="003A271B" w:rsidRPr="003923D7">
        <w:rPr>
          <w:rFonts w:ascii="Arial" w:hAnsi="Arial" w:cs="Arial"/>
          <w:lang w:val="es-ES_tradnl"/>
        </w:rPr>
        <w:t xml:space="preserve"> </w:t>
      </w:r>
    </w:p>
    <w:p w14:paraId="6BE4EAD1" w14:textId="77777777" w:rsidR="00B50EFC" w:rsidRPr="003923D7" w:rsidRDefault="009A7D38" w:rsidP="00E30093">
      <w:pPr>
        <w:pStyle w:val="Paragraph"/>
        <w:numPr>
          <w:ilvl w:val="0"/>
          <w:numId w:val="0"/>
        </w:numPr>
        <w:ind w:left="720"/>
        <w:rPr>
          <w:rFonts w:ascii="Arial" w:hAnsi="Arial" w:cs="Arial"/>
          <w:bCs/>
          <w:color w:val="000000"/>
          <w:szCs w:val="24"/>
          <w:lang w:val="es-ES_tradnl"/>
        </w:rPr>
      </w:pPr>
      <w:r w:rsidRPr="003923D7">
        <w:rPr>
          <w:rFonts w:ascii="Arial" w:hAnsi="Arial" w:cs="Arial"/>
          <w:b/>
          <w:bCs/>
          <w:color w:val="000000"/>
          <w:szCs w:val="24"/>
          <w:lang w:val="es-ES_tradnl"/>
        </w:rPr>
        <w:t xml:space="preserve">Antecedentes. </w:t>
      </w:r>
    </w:p>
    <w:p w14:paraId="48113628" w14:textId="77777777" w:rsidR="00CD174E" w:rsidRPr="003923D7" w:rsidRDefault="00B50EFC" w:rsidP="00CD174E">
      <w:pPr>
        <w:pStyle w:val="Paragraph"/>
        <w:tabs>
          <w:tab w:val="num" w:pos="720"/>
        </w:tabs>
        <w:ind w:left="720" w:hanging="720"/>
        <w:rPr>
          <w:rFonts w:ascii="Arial" w:hAnsi="Arial" w:cs="Arial"/>
          <w:lang w:val="es-ES_tradnl"/>
        </w:rPr>
      </w:pPr>
      <w:r w:rsidRPr="003923D7">
        <w:rPr>
          <w:rFonts w:ascii="Arial" w:hAnsi="Arial" w:cs="Arial"/>
          <w:b/>
          <w:bCs/>
          <w:szCs w:val="24"/>
          <w:lang w:val="es-ES_tradnl"/>
        </w:rPr>
        <w:t>Objetivos de programa.</w:t>
      </w:r>
      <w:r w:rsidRPr="003923D7">
        <w:rPr>
          <w:rFonts w:ascii="Arial" w:hAnsi="Arial" w:cs="Arial"/>
          <w:bCs/>
          <w:szCs w:val="24"/>
          <w:lang w:val="es-ES_tradnl"/>
        </w:rPr>
        <w:t xml:space="preserve"> </w:t>
      </w:r>
      <w:r w:rsidR="00143107" w:rsidRPr="003923D7">
        <w:rPr>
          <w:rFonts w:ascii="Arial" w:hAnsi="Arial" w:cs="Arial"/>
          <w:lang w:val="es-ES"/>
        </w:rPr>
        <w:t xml:space="preserve">El programa tiene como objetivo general la mejora de la productividad agregada, que se logra a través de tres objetivos específicos: (i) fortalecimiento de la regulación financiera para la mejora de la productividad; (ii) mejora del clima de negocios, la competencia y la innovación; y (iii) </w:t>
      </w:r>
      <w:r w:rsidR="008D640F" w:rsidRPr="003923D7">
        <w:rPr>
          <w:rFonts w:ascii="Arial" w:hAnsi="Arial" w:cs="Arial"/>
          <w:bCs/>
          <w:lang w:val="es-ES_tradnl"/>
        </w:rPr>
        <w:t>la mejora en las políticas de seguridad social y los incentivos a la formalidad</w:t>
      </w:r>
      <w:r w:rsidR="00143107" w:rsidRPr="003923D7">
        <w:rPr>
          <w:rFonts w:ascii="Arial" w:hAnsi="Arial" w:cs="Arial"/>
          <w:lang w:val="es-ES"/>
        </w:rPr>
        <w:t>.</w:t>
      </w:r>
    </w:p>
    <w:p w14:paraId="57577B77" w14:textId="77777777" w:rsidR="00CD174E" w:rsidRPr="003923D7" w:rsidRDefault="00CD174E" w:rsidP="00CD174E">
      <w:pPr>
        <w:pStyle w:val="Paragraph"/>
        <w:numPr>
          <w:ilvl w:val="1"/>
          <w:numId w:val="32"/>
        </w:numPr>
        <w:tabs>
          <w:tab w:val="clear" w:pos="2736"/>
          <w:tab w:val="num" w:pos="720"/>
        </w:tabs>
        <w:ind w:left="720" w:hanging="720"/>
        <w:rPr>
          <w:rFonts w:ascii="Arial" w:hAnsi="Arial" w:cs="Arial"/>
          <w:szCs w:val="24"/>
          <w:lang w:val="es-ES"/>
        </w:rPr>
      </w:pPr>
      <w:r w:rsidRPr="003923D7">
        <w:rPr>
          <w:rFonts w:ascii="Arial" w:hAnsi="Arial" w:cs="Arial"/>
          <w:b/>
          <w:szCs w:val="24"/>
          <w:shd w:val="clear" w:color="auto" w:fill="FFFFFF"/>
          <w:lang w:val="es-ES"/>
        </w:rPr>
        <w:t>Contexto macroeconómico</w:t>
      </w:r>
      <w:r w:rsidRPr="003923D7">
        <w:rPr>
          <w:rStyle w:val="FootnoteReference"/>
          <w:rFonts w:ascii="Arial" w:hAnsi="Arial" w:cs="Arial"/>
          <w:b/>
          <w:szCs w:val="24"/>
          <w:shd w:val="clear" w:color="auto" w:fill="FFFFFF"/>
          <w:lang w:val="es-ES"/>
        </w:rPr>
        <w:footnoteReference w:id="1"/>
      </w:r>
      <w:r w:rsidRPr="003923D7">
        <w:rPr>
          <w:rFonts w:ascii="Arial" w:hAnsi="Arial" w:cs="Arial"/>
          <w:b/>
          <w:szCs w:val="24"/>
          <w:shd w:val="clear" w:color="auto" w:fill="FFFFFF"/>
          <w:lang w:val="es-ES"/>
        </w:rPr>
        <w:t>.</w:t>
      </w:r>
      <w:r w:rsidRPr="003923D7">
        <w:rPr>
          <w:rFonts w:ascii="Arial" w:hAnsi="Arial" w:cs="Arial"/>
          <w:szCs w:val="24"/>
          <w:shd w:val="clear" w:color="auto" w:fill="FFFFFF"/>
          <w:lang w:val="es-ES"/>
        </w:rPr>
        <w:t xml:space="preserve"> </w:t>
      </w:r>
      <w:r w:rsidR="002051C5" w:rsidRPr="003923D7">
        <w:rPr>
          <w:rFonts w:ascii="Arial" w:hAnsi="Arial" w:cs="Arial"/>
          <w:lang w:val="es-ES"/>
        </w:rPr>
        <w:t>Entre 1990 y 2016</w:t>
      </w:r>
      <w:r w:rsidRPr="003923D7">
        <w:rPr>
          <w:rFonts w:ascii="Arial" w:hAnsi="Arial" w:cs="Arial"/>
          <w:lang w:val="es-ES"/>
        </w:rPr>
        <w:t>, República Dominicana ha sido uno de los países de la Región co</w:t>
      </w:r>
      <w:r w:rsidR="00B067CB" w:rsidRPr="003923D7">
        <w:rPr>
          <w:rFonts w:ascii="Arial" w:hAnsi="Arial" w:cs="Arial"/>
          <w:lang w:val="es-ES"/>
        </w:rPr>
        <w:t>n mayor crecimiento del PIB (5,3</w:t>
      </w:r>
      <w:r w:rsidRPr="003923D7">
        <w:rPr>
          <w:rFonts w:ascii="Arial" w:hAnsi="Arial" w:cs="Arial"/>
          <w:lang w:val="es-ES"/>
        </w:rPr>
        <w:t>%)</w:t>
      </w:r>
      <w:r w:rsidRPr="003923D7">
        <w:rPr>
          <w:rStyle w:val="FootnoteReference"/>
          <w:rFonts w:ascii="Arial" w:hAnsi="Arial" w:cs="Arial"/>
          <w:lang w:val="es-ES"/>
        </w:rPr>
        <w:footnoteReference w:id="2"/>
      </w:r>
      <w:r w:rsidRPr="003923D7">
        <w:rPr>
          <w:rFonts w:ascii="Arial" w:hAnsi="Arial" w:cs="Arial"/>
          <w:lang w:val="es-ES"/>
        </w:rPr>
        <w:t xml:space="preserve">. </w:t>
      </w:r>
      <w:r w:rsidR="00B067CB" w:rsidRPr="003923D7">
        <w:rPr>
          <w:rFonts w:ascii="Arial" w:hAnsi="Arial" w:cs="Arial"/>
          <w:szCs w:val="24"/>
          <w:shd w:val="clear" w:color="auto" w:fill="FFFFFF"/>
          <w:lang w:val="es-ES"/>
        </w:rPr>
        <w:t>Aunque e</w:t>
      </w:r>
      <w:r w:rsidRPr="003923D7">
        <w:rPr>
          <w:rFonts w:ascii="Arial" w:hAnsi="Arial" w:cs="Arial"/>
          <w:szCs w:val="24"/>
          <w:shd w:val="clear" w:color="auto" w:fill="FFFFFF"/>
          <w:lang w:val="es-ES"/>
        </w:rPr>
        <w:t xml:space="preserve">n 2013 el </w:t>
      </w:r>
      <w:r w:rsidR="008B0540" w:rsidRPr="003923D7">
        <w:rPr>
          <w:rFonts w:ascii="Arial" w:hAnsi="Arial" w:cs="Arial"/>
          <w:szCs w:val="24"/>
          <w:shd w:val="clear" w:color="auto" w:fill="FFFFFF"/>
          <w:lang w:val="es-ES"/>
        </w:rPr>
        <w:t xml:space="preserve">crecimiento del </w:t>
      </w:r>
      <w:r w:rsidRPr="003923D7">
        <w:rPr>
          <w:rFonts w:ascii="Arial" w:hAnsi="Arial" w:cs="Arial"/>
          <w:szCs w:val="24"/>
          <w:shd w:val="clear" w:color="auto" w:fill="FFFFFF"/>
          <w:lang w:val="es-ES"/>
        </w:rPr>
        <w:t xml:space="preserve">PIB real </w:t>
      </w:r>
      <w:r w:rsidRPr="003923D7">
        <w:rPr>
          <w:rFonts w:ascii="Arial" w:hAnsi="Arial" w:cs="Arial"/>
          <w:szCs w:val="24"/>
          <w:lang w:val="es-ES"/>
        </w:rPr>
        <w:t xml:space="preserve">de República Dominicana </w:t>
      </w:r>
      <w:r w:rsidR="008B0540" w:rsidRPr="003923D7">
        <w:rPr>
          <w:rFonts w:ascii="Arial" w:hAnsi="Arial" w:cs="Arial"/>
          <w:szCs w:val="24"/>
          <w:lang w:val="es-ES"/>
        </w:rPr>
        <w:t xml:space="preserve">se redujo </w:t>
      </w:r>
      <w:r w:rsidR="0082411F" w:rsidRPr="003923D7">
        <w:rPr>
          <w:rFonts w:ascii="Arial" w:hAnsi="Arial" w:cs="Arial"/>
          <w:szCs w:val="24"/>
          <w:lang w:val="es-ES"/>
        </w:rPr>
        <w:t xml:space="preserve">ligeramente </w:t>
      </w:r>
      <w:r w:rsidR="008B0540" w:rsidRPr="003923D7">
        <w:rPr>
          <w:rFonts w:ascii="Arial" w:hAnsi="Arial" w:cs="Arial"/>
          <w:szCs w:val="24"/>
          <w:lang w:val="es-ES"/>
        </w:rPr>
        <w:t>a</w:t>
      </w:r>
      <w:r w:rsidR="00960C02" w:rsidRPr="003923D7">
        <w:rPr>
          <w:rFonts w:ascii="Arial" w:hAnsi="Arial" w:cs="Arial"/>
          <w:szCs w:val="24"/>
          <w:lang w:val="es-ES"/>
        </w:rPr>
        <w:t xml:space="preserve"> </w:t>
      </w:r>
      <w:r w:rsidR="0082411F" w:rsidRPr="003923D7">
        <w:rPr>
          <w:rFonts w:ascii="Arial" w:hAnsi="Arial" w:cs="Arial"/>
          <w:szCs w:val="24"/>
          <w:lang w:val="es-ES"/>
        </w:rPr>
        <w:t>un</w:t>
      </w:r>
      <w:r w:rsidR="00B067CB" w:rsidRPr="003923D7">
        <w:rPr>
          <w:rFonts w:ascii="Arial" w:hAnsi="Arial" w:cs="Arial"/>
          <w:szCs w:val="24"/>
          <w:shd w:val="clear" w:color="auto" w:fill="FFFFFF"/>
          <w:lang w:val="es-ES"/>
        </w:rPr>
        <w:t xml:space="preserve"> 4</w:t>
      </w:r>
      <w:r w:rsidR="0082411F" w:rsidRPr="003923D7">
        <w:rPr>
          <w:rFonts w:ascii="Arial" w:hAnsi="Arial" w:cs="Arial"/>
          <w:szCs w:val="24"/>
          <w:shd w:val="clear" w:color="auto" w:fill="FFFFFF"/>
          <w:lang w:val="es-ES"/>
        </w:rPr>
        <w:t>,7</w:t>
      </w:r>
      <w:r w:rsidR="00B067CB" w:rsidRPr="003923D7">
        <w:rPr>
          <w:rFonts w:ascii="Arial" w:hAnsi="Arial" w:cs="Arial"/>
          <w:szCs w:val="24"/>
          <w:shd w:val="clear" w:color="auto" w:fill="FFFFFF"/>
          <w:lang w:val="es-ES"/>
        </w:rPr>
        <w:t>%, en el periodo 2014-2016 el crecimiento volvió a acelerarse</w:t>
      </w:r>
      <w:r w:rsidR="00C523BD" w:rsidRPr="003923D7">
        <w:rPr>
          <w:rFonts w:ascii="Arial" w:hAnsi="Arial" w:cs="Arial"/>
          <w:szCs w:val="24"/>
          <w:shd w:val="clear" w:color="auto" w:fill="FFFFFF"/>
          <w:lang w:val="es-ES"/>
        </w:rPr>
        <w:t xml:space="preserve">, con un </w:t>
      </w:r>
      <w:r w:rsidR="00B067CB" w:rsidRPr="003923D7">
        <w:rPr>
          <w:rFonts w:ascii="Arial" w:hAnsi="Arial" w:cs="Arial"/>
          <w:szCs w:val="24"/>
          <w:shd w:val="clear" w:color="auto" w:fill="FFFFFF"/>
          <w:lang w:val="es-ES"/>
        </w:rPr>
        <w:t xml:space="preserve">promedio </w:t>
      </w:r>
      <w:r w:rsidR="0082411F" w:rsidRPr="003923D7">
        <w:rPr>
          <w:rFonts w:ascii="Arial" w:hAnsi="Arial" w:cs="Arial"/>
          <w:szCs w:val="24"/>
          <w:shd w:val="clear" w:color="auto" w:fill="FFFFFF"/>
          <w:lang w:val="es-ES"/>
        </w:rPr>
        <w:t>por encima del</w:t>
      </w:r>
      <w:r w:rsidR="00797747" w:rsidRPr="003923D7">
        <w:rPr>
          <w:rFonts w:ascii="Arial" w:hAnsi="Arial" w:cs="Arial"/>
          <w:szCs w:val="24"/>
          <w:shd w:val="clear" w:color="auto" w:fill="FFFFFF"/>
          <w:lang w:val="es-ES"/>
        </w:rPr>
        <w:t xml:space="preserve"> 7%. Dicho crecimiento superó</w:t>
      </w:r>
      <w:r w:rsidR="00B067CB" w:rsidRPr="003923D7">
        <w:rPr>
          <w:rFonts w:ascii="Arial" w:hAnsi="Arial" w:cs="Arial"/>
          <w:szCs w:val="24"/>
          <w:shd w:val="clear" w:color="auto" w:fill="FFFFFF"/>
          <w:lang w:val="es-ES"/>
        </w:rPr>
        <w:t xml:space="preserve"> ampliamente l</w:t>
      </w:r>
      <w:r w:rsidRPr="003923D7">
        <w:rPr>
          <w:rFonts w:ascii="Arial" w:hAnsi="Arial" w:cs="Arial"/>
          <w:szCs w:val="24"/>
          <w:lang w:val="es-ES"/>
        </w:rPr>
        <w:t xml:space="preserve">as previsiones de crecimiento para 2014-2016 </w:t>
      </w:r>
      <w:r w:rsidR="00B067CB" w:rsidRPr="003923D7">
        <w:rPr>
          <w:rFonts w:ascii="Arial" w:hAnsi="Arial" w:cs="Arial"/>
          <w:szCs w:val="24"/>
          <w:lang w:val="es-ES"/>
        </w:rPr>
        <w:t>que se tenían en ocasión de la primera operación de esta serie programática (e</w:t>
      </w:r>
      <w:r w:rsidRPr="003923D7">
        <w:rPr>
          <w:rFonts w:ascii="Arial" w:hAnsi="Arial" w:cs="Arial"/>
          <w:szCs w:val="24"/>
          <w:lang w:val="es-ES"/>
        </w:rPr>
        <w:t>n torno al 5%</w:t>
      </w:r>
      <w:r w:rsidR="00B067CB" w:rsidRPr="003923D7">
        <w:rPr>
          <w:rFonts w:ascii="Arial" w:hAnsi="Arial" w:cs="Arial"/>
          <w:szCs w:val="24"/>
          <w:lang w:val="es-ES"/>
        </w:rPr>
        <w:t>)</w:t>
      </w:r>
      <w:r w:rsidRPr="003923D7">
        <w:rPr>
          <w:rFonts w:ascii="Arial" w:hAnsi="Arial" w:cs="Arial"/>
          <w:szCs w:val="24"/>
          <w:lang w:val="es-ES"/>
        </w:rPr>
        <w:t xml:space="preserve">, </w:t>
      </w:r>
      <w:r w:rsidR="00797747" w:rsidRPr="003923D7">
        <w:rPr>
          <w:rFonts w:ascii="Arial" w:hAnsi="Arial" w:cs="Arial"/>
          <w:szCs w:val="24"/>
          <w:lang w:val="es-ES"/>
        </w:rPr>
        <w:t>y se situó</w:t>
      </w:r>
      <w:r w:rsidRPr="003923D7">
        <w:rPr>
          <w:rFonts w:ascii="Arial" w:hAnsi="Arial" w:cs="Arial"/>
          <w:szCs w:val="24"/>
          <w:lang w:val="es-ES"/>
        </w:rPr>
        <w:t xml:space="preserve"> </w:t>
      </w:r>
      <w:r w:rsidR="00B067CB" w:rsidRPr="003923D7">
        <w:rPr>
          <w:rFonts w:ascii="Arial" w:hAnsi="Arial" w:cs="Arial"/>
          <w:szCs w:val="24"/>
          <w:lang w:val="es-ES"/>
        </w:rPr>
        <w:t>incluso por encima del</w:t>
      </w:r>
      <w:r w:rsidRPr="003923D7">
        <w:rPr>
          <w:rFonts w:ascii="Arial" w:hAnsi="Arial" w:cs="Arial"/>
          <w:szCs w:val="24"/>
          <w:lang w:val="es-ES"/>
        </w:rPr>
        <w:t xml:space="preserve"> crecimiento potencial </w:t>
      </w:r>
      <w:r w:rsidR="00B067CB" w:rsidRPr="003923D7">
        <w:rPr>
          <w:rFonts w:ascii="Arial" w:hAnsi="Arial" w:cs="Arial"/>
          <w:szCs w:val="24"/>
          <w:lang w:val="es-ES"/>
        </w:rPr>
        <w:t xml:space="preserve">a largo plazo </w:t>
      </w:r>
      <w:r w:rsidRPr="003923D7">
        <w:rPr>
          <w:rFonts w:ascii="Arial" w:hAnsi="Arial" w:cs="Arial"/>
          <w:szCs w:val="24"/>
          <w:lang w:val="es-ES"/>
        </w:rPr>
        <w:t xml:space="preserve">del país, que es </w:t>
      </w:r>
      <w:r w:rsidR="00EB667C" w:rsidRPr="003923D7">
        <w:rPr>
          <w:rFonts w:ascii="Arial" w:hAnsi="Arial" w:cs="Arial"/>
          <w:szCs w:val="24"/>
          <w:lang w:val="es-ES"/>
        </w:rPr>
        <w:t>entre 5% y</w:t>
      </w:r>
      <w:r w:rsidRPr="003923D7">
        <w:rPr>
          <w:rFonts w:ascii="Arial" w:hAnsi="Arial" w:cs="Arial"/>
          <w:szCs w:val="24"/>
          <w:lang w:val="es-ES"/>
        </w:rPr>
        <w:t xml:space="preserve"> 6%</w:t>
      </w:r>
      <w:r w:rsidRPr="003923D7">
        <w:rPr>
          <w:rStyle w:val="FootnoteReference"/>
          <w:rFonts w:ascii="Arial" w:eastAsia="Times New Roman" w:hAnsi="Arial" w:cs="Arial"/>
          <w:szCs w:val="24"/>
          <w:lang w:val="es-ES" w:eastAsia="x-none"/>
        </w:rPr>
        <w:footnoteReference w:id="3"/>
      </w:r>
      <w:r w:rsidRPr="003923D7">
        <w:rPr>
          <w:rFonts w:ascii="Arial" w:hAnsi="Arial" w:cs="Arial"/>
          <w:szCs w:val="24"/>
          <w:lang w:val="es-ES"/>
        </w:rPr>
        <w:t xml:space="preserve">. </w:t>
      </w:r>
      <w:r w:rsidR="008B0540" w:rsidRPr="003923D7">
        <w:rPr>
          <w:rFonts w:ascii="Arial" w:hAnsi="Arial" w:cs="Arial"/>
          <w:szCs w:val="24"/>
          <w:lang w:val="es-ES"/>
        </w:rPr>
        <w:t>En 2016 el crecimiento del PIB fue de 6,6%</w:t>
      </w:r>
      <w:r w:rsidR="0082411F" w:rsidRPr="003923D7">
        <w:rPr>
          <w:rFonts w:ascii="Arial" w:hAnsi="Arial" w:cs="Arial"/>
          <w:szCs w:val="24"/>
          <w:lang w:val="es-ES"/>
        </w:rPr>
        <w:t>, y la inflación fue de apenas 1.75%, muy por debajo de la meta del Banco Central de entre 3% y 5%</w:t>
      </w:r>
      <w:r w:rsidR="008B0540" w:rsidRPr="003923D7">
        <w:rPr>
          <w:rFonts w:ascii="Arial" w:hAnsi="Arial" w:cs="Arial"/>
          <w:szCs w:val="24"/>
          <w:lang w:val="es-ES"/>
        </w:rPr>
        <w:t xml:space="preserve">. </w:t>
      </w:r>
      <w:r w:rsidR="00AC54C2" w:rsidRPr="003923D7">
        <w:rPr>
          <w:rFonts w:ascii="Arial" w:hAnsi="Arial" w:cs="Arial"/>
          <w:szCs w:val="24"/>
          <w:lang w:val="es-ES"/>
        </w:rPr>
        <w:t xml:space="preserve">Shocks de oferta positivos han permitido que pese a ello </w:t>
      </w:r>
      <w:r w:rsidR="00EB667C" w:rsidRPr="003923D7">
        <w:rPr>
          <w:rFonts w:ascii="Arial" w:hAnsi="Arial" w:cs="Arial"/>
          <w:szCs w:val="24"/>
          <w:lang w:val="es-ES"/>
        </w:rPr>
        <w:t>la inflación se haya mantenido bajo control y se haya mejorado la posición externa del país. Se espera que el crecimiento converja hacia la tasa potencial de entre 5% y 6% de 2017 en adelante, siempre que se mantenga el ritmo de importantes reformas estructurales y de políticas, como las contempladas en la presente operación.</w:t>
      </w:r>
      <w:r w:rsidR="00EB667C" w:rsidRPr="003923D7">
        <w:rPr>
          <w:rStyle w:val="FootnoteReference"/>
          <w:rFonts w:ascii="Arial" w:hAnsi="Arial" w:cs="Arial"/>
          <w:szCs w:val="24"/>
          <w:lang w:val="es-ES"/>
        </w:rPr>
        <w:footnoteReference w:id="4"/>
      </w:r>
    </w:p>
    <w:p w14:paraId="2868D207" w14:textId="77777777" w:rsidR="009E6BC8" w:rsidRPr="003923D7" w:rsidRDefault="00CD174E" w:rsidP="00157EDA">
      <w:pPr>
        <w:pStyle w:val="Paragraph"/>
        <w:numPr>
          <w:ilvl w:val="1"/>
          <w:numId w:val="32"/>
        </w:numPr>
        <w:tabs>
          <w:tab w:val="clear" w:pos="2736"/>
          <w:tab w:val="num" w:pos="720"/>
        </w:tabs>
        <w:ind w:left="720" w:hanging="720"/>
        <w:rPr>
          <w:rFonts w:ascii="Arial" w:hAnsi="Arial" w:cs="Arial"/>
          <w:szCs w:val="24"/>
          <w:lang w:val="es-ES"/>
        </w:rPr>
      </w:pPr>
      <w:r w:rsidRPr="003923D7">
        <w:rPr>
          <w:rFonts w:ascii="Arial" w:hAnsi="Arial" w:cs="Arial"/>
          <w:b/>
          <w:lang w:val="es-ES"/>
        </w:rPr>
        <w:t xml:space="preserve">Desafío de políticas. </w:t>
      </w:r>
      <w:r w:rsidRPr="003923D7">
        <w:rPr>
          <w:rFonts w:ascii="Arial" w:hAnsi="Arial" w:cs="Arial"/>
          <w:lang w:val="es-ES"/>
        </w:rPr>
        <w:t>Uno de los principales desafíos para el crecimiento del país es desarrollar un programa de reformas destinadas a reducir las distorsiones que impiden el crecimiento de las empresas más productivas. Entre las distorsiones señaladas por los diagnósticos internacionales y las encuestas a empresas se encuentran</w:t>
      </w:r>
      <w:r w:rsidRPr="003923D7">
        <w:rPr>
          <w:rStyle w:val="FootnoteReference"/>
          <w:rFonts w:ascii="Arial" w:hAnsi="Arial" w:cs="Arial"/>
          <w:lang w:val="es-ES"/>
        </w:rPr>
        <w:footnoteReference w:id="5"/>
      </w:r>
      <w:r w:rsidRPr="003923D7">
        <w:rPr>
          <w:rFonts w:ascii="Arial" w:hAnsi="Arial" w:cs="Arial"/>
          <w:lang w:val="es-ES"/>
        </w:rPr>
        <w:t xml:space="preserve">: (i) las infraestructuras, especialmente las energéticas; (ii) el nivel de capital humano; (iii) la calidad de la administración y del clima de inversión; (iv) el acceso al financiamiento; y (v) </w:t>
      </w:r>
      <w:r w:rsidR="00B067CB" w:rsidRPr="003923D7">
        <w:rPr>
          <w:rFonts w:ascii="Arial" w:hAnsi="Arial" w:cs="Arial"/>
          <w:lang w:val="es-ES"/>
        </w:rPr>
        <w:t>una mayor tasa de formalización laboral y empresarial</w:t>
      </w:r>
      <w:r w:rsidRPr="003923D7">
        <w:rPr>
          <w:rFonts w:ascii="Arial" w:hAnsi="Arial" w:cs="Arial"/>
          <w:lang w:val="es-ES"/>
        </w:rPr>
        <w:t>. Por motivos de alcance, este programa atenderá los tres últimos aspectos.</w:t>
      </w:r>
    </w:p>
    <w:p w14:paraId="48A0686C" w14:textId="77777777" w:rsidR="00CC6001" w:rsidRPr="003923D7" w:rsidRDefault="00CC6001" w:rsidP="00CC6001">
      <w:pPr>
        <w:pStyle w:val="Chapter"/>
        <w:rPr>
          <w:rFonts w:ascii="Arial" w:hAnsi="Arial" w:cs="Arial"/>
          <w:lang w:val="es-ES_tradnl"/>
        </w:rPr>
      </w:pPr>
      <w:bookmarkStart w:id="4" w:name="_Toc398196141"/>
      <w:r w:rsidRPr="003923D7">
        <w:rPr>
          <w:rFonts w:ascii="Arial" w:hAnsi="Arial" w:cs="Arial"/>
          <w:lang w:val="es-ES_tradnl"/>
        </w:rPr>
        <w:lastRenderedPageBreak/>
        <w:t>Metodología y Supuestos</w:t>
      </w:r>
      <w:bookmarkEnd w:id="4"/>
    </w:p>
    <w:p w14:paraId="4CD2D964" w14:textId="77777777" w:rsidR="00CC6001" w:rsidRPr="003923D7" w:rsidRDefault="00CC6001" w:rsidP="00C11587">
      <w:pPr>
        <w:pStyle w:val="Paragraph"/>
        <w:numPr>
          <w:ilvl w:val="0"/>
          <w:numId w:val="0"/>
        </w:numPr>
        <w:spacing w:after="80"/>
        <w:ind w:left="720"/>
        <w:rPr>
          <w:rFonts w:ascii="Arial" w:hAnsi="Arial" w:cs="Arial"/>
          <w:b/>
          <w:lang w:val="es-ES_tradnl"/>
        </w:rPr>
      </w:pPr>
      <w:r w:rsidRPr="003923D7">
        <w:rPr>
          <w:rFonts w:ascii="Arial" w:hAnsi="Arial" w:cs="Arial"/>
          <w:b/>
          <w:lang w:val="es-ES_tradnl"/>
        </w:rPr>
        <w:t>Metodología</w:t>
      </w:r>
    </w:p>
    <w:p w14:paraId="4FEAA938" w14:textId="77777777" w:rsidR="00623E8F" w:rsidRPr="003923D7" w:rsidRDefault="00124587" w:rsidP="00A60099">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 xml:space="preserve">Justificación General. </w:t>
      </w:r>
      <w:r w:rsidR="00AD0CDB" w:rsidRPr="003923D7">
        <w:rPr>
          <w:rFonts w:ascii="Arial" w:hAnsi="Arial" w:cs="Arial"/>
          <w:lang w:val="es-ES_tradnl"/>
        </w:rPr>
        <w:t xml:space="preserve">El programa bajo consideración es complejo tanto por su diseño como por las diversas áreas que se ven involucradas en el mismo. El amplio espectro de alcance de las reformas introduce una dificultad al momento de diseñar una estrategia que anticipe los flujos de costos y beneficios que se esperan a partir de la implementación del mismo. </w:t>
      </w:r>
      <w:r w:rsidR="004C576B" w:rsidRPr="003923D7">
        <w:rPr>
          <w:rFonts w:ascii="Arial" w:hAnsi="Arial" w:cs="Arial"/>
          <w:lang w:val="es-ES_tradnl"/>
        </w:rPr>
        <w:t xml:space="preserve">Esta dificultad surge </w:t>
      </w:r>
      <w:r w:rsidR="004C262E" w:rsidRPr="003923D7">
        <w:rPr>
          <w:rFonts w:ascii="Arial" w:hAnsi="Arial" w:cs="Arial"/>
          <w:lang w:val="es-ES_tradnl"/>
        </w:rPr>
        <w:t>de</w:t>
      </w:r>
      <w:r w:rsidR="00CB4348" w:rsidRPr="003923D7">
        <w:rPr>
          <w:rFonts w:ascii="Arial" w:hAnsi="Arial" w:cs="Arial"/>
          <w:lang w:val="es-ES_tradnl"/>
        </w:rPr>
        <w:t xml:space="preserve"> la falta de estudios estrictamente comparables </w:t>
      </w:r>
      <w:r w:rsidR="004C576B" w:rsidRPr="003923D7">
        <w:rPr>
          <w:rFonts w:ascii="Arial" w:hAnsi="Arial" w:cs="Arial"/>
          <w:lang w:val="es-ES_tradnl"/>
        </w:rPr>
        <w:t xml:space="preserve">que consideren </w:t>
      </w:r>
      <w:r w:rsidR="004C262E" w:rsidRPr="003923D7">
        <w:rPr>
          <w:rFonts w:ascii="Arial" w:hAnsi="Arial" w:cs="Arial"/>
          <w:lang w:val="es-ES_tradnl"/>
        </w:rPr>
        <w:t xml:space="preserve">simultáneamente </w:t>
      </w:r>
      <w:r w:rsidR="004C576B" w:rsidRPr="003923D7">
        <w:rPr>
          <w:rFonts w:ascii="Arial" w:hAnsi="Arial" w:cs="Arial"/>
          <w:lang w:val="es-ES_tradnl"/>
        </w:rPr>
        <w:t>reformas equivalentes y pongan énfasis en la descomposición de los beneficios atribuibles a cada componente.</w:t>
      </w:r>
      <w:r w:rsidR="00CB4348" w:rsidRPr="003923D7">
        <w:rPr>
          <w:rFonts w:ascii="Arial" w:hAnsi="Arial" w:cs="Arial"/>
          <w:lang w:val="es-ES_tradnl"/>
        </w:rPr>
        <w:t xml:space="preserve"> En este sentido, la limitación es </w:t>
      </w:r>
      <w:r w:rsidR="001C7636" w:rsidRPr="003923D7">
        <w:rPr>
          <w:rFonts w:ascii="Arial" w:hAnsi="Arial" w:cs="Arial"/>
          <w:lang w:val="es-ES_tradnl"/>
        </w:rPr>
        <w:t>inevitable,</w:t>
      </w:r>
      <w:r w:rsidR="00CB4348" w:rsidRPr="003923D7">
        <w:rPr>
          <w:rFonts w:ascii="Arial" w:hAnsi="Arial" w:cs="Arial"/>
          <w:lang w:val="es-ES_tradnl"/>
        </w:rPr>
        <w:t xml:space="preserve"> pero</w:t>
      </w:r>
      <w:r w:rsidR="00586D30" w:rsidRPr="003923D7">
        <w:rPr>
          <w:rFonts w:ascii="Arial" w:hAnsi="Arial" w:cs="Arial"/>
          <w:lang w:val="es-ES_tradnl"/>
        </w:rPr>
        <w:t xml:space="preserve"> puede relevarse </w:t>
      </w:r>
      <w:r w:rsidR="004C262E" w:rsidRPr="003923D7">
        <w:rPr>
          <w:rFonts w:ascii="Arial" w:hAnsi="Arial" w:cs="Arial"/>
          <w:lang w:val="es-ES_tradnl"/>
        </w:rPr>
        <w:t>parcialmente con la consideración de los efectos de componentes en particular.</w:t>
      </w:r>
    </w:p>
    <w:p w14:paraId="786AA5A7" w14:textId="77777777" w:rsidR="00586D30" w:rsidRPr="003923D7" w:rsidRDefault="004C262E" w:rsidP="00A60099">
      <w:pPr>
        <w:pStyle w:val="Paragraph"/>
        <w:tabs>
          <w:tab w:val="num" w:pos="720"/>
        </w:tabs>
        <w:spacing w:after="80"/>
        <w:ind w:left="720" w:hanging="720"/>
        <w:rPr>
          <w:rFonts w:ascii="Arial" w:hAnsi="Arial" w:cs="Arial"/>
          <w:lang w:val="es-ES_tradnl"/>
        </w:rPr>
      </w:pPr>
      <w:r w:rsidRPr="003923D7">
        <w:rPr>
          <w:rFonts w:ascii="Arial" w:hAnsi="Arial" w:cs="Arial"/>
          <w:lang w:val="es-ES_tradnl"/>
        </w:rPr>
        <w:t xml:space="preserve">Este enfoque de cuantificación –que considera un subconjunto de las reformas a implementarse en </w:t>
      </w:r>
      <w:r w:rsidR="00895C0C" w:rsidRPr="003923D7">
        <w:rPr>
          <w:rFonts w:ascii="Arial" w:hAnsi="Arial" w:cs="Arial"/>
          <w:lang w:val="es-ES_tradnl"/>
        </w:rPr>
        <w:t>la República Dominicana</w:t>
      </w:r>
      <w:r w:rsidR="001C7636" w:rsidRPr="003923D7">
        <w:rPr>
          <w:rFonts w:ascii="Arial" w:hAnsi="Arial" w:cs="Arial"/>
          <w:lang w:val="es-ES_tradnl"/>
        </w:rPr>
        <w:t>–</w:t>
      </w:r>
      <w:r w:rsidRPr="003923D7">
        <w:rPr>
          <w:rFonts w:ascii="Arial" w:hAnsi="Arial" w:cs="Arial"/>
          <w:lang w:val="es-ES_tradnl"/>
        </w:rPr>
        <w:t xml:space="preserve"> busca establecer un límite inferior en la cuantificación de las relaciones entre los flujos de costos y beneficios derivados del programa. Una primera crítica que puede intentarse </w:t>
      </w:r>
      <w:r w:rsidR="00124587" w:rsidRPr="003923D7">
        <w:rPr>
          <w:rFonts w:ascii="Arial" w:hAnsi="Arial" w:cs="Arial"/>
          <w:lang w:val="es-ES_tradnl"/>
        </w:rPr>
        <w:t xml:space="preserve">es que </w:t>
      </w:r>
      <w:r w:rsidRPr="003923D7">
        <w:rPr>
          <w:rFonts w:ascii="Arial" w:hAnsi="Arial" w:cs="Arial"/>
          <w:lang w:val="es-ES_tradnl"/>
        </w:rPr>
        <w:t xml:space="preserve">se dejan de lado las potenciales interacciones del componente analizado en relación a los otros componentes. En este punto es útil hacer una analogía entre la consideración de los efectos de impacto en modelos de equilibrio general y los derivados de modelos de equilibrio parcial. Los análisis de equilibrio parcial permanecen válidos en tanto se entienda la naturaleza de los mismos –que pueden considerarse como primeros efectos o efectos de impacto inicial. Asimismo, dada esta interpretación, es importante que el proceso que se esté considerando no involucre potenciales reversiones en el signo de los efectos netos –al menos con una alta probabilidad. </w:t>
      </w:r>
      <w:r w:rsidR="00635B35" w:rsidRPr="003923D7">
        <w:rPr>
          <w:rFonts w:ascii="Arial" w:hAnsi="Arial" w:cs="Arial"/>
          <w:lang w:val="es-ES_tradnl"/>
        </w:rPr>
        <w:t xml:space="preserve">Consideramos que el presente caso involucra una de estas situaciones. En efecto, </w:t>
      </w:r>
      <w:r w:rsidR="00A44F64" w:rsidRPr="003923D7">
        <w:rPr>
          <w:rFonts w:ascii="Arial" w:hAnsi="Arial" w:cs="Arial"/>
          <w:lang w:val="es-ES_tradnl"/>
        </w:rPr>
        <w:t xml:space="preserve">puede pensarse en configuraciones tales que </w:t>
      </w:r>
      <w:r w:rsidR="00635B35" w:rsidRPr="003923D7">
        <w:rPr>
          <w:rFonts w:ascii="Arial" w:hAnsi="Arial" w:cs="Arial"/>
          <w:lang w:val="es-ES_tradnl"/>
        </w:rPr>
        <w:t>reformas orientadas a permitir la organización y distribución de recursos en una manera más eficiente</w:t>
      </w:r>
      <w:r w:rsidR="00A44F64" w:rsidRPr="003923D7">
        <w:rPr>
          <w:rFonts w:ascii="Arial" w:hAnsi="Arial" w:cs="Arial"/>
          <w:lang w:val="es-ES_tradnl"/>
        </w:rPr>
        <w:t xml:space="preserve"> resulten en reducciones de productividad. Sin embargo, existe una amplia evidencia empírica que indica que reformas del tipo de las implementadas con el apoyo del presente programa </w:t>
      </w:r>
      <w:r w:rsidR="00952C61" w:rsidRPr="003923D7">
        <w:rPr>
          <w:rFonts w:ascii="Arial" w:hAnsi="Arial" w:cs="Arial"/>
          <w:lang w:val="es-ES_tradnl"/>
        </w:rPr>
        <w:t xml:space="preserve">tienden a generar efectos positivos en la actividad económica </w:t>
      </w:r>
      <w:r w:rsidR="006E6BCF" w:rsidRPr="003923D7">
        <w:rPr>
          <w:rFonts w:ascii="Arial" w:hAnsi="Arial" w:cs="Arial"/>
          <w:lang w:val="es-ES_tradnl"/>
        </w:rPr>
        <w:t xml:space="preserve">en el </w:t>
      </w:r>
      <w:r w:rsidR="00952C61" w:rsidRPr="003923D7">
        <w:rPr>
          <w:rFonts w:ascii="Arial" w:hAnsi="Arial" w:cs="Arial"/>
          <w:lang w:val="es-ES_tradnl"/>
        </w:rPr>
        <w:t>mediano plazo</w:t>
      </w:r>
      <w:r w:rsidR="006E6BCF" w:rsidRPr="003923D7">
        <w:rPr>
          <w:rFonts w:ascii="Arial" w:hAnsi="Arial" w:cs="Arial"/>
          <w:lang w:val="es-ES_tradnl"/>
        </w:rPr>
        <w:t>,</w:t>
      </w:r>
      <w:r w:rsidR="00952C61" w:rsidRPr="003923D7">
        <w:rPr>
          <w:rFonts w:ascii="Arial" w:hAnsi="Arial" w:cs="Arial"/>
          <w:lang w:val="es-ES_tradnl"/>
        </w:rPr>
        <w:t xml:space="preserve"> a pesar de potenciales </w:t>
      </w:r>
      <w:r w:rsidR="003C7B30" w:rsidRPr="003923D7">
        <w:rPr>
          <w:rFonts w:ascii="Arial" w:hAnsi="Arial" w:cs="Arial"/>
          <w:lang w:val="es-ES_tradnl"/>
        </w:rPr>
        <w:t xml:space="preserve">ausencias de efectos detectables (o incluso, bajo ciertas condiciones, </w:t>
      </w:r>
      <w:r w:rsidR="00952C61" w:rsidRPr="003923D7">
        <w:rPr>
          <w:rFonts w:ascii="Arial" w:hAnsi="Arial" w:cs="Arial"/>
          <w:lang w:val="es-ES_tradnl"/>
        </w:rPr>
        <w:t>efectos negativos</w:t>
      </w:r>
      <w:r w:rsidR="003C7B30" w:rsidRPr="003923D7">
        <w:rPr>
          <w:rFonts w:ascii="Arial" w:hAnsi="Arial" w:cs="Arial"/>
          <w:lang w:val="es-ES_tradnl"/>
        </w:rPr>
        <w:t>)</w:t>
      </w:r>
      <w:r w:rsidR="00952C61" w:rsidRPr="003923D7">
        <w:rPr>
          <w:rFonts w:ascii="Arial" w:hAnsi="Arial" w:cs="Arial"/>
          <w:lang w:val="es-ES_tradnl"/>
        </w:rPr>
        <w:t xml:space="preserve"> generalmente atribuibles a implementaciones parciales sujetas a una alta inestabilidad. </w:t>
      </w:r>
      <w:r w:rsidR="00586D30" w:rsidRPr="003923D7">
        <w:rPr>
          <w:rFonts w:ascii="Arial" w:hAnsi="Arial" w:cs="Arial"/>
          <w:lang w:val="es-ES_tradnl"/>
        </w:rPr>
        <w:t xml:space="preserve">Adicionalmente, para el conjunto de reformas en cuestión, </w:t>
      </w:r>
      <w:r w:rsidR="00A47F1A" w:rsidRPr="003923D7">
        <w:rPr>
          <w:rFonts w:ascii="Arial" w:hAnsi="Arial" w:cs="Arial"/>
          <w:lang w:val="es-ES_tradnl"/>
        </w:rPr>
        <w:t xml:space="preserve">la relación entre los distintos componentes hace que cada aspecto de la reforma sea potenciado en un sentido positivo en cuanto a su impacto sobre productividad y producto en relación los impactos de las reformas consideradas individualmente. Es decir, las condiciones surgidas de la implementación de los otros componentes de las reformas apoyadas por el programa llevan </w:t>
      </w:r>
      <w:r w:rsidR="006E6BCF" w:rsidRPr="003923D7">
        <w:rPr>
          <w:rFonts w:ascii="Arial" w:hAnsi="Arial" w:cs="Arial"/>
          <w:lang w:val="es-ES_tradnl"/>
        </w:rPr>
        <w:t>en todo caso</w:t>
      </w:r>
      <w:r w:rsidR="00A47F1A" w:rsidRPr="003923D7">
        <w:rPr>
          <w:rFonts w:ascii="Arial" w:hAnsi="Arial" w:cs="Arial"/>
          <w:lang w:val="es-ES_tradnl"/>
        </w:rPr>
        <w:t xml:space="preserve"> a un mayor impacto de</w:t>
      </w:r>
      <w:r w:rsidR="006E6BCF" w:rsidRPr="003923D7">
        <w:rPr>
          <w:rFonts w:ascii="Arial" w:hAnsi="Arial" w:cs="Arial"/>
          <w:lang w:val="es-ES_tradnl"/>
        </w:rPr>
        <w:t xml:space="preserve"> las reformas que se consideraro</w:t>
      </w:r>
      <w:r w:rsidR="00A47F1A" w:rsidRPr="003923D7">
        <w:rPr>
          <w:rFonts w:ascii="Arial" w:hAnsi="Arial" w:cs="Arial"/>
          <w:lang w:val="es-ES_tradnl"/>
        </w:rPr>
        <w:t xml:space="preserve">n. En este sentido lo que se </w:t>
      </w:r>
      <w:r w:rsidR="00137A07" w:rsidRPr="003923D7">
        <w:rPr>
          <w:rFonts w:ascii="Arial" w:hAnsi="Arial" w:cs="Arial"/>
          <w:lang w:val="es-ES_tradnl"/>
        </w:rPr>
        <w:t xml:space="preserve">va a considerar es el </w:t>
      </w:r>
      <w:r w:rsidR="00137A07" w:rsidRPr="003923D7">
        <w:rPr>
          <w:rFonts w:ascii="Arial" w:hAnsi="Arial" w:cs="Arial"/>
          <w:lang w:val="es-ES_tradnl"/>
        </w:rPr>
        <w:lastRenderedPageBreak/>
        <w:t>impacto de uno de los componentes de la reforma, lo que establecerá un umbral mínimo de impacto que, con una muy alta probabilidad, resulta a la vez una cuantificación muy conservadora de los impactos del programa.</w:t>
      </w:r>
    </w:p>
    <w:p w14:paraId="2E61EF7B" w14:textId="77777777" w:rsidR="00E93BCF" w:rsidRPr="003923D7" w:rsidRDefault="00E93BCF" w:rsidP="00A60099">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Componentes cuantificados</w:t>
      </w:r>
      <w:r w:rsidRPr="003923D7">
        <w:rPr>
          <w:rFonts w:ascii="Arial" w:hAnsi="Arial" w:cs="Arial"/>
          <w:lang w:val="es-ES_tradnl"/>
        </w:rPr>
        <w:t>.</w:t>
      </w:r>
      <w:r w:rsidR="00013E85" w:rsidRPr="003923D7">
        <w:rPr>
          <w:rFonts w:ascii="Arial" w:hAnsi="Arial" w:cs="Arial"/>
          <w:lang w:val="es-ES_tradnl"/>
        </w:rPr>
        <w:t xml:space="preserve"> Simplificando a los efectos del presente argumento, el programa contiene tres componentes que puede identificarse como reformas financiera</w:t>
      </w:r>
      <w:r w:rsidR="006E6BCF" w:rsidRPr="003923D7">
        <w:rPr>
          <w:rFonts w:ascii="Arial" w:hAnsi="Arial" w:cs="Arial"/>
          <w:lang w:val="es-ES_tradnl"/>
        </w:rPr>
        <w:t>s</w:t>
      </w:r>
      <w:r w:rsidR="00013E85" w:rsidRPr="003923D7">
        <w:rPr>
          <w:rFonts w:ascii="Arial" w:hAnsi="Arial" w:cs="Arial"/>
          <w:lang w:val="es-ES_tradnl"/>
        </w:rPr>
        <w:t>, reforma</w:t>
      </w:r>
      <w:r w:rsidR="006E6BCF" w:rsidRPr="003923D7">
        <w:rPr>
          <w:rFonts w:ascii="Arial" w:hAnsi="Arial" w:cs="Arial"/>
          <w:lang w:val="es-ES_tradnl"/>
        </w:rPr>
        <w:t xml:space="preserve">s de competitividad, y reformas para impulsar la formalización empresarial </w:t>
      </w:r>
      <w:r w:rsidR="00013E85" w:rsidRPr="003923D7">
        <w:rPr>
          <w:rFonts w:ascii="Arial" w:hAnsi="Arial" w:cs="Arial"/>
          <w:lang w:val="es-ES_tradnl"/>
        </w:rPr>
        <w:t xml:space="preserve">y laboral. Un sistema financiero más eficiente puede fomentar la innovación y facilitar la adopción de tecnologías y procesos modernos y eficientes; a la vez, puede facilitar la reasignación de factores en múltiples dimensiones (entre sectores, dentro de sectores, temporalmente, geográficamente) permitiendo a los agentes aumentar la productividad de los factores mediante estas reasignaciones. En forma similar, mejoras en el clima de negocios y regulaciones pueden cumplir un rol similar, esta vez eliminando barreras no financieras (pero que potencialmente interactúan con aquellas), para también favorecer la adopción de tecnologías y procesos más modernos y eficientes, eliminar o reducir las barreras a la entrada a múltiples segmentos del mercado favoreciendo el uso eficiente de los recursos y aumentando los incentivos a la innovación al aumentar la competitividad </w:t>
      </w:r>
      <w:r w:rsidR="003A3A32" w:rsidRPr="003923D7">
        <w:rPr>
          <w:rFonts w:ascii="Arial" w:hAnsi="Arial" w:cs="Arial"/>
          <w:lang w:val="es-ES_tradnl"/>
        </w:rPr>
        <w:t xml:space="preserve">dentro del mercado; a su vez, la adopción de nuevas tecnologías y procesos puede tener efectos que benefician a otros participantes (externalidades, derrame de conocimientos, efectos demostración, incremento de la tasa de descubrimiento de nuevas oportunidades de negocios, etc.). Finalmente, </w:t>
      </w:r>
      <w:r w:rsidR="006E6BCF" w:rsidRPr="003923D7">
        <w:rPr>
          <w:rFonts w:ascii="Arial" w:hAnsi="Arial" w:cs="Arial"/>
          <w:lang w:val="es-ES_tradnl"/>
        </w:rPr>
        <w:t>una mayor formalización empresarial y laboral</w:t>
      </w:r>
      <w:r w:rsidR="003A3A32" w:rsidRPr="003923D7">
        <w:rPr>
          <w:rFonts w:ascii="Arial" w:hAnsi="Arial" w:cs="Arial"/>
          <w:lang w:val="es-ES_tradnl"/>
        </w:rPr>
        <w:t xml:space="preserve"> también puede significar ganancias de productividad</w:t>
      </w:r>
      <w:r w:rsidR="002D2C8E" w:rsidRPr="003923D7">
        <w:rPr>
          <w:rFonts w:ascii="Arial" w:hAnsi="Arial" w:cs="Arial"/>
          <w:lang w:val="es-ES_tradnl"/>
        </w:rPr>
        <w:t>, ya que en general la productividad de las empresas formales supera ampliamente la de las empresas informales, especialmente en el segmento de las micro y pequeñas empresas</w:t>
      </w:r>
      <w:r w:rsidR="003A3A32" w:rsidRPr="003923D7">
        <w:rPr>
          <w:rFonts w:ascii="Arial" w:hAnsi="Arial" w:cs="Arial"/>
          <w:lang w:val="es-ES_tradnl"/>
        </w:rPr>
        <w:t xml:space="preserve">; estas ganancias pueden verse </w:t>
      </w:r>
      <w:r w:rsidR="006E6BCF" w:rsidRPr="003923D7">
        <w:rPr>
          <w:rFonts w:ascii="Arial" w:hAnsi="Arial" w:cs="Arial"/>
          <w:lang w:val="es-ES_tradnl"/>
        </w:rPr>
        <w:t xml:space="preserve">también </w:t>
      </w:r>
      <w:r w:rsidR="003A3A32" w:rsidRPr="003923D7">
        <w:rPr>
          <w:rFonts w:ascii="Arial" w:hAnsi="Arial" w:cs="Arial"/>
          <w:lang w:val="es-ES_tradnl"/>
        </w:rPr>
        <w:t>como un componente particular dentro de las reformas</w:t>
      </w:r>
      <w:r w:rsidR="006E6BCF" w:rsidRPr="003923D7">
        <w:rPr>
          <w:rFonts w:ascii="Arial" w:hAnsi="Arial" w:cs="Arial"/>
          <w:lang w:val="es-ES_tradnl"/>
        </w:rPr>
        <w:t xml:space="preserve"> de competitividad e innovación</w:t>
      </w:r>
      <w:r w:rsidR="00A961B2" w:rsidRPr="003923D7">
        <w:rPr>
          <w:rFonts w:ascii="Arial" w:hAnsi="Arial" w:cs="Arial"/>
          <w:lang w:val="es-ES_tradnl"/>
        </w:rPr>
        <w:t>. De estos tres componentes, los dos primeros tienen un conjunto de literatura teórica y empírica que nos permite cuantificar los impactos sobre las variable</w:t>
      </w:r>
      <w:r w:rsidR="006E6BCF" w:rsidRPr="003923D7">
        <w:rPr>
          <w:rFonts w:ascii="Arial" w:hAnsi="Arial" w:cs="Arial"/>
          <w:lang w:val="es-ES_tradnl"/>
        </w:rPr>
        <w:t>s de interés con mayor claridad</w:t>
      </w:r>
      <w:r w:rsidR="00A961B2" w:rsidRPr="003923D7">
        <w:rPr>
          <w:rFonts w:ascii="Arial" w:hAnsi="Arial" w:cs="Arial"/>
          <w:lang w:val="es-ES_tradnl"/>
        </w:rPr>
        <w:t>. En cuanto a la identificación de los beneficios y los costos para llegar a los beneficios netos, los trabajo</w:t>
      </w:r>
      <w:r w:rsidR="00E5220E" w:rsidRPr="003923D7">
        <w:rPr>
          <w:rFonts w:ascii="Arial" w:hAnsi="Arial" w:cs="Arial"/>
          <w:lang w:val="es-ES_tradnl"/>
        </w:rPr>
        <w:t>s</w:t>
      </w:r>
      <w:r w:rsidR="00A961B2" w:rsidRPr="003923D7">
        <w:rPr>
          <w:rFonts w:ascii="Arial" w:hAnsi="Arial" w:cs="Arial"/>
          <w:lang w:val="es-ES_tradnl"/>
        </w:rPr>
        <w:t xml:space="preserve"> utilizados cuantifican el impacto sobre el valor agregado y productividad (entendida como el incremento del valor agregado que no es explicado por la acumulación de factores); esto </w:t>
      </w:r>
      <w:r w:rsidR="00E5220E" w:rsidRPr="003923D7">
        <w:rPr>
          <w:rFonts w:ascii="Arial" w:hAnsi="Arial" w:cs="Arial"/>
          <w:lang w:val="es-ES_tradnl"/>
        </w:rPr>
        <w:t>implica que el cálculo de los impactos ya está considerando los costos asociados</w:t>
      </w:r>
      <w:r w:rsidR="000E3FA1" w:rsidRPr="003923D7">
        <w:rPr>
          <w:rFonts w:ascii="Arial" w:hAnsi="Arial" w:cs="Arial"/>
          <w:lang w:val="es-ES_tradnl"/>
        </w:rPr>
        <w:t xml:space="preserve"> del sector privado</w:t>
      </w:r>
      <w:r w:rsidR="00E5220E" w:rsidRPr="003923D7">
        <w:rPr>
          <w:rFonts w:ascii="Arial" w:hAnsi="Arial" w:cs="Arial"/>
          <w:lang w:val="es-ES_tradnl"/>
        </w:rPr>
        <w:t xml:space="preserve"> de las reformas (y es lo que hace que potencialmente se encuentren coeficientes negativos a distintos niveles de significancia estadística).</w:t>
      </w:r>
      <w:r w:rsidR="000E3FA1" w:rsidRPr="003923D7">
        <w:rPr>
          <w:rFonts w:ascii="Arial" w:hAnsi="Arial" w:cs="Arial"/>
          <w:lang w:val="es-ES_tradnl"/>
        </w:rPr>
        <w:t xml:space="preserve"> Atendiendo entonces a que los cambios en los costos de producción a nivel privado ya estarían cubiertos, se considera aquí como costos atribuibles a las reformas el gasto asociado en personal y bienes y servicios gubernamentales que pueden asociarse con la implementación y mantenimiento de las reformas. Hechas estas acotaciones y salvedades, se procederá en el resto del documento a discutir y cuantificar en mayor </w:t>
      </w:r>
      <w:r w:rsidR="000E3FA1" w:rsidRPr="003923D7">
        <w:rPr>
          <w:rFonts w:ascii="Arial" w:hAnsi="Arial" w:cs="Arial"/>
          <w:lang w:val="es-ES_tradnl"/>
        </w:rPr>
        <w:lastRenderedPageBreak/>
        <w:t>detalle los costos y beneficios de los componentes financieros y de regulación-competitividad del programa.</w:t>
      </w:r>
    </w:p>
    <w:p w14:paraId="7E2D063D" w14:textId="77777777" w:rsidR="0026456F" w:rsidRPr="003923D7" w:rsidRDefault="00124587" w:rsidP="00C82085">
      <w:pPr>
        <w:pStyle w:val="Paragraph"/>
        <w:tabs>
          <w:tab w:val="num" w:pos="720"/>
        </w:tabs>
        <w:spacing w:after="80"/>
        <w:ind w:left="720" w:hanging="720"/>
        <w:rPr>
          <w:rFonts w:ascii="Arial" w:hAnsi="Arial" w:cs="Arial"/>
          <w:color w:val="0070C0"/>
          <w:lang w:val="es-ES_tradnl"/>
        </w:rPr>
      </w:pPr>
      <w:r w:rsidRPr="003923D7">
        <w:rPr>
          <w:rFonts w:ascii="Arial" w:hAnsi="Arial" w:cs="Arial"/>
          <w:b/>
          <w:lang w:val="es-ES_tradnl"/>
        </w:rPr>
        <w:t xml:space="preserve">Estrategia de Análisis Costo Beneficio (CBA, por sus siglas en inglés). </w:t>
      </w:r>
      <w:r w:rsidR="006E6BCF" w:rsidRPr="003923D7">
        <w:rPr>
          <w:rFonts w:ascii="Arial" w:hAnsi="Arial" w:cs="Arial"/>
          <w:lang w:val="es-ES_tradnl"/>
        </w:rPr>
        <w:t>Tal como se ha descri</w:t>
      </w:r>
      <w:r w:rsidR="00674895" w:rsidRPr="003923D7">
        <w:rPr>
          <w:rFonts w:ascii="Arial" w:hAnsi="Arial" w:cs="Arial"/>
          <w:lang w:val="es-ES_tradnl"/>
        </w:rPr>
        <w:t xml:space="preserve">to en el </w:t>
      </w:r>
      <w:r w:rsidR="006E6BCF" w:rsidRPr="003923D7">
        <w:rPr>
          <w:rFonts w:ascii="Arial" w:hAnsi="Arial" w:cs="Arial"/>
          <w:lang w:val="es-ES_tradnl"/>
        </w:rPr>
        <w:t>documento de</w:t>
      </w:r>
      <w:r w:rsidR="00674895" w:rsidRPr="003923D7">
        <w:rPr>
          <w:rFonts w:ascii="Arial" w:hAnsi="Arial" w:cs="Arial"/>
          <w:lang w:val="es-ES_tradnl"/>
        </w:rPr>
        <w:t xml:space="preserve"> proyecto, </w:t>
      </w:r>
      <w:r w:rsidR="00895C0C" w:rsidRPr="003923D7">
        <w:rPr>
          <w:rFonts w:ascii="Arial" w:hAnsi="Arial" w:cs="Arial"/>
          <w:lang w:val="es-ES_tradnl"/>
        </w:rPr>
        <w:t>los componentes de estabilidad macroeconómica y fortalecimiento de la regulación financiera –con sus subcomponentes</w:t>
      </w:r>
      <w:r w:rsidR="006E6BCF" w:rsidRPr="003923D7">
        <w:rPr>
          <w:rFonts w:ascii="Arial" w:hAnsi="Arial" w:cs="Arial"/>
          <w:lang w:val="es-ES_tradnl"/>
        </w:rPr>
        <w:t>:</w:t>
      </w:r>
      <w:r w:rsidR="00895C0C" w:rsidRPr="003923D7">
        <w:rPr>
          <w:rFonts w:ascii="Arial" w:hAnsi="Arial" w:cs="Arial"/>
          <w:lang w:val="es-ES_tradnl"/>
        </w:rPr>
        <w:t xml:space="preserve"> </w:t>
      </w:r>
      <w:r w:rsidR="00895C0C" w:rsidRPr="003923D7">
        <w:rPr>
          <w:rFonts w:ascii="Arial" w:hAnsi="Arial" w:cs="Arial"/>
          <w:szCs w:val="24"/>
          <w:lang w:val="es-ES"/>
        </w:rPr>
        <w:t>(i) fortalecimiento regulatorio para la estabilidad de la intermediación financiera; (ii) desarrollo de instituciones e instrumentos para el financiamiento del desarrollo productivo; y (iii) mejoras en el rég</w:t>
      </w:r>
      <w:r w:rsidR="002D2C8E" w:rsidRPr="003923D7">
        <w:rPr>
          <w:rFonts w:ascii="Arial" w:hAnsi="Arial" w:cs="Arial"/>
          <w:szCs w:val="24"/>
          <w:lang w:val="es-ES"/>
        </w:rPr>
        <w:t>imen de colaterales y garantías–</w:t>
      </w:r>
      <w:r w:rsidR="00653325" w:rsidRPr="003923D7">
        <w:rPr>
          <w:rFonts w:ascii="Arial" w:hAnsi="Arial" w:cs="Arial"/>
          <w:szCs w:val="24"/>
          <w:lang w:val="es-ES"/>
        </w:rPr>
        <w:t xml:space="preserve"> y el componente de mejora de competitividad (</w:t>
      </w:r>
      <w:r w:rsidR="002D2C8E" w:rsidRPr="003923D7">
        <w:rPr>
          <w:rFonts w:ascii="Arial" w:hAnsi="Arial" w:cs="Arial"/>
          <w:szCs w:val="24"/>
          <w:lang w:val="es-ES"/>
        </w:rPr>
        <w:t>competencia, mejora del</w:t>
      </w:r>
      <w:r w:rsidR="00653325" w:rsidRPr="003923D7">
        <w:rPr>
          <w:rFonts w:ascii="Arial" w:hAnsi="Arial" w:cs="Arial"/>
          <w:szCs w:val="24"/>
          <w:lang w:val="es-ES"/>
        </w:rPr>
        <w:t xml:space="preserve"> clima de negocios</w:t>
      </w:r>
      <w:r w:rsidR="002D2C8E" w:rsidRPr="003923D7">
        <w:rPr>
          <w:rFonts w:ascii="Arial" w:hAnsi="Arial" w:cs="Arial"/>
          <w:szCs w:val="24"/>
          <w:lang w:val="es-ES"/>
        </w:rPr>
        <w:t xml:space="preserve"> e instrumentos para promover la innovación y el desarrollo productivo</w:t>
      </w:r>
      <w:r w:rsidR="00653325" w:rsidRPr="003923D7">
        <w:rPr>
          <w:rFonts w:ascii="Arial" w:hAnsi="Arial" w:cs="Arial"/>
          <w:szCs w:val="24"/>
          <w:lang w:val="es-ES"/>
        </w:rPr>
        <w:t>)</w:t>
      </w:r>
      <w:r w:rsidR="00895C0C" w:rsidRPr="003923D7">
        <w:rPr>
          <w:rFonts w:ascii="Arial" w:hAnsi="Arial" w:cs="Arial"/>
          <w:szCs w:val="24"/>
          <w:lang w:val="es-ES"/>
        </w:rPr>
        <w:t xml:space="preserve"> </w:t>
      </w:r>
      <w:r w:rsidR="00674895" w:rsidRPr="003923D7">
        <w:rPr>
          <w:rFonts w:ascii="Arial" w:hAnsi="Arial" w:cs="Arial"/>
          <w:lang w:val="es-AR"/>
        </w:rPr>
        <w:t>constituye</w:t>
      </w:r>
      <w:r w:rsidR="00895C0C" w:rsidRPr="003923D7">
        <w:rPr>
          <w:rFonts w:ascii="Arial" w:hAnsi="Arial" w:cs="Arial"/>
          <w:lang w:val="es-AR"/>
        </w:rPr>
        <w:t>n</w:t>
      </w:r>
      <w:r w:rsidR="00674895" w:rsidRPr="003923D7">
        <w:rPr>
          <w:rFonts w:ascii="Arial" w:hAnsi="Arial" w:cs="Arial"/>
          <w:lang w:val="es-AR"/>
        </w:rPr>
        <w:t xml:space="preserve"> componentes importantes del programa</w:t>
      </w:r>
      <w:r w:rsidR="007249FB" w:rsidRPr="003923D7">
        <w:rPr>
          <w:rFonts w:ascii="Arial" w:hAnsi="Arial" w:cs="Arial"/>
          <w:lang w:val="es-AR"/>
        </w:rPr>
        <w:t>. Es por ello que se ha decidido centrar el análisis en el impacto de est</w:t>
      </w:r>
      <w:r w:rsidR="00895C0C" w:rsidRPr="003923D7">
        <w:rPr>
          <w:rFonts w:ascii="Arial" w:hAnsi="Arial" w:cs="Arial"/>
          <w:lang w:val="es-AR"/>
        </w:rPr>
        <w:t>os</w:t>
      </w:r>
      <w:r w:rsidR="007249FB" w:rsidRPr="003923D7">
        <w:rPr>
          <w:rFonts w:ascii="Arial" w:hAnsi="Arial" w:cs="Arial"/>
          <w:lang w:val="es-AR"/>
        </w:rPr>
        <w:t xml:space="preserve"> componente</w:t>
      </w:r>
      <w:r w:rsidR="00895C0C" w:rsidRPr="003923D7">
        <w:rPr>
          <w:rFonts w:ascii="Arial" w:hAnsi="Arial" w:cs="Arial"/>
          <w:lang w:val="es-AR"/>
        </w:rPr>
        <w:t>s</w:t>
      </w:r>
      <w:r w:rsidR="007249FB" w:rsidRPr="003923D7">
        <w:rPr>
          <w:rFonts w:ascii="Arial" w:hAnsi="Arial" w:cs="Arial"/>
          <w:lang w:val="es-AR"/>
        </w:rPr>
        <w:t xml:space="preserve"> como forma de obtener un efecto mínimo de las reformas apoyadas por el programa –como respuesta a la ya notada dificultad de cuantificar dichos efectos considerando todas las posibles interacciones que surgen de la implementación (a los efectos práctico</w:t>
      </w:r>
      <w:r w:rsidR="00ED3436" w:rsidRPr="003923D7">
        <w:rPr>
          <w:rFonts w:ascii="Arial" w:hAnsi="Arial" w:cs="Arial"/>
          <w:lang w:val="es-AR"/>
        </w:rPr>
        <w:t>s) simultánea de estas reformas.</w:t>
      </w:r>
      <w:r w:rsidR="007249FB" w:rsidRPr="003923D7">
        <w:rPr>
          <w:rStyle w:val="FootnoteReference"/>
          <w:rFonts w:ascii="Arial" w:hAnsi="Arial" w:cs="Arial"/>
          <w:lang w:val="es-AR"/>
        </w:rPr>
        <w:footnoteReference w:id="6"/>
      </w:r>
      <w:r w:rsidR="007E7275" w:rsidRPr="003923D7">
        <w:rPr>
          <w:rFonts w:ascii="Arial" w:hAnsi="Arial" w:cs="Arial"/>
          <w:lang w:val="es-AR"/>
        </w:rPr>
        <w:t xml:space="preserve"> Adicionalmente, al considerar el efecto de los aspectos de la reforma centrados en los elementos crediticios y financieros</w:t>
      </w:r>
      <w:r w:rsidR="00653325" w:rsidRPr="003923D7">
        <w:rPr>
          <w:rFonts w:ascii="Arial" w:hAnsi="Arial" w:cs="Arial"/>
          <w:lang w:val="es-AR"/>
        </w:rPr>
        <w:t xml:space="preserve"> y de competitividad</w:t>
      </w:r>
      <w:r w:rsidR="007E7275" w:rsidRPr="003923D7">
        <w:rPr>
          <w:rFonts w:ascii="Arial" w:hAnsi="Arial" w:cs="Arial"/>
          <w:lang w:val="es-AR"/>
        </w:rPr>
        <w:t xml:space="preserve">, se </w:t>
      </w:r>
      <w:r w:rsidR="00ED3436" w:rsidRPr="003923D7">
        <w:rPr>
          <w:rFonts w:ascii="Arial" w:hAnsi="Arial" w:cs="Arial"/>
          <w:lang w:val="es-AR"/>
        </w:rPr>
        <w:t xml:space="preserve">cuenta con la validación externa </w:t>
      </w:r>
      <w:r w:rsidR="007E7275" w:rsidRPr="003923D7">
        <w:rPr>
          <w:rFonts w:ascii="Arial" w:hAnsi="Arial" w:cs="Arial"/>
          <w:lang w:val="es-AR"/>
        </w:rPr>
        <w:t xml:space="preserve">de </w:t>
      </w:r>
      <w:r w:rsidR="00F26E18" w:rsidRPr="003923D7">
        <w:rPr>
          <w:rFonts w:ascii="Arial" w:hAnsi="Arial" w:cs="Arial"/>
          <w:lang w:val="es-AR"/>
        </w:rPr>
        <w:t xml:space="preserve">la literatura relacionada a los efectos de los cambios en las condiciones financieras </w:t>
      </w:r>
      <w:r w:rsidR="00623E8F" w:rsidRPr="003923D7">
        <w:rPr>
          <w:rFonts w:ascii="Arial" w:hAnsi="Arial" w:cs="Arial"/>
          <w:lang w:val="es-AR"/>
        </w:rPr>
        <w:t xml:space="preserve">y reformas (cambios de </w:t>
      </w:r>
      <w:r w:rsidR="002D2C8E" w:rsidRPr="003923D7">
        <w:rPr>
          <w:rFonts w:ascii="Arial" w:hAnsi="Arial" w:cs="Arial"/>
          <w:lang w:val="es-AR"/>
        </w:rPr>
        <w:t>regulación</w:t>
      </w:r>
      <w:r w:rsidR="00623E8F" w:rsidRPr="003923D7">
        <w:rPr>
          <w:rFonts w:ascii="Arial" w:hAnsi="Arial" w:cs="Arial"/>
          <w:lang w:val="es-ES_tradnl"/>
        </w:rPr>
        <w:t xml:space="preserve">) </w:t>
      </w:r>
      <w:r w:rsidR="00F26E18" w:rsidRPr="003923D7">
        <w:rPr>
          <w:rFonts w:ascii="Arial" w:hAnsi="Arial" w:cs="Arial"/>
          <w:lang w:val="es-AR"/>
        </w:rPr>
        <w:t>sobre la productividad para proveer sostén teórico y empírico de las cu</w:t>
      </w:r>
      <w:r w:rsidRPr="003923D7">
        <w:rPr>
          <w:rFonts w:ascii="Arial" w:hAnsi="Arial" w:cs="Arial"/>
          <w:lang w:val="es-AR"/>
        </w:rPr>
        <w:t>antificaciones aquí presentad</w:t>
      </w:r>
      <w:r w:rsidR="00824BF7" w:rsidRPr="003923D7">
        <w:rPr>
          <w:rFonts w:ascii="Arial" w:hAnsi="Arial" w:cs="Arial"/>
          <w:lang w:val="es-AR"/>
        </w:rPr>
        <w:t>as</w:t>
      </w:r>
      <w:r w:rsidR="00ED3436" w:rsidRPr="003923D7">
        <w:rPr>
          <w:rFonts w:ascii="Arial" w:hAnsi="Arial" w:cs="Arial"/>
          <w:lang w:val="es-AR"/>
        </w:rPr>
        <w:t>.</w:t>
      </w:r>
      <w:r w:rsidR="00404C9F" w:rsidRPr="003923D7">
        <w:rPr>
          <w:rStyle w:val="FootnoteReference"/>
          <w:rFonts w:ascii="Arial" w:hAnsi="Arial" w:cs="Arial"/>
          <w:lang w:val="es-AR"/>
        </w:rPr>
        <w:footnoteReference w:id="7"/>
      </w:r>
      <w:r w:rsidRPr="003923D7">
        <w:rPr>
          <w:rFonts w:ascii="Arial" w:hAnsi="Arial" w:cs="Arial"/>
          <w:lang w:val="es-AR"/>
        </w:rPr>
        <w:t xml:space="preserve"> </w:t>
      </w:r>
    </w:p>
    <w:p w14:paraId="595E3B5F" w14:textId="77777777" w:rsidR="00623E8F" w:rsidRPr="003923D7" w:rsidRDefault="00124587" w:rsidP="00A60099">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 xml:space="preserve">Revisión de la literatura teórica y empírica relacionada. </w:t>
      </w:r>
      <w:r w:rsidR="00483CA4" w:rsidRPr="003923D7">
        <w:rPr>
          <w:rFonts w:ascii="Arial" w:hAnsi="Arial" w:cs="Arial"/>
          <w:lang w:val="es-ES_tradnl"/>
        </w:rPr>
        <w:t xml:space="preserve">Hechas estas consideraciones preliminares sobre </w:t>
      </w:r>
      <w:r w:rsidR="000B6B16" w:rsidRPr="003923D7">
        <w:rPr>
          <w:rFonts w:ascii="Arial" w:hAnsi="Arial" w:cs="Arial"/>
          <w:lang w:val="es-ES_tradnl"/>
        </w:rPr>
        <w:t>e</w:t>
      </w:r>
      <w:r w:rsidR="00483CA4" w:rsidRPr="003923D7">
        <w:rPr>
          <w:rFonts w:ascii="Arial" w:hAnsi="Arial" w:cs="Arial"/>
          <w:lang w:val="es-ES_tradnl"/>
        </w:rPr>
        <w:t>l enfoque a desarrollar subsecuentemente en el presente anexo, se procede ahora a una discusión de</w:t>
      </w:r>
      <w:r w:rsidR="00F3742C" w:rsidRPr="003923D7">
        <w:rPr>
          <w:rFonts w:ascii="Arial" w:hAnsi="Arial" w:cs="Arial"/>
          <w:lang w:val="es-ES_tradnl"/>
        </w:rPr>
        <w:t xml:space="preserve"> las consideraciones empíricas y teóricas</w:t>
      </w:r>
      <w:r w:rsidR="00483CA4" w:rsidRPr="003923D7">
        <w:rPr>
          <w:rFonts w:ascii="Arial" w:hAnsi="Arial" w:cs="Arial"/>
          <w:lang w:val="es-ES_tradnl"/>
        </w:rPr>
        <w:t xml:space="preserve"> que provee</w:t>
      </w:r>
      <w:r w:rsidR="00F3742C" w:rsidRPr="003923D7">
        <w:rPr>
          <w:rFonts w:ascii="Arial" w:hAnsi="Arial" w:cs="Arial"/>
          <w:lang w:val="es-ES_tradnl"/>
        </w:rPr>
        <w:t>n</w:t>
      </w:r>
      <w:r w:rsidR="00483CA4" w:rsidRPr="003923D7">
        <w:rPr>
          <w:rFonts w:ascii="Arial" w:hAnsi="Arial" w:cs="Arial"/>
          <w:lang w:val="es-ES_tradnl"/>
        </w:rPr>
        <w:t xml:space="preserve"> soporte a las relaciones cuantitativas a implementar y al cómputo de los beneficios netos (mínimos) asociables al componente de </w:t>
      </w:r>
      <w:r w:rsidR="00483CA4" w:rsidRPr="003923D7">
        <w:rPr>
          <w:rFonts w:ascii="Arial" w:hAnsi="Arial" w:cs="Arial"/>
          <w:lang w:val="es-AR"/>
        </w:rPr>
        <w:t>estabilidad, acceso y eficiencia en la intermediación financiera del programa.</w:t>
      </w:r>
      <w:r w:rsidR="00F3742C" w:rsidRPr="003923D7">
        <w:rPr>
          <w:rFonts w:ascii="Arial" w:hAnsi="Arial" w:cs="Arial"/>
          <w:lang w:val="es-AR"/>
        </w:rPr>
        <w:t xml:space="preserve"> </w:t>
      </w:r>
    </w:p>
    <w:p w14:paraId="0F189816" w14:textId="77777777" w:rsidR="00521065" w:rsidRPr="003923D7" w:rsidRDefault="00F3742C" w:rsidP="00A60099">
      <w:pPr>
        <w:pStyle w:val="Paragraph"/>
        <w:tabs>
          <w:tab w:val="num" w:pos="720"/>
        </w:tabs>
        <w:spacing w:after="80"/>
        <w:ind w:left="720" w:hanging="720"/>
        <w:rPr>
          <w:rFonts w:ascii="Arial" w:hAnsi="Arial" w:cs="Arial"/>
          <w:lang w:val="es-ES_tradnl"/>
        </w:rPr>
      </w:pPr>
      <w:r w:rsidRPr="003923D7">
        <w:rPr>
          <w:rFonts w:ascii="Arial" w:hAnsi="Arial" w:cs="Arial"/>
          <w:lang w:val="es-AR"/>
        </w:rPr>
        <w:lastRenderedPageBreak/>
        <w:t>En este sentido, la primera línea de apoyo deviene de una creciente y ya extensa literatura que relaciona en diversas formas y a través de distintos mecanismos, las condiciones financieras a las condiciones del sector real de la economía –en particular</w:t>
      </w:r>
      <w:r w:rsidR="000B6B16" w:rsidRPr="003923D7">
        <w:rPr>
          <w:rFonts w:ascii="Arial" w:hAnsi="Arial" w:cs="Arial"/>
          <w:lang w:val="es-AR"/>
        </w:rPr>
        <w:t xml:space="preserve">, que es </w:t>
      </w:r>
      <w:r w:rsidRPr="003923D7">
        <w:rPr>
          <w:rFonts w:ascii="Arial" w:hAnsi="Arial" w:cs="Arial"/>
          <w:lang w:val="es-AR"/>
        </w:rPr>
        <w:t>lo que interesa al presente proyecto</w:t>
      </w:r>
      <w:r w:rsidR="000B6B16" w:rsidRPr="003923D7">
        <w:rPr>
          <w:rFonts w:ascii="Arial" w:hAnsi="Arial" w:cs="Arial"/>
          <w:lang w:val="es-AR"/>
        </w:rPr>
        <w:t>,</w:t>
      </w:r>
      <w:r w:rsidRPr="003923D7">
        <w:rPr>
          <w:rFonts w:ascii="Arial" w:hAnsi="Arial" w:cs="Arial"/>
          <w:lang w:val="es-AR"/>
        </w:rPr>
        <w:t xml:space="preserve"> en </w:t>
      </w:r>
      <w:r w:rsidR="000B6B16" w:rsidRPr="003923D7">
        <w:rPr>
          <w:rFonts w:ascii="Arial" w:hAnsi="Arial" w:cs="Arial"/>
          <w:lang w:val="es-AR"/>
        </w:rPr>
        <w:t>cuanto</w:t>
      </w:r>
      <w:r w:rsidRPr="003923D7">
        <w:rPr>
          <w:rFonts w:ascii="Arial" w:hAnsi="Arial" w:cs="Arial"/>
          <w:lang w:val="es-AR"/>
        </w:rPr>
        <w:t xml:space="preserve"> a cambios en </w:t>
      </w:r>
      <w:r w:rsidR="000B6B16" w:rsidRPr="003923D7">
        <w:rPr>
          <w:rFonts w:ascii="Arial" w:hAnsi="Arial" w:cs="Arial"/>
          <w:lang w:val="es-AR"/>
        </w:rPr>
        <w:t xml:space="preserve">la </w:t>
      </w:r>
      <w:r w:rsidRPr="003923D7">
        <w:rPr>
          <w:rFonts w:ascii="Arial" w:hAnsi="Arial" w:cs="Arial"/>
          <w:lang w:val="es-AR"/>
        </w:rPr>
        <w:t>producción y productividad. Esta literatura ha explorado dicha relación</w:t>
      </w:r>
      <w:r w:rsidR="00B953B3" w:rsidRPr="003923D7">
        <w:rPr>
          <w:rFonts w:ascii="Arial" w:hAnsi="Arial" w:cs="Arial"/>
          <w:lang w:val="es-AR"/>
        </w:rPr>
        <w:t>,</w:t>
      </w:r>
      <w:r w:rsidRPr="003923D7">
        <w:rPr>
          <w:rFonts w:ascii="Arial" w:hAnsi="Arial" w:cs="Arial"/>
          <w:lang w:val="es-AR"/>
        </w:rPr>
        <w:t xml:space="preserve"> y en particular ha tratado de dilucidar los impactos de cambios autónomos (exógenos) en las condiciones financieras </w:t>
      </w:r>
      <w:r w:rsidR="00783E6D" w:rsidRPr="003923D7">
        <w:rPr>
          <w:rFonts w:ascii="Arial" w:hAnsi="Arial" w:cs="Arial"/>
          <w:lang w:val="es-AR"/>
        </w:rPr>
        <w:t xml:space="preserve">y de competitividad o clima de negocios </w:t>
      </w:r>
      <w:r w:rsidRPr="003923D7">
        <w:rPr>
          <w:rFonts w:ascii="Arial" w:hAnsi="Arial" w:cs="Arial"/>
          <w:lang w:val="es-AR"/>
        </w:rPr>
        <w:t xml:space="preserve">sobre las variables reales de la economía. Como se indicó, esta literatura es extensa y una recapitulación extensiva escapa al objeto del presente anexo, y por tanto aquí solo referimos a un </w:t>
      </w:r>
      <w:r w:rsidR="00B953B3" w:rsidRPr="003923D7">
        <w:rPr>
          <w:rFonts w:ascii="Arial" w:hAnsi="Arial" w:cs="Arial"/>
          <w:lang w:val="es-AR"/>
        </w:rPr>
        <w:t>sub</w:t>
      </w:r>
      <w:r w:rsidRPr="003923D7">
        <w:rPr>
          <w:rFonts w:ascii="Arial" w:hAnsi="Arial" w:cs="Arial"/>
          <w:lang w:val="es-AR"/>
        </w:rPr>
        <w:t>c</w:t>
      </w:r>
      <w:r w:rsidR="00B47391" w:rsidRPr="003923D7">
        <w:rPr>
          <w:rFonts w:ascii="Arial" w:hAnsi="Arial" w:cs="Arial"/>
          <w:lang w:val="es-AR"/>
        </w:rPr>
        <w:t>onjunto</w:t>
      </w:r>
      <w:r w:rsidR="00B953B3" w:rsidRPr="003923D7">
        <w:rPr>
          <w:rFonts w:ascii="Arial" w:hAnsi="Arial" w:cs="Arial"/>
          <w:lang w:val="es-AR"/>
        </w:rPr>
        <w:t xml:space="preserve"> de la misma</w:t>
      </w:r>
      <w:r w:rsidR="000A3025" w:rsidRPr="003923D7">
        <w:rPr>
          <w:rFonts w:ascii="Arial" w:hAnsi="Arial" w:cs="Arial"/>
          <w:lang w:val="es-AR"/>
        </w:rPr>
        <w:t>.</w:t>
      </w:r>
    </w:p>
    <w:p w14:paraId="3D8F3F09" w14:textId="77777777" w:rsidR="00F249CD" w:rsidRPr="003923D7" w:rsidRDefault="00841AD6" w:rsidP="00EE1202">
      <w:pPr>
        <w:pStyle w:val="Paragraph"/>
        <w:tabs>
          <w:tab w:val="num" w:pos="720"/>
        </w:tabs>
        <w:spacing w:after="80"/>
        <w:ind w:left="720" w:hanging="720"/>
        <w:rPr>
          <w:rFonts w:ascii="Arial" w:hAnsi="Arial" w:cs="Arial"/>
          <w:lang w:val="es-ES_tradnl"/>
        </w:rPr>
      </w:pPr>
      <w:r w:rsidRPr="003923D7">
        <w:rPr>
          <w:rFonts w:ascii="Arial" w:hAnsi="Arial" w:cs="Arial"/>
          <w:lang w:val="es-AR"/>
        </w:rPr>
        <w:t xml:space="preserve">El conjunto teórico-empírico que une los conceptos anteriores con la proyección de los resultados esperados de las reformas apoyadas por el programa está constituido por estudios que relevan particularmente intervenciones de política de una naturaleza tal que </w:t>
      </w:r>
      <w:r w:rsidR="00572770" w:rsidRPr="003923D7">
        <w:rPr>
          <w:rFonts w:ascii="Arial" w:hAnsi="Arial" w:cs="Arial"/>
          <w:lang w:val="es-AR"/>
        </w:rPr>
        <w:t>implican</w:t>
      </w:r>
      <w:r w:rsidRPr="003923D7">
        <w:rPr>
          <w:rFonts w:ascii="Arial" w:hAnsi="Arial" w:cs="Arial"/>
          <w:lang w:val="es-AR"/>
        </w:rPr>
        <w:t xml:space="preserve"> modificaciones que pueden encuadrarse como resultado de los procesos subyacentes –es decir, por intervenciones de políticas consideradas de reforma. </w:t>
      </w:r>
    </w:p>
    <w:p w14:paraId="3B721B34" w14:textId="77777777" w:rsidR="00F249CD" w:rsidRPr="003923D7" w:rsidRDefault="00841AD6" w:rsidP="00EE1202">
      <w:pPr>
        <w:pStyle w:val="Paragraph"/>
        <w:tabs>
          <w:tab w:val="num" w:pos="720"/>
        </w:tabs>
        <w:spacing w:after="80"/>
        <w:ind w:left="720" w:hanging="720"/>
        <w:rPr>
          <w:rFonts w:ascii="Arial" w:hAnsi="Arial" w:cs="Arial"/>
          <w:lang w:val="es-ES_tradnl"/>
        </w:rPr>
      </w:pPr>
      <w:r w:rsidRPr="003923D7">
        <w:rPr>
          <w:rFonts w:ascii="Arial" w:hAnsi="Arial" w:cs="Arial"/>
          <w:lang w:val="es-AR"/>
        </w:rPr>
        <w:t>Existen múltiples formas de clasificar los procesos de reformas. Una de ellas es atendiendo a los objetivos de la misma en cuanto a descentralización de la búsqueda de información y la toma de decisiones de asignación, siempre en el marco de un con</w:t>
      </w:r>
      <w:r w:rsidR="00572770" w:rsidRPr="003923D7">
        <w:rPr>
          <w:rFonts w:ascii="Arial" w:hAnsi="Arial" w:cs="Arial"/>
          <w:lang w:val="es-AR"/>
        </w:rPr>
        <w:t>junto de instituciones sociales, políticas y económicas</w:t>
      </w:r>
      <w:r w:rsidRPr="003923D7">
        <w:rPr>
          <w:rFonts w:ascii="Arial" w:hAnsi="Arial" w:cs="Arial"/>
          <w:lang w:val="es-AR"/>
        </w:rPr>
        <w:t xml:space="preserve"> que reglamentan e instituyen la</w:t>
      </w:r>
      <w:r w:rsidR="00572770" w:rsidRPr="003923D7">
        <w:rPr>
          <w:rFonts w:ascii="Arial" w:hAnsi="Arial" w:cs="Arial"/>
          <w:lang w:val="es-AR"/>
        </w:rPr>
        <w:t>s</w:t>
      </w:r>
      <w:r w:rsidRPr="003923D7">
        <w:rPr>
          <w:rFonts w:ascii="Arial" w:hAnsi="Arial" w:cs="Arial"/>
          <w:lang w:val="es-AR"/>
        </w:rPr>
        <w:t xml:space="preserve"> condiciones en las cuales los agentes privados (empresas del sector real, instituciones </w:t>
      </w:r>
      <w:r w:rsidR="00572770" w:rsidRPr="003923D7">
        <w:rPr>
          <w:rFonts w:ascii="Arial" w:hAnsi="Arial" w:cs="Arial"/>
          <w:lang w:val="es-AR"/>
        </w:rPr>
        <w:t>financieras, y familias) llevará</w:t>
      </w:r>
      <w:r w:rsidRPr="003923D7">
        <w:rPr>
          <w:rFonts w:ascii="Arial" w:hAnsi="Arial" w:cs="Arial"/>
          <w:lang w:val="es-AR"/>
        </w:rPr>
        <w:t>n adelante sus procesos individuales de optimización.</w:t>
      </w:r>
      <w:r w:rsidR="00FD74C6" w:rsidRPr="003923D7">
        <w:rPr>
          <w:rFonts w:ascii="Arial" w:hAnsi="Arial" w:cs="Arial"/>
          <w:lang w:val="es-AR"/>
        </w:rPr>
        <w:t xml:space="preserve"> En este sentido, las reformas pueden clasificarse como reformas de descentralización y/o pro mercado, o como reformas de centralización y/o intervención gubernamental. Dicho esto, cabe hacer un</w:t>
      </w:r>
      <w:r w:rsidR="00572770" w:rsidRPr="003923D7">
        <w:rPr>
          <w:rFonts w:ascii="Arial" w:hAnsi="Arial" w:cs="Arial"/>
          <w:lang w:val="es-AR"/>
        </w:rPr>
        <w:t>a</w:t>
      </w:r>
      <w:r w:rsidR="00FD74C6" w:rsidRPr="003923D7">
        <w:rPr>
          <w:rFonts w:ascii="Arial" w:hAnsi="Arial" w:cs="Arial"/>
          <w:lang w:val="es-AR"/>
        </w:rPr>
        <w:t xml:space="preserve"> aclaración en el sentido de que dicha clasificación es orientativa y no taxativa, ya que los procesos políticos, económicos, y sociales dentro de los cuales se dan este tipo de reformas son tales que no exis</w:t>
      </w:r>
      <w:r w:rsidR="0006142D" w:rsidRPr="003923D7">
        <w:rPr>
          <w:rFonts w:ascii="Arial" w:hAnsi="Arial" w:cs="Arial"/>
          <w:lang w:val="es-AR"/>
        </w:rPr>
        <w:t>te un conjunto de reforma</w:t>
      </w:r>
      <w:r w:rsidR="00FD74C6" w:rsidRPr="003923D7">
        <w:rPr>
          <w:rFonts w:ascii="Arial" w:hAnsi="Arial" w:cs="Arial"/>
          <w:lang w:val="es-AR"/>
        </w:rPr>
        <w:t xml:space="preserve"> que pueda clasificarse unívocamente como de descentralización/pro merca</w:t>
      </w:r>
      <w:r w:rsidR="00572770" w:rsidRPr="003923D7">
        <w:rPr>
          <w:rFonts w:ascii="Arial" w:hAnsi="Arial" w:cs="Arial"/>
          <w:lang w:val="es-AR"/>
        </w:rPr>
        <w:t>do, o como de centralización/</w:t>
      </w:r>
      <w:r w:rsidR="00FD74C6" w:rsidRPr="003923D7">
        <w:rPr>
          <w:rFonts w:ascii="Arial" w:hAnsi="Arial" w:cs="Arial"/>
          <w:lang w:val="es-AR"/>
        </w:rPr>
        <w:t xml:space="preserve"> intervención gubernamental. Sin embargo, esta clasificación es útil a los efectos analíticos y de clasificación en tanto se tenga en cuenta la naturaleza necesariamente imperfecta y debatible de dichas clasificaciones.</w:t>
      </w:r>
      <w:r w:rsidR="009A66E1" w:rsidRPr="003923D7">
        <w:rPr>
          <w:rStyle w:val="FootnoteReference"/>
          <w:rFonts w:ascii="Arial" w:hAnsi="Arial" w:cs="Arial"/>
          <w:lang w:val="es-AR"/>
        </w:rPr>
        <w:footnoteReference w:id="8"/>
      </w:r>
      <w:r w:rsidR="00124587" w:rsidRPr="003923D7">
        <w:rPr>
          <w:rFonts w:ascii="Arial" w:hAnsi="Arial" w:cs="Arial"/>
          <w:lang w:val="es-AR"/>
        </w:rPr>
        <w:t xml:space="preserve"> </w:t>
      </w:r>
    </w:p>
    <w:p w14:paraId="1252B56D" w14:textId="77777777" w:rsidR="00841AD6" w:rsidRPr="003923D7" w:rsidRDefault="00124587" w:rsidP="00EE1202">
      <w:pPr>
        <w:pStyle w:val="Paragraph"/>
        <w:tabs>
          <w:tab w:val="num" w:pos="720"/>
        </w:tabs>
        <w:spacing w:after="80"/>
        <w:ind w:left="720" w:hanging="720"/>
        <w:rPr>
          <w:rFonts w:ascii="Arial" w:hAnsi="Arial" w:cs="Arial"/>
          <w:lang w:val="es-ES_tradnl"/>
        </w:rPr>
      </w:pPr>
      <w:r w:rsidRPr="003923D7">
        <w:rPr>
          <w:rFonts w:ascii="Arial" w:hAnsi="Arial" w:cs="Arial"/>
          <w:lang w:val="es-AR"/>
        </w:rPr>
        <w:t>El primer punto</w:t>
      </w:r>
      <w:r w:rsidR="00536BC0" w:rsidRPr="003923D7">
        <w:rPr>
          <w:rFonts w:ascii="Arial" w:hAnsi="Arial" w:cs="Arial"/>
          <w:lang w:val="es-AR"/>
        </w:rPr>
        <w:t xml:space="preserve"> a realizar entonces es que los análisis de las reformas pro mercado tiende</w:t>
      </w:r>
      <w:r w:rsidR="00F249CD" w:rsidRPr="003923D7">
        <w:rPr>
          <w:rFonts w:ascii="Arial" w:hAnsi="Arial" w:cs="Arial"/>
          <w:lang w:val="es-AR"/>
        </w:rPr>
        <w:t>n</w:t>
      </w:r>
      <w:r w:rsidR="00536BC0" w:rsidRPr="003923D7">
        <w:rPr>
          <w:rFonts w:ascii="Arial" w:hAnsi="Arial" w:cs="Arial"/>
          <w:lang w:val="es-AR"/>
        </w:rPr>
        <w:t xml:space="preserve"> a encontrar evidencia favorable respecto del impacto de las mismas sobre productividad, adopción tecnológica, y eficiencia, o escasa evidencia de un </w:t>
      </w:r>
      <w:r w:rsidR="00536BC0" w:rsidRPr="003923D7">
        <w:rPr>
          <w:rFonts w:ascii="Arial" w:hAnsi="Arial" w:cs="Arial"/>
          <w:lang w:val="es-ES_tradnl"/>
        </w:rPr>
        <w:t>impacto</w:t>
      </w:r>
      <w:r w:rsidR="00536BC0" w:rsidRPr="003923D7">
        <w:rPr>
          <w:rFonts w:ascii="Arial" w:hAnsi="Arial" w:cs="Arial"/>
          <w:lang w:val="es-AR"/>
        </w:rPr>
        <w:t xml:space="preserve"> </w:t>
      </w:r>
      <w:r w:rsidR="00572770" w:rsidRPr="003923D7">
        <w:rPr>
          <w:rFonts w:ascii="Arial" w:hAnsi="Arial" w:cs="Arial"/>
          <w:lang w:val="es-AR"/>
        </w:rPr>
        <w:t>negativo.</w:t>
      </w:r>
      <w:r w:rsidR="0040445B" w:rsidRPr="003923D7">
        <w:rPr>
          <w:rFonts w:ascii="Arial" w:hAnsi="Arial" w:cs="Arial"/>
          <w:lang w:val="es-AR"/>
        </w:rPr>
        <w:t xml:space="preserve"> </w:t>
      </w:r>
      <w:r w:rsidR="00536BC0" w:rsidRPr="003923D7">
        <w:rPr>
          <w:rFonts w:ascii="Arial" w:hAnsi="Arial" w:cs="Arial"/>
          <w:lang w:val="es-AR"/>
        </w:rPr>
        <w:t xml:space="preserve">Es decir, las evaluaciones </w:t>
      </w:r>
      <w:r w:rsidR="00536BC0" w:rsidRPr="003923D7">
        <w:rPr>
          <w:rFonts w:ascii="Arial" w:hAnsi="Arial" w:cs="Arial"/>
          <w:lang w:val="es-AR"/>
        </w:rPr>
        <w:lastRenderedPageBreak/>
        <w:t>empíricas tienden a encontrar que cuando dichas reformas son implementadas</w:t>
      </w:r>
      <w:r w:rsidR="00572770" w:rsidRPr="003923D7">
        <w:rPr>
          <w:rFonts w:ascii="Arial" w:hAnsi="Arial" w:cs="Arial"/>
          <w:lang w:val="es-AR"/>
        </w:rPr>
        <w:t>,</w:t>
      </w:r>
      <w:r w:rsidR="00536BC0" w:rsidRPr="003923D7">
        <w:rPr>
          <w:rFonts w:ascii="Arial" w:hAnsi="Arial" w:cs="Arial"/>
          <w:lang w:val="es-AR"/>
        </w:rPr>
        <w:t xml:space="preserve"> en caso de haber efectos detectables los mismos tienden a ser favorables en las mencionadas dimensiones.</w:t>
      </w:r>
      <w:r w:rsidR="00D90ED0" w:rsidRPr="003923D7">
        <w:rPr>
          <w:rStyle w:val="FootnoteReference"/>
          <w:rFonts w:ascii="Arial" w:hAnsi="Arial" w:cs="Arial"/>
          <w:lang w:val="es-AR"/>
        </w:rPr>
        <w:footnoteReference w:id="9"/>
      </w:r>
      <w:r w:rsidR="00BF1DEE" w:rsidRPr="003923D7">
        <w:rPr>
          <w:rFonts w:ascii="Arial" w:hAnsi="Arial" w:cs="Arial"/>
          <w:lang w:val="es-AR"/>
        </w:rPr>
        <w:t xml:space="preserve"> Estos resultados continúan en línea cuando se analiza el caso de América Latina, donde se encuentra evidencia de que las reformas pro mercado encar</w:t>
      </w:r>
      <w:r w:rsidR="00572770" w:rsidRPr="003923D7">
        <w:rPr>
          <w:rFonts w:ascii="Arial" w:hAnsi="Arial" w:cs="Arial"/>
          <w:lang w:val="es-AR"/>
        </w:rPr>
        <w:t>a</w:t>
      </w:r>
      <w:r w:rsidR="00BF1DEE" w:rsidRPr="003923D7">
        <w:rPr>
          <w:rFonts w:ascii="Arial" w:hAnsi="Arial" w:cs="Arial"/>
          <w:lang w:val="es-AR"/>
        </w:rPr>
        <w:t>das en la región ha</w:t>
      </w:r>
      <w:r w:rsidR="00572770" w:rsidRPr="003923D7">
        <w:rPr>
          <w:rFonts w:ascii="Arial" w:hAnsi="Arial" w:cs="Arial"/>
          <w:lang w:val="es-AR"/>
        </w:rPr>
        <w:t>n</w:t>
      </w:r>
      <w:r w:rsidR="00BF1DEE" w:rsidRPr="003923D7">
        <w:rPr>
          <w:rFonts w:ascii="Arial" w:hAnsi="Arial" w:cs="Arial"/>
          <w:lang w:val="es-AR"/>
        </w:rPr>
        <w:t xml:space="preserve"> contribuido a incrementar la productividad en relación a lo que se hubiese observado en un escenario sin reformas de esta naturaleza.</w:t>
      </w:r>
      <w:r w:rsidR="00BF1DEE" w:rsidRPr="003923D7">
        <w:rPr>
          <w:rStyle w:val="FootnoteReference"/>
          <w:rFonts w:ascii="Arial" w:hAnsi="Arial" w:cs="Arial"/>
          <w:lang w:val="es-AR"/>
        </w:rPr>
        <w:footnoteReference w:id="10"/>
      </w:r>
    </w:p>
    <w:p w14:paraId="0C68C291" w14:textId="77777777" w:rsidR="005F0D86" w:rsidRPr="003923D7" w:rsidRDefault="005F0D86" w:rsidP="00EE1202">
      <w:pPr>
        <w:pStyle w:val="Paragraph"/>
        <w:tabs>
          <w:tab w:val="num" w:pos="720"/>
        </w:tabs>
        <w:spacing w:after="80"/>
        <w:ind w:left="720" w:hanging="720"/>
        <w:rPr>
          <w:rFonts w:ascii="Arial" w:hAnsi="Arial" w:cs="Arial"/>
          <w:lang w:val="es-ES_tradnl"/>
        </w:rPr>
      </w:pPr>
      <w:r w:rsidRPr="003923D7">
        <w:rPr>
          <w:rFonts w:ascii="Arial" w:hAnsi="Arial" w:cs="Arial"/>
          <w:lang w:val="es-AR"/>
        </w:rPr>
        <w:t>Partiendo de lo anterior</w:t>
      </w:r>
      <w:r w:rsidR="00572770" w:rsidRPr="003923D7">
        <w:rPr>
          <w:rFonts w:ascii="Arial" w:hAnsi="Arial" w:cs="Arial"/>
          <w:lang w:val="es-AR"/>
        </w:rPr>
        <w:t>,</w:t>
      </w:r>
      <w:r w:rsidR="004B226F" w:rsidRPr="003923D7">
        <w:rPr>
          <w:rFonts w:ascii="Arial" w:hAnsi="Arial" w:cs="Arial"/>
          <w:lang w:val="es-AR"/>
        </w:rPr>
        <w:t xml:space="preserve"> y retomando las consideraciones </w:t>
      </w:r>
      <w:r w:rsidR="00E452EB" w:rsidRPr="003923D7">
        <w:rPr>
          <w:rFonts w:ascii="Arial" w:hAnsi="Arial" w:cs="Arial"/>
          <w:lang w:val="es-AR"/>
        </w:rPr>
        <w:t>ya hechas</w:t>
      </w:r>
      <w:r w:rsidR="004B226F" w:rsidRPr="003923D7">
        <w:rPr>
          <w:rFonts w:ascii="Arial" w:hAnsi="Arial" w:cs="Arial"/>
          <w:lang w:val="es-AR"/>
        </w:rPr>
        <w:t xml:space="preserve"> sobre los componentes a considerar, es importante centrar la atención en el subconjunto de reformas que corresponden al sector y las condiciones financieras</w:t>
      </w:r>
      <w:r w:rsidR="00B77D97" w:rsidRPr="003923D7">
        <w:rPr>
          <w:rFonts w:ascii="Arial" w:hAnsi="Arial" w:cs="Arial"/>
          <w:lang w:val="es-AR"/>
        </w:rPr>
        <w:t xml:space="preserve"> y las de competitividad</w:t>
      </w:r>
      <w:r w:rsidR="004B226F" w:rsidRPr="003923D7">
        <w:rPr>
          <w:rFonts w:ascii="Arial" w:hAnsi="Arial" w:cs="Arial"/>
          <w:lang w:val="es-AR"/>
        </w:rPr>
        <w:t>.</w:t>
      </w:r>
      <w:r w:rsidR="001A20A1" w:rsidRPr="003923D7">
        <w:rPr>
          <w:rFonts w:ascii="Arial" w:hAnsi="Arial" w:cs="Arial"/>
          <w:lang w:val="es-AR"/>
        </w:rPr>
        <w:t xml:space="preserve"> Una vez más, se observa que la literatura tiende a encontrar efectos positivos como consecuencia de la implementación de reformas financieras</w:t>
      </w:r>
      <w:r w:rsidR="00783E6D" w:rsidRPr="003923D7">
        <w:rPr>
          <w:rFonts w:ascii="Arial" w:hAnsi="Arial" w:cs="Arial"/>
          <w:lang w:val="es-AR"/>
        </w:rPr>
        <w:t xml:space="preserve"> y de competitividad</w:t>
      </w:r>
      <w:r w:rsidR="001A20A1" w:rsidRPr="003923D7">
        <w:rPr>
          <w:rFonts w:ascii="Arial" w:hAnsi="Arial" w:cs="Arial"/>
          <w:lang w:val="es-AR"/>
        </w:rPr>
        <w:t>.</w:t>
      </w:r>
      <w:r w:rsidR="00B12916" w:rsidRPr="003923D7">
        <w:rPr>
          <w:rStyle w:val="FootnoteReference"/>
          <w:rFonts w:ascii="Arial" w:hAnsi="Arial" w:cs="Arial"/>
          <w:lang w:val="es-AR"/>
        </w:rPr>
        <w:footnoteReference w:id="11"/>
      </w:r>
      <w:r w:rsidR="006A7AB9" w:rsidRPr="003923D7">
        <w:rPr>
          <w:rFonts w:ascii="Arial" w:hAnsi="Arial" w:cs="Arial"/>
          <w:lang w:val="es-AR"/>
        </w:rPr>
        <w:t xml:space="preserve"> El argumento detrás de los impactos esperados de las reformas financieras </w:t>
      </w:r>
      <w:r w:rsidR="00783E6D" w:rsidRPr="003923D7">
        <w:rPr>
          <w:rFonts w:ascii="Arial" w:hAnsi="Arial" w:cs="Arial"/>
          <w:lang w:val="es-AR"/>
        </w:rPr>
        <w:t xml:space="preserve">y de competitividad </w:t>
      </w:r>
      <w:r w:rsidR="006A7AB9" w:rsidRPr="003923D7">
        <w:rPr>
          <w:rFonts w:ascii="Arial" w:hAnsi="Arial" w:cs="Arial"/>
          <w:lang w:val="es-AR"/>
        </w:rPr>
        <w:t xml:space="preserve">es un corolario de la relación entre las condiciones financieras </w:t>
      </w:r>
      <w:r w:rsidR="00783E6D" w:rsidRPr="003923D7">
        <w:rPr>
          <w:rFonts w:ascii="Arial" w:hAnsi="Arial" w:cs="Arial"/>
          <w:lang w:val="es-AR"/>
        </w:rPr>
        <w:t xml:space="preserve">y de competitividad </w:t>
      </w:r>
      <w:r w:rsidR="006A7AB9" w:rsidRPr="003923D7">
        <w:rPr>
          <w:rFonts w:ascii="Arial" w:hAnsi="Arial" w:cs="Arial"/>
          <w:lang w:val="es-AR"/>
        </w:rPr>
        <w:t>y la evolución de la economía real. En particular, uno de los argumentos principales descansa en la noción de que reformas que tiendan a eliminar obstáculos a una más eficiente asignación de los recursos disponibles</w:t>
      </w:r>
      <w:r w:rsidR="006A7AB9" w:rsidRPr="003923D7">
        <w:rPr>
          <w:rStyle w:val="FootnoteReference"/>
          <w:rFonts w:ascii="Arial" w:hAnsi="Arial" w:cs="Arial"/>
          <w:lang w:val="es-AR"/>
        </w:rPr>
        <w:footnoteReference w:id="12"/>
      </w:r>
      <w:r w:rsidR="006A7AB9" w:rsidRPr="003923D7">
        <w:rPr>
          <w:rFonts w:ascii="Arial" w:hAnsi="Arial" w:cs="Arial"/>
          <w:lang w:val="es-AR"/>
        </w:rPr>
        <w:t xml:space="preserve"> en la economía tendrá efectos positivos sobre la productividad y el nivel de producción.</w:t>
      </w:r>
      <w:r w:rsidR="000E03ED" w:rsidRPr="003923D7">
        <w:rPr>
          <w:rFonts w:ascii="Arial" w:hAnsi="Arial" w:cs="Arial"/>
          <w:lang w:val="es-AR"/>
        </w:rPr>
        <w:t xml:space="preserve"> En este sentido, Tressel (2008)</w:t>
      </w:r>
      <w:r w:rsidR="000E03ED" w:rsidRPr="003923D7">
        <w:rPr>
          <w:rStyle w:val="FootnoteReference"/>
          <w:rFonts w:ascii="Arial" w:hAnsi="Arial" w:cs="Arial"/>
          <w:lang w:val="es-AR"/>
        </w:rPr>
        <w:footnoteReference w:id="13"/>
      </w:r>
      <w:r w:rsidR="000E03ED" w:rsidRPr="003923D7">
        <w:rPr>
          <w:rFonts w:ascii="Arial" w:hAnsi="Arial" w:cs="Arial"/>
          <w:lang w:val="es-AR"/>
        </w:rPr>
        <w:t xml:space="preserve"> encuentra que reformas en el sector financiero</w:t>
      </w:r>
      <w:r w:rsidR="00783E6D" w:rsidRPr="003923D7">
        <w:rPr>
          <w:rFonts w:ascii="Arial" w:hAnsi="Arial" w:cs="Arial"/>
          <w:lang w:val="es-AR"/>
        </w:rPr>
        <w:t>, por ejemplo,</w:t>
      </w:r>
      <w:r w:rsidR="000E03ED" w:rsidRPr="003923D7">
        <w:rPr>
          <w:rFonts w:ascii="Arial" w:hAnsi="Arial" w:cs="Arial"/>
          <w:lang w:val="es-AR"/>
        </w:rPr>
        <w:t xml:space="preserve"> mejoran la eficiencia en los procesos de intermediación y contribuyen a la asignación de recursos de acuerdo a los requerimientos de mercado</w:t>
      </w:r>
      <w:r w:rsidR="0036649E" w:rsidRPr="003923D7">
        <w:rPr>
          <w:rStyle w:val="FootnoteReference"/>
          <w:rFonts w:ascii="Arial" w:hAnsi="Arial" w:cs="Arial"/>
          <w:lang w:val="es-AR"/>
        </w:rPr>
        <w:footnoteReference w:id="14"/>
      </w:r>
      <w:r w:rsidR="000E03ED" w:rsidRPr="003923D7">
        <w:rPr>
          <w:rFonts w:ascii="Arial" w:hAnsi="Arial" w:cs="Arial"/>
          <w:lang w:val="es-AR"/>
        </w:rPr>
        <w:t>.</w:t>
      </w:r>
      <w:r w:rsidR="00925A18" w:rsidRPr="003923D7">
        <w:rPr>
          <w:rFonts w:ascii="Arial" w:hAnsi="Arial" w:cs="Arial"/>
          <w:lang w:val="es-AR"/>
        </w:rPr>
        <w:t xml:space="preserve"> Parte de los beneficios pueden ser intermediados por menores costos de capital y mayor inversión</w:t>
      </w:r>
      <w:r w:rsidR="00925A18" w:rsidRPr="003923D7">
        <w:rPr>
          <w:rStyle w:val="FootnoteReference"/>
          <w:rFonts w:ascii="Arial" w:hAnsi="Arial" w:cs="Arial"/>
          <w:lang w:val="es-AR"/>
        </w:rPr>
        <w:footnoteReference w:id="15"/>
      </w:r>
      <w:r w:rsidR="00925A18" w:rsidRPr="003923D7">
        <w:rPr>
          <w:rFonts w:ascii="Arial" w:hAnsi="Arial" w:cs="Arial"/>
          <w:lang w:val="es-AR"/>
        </w:rPr>
        <w:t xml:space="preserve">, </w:t>
      </w:r>
      <w:r w:rsidR="0098137B" w:rsidRPr="003923D7">
        <w:rPr>
          <w:rFonts w:ascii="Arial" w:hAnsi="Arial" w:cs="Arial"/>
          <w:lang w:val="es-AR"/>
        </w:rPr>
        <w:t>o por la reducción de la brecha de costos relativos entre el capital propio y el financiamiento externo</w:t>
      </w:r>
      <w:r w:rsidR="0098137B" w:rsidRPr="003923D7">
        <w:rPr>
          <w:rStyle w:val="FootnoteReference"/>
          <w:rFonts w:ascii="Arial" w:hAnsi="Arial" w:cs="Arial"/>
          <w:lang w:val="es-AR"/>
        </w:rPr>
        <w:footnoteReference w:id="16"/>
      </w:r>
      <w:r w:rsidR="0098137B" w:rsidRPr="003923D7">
        <w:rPr>
          <w:rFonts w:ascii="Arial" w:hAnsi="Arial" w:cs="Arial"/>
          <w:lang w:val="es-AR"/>
        </w:rPr>
        <w:t>.</w:t>
      </w:r>
      <w:r w:rsidR="003E5437" w:rsidRPr="003923D7">
        <w:rPr>
          <w:rFonts w:ascii="Arial" w:hAnsi="Arial" w:cs="Arial"/>
          <w:lang w:val="es-AR"/>
        </w:rPr>
        <w:t xml:space="preserve"> Sin embargo, es importante recordar que no toda la literatura encuentra efectos positivos sobre el sector real de la economía que sean estadísticamente significativos.</w:t>
      </w:r>
      <w:r w:rsidR="003E5437" w:rsidRPr="003923D7">
        <w:rPr>
          <w:rStyle w:val="FootnoteReference"/>
          <w:rFonts w:ascii="Arial" w:hAnsi="Arial" w:cs="Arial"/>
          <w:lang w:val="es-AR"/>
        </w:rPr>
        <w:footnoteReference w:id="17"/>
      </w:r>
      <w:r w:rsidR="003E5437" w:rsidRPr="003923D7">
        <w:rPr>
          <w:rFonts w:ascii="Arial" w:hAnsi="Arial" w:cs="Arial"/>
          <w:lang w:val="es-AR"/>
        </w:rPr>
        <w:t xml:space="preserve"> Sin embargo, la mayoría de los estudios tiende a encontrar que dichas </w:t>
      </w:r>
      <w:r w:rsidR="003E5437" w:rsidRPr="003923D7">
        <w:rPr>
          <w:rFonts w:ascii="Arial" w:hAnsi="Arial" w:cs="Arial"/>
          <w:lang w:val="es-AR"/>
        </w:rPr>
        <w:lastRenderedPageBreak/>
        <w:t>reformas son positivas para la evolución de la productividad y el nivel agregado de producción. En este sentido, de particular importancia resulta el trabajo de Lora y Barrera (1997)</w:t>
      </w:r>
      <w:r w:rsidR="003C7B30" w:rsidRPr="003923D7">
        <w:rPr>
          <w:rStyle w:val="FootnoteReference"/>
          <w:rFonts w:ascii="Arial" w:hAnsi="Arial" w:cs="Arial"/>
          <w:lang w:val="es-AR"/>
        </w:rPr>
        <w:footnoteReference w:id="18"/>
      </w:r>
      <w:r w:rsidR="003E5437" w:rsidRPr="003923D7">
        <w:rPr>
          <w:rFonts w:ascii="Arial" w:hAnsi="Arial" w:cs="Arial"/>
          <w:lang w:val="es-AR"/>
        </w:rPr>
        <w:t xml:space="preserve">, quienes encuentran </w:t>
      </w:r>
      <w:r w:rsidR="0081659D" w:rsidRPr="003923D7">
        <w:rPr>
          <w:rFonts w:ascii="Arial" w:hAnsi="Arial" w:cs="Arial"/>
          <w:lang w:val="es-AR"/>
        </w:rPr>
        <w:t xml:space="preserve">que las reformas financieras </w:t>
      </w:r>
      <w:r w:rsidR="00783E6D" w:rsidRPr="003923D7">
        <w:rPr>
          <w:rFonts w:ascii="Arial" w:hAnsi="Arial" w:cs="Arial"/>
          <w:lang w:val="es-AR"/>
        </w:rPr>
        <w:t xml:space="preserve">y de competitividad </w:t>
      </w:r>
      <w:r w:rsidR="0081659D" w:rsidRPr="003923D7">
        <w:rPr>
          <w:rFonts w:ascii="Arial" w:hAnsi="Arial" w:cs="Arial"/>
          <w:lang w:val="es-AR"/>
        </w:rPr>
        <w:t xml:space="preserve">en América Latina han contribuido positivamente al crecimiento de la productividad y de los niveles agregados de producto. </w:t>
      </w:r>
    </w:p>
    <w:p w14:paraId="362844F1" w14:textId="77777777" w:rsidR="00D457B9" w:rsidRPr="003923D7" w:rsidRDefault="00D457B9" w:rsidP="00EE1202">
      <w:pPr>
        <w:pStyle w:val="Paragraph"/>
        <w:numPr>
          <w:ilvl w:val="0"/>
          <w:numId w:val="0"/>
        </w:numPr>
        <w:spacing w:after="80"/>
        <w:ind w:left="720"/>
        <w:rPr>
          <w:rFonts w:ascii="Arial" w:hAnsi="Arial" w:cs="Arial"/>
          <w:b/>
          <w:lang w:val="es-ES_tradnl"/>
        </w:rPr>
      </w:pPr>
      <w:r w:rsidRPr="003923D7">
        <w:rPr>
          <w:rFonts w:ascii="Arial" w:hAnsi="Arial" w:cs="Arial"/>
          <w:b/>
          <w:lang w:val="es-ES_tradnl"/>
        </w:rPr>
        <w:t>Fundamentos teóricos y cuantitativos para la estimación de beneficios netos</w:t>
      </w:r>
    </w:p>
    <w:p w14:paraId="41E9AA1E" w14:textId="77777777" w:rsidR="00F249CD" w:rsidRPr="003923D7" w:rsidRDefault="00124587" w:rsidP="00EE1202">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 xml:space="preserve">Modelo empírico utilizado. </w:t>
      </w:r>
      <w:r w:rsidR="00D457B9" w:rsidRPr="003923D7">
        <w:rPr>
          <w:rFonts w:ascii="Arial" w:hAnsi="Arial" w:cs="Arial"/>
          <w:lang w:val="es-ES_tradnl"/>
        </w:rPr>
        <w:t>Continuando la presentación de la literatura que provee el sustento teórico-empírico para el presente anexo, en esta sección se procede a la presentación de las consideraciones particulares del marco cuantitativo seleccionado para proyectar los flujos de beneficios y costos atribuibles a las reformas llevadas adelante con el apoyo del programa bajo consideración.</w:t>
      </w:r>
      <w:r w:rsidR="00D415BC" w:rsidRPr="003923D7">
        <w:rPr>
          <w:rFonts w:ascii="Arial" w:hAnsi="Arial" w:cs="Arial"/>
          <w:lang w:val="es-ES_tradnl"/>
        </w:rPr>
        <w:t xml:space="preserve"> </w:t>
      </w:r>
      <w:r w:rsidR="00F249CD" w:rsidRPr="003923D7">
        <w:rPr>
          <w:rFonts w:ascii="Arial" w:hAnsi="Arial" w:cs="Arial"/>
          <w:lang w:val="es-ES_tradnl"/>
        </w:rPr>
        <w:t>En este sentido se ha optado por la utilización como marco empírico de referencia los estudios realizados por Swiston y Barrot (2011)</w:t>
      </w:r>
      <w:r w:rsidR="00F249CD" w:rsidRPr="003923D7">
        <w:rPr>
          <w:rStyle w:val="FootnoteReference"/>
          <w:rFonts w:ascii="Arial" w:hAnsi="Arial" w:cs="Arial"/>
          <w:lang w:val="es-ES_tradnl"/>
        </w:rPr>
        <w:footnoteReference w:id="19"/>
      </w:r>
      <w:r w:rsidR="00F249CD" w:rsidRPr="003923D7">
        <w:rPr>
          <w:rFonts w:ascii="Arial" w:hAnsi="Arial" w:cs="Arial"/>
          <w:lang w:val="es-ES_tradnl"/>
        </w:rPr>
        <w:t xml:space="preserve"> y Dabla-Norris et al. (</w:t>
      </w:r>
      <w:r w:rsidR="009103E5" w:rsidRPr="003923D7">
        <w:rPr>
          <w:rFonts w:ascii="Arial" w:hAnsi="Arial" w:cs="Arial"/>
          <w:lang w:val="es-ES_tradnl"/>
        </w:rPr>
        <w:t>2013)</w:t>
      </w:r>
      <w:r w:rsidR="009103E5" w:rsidRPr="003923D7">
        <w:rPr>
          <w:rStyle w:val="FootnoteReference"/>
          <w:rFonts w:ascii="Arial" w:hAnsi="Arial" w:cs="Arial"/>
          <w:lang w:val="es-ES_tradnl"/>
        </w:rPr>
        <w:footnoteReference w:id="20"/>
      </w:r>
      <w:r w:rsidR="009103E5" w:rsidRPr="003923D7">
        <w:rPr>
          <w:rFonts w:ascii="Arial" w:hAnsi="Arial" w:cs="Arial"/>
          <w:lang w:val="es-ES_tradnl"/>
        </w:rPr>
        <w:t xml:space="preserve"> </w:t>
      </w:r>
      <w:r w:rsidR="00F249CD" w:rsidRPr="003923D7">
        <w:rPr>
          <w:rFonts w:ascii="Arial" w:hAnsi="Arial" w:cs="Arial"/>
          <w:lang w:val="es-ES_tradnl"/>
        </w:rPr>
        <w:t>para el componente financiero del programa y el</w:t>
      </w:r>
      <w:r w:rsidR="009103E5" w:rsidRPr="003923D7">
        <w:rPr>
          <w:rFonts w:ascii="Arial" w:hAnsi="Arial" w:cs="Arial"/>
          <w:lang w:val="es-ES_tradnl"/>
        </w:rPr>
        <w:t xml:space="preserve"> componente de clima de negocios y regulación respectivamente.</w:t>
      </w:r>
    </w:p>
    <w:p w14:paraId="68FE611B" w14:textId="77777777" w:rsidR="003F4773" w:rsidRPr="003923D7" w:rsidRDefault="003F4773" w:rsidP="00150613">
      <w:pPr>
        <w:pStyle w:val="Paragraph"/>
        <w:numPr>
          <w:ilvl w:val="0"/>
          <w:numId w:val="45"/>
        </w:numPr>
        <w:spacing w:after="80"/>
        <w:rPr>
          <w:rFonts w:ascii="Arial" w:hAnsi="Arial" w:cs="Arial"/>
          <w:b/>
          <w:lang w:val="es-ES_tradnl"/>
        </w:rPr>
      </w:pPr>
      <w:r w:rsidRPr="003923D7">
        <w:rPr>
          <w:rFonts w:ascii="Arial" w:hAnsi="Arial" w:cs="Arial"/>
          <w:b/>
          <w:lang w:val="es-ES_tradnl"/>
        </w:rPr>
        <w:t>Marco de referencia empírico para el componente de reforma financiera</w:t>
      </w:r>
    </w:p>
    <w:p w14:paraId="01E02A12" w14:textId="77777777" w:rsidR="00925A18" w:rsidRPr="003923D7" w:rsidRDefault="009103E5" w:rsidP="00EE1202">
      <w:pPr>
        <w:pStyle w:val="Paragraph"/>
        <w:tabs>
          <w:tab w:val="num" w:pos="720"/>
        </w:tabs>
        <w:spacing w:after="80"/>
        <w:ind w:left="720" w:hanging="720"/>
        <w:rPr>
          <w:rFonts w:ascii="Arial" w:hAnsi="Arial" w:cs="Arial"/>
          <w:lang w:val="es-ES_tradnl"/>
        </w:rPr>
      </w:pPr>
      <w:r w:rsidRPr="003923D7">
        <w:rPr>
          <w:rFonts w:ascii="Arial" w:hAnsi="Arial" w:cs="Arial"/>
          <w:lang w:val="es-ES_tradnl"/>
        </w:rPr>
        <w:t>E</w:t>
      </w:r>
      <w:r w:rsidR="00D415BC" w:rsidRPr="003923D7">
        <w:rPr>
          <w:rFonts w:ascii="Arial" w:hAnsi="Arial" w:cs="Arial"/>
          <w:lang w:val="es-ES_tradnl"/>
        </w:rPr>
        <w:t>l estudio llevado adelante por Swiston y Barrot (2011)</w:t>
      </w:r>
      <w:r w:rsidR="00191D32" w:rsidRPr="003923D7">
        <w:rPr>
          <w:rFonts w:ascii="Arial" w:hAnsi="Arial" w:cs="Arial"/>
          <w:lang w:val="es-ES_tradnl"/>
        </w:rPr>
        <w:t xml:space="preserve"> </w:t>
      </w:r>
      <w:r w:rsidR="00D415BC" w:rsidRPr="003923D7">
        <w:rPr>
          <w:rFonts w:ascii="Arial" w:hAnsi="Arial" w:cs="Arial"/>
          <w:lang w:val="es-ES_tradnl"/>
        </w:rPr>
        <w:t xml:space="preserve">presenta dos características de importancia que lo hacen particularmente adecuado para analizar el problema bajo consideración: i) explora empíricamente el impacto de reformas estructurales, incluyendo reformas financieras en el crecimiento, y; ii) las estimaciones han sido realizadas con referencia a países de América Central, aspecto este que reduce substancialmente los problemas de utilizar estimaciones basadas en estudios de regiones con características institucionales, prima facie, no directamente trasladables en una forma obvia a la situación de </w:t>
      </w:r>
      <w:r w:rsidR="00F33594" w:rsidRPr="003923D7">
        <w:rPr>
          <w:rFonts w:ascii="Arial" w:hAnsi="Arial" w:cs="Arial"/>
          <w:lang w:val="es-ES_tradnl"/>
        </w:rPr>
        <w:t>la República Dominicana</w:t>
      </w:r>
      <w:r w:rsidR="00D415BC" w:rsidRPr="003923D7">
        <w:rPr>
          <w:rFonts w:ascii="Arial" w:hAnsi="Arial" w:cs="Arial"/>
          <w:lang w:val="es-ES_tradnl"/>
        </w:rPr>
        <w:t>.</w:t>
      </w:r>
    </w:p>
    <w:p w14:paraId="0FBA9F2D" w14:textId="77777777" w:rsidR="00B12ED5" w:rsidRPr="003923D7" w:rsidRDefault="00B12ED5" w:rsidP="00EE1202">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Supuestos y características generales del modelo.</w:t>
      </w:r>
      <w:r w:rsidR="00191D32" w:rsidRPr="003923D7">
        <w:rPr>
          <w:rFonts w:ascii="Arial" w:hAnsi="Arial" w:cs="Arial"/>
          <w:b/>
          <w:lang w:val="es-ES_tradnl"/>
        </w:rPr>
        <w:t xml:space="preserve"> </w:t>
      </w:r>
      <w:r w:rsidR="00191D32" w:rsidRPr="003923D7">
        <w:rPr>
          <w:rFonts w:ascii="Arial" w:hAnsi="Arial" w:cs="Arial"/>
          <w:lang w:val="es-ES_tradnl"/>
        </w:rPr>
        <w:t xml:space="preserve">Continuando con el marco propuesto por Swiston y Barrot, el mismo se sustenta a nivel teórico </w:t>
      </w:r>
      <w:r w:rsidR="0065347A" w:rsidRPr="003923D7">
        <w:rPr>
          <w:rFonts w:ascii="Arial" w:hAnsi="Arial" w:cs="Arial"/>
          <w:lang w:val="es-ES_tradnl"/>
        </w:rPr>
        <w:t xml:space="preserve">en un modelo neoclásico, donde el nivel de producción agregada puede ser representado por una función de producción tipo Cobb-Douglas homogénea de grado 1, en la cual los factores de producción son agregados en capital e insumos laborales. En particular, los insumos laborales son el resultado de ajustar las unidades de fuerza laboral por una medida de capital humano. A su vez, estándar en este tipo de </w:t>
      </w:r>
      <w:r w:rsidR="0065347A" w:rsidRPr="003923D7">
        <w:rPr>
          <w:rFonts w:ascii="Arial" w:hAnsi="Arial" w:cs="Arial"/>
          <w:lang w:val="es-ES_tradnl"/>
        </w:rPr>
        <w:lastRenderedPageBreak/>
        <w:t>representaciones, la función de producción incorpora un factor de expansión representando la productividad total de los factores. Esta especificación provee el marco para la estimación de las relaciones de producción que es expandida luego para dar cuenta de otros factores que afectan potencialmente a la misma</w:t>
      </w:r>
      <w:r w:rsidR="00125C51" w:rsidRPr="003923D7">
        <w:rPr>
          <w:rFonts w:ascii="Arial" w:hAnsi="Arial" w:cs="Arial"/>
          <w:lang w:val="es-ES_tradnl"/>
        </w:rPr>
        <w:t xml:space="preserve">, </w:t>
      </w:r>
      <w:r w:rsidR="0065347A" w:rsidRPr="003923D7">
        <w:rPr>
          <w:rFonts w:ascii="Arial" w:hAnsi="Arial" w:cs="Arial"/>
          <w:lang w:val="es-ES_tradnl"/>
        </w:rPr>
        <w:t xml:space="preserve">tales como </w:t>
      </w:r>
      <w:r w:rsidR="00125C51" w:rsidRPr="003923D7">
        <w:rPr>
          <w:rFonts w:ascii="Arial" w:hAnsi="Arial" w:cs="Arial"/>
          <w:lang w:val="es-ES_tradnl"/>
        </w:rPr>
        <w:t xml:space="preserve">estabilidad política, estabilidad macroeconómica, pero particularmente de interés para el presente anexo, el modelo es expandido para incorporar una serie de medidas de eficiencia estructural. </w:t>
      </w:r>
    </w:p>
    <w:p w14:paraId="05794264" w14:textId="77777777" w:rsidR="00614A5F" w:rsidRPr="003923D7" w:rsidRDefault="00B12ED5">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 xml:space="preserve">Medidas de reforma financiera y otros datos clave del modelo. </w:t>
      </w:r>
      <w:r w:rsidR="00125C51" w:rsidRPr="003923D7">
        <w:rPr>
          <w:rFonts w:ascii="Arial" w:hAnsi="Arial" w:cs="Arial"/>
          <w:lang w:val="es-ES_tradnl"/>
        </w:rPr>
        <w:t>Dentro de estas medidas, la que resulta de</w:t>
      </w:r>
      <w:r w:rsidR="00C85578" w:rsidRPr="003923D7">
        <w:rPr>
          <w:rFonts w:ascii="Arial" w:hAnsi="Arial" w:cs="Arial"/>
          <w:lang w:val="es-ES_tradnl"/>
        </w:rPr>
        <w:t xml:space="preserve"> </w:t>
      </w:r>
      <w:r w:rsidR="00125C51" w:rsidRPr="003923D7">
        <w:rPr>
          <w:rFonts w:ascii="Arial" w:hAnsi="Arial" w:cs="Arial"/>
          <w:lang w:val="es-ES_tradnl"/>
        </w:rPr>
        <w:t>interés para este anexo</w:t>
      </w:r>
      <w:r w:rsidR="00C85578" w:rsidRPr="003923D7">
        <w:rPr>
          <w:rFonts w:ascii="Arial" w:hAnsi="Arial" w:cs="Arial"/>
          <w:lang w:val="es-ES_tradnl"/>
        </w:rPr>
        <w:t xml:space="preserve"> es la que refiere al sistema financiero.</w:t>
      </w:r>
      <w:r w:rsidR="009422E7" w:rsidRPr="003923D7">
        <w:rPr>
          <w:rFonts w:ascii="Arial" w:hAnsi="Arial" w:cs="Arial"/>
          <w:lang w:val="es-ES_tradnl"/>
        </w:rPr>
        <w:t xml:space="preserve"> El nivel de eficiencia del sistema financiero en dicho estudio está resumido en un índice que contiene medidas de: i) controles en la asignación crediticia; ii) restricciones a la libre determinación de tasas de interés; iii) restricciones a la libre competencia y en particular restricciones a la libre entrada al mercado; iv) una medida de calidad de los marcos de supervisión bancaria y regulación prudencial, y; v) medidas sobre políticas que facilitan el desarrollo o eficiencia en la operación de mercados domésticos de valores. </w:t>
      </w:r>
      <w:r w:rsidR="00765103" w:rsidRPr="003923D7">
        <w:rPr>
          <w:rFonts w:ascii="Arial" w:hAnsi="Arial" w:cs="Arial"/>
          <w:lang w:val="es-ES_tradnl"/>
        </w:rPr>
        <w:t>El marco teórico de referencia recién descrito es utilizado por los autores para guiar la implementación empírica. El primer paso de esta etapa consistió en la definición de los datos a utilizar, cuyas fuentes principales son: i) Penn World Table versión 7.0, y; ii) base de datos de reformas estructurales compilada por el Fondo Monetario Internacional. En cuanto al método de estimación econométrica, los autores llevan una estrategia sustentada en el método generalizado de momentos (o GMM por sus siglas en inglés), que en el presente caso se presenta como un aspecto importante dada la relación bidireccional entre la variables financieras y reales.</w:t>
      </w:r>
      <w:r w:rsidR="00667412" w:rsidRPr="003923D7">
        <w:rPr>
          <w:rFonts w:ascii="Arial" w:hAnsi="Arial" w:cs="Arial"/>
          <w:lang w:val="es-ES_tradnl"/>
        </w:rPr>
        <w:t xml:space="preserve"> Adicionalmente, los índices de eficiencia en dicho estudio son normalizados a una escala de 0 a 100, y la construcción de los mismos es tal que mayores niveles de eficiencia son asociados a mayores valores de estos índices, lo que resulta en una cuantificación utilizable para derivar elasticidades de impacto en el marco de un modelo de regresión. </w:t>
      </w:r>
      <w:r w:rsidR="00AB19B5" w:rsidRPr="003923D7">
        <w:rPr>
          <w:rFonts w:ascii="Arial" w:hAnsi="Arial" w:cs="Arial"/>
          <w:lang w:val="es-ES_tradnl"/>
        </w:rPr>
        <w:t xml:space="preserve">Los coeficientes estimados dentro de este marco son utilizados para construir luego el escenario para computar los beneficios netos atribuibles al programa. </w:t>
      </w:r>
    </w:p>
    <w:p w14:paraId="17F4B3EC" w14:textId="77777777" w:rsidR="00C85578" w:rsidRPr="003923D7" w:rsidRDefault="00C85578" w:rsidP="00150613">
      <w:pPr>
        <w:pStyle w:val="Paragraph"/>
        <w:numPr>
          <w:ilvl w:val="0"/>
          <w:numId w:val="45"/>
        </w:numPr>
        <w:spacing w:after="80"/>
        <w:rPr>
          <w:rFonts w:ascii="Arial" w:hAnsi="Arial" w:cs="Arial"/>
          <w:b/>
          <w:lang w:val="es-ES_tradnl"/>
        </w:rPr>
      </w:pPr>
      <w:r w:rsidRPr="003923D7">
        <w:rPr>
          <w:rFonts w:ascii="Arial" w:hAnsi="Arial" w:cs="Arial"/>
          <w:b/>
          <w:lang w:val="es-ES_tradnl"/>
        </w:rPr>
        <w:t>Marco de referencia para el componente de mejora en el clima de negocios</w:t>
      </w:r>
      <w:r w:rsidR="00150613" w:rsidRPr="003923D7">
        <w:rPr>
          <w:rFonts w:ascii="Arial" w:hAnsi="Arial" w:cs="Arial"/>
          <w:b/>
          <w:lang w:val="es-ES_tradnl"/>
        </w:rPr>
        <w:t>, innovación</w:t>
      </w:r>
      <w:r w:rsidRPr="003923D7">
        <w:rPr>
          <w:rFonts w:ascii="Arial" w:hAnsi="Arial" w:cs="Arial"/>
          <w:b/>
          <w:lang w:val="es-ES_tradnl"/>
        </w:rPr>
        <w:t xml:space="preserve"> y desarrollo productivo</w:t>
      </w:r>
    </w:p>
    <w:p w14:paraId="21A7240D" w14:textId="77777777" w:rsidR="00F95AD1" w:rsidRPr="003923D7" w:rsidRDefault="00A96147">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Distancia a la frontera</w:t>
      </w:r>
      <w:r w:rsidRPr="003923D7">
        <w:rPr>
          <w:rFonts w:ascii="Arial" w:hAnsi="Arial" w:cs="Arial"/>
          <w:lang w:val="es-ES_tradnl"/>
        </w:rPr>
        <w:t xml:space="preserve">. </w:t>
      </w:r>
      <w:r w:rsidR="00E872AE" w:rsidRPr="003923D7">
        <w:rPr>
          <w:rFonts w:ascii="Arial" w:hAnsi="Arial" w:cs="Arial"/>
          <w:lang w:val="es-ES_tradnl"/>
        </w:rPr>
        <w:t>Como se discutió previamente, existe un consenso relativamente amplio de que las reformas pro mercado –que tienden a eliminar los obstáculos la a</w:t>
      </w:r>
      <w:r w:rsidR="000025B9" w:rsidRPr="003923D7">
        <w:rPr>
          <w:rFonts w:ascii="Arial" w:hAnsi="Arial" w:cs="Arial"/>
          <w:lang w:val="es-ES_tradnl"/>
        </w:rPr>
        <w:t>signación eficiente de recursos–</w:t>
      </w:r>
      <w:r w:rsidR="00E872AE" w:rsidRPr="003923D7">
        <w:rPr>
          <w:rFonts w:ascii="Arial" w:hAnsi="Arial" w:cs="Arial"/>
          <w:lang w:val="es-ES_tradnl"/>
        </w:rPr>
        <w:t xml:space="preserve"> tiende a impulsar un incremento de los niveles de ingreso per cápita. Sin embargo, tal como se indica en Dabla-Norris et al. (2013), un factor de importancia para evaluar el impacto de un proceso de reformas es la distancia en los niveles de ingreso con relación al ingreso de las economías avanzadas.</w:t>
      </w:r>
      <w:r w:rsidR="003A6901" w:rsidRPr="003923D7">
        <w:rPr>
          <w:rFonts w:ascii="Arial" w:hAnsi="Arial" w:cs="Arial"/>
          <w:lang w:val="es-ES_tradnl"/>
        </w:rPr>
        <w:t xml:space="preserve"> Siguiendo la discusión en Dabla-Norris et al., dicha brecha de ingreso</w:t>
      </w:r>
      <w:r w:rsidR="000025B9" w:rsidRPr="003923D7">
        <w:rPr>
          <w:rFonts w:ascii="Arial" w:hAnsi="Arial" w:cs="Arial"/>
          <w:lang w:val="es-ES_tradnl"/>
        </w:rPr>
        <w:t xml:space="preserve">s </w:t>
      </w:r>
      <w:r w:rsidR="000025B9" w:rsidRPr="003923D7">
        <w:rPr>
          <w:rFonts w:ascii="Arial" w:hAnsi="Arial" w:cs="Arial"/>
          <w:lang w:val="es-ES_tradnl"/>
        </w:rPr>
        <w:lastRenderedPageBreak/>
        <w:t>puede ser considerada como un</w:t>
      </w:r>
      <w:r w:rsidR="003A6901" w:rsidRPr="003923D7">
        <w:rPr>
          <w:rFonts w:ascii="Arial" w:hAnsi="Arial" w:cs="Arial"/>
          <w:lang w:val="es-ES_tradnl"/>
        </w:rPr>
        <w:t xml:space="preserve"> proxy de la distancia relativa a la frontera tecnológica. Esta distancia es importante porque dependiendo de la misma el impacto de las reformas puede tener efectos diferenciales. Así, por ejemplo, mientras más lejos se encuentren los métodos de producción de un país de la frontera tecnológica es esperable que mayor sea el impacto de reformas que faciliten el acceso y adopción de tecnologías modernas y eficientes de producción. En esta lógica, países que se encuentren cerca de la frontera, se beneficiarían relativamente menos de este tipo de </w:t>
      </w:r>
      <w:r w:rsidR="00A133D6" w:rsidRPr="003923D7">
        <w:rPr>
          <w:rFonts w:ascii="Arial" w:hAnsi="Arial" w:cs="Arial"/>
          <w:lang w:val="es-ES_tradnl"/>
        </w:rPr>
        <w:t xml:space="preserve">reformas, </w:t>
      </w:r>
      <w:r w:rsidR="000025B9" w:rsidRPr="003923D7">
        <w:rPr>
          <w:rFonts w:ascii="Arial" w:hAnsi="Arial" w:cs="Arial"/>
          <w:lang w:val="es-ES_tradnl"/>
        </w:rPr>
        <w:t>puesto que,</w:t>
      </w:r>
      <w:r w:rsidR="00A133D6" w:rsidRPr="003923D7">
        <w:rPr>
          <w:rFonts w:ascii="Arial" w:hAnsi="Arial" w:cs="Arial"/>
          <w:lang w:val="es-ES_tradnl"/>
        </w:rPr>
        <w:t xml:space="preserve"> a menores distancias</w:t>
      </w:r>
      <w:r w:rsidR="000025B9" w:rsidRPr="003923D7">
        <w:rPr>
          <w:rFonts w:ascii="Arial" w:hAnsi="Arial" w:cs="Arial"/>
          <w:lang w:val="es-ES_tradnl"/>
        </w:rPr>
        <w:t>,</w:t>
      </w:r>
      <w:r w:rsidR="00A133D6" w:rsidRPr="003923D7">
        <w:rPr>
          <w:rFonts w:ascii="Arial" w:hAnsi="Arial" w:cs="Arial"/>
          <w:lang w:val="es-ES_tradnl"/>
        </w:rPr>
        <w:t xml:space="preserve"> las ganancias de productividad deberían lograrse más por el desarrollo de procesos y tecnologías nuevas que por la adopción de las existentes. </w:t>
      </w:r>
    </w:p>
    <w:p w14:paraId="241ECCDC" w14:textId="77777777" w:rsidR="00E66610" w:rsidRPr="003923D7" w:rsidRDefault="00E66610">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Regulaciones de mercado</w:t>
      </w:r>
      <w:r w:rsidRPr="003923D7">
        <w:rPr>
          <w:rFonts w:ascii="Arial" w:hAnsi="Arial" w:cs="Arial"/>
          <w:lang w:val="es-ES_tradnl"/>
        </w:rPr>
        <w:t>. Tal como es indicado por los autores, la excesiva regulación puede desalentar la adopción de tecnologías, inversiones para aprovechar economías de escala, y reasignaciones de producción. Las estimaciones de los efectos de estas regulaciones indica que pueden lograrse ganancias de productividad substanciales</w:t>
      </w:r>
      <w:r w:rsidR="00E2713A" w:rsidRPr="003923D7">
        <w:rPr>
          <w:rFonts w:ascii="Arial" w:hAnsi="Arial" w:cs="Arial"/>
          <w:lang w:val="es-ES_tradnl"/>
        </w:rPr>
        <w:t>.</w:t>
      </w:r>
    </w:p>
    <w:p w14:paraId="4CA5C7FF" w14:textId="77777777" w:rsidR="00F95AD1" w:rsidRPr="003923D7" w:rsidRDefault="00A96147" w:rsidP="00F90A1C">
      <w:pPr>
        <w:pStyle w:val="Paragraph"/>
        <w:tabs>
          <w:tab w:val="num" w:pos="720"/>
        </w:tabs>
        <w:spacing w:after="80"/>
        <w:ind w:left="720" w:hanging="720"/>
        <w:rPr>
          <w:rFonts w:ascii="Arial" w:hAnsi="Arial" w:cs="Arial"/>
          <w:lang w:val="es-ES_tradnl"/>
        </w:rPr>
      </w:pPr>
      <w:r w:rsidRPr="003923D7">
        <w:rPr>
          <w:rFonts w:ascii="Arial" w:hAnsi="Arial" w:cs="Arial"/>
          <w:b/>
          <w:lang w:val="es-ES_tradnl"/>
        </w:rPr>
        <w:t>Estrategia empírica</w:t>
      </w:r>
      <w:r w:rsidRPr="003923D7">
        <w:rPr>
          <w:rFonts w:ascii="Arial" w:hAnsi="Arial" w:cs="Arial"/>
          <w:lang w:val="es-ES_tradnl"/>
        </w:rPr>
        <w:t>. La discusión de</w:t>
      </w:r>
      <w:r w:rsidR="00E2713A" w:rsidRPr="003923D7">
        <w:rPr>
          <w:rFonts w:ascii="Arial" w:hAnsi="Arial" w:cs="Arial"/>
          <w:lang w:val="es-ES_tradnl"/>
        </w:rPr>
        <w:t xml:space="preserve"> </w:t>
      </w:r>
      <w:r w:rsidRPr="003923D7">
        <w:rPr>
          <w:rFonts w:ascii="Arial" w:hAnsi="Arial" w:cs="Arial"/>
          <w:lang w:val="es-ES_tradnl"/>
        </w:rPr>
        <w:t>l</w:t>
      </w:r>
      <w:r w:rsidR="00E2713A" w:rsidRPr="003923D7">
        <w:rPr>
          <w:rFonts w:ascii="Arial" w:hAnsi="Arial" w:cs="Arial"/>
          <w:lang w:val="es-ES_tradnl"/>
        </w:rPr>
        <w:t>os</w:t>
      </w:r>
      <w:r w:rsidRPr="003923D7">
        <w:rPr>
          <w:rFonts w:ascii="Arial" w:hAnsi="Arial" w:cs="Arial"/>
          <w:lang w:val="es-ES_tradnl"/>
        </w:rPr>
        <w:t xml:space="preserve"> párrafo</w:t>
      </w:r>
      <w:r w:rsidR="00E2713A" w:rsidRPr="003923D7">
        <w:rPr>
          <w:rFonts w:ascii="Arial" w:hAnsi="Arial" w:cs="Arial"/>
          <w:lang w:val="es-ES_tradnl"/>
        </w:rPr>
        <w:t>s</w:t>
      </w:r>
      <w:r w:rsidRPr="003923D7">
        <w:rPr>
          <w:rFonts w:ascii="Arial" w:hAnsi="Arial" w:cs="Arial"/>
          <w:lang w:val="es-ES_tradnl"/>
        </w:rPr>
        <w:t xml:space="preserve"> anterior</w:t>
      </w:r>
      <w:r w:rsidR="00E2713A" w:rsidRPr="003923D7">
        <w:rPr>
          <w:rFonts w:ascii="Arial" w:hAnsi="Arial" w:cs="Arial"/>
          <w:lang w:val="es-ES_tradnl"/>
        </w:rPr>
        <w:t>es</w:t>
      </w:r>
      <w:r w:rsidRPr="003923D7">
        <w:rPr>
          <w:rFonts w:ascii="Arial" w:hAnsi="Arial" w:cs="Arial"/>
          <w:lang w:val="es-ES_tradnl"/>
        </w:rPr>
        <w:t xml:space="preserve"> sugiere que la estimación de los efectos de las reformas de interés para el presente análisis puede beneficiarse de una estimación condicional en la distancia a la frontera (aproximada por el ingreso per cápita) de las unidades de observación. Esta es la estrategia seguida por Dabla-Norris y otros (2013): además de estimar los coeficientes de impacto para toda la muestra, el modelo también se estima por grupos de acuerdo a la distancia de las observaciones respecto del ingreso per cápita de referencia. En particular, el trabajo agrupa a los países en cuartiles según la distancia mencionada, luego de lo cual se realiza la estimación de la ecuación del crecimiento de la productividad. </w:t>
      </w:r>
    </w:p>
    <w:p w14:paraId="0EF664B2" w14:textId="77777777" w:rsidR="007869ED" w:rsidRPr="003923D7" w:rsidRDefault="007869ED" w:rsidP="007869ED">
      <w:pPr>
        <w:pStyle w:val="Paragraph"/>
        <w:numPr>
          <w:ilvl w:val="0"/>
          <w:numId w:val="0"/>
        </w:numPr>
        <w:tabs>
          <w:tab w:val="num" w:pos="1800"/>
        </w:tabs>
        <w:spacing w:after="80"/>
        <w:ind w:left="720"/>
        <w:rPr>
          <w:rFonts w:ascii="Arial" w:hAnsi="Arial" w:cs="Arial"/>
          <w:lang w:val="es-ES_tradnl"/>
        </w:rPr>
      </w:pPr>
    </w:p>
    <w:p w14:paraId="1D81B916" w14:textId="77777777" w:rsidR="00015CB1" w:rsidRPr="003923D7" w:rsidRDefault="00015CB1" w:rsidP="00C11587">
      <w:pPr>
        <w:pStyle w:val="Paragraph"/>
        <w:numPr>
          <w:ilvl w:val="0"/>
          <w:numId w:val="0"/>
        </w:numPr>
        <w:spacing w:after="80"/>
        <w:ind w:left="720"/>
        <w:rPr>
          <w:rFonts w:ascii="Arial" w:hAnsi="Arial" w:cs="Arial"/>
          <w:lang w:val="es-ES_tradnl"/>
        </w:rPr>
      </w:pPr>
      <w:r w:rsidRPr="003923D7">
        <w:rPr>
          <w:rFonts w:ascii="Arial" w:hAnsi="Arial" w:cs="Arial"/>
          <w:b/>
          <w:lang w:val="es-ES_tradnl"/>
        </w:rPr>
        <w:t>Lineamiento</w:t>
      </w:r>
      <w:r w:rsidR="007869ED" w:rsidRPr="003923D7">
        <w:rPr>
          <w:rFonts w:ascii="Arial" w:hAnsi="Arial" w:cs="Arial"/>
          <w:b/>
          <w:lang w:val="es-ES_tradnl"/>
        </w:rPr>
        <w:t>s</w:t>
      </w:r>
      <w:r w:rsidRPr="003923D7">
        <w:rPr>
          <w:rFonts w:ascii="Arial" w:hAnsi="Arial" w:cs="Arial"/>
          <w:b/>
          <w:lang w:val="es-ES_tradnl"/>
        </w:rPr>
        <w:t xml:space="preserve"> para la contabilización de los beneficios y costos atribuibles al programa</w:t>
      </w:r>
    </w:p>
    <w:p w14:paraId="14A65238" w14:textId="77777777" w:rsidR="002D4221" w:rsidRPr="003923D7" w:rsidRDefault="00A26880" w:rsidP="00EE1202">
      <w:pPr>
        <w:pStyle w:val="Paragraph"/>
        <w:tabs>
          <w:tab w:val="num" w:pos="720"/>
        </w:tabs>
        <w:spacing w:after="80"/>
        <w:ind w:left="720" w:hanging="720"/>
        <w:rPr>
          <w:rFonts w:ascii="Arial" w:hAnsi="Arial" w:cs="Arial"/>
          <w:b/>
          <w:lang w:val="es-ES_tradnl"/>
        </w:rPr>
      </w:pPr>
      <w:r w:rsidRPr="003923D7">
        <w:rPr>
          <w:rFonts w:ascii="Arial" w:hAnsi="Arial" w:cs="Arial"/>
          <w:b/>
          <w:lang w:val="es-ES_tradnl"/>
        </w:rPr>
        <w:t xml:space="preserve">Pertinencia del cómputo de los beneficios. </w:t>
      </w:r>
      <w:r w:rsidRPr="003923D7">
        <w:rPr>
          <w:rFonts w:ascii="Arial" w:hAnsi="Arial" w:cs="Arial"/>
          <w:lang w:val="es-ES_tradnl"/>
        </w:rPr>
        <w:t xml:space="preserve">Programas como el presente tienen la particularidad de establecer o modificar un conjunto de políticas orientadas a incrementar la productividad un gran número de sectores de la economía. No se trata de políticas puntuales restringidas a grupos o sectores precisa y claramente definidos ni a la realización dentro de estos de actividades tales como la adquisición de maquinarias previamente definidas, ni integraciones pre-establecidas. Justamente el objetivo de este tipo de reformas, en cierta forma, consiste en facilitar la adecuación de procesos productivos a la información e incentivos enfrentados por los actores individuales de la actividad productiva. Es por ello </w:t>
      </w:r>
      <w:r w:rsidR="00C85578" w:rsidRPr="003923D7">
        <w:rPr>
          <w:rFonts w:ascii="Arial" w:hAnsi="Arial" w:cs="Arial"/>
          <w:lang w:val="es-ES_tradnl"/>
        </w:rPr>
        <w:t xml:space="preserve">que se considera </w:t>
      </w:r>
      <w:r w:rsidRPr="003923D7">
        <w:rPr>
          <w:rFonts w:ascii="Arial" w:hAnsi="Arial" w:cs="Arial"/>
          <w:lang w:val="es-ES_tradnl"/>
        </w:rPr>
        <w:t xml:space="preserve">que los impactos en valor agregado derivado de modificaciones en las tasas de crecimiento como resultado de las reformas resulta una medida apropiada de los beneficios. </w:t>
      </w:r>
    </w:p>
    <w:p w14:paraId="4BACDDEC" w14:textId="77777777" w:rsidR="00BF3057" w:rsidRPr="003923D7" w:rsidRDefault="00B12ED5" w:rsidP="00CC6001">
      <w:pPr>
        <w:pStyle w:val="Paragraph"/>
        <w:tabs>
          <w:tab w:val="num" w:pos="720"/>
        </w:tabs>
        <w:spacing w:after="80"/>
        <w:ind w:left="720" w:hanging="720"/>
        <w:rPr>
          <w:rFonts w:ascii="Arial" w:hAnsi="Arial" w:cs="Arial"/>
          <w:lang w:val="es-ES"/>
        </w:rPr>
      </w:pPr>
      <w:r w:rsidRPr="003923D7">
        <w:rPr>
          <w:rFonts w:ascii="Arial" w:hAnsi="Arial" w:cs="Arial"/>
          <w:b/>
          <w:lang w:val="es-ES_tradnl"/>
        </w:rPr>
        <w:lastRenderedPageBreak/>
        <w:t xml:space="preserve">Elementos básicos del CBA. </w:t>
      </w:r>
      <w:r w:rsidR="00BD4C6E" w:rsidRPr="003923D7">
        <w:rPr>
          <w:rFonts w:ascii="Arial" w:hAnsi="Arial" w:cs="Arial"/>
          <w:lang w:val="es-ES_tradnl"/>
        </w:rPr>
        <w:t>Como es usual, la estrategia de este anexo consiste en identificar los flujos asociados a la implementación de las reformas llevadas adelante con apoyo del programa</w:t>
      </w:r>
      <w:r w:rsidR="00986E6F" w:rsidRPr="003923D7">
        <w:rPr>
          <w:rFonts w:ascii="Arial" w:hAnsi="Arial" w:cs="Arial"/>
          <w:lang w:val="es-ES_tradnl"/>
        </w:rPr>
        <w:t>.</w:t>
      </w:r>
      <w:r w:rsidR="00BD4C6E" w:rsidRPr="003923D7">
        <w:rPr>
          <w:rFonts w:ascii="Arial" w:hAnsi="Arial" w:cs="Arial"/>
          <w:lang w:val="es-ES_tradnl"/>
        </w:rPr>
        <w:t xml:space="preserve"> Estos flujos se generan a lo largo de un período dado, definido con más precisión en los párrafos subsecuentes, y por tanto han de descontarse para lograr una adecuada comparabilidad. El descuento de estos flujos se hace siguiendo los lineamiento</w:t>
      </w:r>
      <w:r w:rsidR="007869ED" w:rsidRPr="003923D7">
        <w:rPr>
          <w:rFonts w:ascii="Arial" w:hAnsi="Arial" w:cs="Arial"/>
          <w:lang w:val="es-ES_tradnl"/>
        </w:rPr>
        <w:t>s</w:t>
      </w:r>
      <w:r w:rsidR="00BD4C6E" w:rsidRPr="003923D7">
        <w:rPr>
          <w:rFonts w:ascii="Arial" w:hAnsi="Arial" w:cs="Arial"/>
          <w:lang w:val="es-ES_tradnl"/>
        </w:rPr>
        <w:t xml:space="preserve"> institucionales establecidos por el </w:t>
      </w:r>
      <w:r w:rsidR="007869ED" w:rsidRPr="003923D7">
        <w:rPr>
          <w:rFonts w:ascii="Arial" w:hAnsi="Arial" w:cs="Arial"/>
          <w:lang w:val="es-ES_tradnl"/>
        </w:rPr>
        <w:t>Banco</w:t>
      </w:r>
      <w:r w:rsidR="00986E6F" w:rsidRPr="003923D7">
        <w:rPr>
          <w:rFonts w:ascii="Arial" w:hAnsi="Arial" w:cs="Arial"/>
          <w:lang w:val="es-ES_tradnl"/>
        </w:rPr>
        <w:t xml:space="preserve"> utilizando una tasa</w:t>
      </w:r>
      <w:r w:rsidR="00BD4C6E" w:rsidRPr="003923D7">
        <w:rPr>
          <w:rFonts w:ascii="Arial" w:hAnsi="Arial" w:cs="Arial"/>
          <w:lang w:val="es-ES_tradnl"/>
        </w:rPr>
        <w:t xml:space="preserve"> del 12%. Cabe notar aquí, además, la consistencia de este tipo de cálculo requier</w:t>
      </w:r>
      <w:r w:rsidR="003A3931" w:rsidRPr="003923D7">
        <w:rPr>
          <w:rFonts w:ascii="Arial" w:hAnsi="Arial" w:cs="Arial"/>
          <w:lang w:val="es-ES_tradnl"/>
        </w:rPr>
        <w:t>e que tasas nominales descuenten</w:t>
      </w:r>
      <w:r w:rsidR="00BD4C6E" w:rsidRPr="003923D7">
        <w:rPr>
          <w:rFonts w:ascii="Arial" w:hAnsi="Arial" w:cs="Arial"/>
          <w:lang w:val="es-ES_tradnl"/>
        </w:rPr>
        <w:t xml:space="preserve"> flujos de costos y beneficios nominales, y que tasas reales descuentes flujos de costos y beneficios que ya han sido transformados adecuadamente a términos reales. La segunda acotación que aquí cabe realizar concierne a este análisis particular (no una regla general como la recién notada), y es que los impactos reportados por el trabajo de Swiston y Barrot (2011)</w:t>
      </w:r>
      <w:r w:rsidR="003E4DFC" w:rsidRPr="003923D7">
        <w:rPr>
          <w:rFonts w:ascii="Arial" w:hAnsi="Arial" w:cs="Arial"/>
          <w:lang w:val="es-ES_tradnl"/>
        </w:rPr>
        <w:t xml:space="preserve"> son impactos sobre las tasas de crecimiento reales, los cuales puede</w:t>
      </w:r>
      <w:r w:rsidR="003A3931" w:rsidRPr="003923D7">
        <w:rPr>
          <w:rFonts w:ascii="Arial" w:hAnsi="Arial" w:cs="Arial"/>
          <w:lang w:val="es-ES_tradnl"/>
        </w:rPr>
        <w:t>n</w:t>
      </w:r>
      <w:r w:rsidR="003E4DFC" w:rsidRPr="003923D7">
        <w:rPr>
          <w:rFonts w:ascii="Arial" w:hAnsi="Arial" w:cs="Arial"/>
          <w:lang w:val="es-ES_tradnl"/>
        </w:rPr>
        <w:t xml:space="preserve"> ser transformados mediante el uso de tasa</w:t>
      </w:r>
      <w:r w:rsidR="003A3931" w:rsidRPr="003923D7">
        <w:rPr>
          <w:rFonts w:ascii="Arial" w:hAnsi="Arial" w:cs="Arial"/>
          <w:lang w:val="es-ES_tradnl"/>
        </w:rPr>
        <w:t>s</w:t>
      </w:r>
      <w:r w:rsidR="003E4DFC" w:rsidRPr="003923D7">
        <w:rPr>
          <w:rFonts w:ascii="Arial" w:hAnsi="Arial" w:cs="Arial"/>
          <w:lang w:val="es-ES_tradnl"/>
        </w:rPr>
        <w:t xml:space="preserve"> de cambio y proyecciones de precio</w:t>
      </w:r>
      <w:r w:rsidR="003A3931" w:rsidRPr="003923D7">
        <w:rPr>
          <w:rFonts w:ascii="Arial" w:hAnsi="Arial" w:cs="Arial"/>
          <w:lang w:val="es-ES_tradnl"/>
        </w:rPr>
        <w:t>s</w:t>
      </w:r>
      <w:r w:rsidR="003E4DFC" w:rsidRPr="003923D7">
        <w:rPr>
          <w:rFonts w:ascii="Arial" w:hAnsi="Arial" w:cs="Arial"/>
          <w:lang w:val="es-ES_tradnl"/>
        </w:rPr>
        <w:t xml:space="preserve"> a tasas de crecimiento nominales manteniendo consistencia con las características del escenario base utilizado.</w:t>
      </w:r>
      <w:r w:rsidR="00986E6F" w:rsidRPr="003923D7">
        <w:rPr>
          <w:rFonts w:ascii="Arial" w:hAnsi="Arial" w:cs="Arial"/>
          <w:lang w:val="es-ES_tradnl"/>
        </w:rPr>
        <w:t xml:space="preserve"> A su vez, el trabajo de Dabla-Norris y otros (2013), evalúa el impacto de las reformas (en el corto plazo) en las tasas de crecimiento de la productividad, medida como TFP, lo cual puede trasladarse a cambios en el nivel observado de PIB (y es de hecho lo que se computa en este trabajo).</w:t>
      </w:r>
    </w:p>
    <w:p w14:paraId="41CA8DB0" w14:textId="77777777" w:rsidR="00E339E4" w:rsidRPr="003923D7" w:rsidRDefault="00B12ED5" w:rsidP="00CC6001">
      <w:pPr>
        <w:pStyle w:val="Paragraph"/>
        <w:tabs>
          <w:tab w:val="num" w:pos="720"/>
        </w:tabs>
        <w:spacing w:after="80"/>
        <w:ind w:left="720" w:hanging="720"/>
        <w:rPr>
          <w:rFonts w:ascii="Arial" w:hAnsi="Arial" w:cs="Arial"/>
          <w:lang w:val="es-ES"/>
        </w:rPr>
      </w:pPr>
      <w:r w:rsidRPr="003923D7">
        <w:rPr>
          <w:rFonts w:ascii="Arial" w:hAnsi="Arial" w:cs="Arial"/>
          <w:b/>
          <w:lang w:val="es-ES_tradnl"/>
        </w:rPr>
        <w:t xml:space="preserve">Escenario Base (sin reformas). </w:t>
      </w:r>
      <w:r w:rsidR="00E339E4" w:rsidRPr="003923D7">
        <w:rPr>
          <w:rFonts w:ascii="Arial" w:hAnsi="Arial" w:cs="Arial"/>
          <w:lang w:val="es-ES_tradnl"/>
        </w:rPr>
        <w:t xml:space="preserve">Para establecer el diferencial de flujos de beneficios y costos atribuibles al programa es necesario establecer un escenario base que será la representación de la situación de la economía en las dimensiones relevantes ante la ausencia del programa. Para este escenario se toman las proyecciones para la economía provistas por el Fondo Monetario Internacional. Estas proyecciones tienen, entre otras, la característica de tener un alto grado de consistencia interna, en particular, en lo que hace a las relaciones entre magnitudes reales y nominales en bases alternativas. Esta consistencia entre las series nominales y reales permite identificar una serie de variables de interés, tales como el deflactor de PBI, y el </w:t>
      </w:r>
      <w:r w:rsidR="004A7C67" w:rsidRPr="003923D7">
        <w:rPr>
          <w:rFonts w:ascii="Arial" w:hAnsi="Arial" w:cs="Arial"/>
          <w:lang w:val="es-ES_tradnl"/>
        </w:rPr>
        <w:t xml:space="preserve">factor de conversión </w:t>
      </w:r>
      <w:r w:rsidR="00E339E4" w:rsidRPr="003923D7">
        <w:rPr>
          <w:rFonts w:ascii="Arial" w:hAnsi="Arial" w:cs="Arial"/>
          <w:lang w:val="es-ES_tradnl"/>
        </w:rPr>
        <w:t>PPP</w:t>
      </w:r>
      <w:r w:rsidR="00E339E4" w:rsidRPr="003923D7">
        <w:rPr>
          <w:rStyle w:val="FootnoteReference"/>
          <w:rFonts w:ascii="Arial" w:hAnsi="Arial" w:cs="Arial"/>
          <w:lang w:val="es-ES_tradnl"/>
        </w:rPr>
        <w:footnoteReference w:id="21"/>
      </w:r>
      <w:r w:rsidR="004A7C67" w:rsidRPr="003923D7">
        <w:rPr>
          <w:rFonts w:ascii="Arial" w:hAnsi="Arial" w:cs="Arial"/>
          <w:lang w:val="es-ES_tradnl"/>
        </w:rPr>
        <w:t>.</w:t>
      </w:r>
      <w:r w:rsidR="00E339E4" w:rsidRPr="003923D7">
        <w:rPr>
          <w:rFonts w:ascii="Arial" w:hAnsi="Arial" w:cs="Arial"/>
          <w:lang w:val="es-ES_tradnl"/>
        </w:rPr>
        <w:t xml:space="preserve"> </w:t>
      </w:r>
      <w:r w:rsidR="00D66A01" w:rsidRPr="003923D7">
        <w:rPr>
          <w:rFonts w:ascii="Arial" w:hAnsi="Arial" w:cs="Arial"/>
          <w:lang w:val="es-ES_tradnl"/>
        </w:rPr>
        <w:t>Por tanto, las p</w:t>
      </w:r>
      <w:r w:rsidR="007C49DB" w:rsidRPr="003923D7">
        <w:rPr>
          <w:rFonts w:ascii="Arial" w:hAnsi="Arial" w:cs="Arial"/>
          <w:lang w:val="es-ES_tradnl"/>
        </w:rPr>
        <w:t xml:space="preserve">royecciones para la economía </w:t>
      </w:r>
      <w:r w:rsidR="00D66A01" w:rsidRPr="003923D7">
        <w:rPr>
          <w:rFonts w:ascii="Arial" w:hAnsi="Arial" w:cs="Arial"/>
          <w:lang w:val="es-ES_tradnl"/>
        </w:rPr>
        <w:t>para el escenario base se toman de las proyecciones realizadas por el FMI.</w:t>
      </w:r>
    </w:p>
    <w:p w14:paraId="2D8F6A29" w14:textId="77777777" w:rsidR="009173A2" w:rsidRPr="003923D7" w:rsidRDefault="00B12ED5" w:rsidP="00CC6001">
      <w:pPr>
        <w:pStyle w:val="Paragraph"/>
        <w:tabs>
          <w:tab w:val="num" w:pos="720"/>
        </w:tabs>
        <w:spacing w:after="80"/>
        <w:ind w:left="720" w:hanging="720"/>
        <w:rPr>
          <w:rFonts w:ascii="Arial" w:hAnsi="Arial" w:cs="Arial"/>
          <w:lang w:val="es-ES"/>
        </w:rPr>
      </w:pPr>
      <w:r w:rsidRPr="003923D7">
        <w:rPr>
          <w:rFonts w:ascii="Arial" w:hAnsi="Arial" w:cs="Arial"/>
          <w:b/>
          <w:lang w:val="es-ES_tradnl"/>
        </w:rPr>
        <w:t xml:space="preserve">Escenario con reformas. </w:t>
      </w:r>
      <w:r w:rsidR="00D66A01" w:rsidRPr="003923D7">
        <w:rPr>
          <w:rFonts w:ascii="Arial" w:hAnsi="Arial" w:cs="Arial"/>
          <w:lang w:val="es-ES_tradnl"/>
        </w:rPr>
        <w:t>El segundo elemento del presente análisis, como se ha indicado, consiste en la identificación de los flujos diferenciales atribuibles a la implementación de las reformas apoyadas por el programa.</w:t>
      </w:r>
      <w:r w:rsidR="0022507B" w:rsidRPr="003923D7">
        <w:rPr>
          <w:rFonts w:ascii="Arial" w:hAnsi="Arial" w:cs="Arial"/>
          <w:lang w:val="es-ES_tradnl"/>
        </w:rPr>
        <w:t xml:space="preserve"> Dentro de esta estrategia, el cálculo de los flujos de beneficio atribuibles al programa se construye en base a la evidencia empírica sobre el impacto que reformas del tipo en consideración tienen sobre el nivel de producto de la economía. En particular, como se indicó, los impactos de las reformas en el sistema financiero serán tomados del trabajo de Swiston y Barrot </w:t>
      </w:r>
      <w:r w:rsidR="0022507B" w:rsidRPr="003923D7">
        <w:rPr>
          <w:rFonts w:ascii="Arial" w:hAnsi="Arial" w:cs="Arial"/>
          <w:lang w:val="es-ES_tradnl"/>
        </w:rPr>
        <w:lastRenderedPageBreak/>
        <w:t>(2011)</w:t>
      </w:r>
      <w:r w:rsidR="00986E6F" w:rsidRPr="003923D7">
        <w:rPr>
          <w:rFonts w:ascii="Arial" w:hAnsi="Arial" w:cs="Arial"/>
          <w:lang w:val="es-ES_tradnl"/>
        </w:rPr>
        <w:t>, y el impacto de las reformas apuntadas al clima de negocios se toman de Dabla-Norris y otros (2013)</w:t>
      </w:r>
      <w:r w:rsidR="0022507B" w:rsidRPr="003923D7">
        <w:rPr>
          <w:rFonts w:ascii="Arial" w:hAnsi="Arial" w:cs="Arial"/>
          <w:lang w:val="es-ES_tradnl"/>
        </w:rPr>
        <w:t>.</w:t>
      </w:r>
      <w:r w:rsidR="0022507B" w:rsidRPr="003923D7">
        <w:rPr>
          <w:rStyle w:val="FootnoteReference"/>
          <w:rFonts w:ascii="Arial" w:hAnsi="Arial" w:cs="Arial"/>
          <w:lang w:val="es-ES_tradnl"/>
        </w:rPr>
        <w:footnoteReference w:id="22"/>
      </w:r>
      <w:r w:rsidR="0022507B" w:rsidRPr="003923D7">
        <w:rPr>
          <w:rFonts w:ascii="Arial" w:hAnsi="Arial" w:cs="Arial"/>
          <w:lang w:val="es-ES_tradnl"/>
        </w:rPr>
        <w:t xml:space="preserve"> </w:t>
      </w:r>
    </w:p>
    <w:p w14:paraId="7C35A548" w14:textId="77777777" w:rsidR="009173A2" w:rsidRPr="003923D7" w:rsidRDefault="009173A2" w:rsidP="00CC6001">
      <w:pPr>
        <w:pStyle w:val="Paragraph"/>
        <w:tabs>
          <w:tab w:val="num" w:pos="720"/>
        </w:tabs>
        <w:spacing w:after="80"/>
        <w:ind w:left="720" w:hanging="720"/>
        <w:rPr>
          <w:rFonts w:ascii="Arial" w:hAnsi="Arial" w:cs="Arial"/>
          <w:lang w:val="es-ES"/>
        </w:rPr>
      </w:pPr>
      <w:r w:rsidRPr="003923D7">
        <w:rPr>
          <w:rFonts w:ascii="Arial" w:hAnsi="Arial" w:cs="Arial"/>
          <w:b/>
          <w:lang w:val="es-ES_tradnl"/>
        </w:rPr>
        <w:t xml:space="preserve">Costo de las reformas. </w:t>
      </w:r>
      <w:r w:rsidR="0022507B" w:rsidRPr="003923D7">
        <w:rPr>
          <w:rFonts w:ascii="Arial" w:hAnsi="Arial" w:cs="Arial"/>
          <w:lang w:val="es-ES_tradnl"/>
        </w:rPr>
        <w:t xml:space="preserve">El segundo elemento a tener en cuenta para el análisis consiste en determinar el costo para el país </w:t>
      </w:r>
      <w:r w:rsidR="003A3931" w:rsidRPr="003923D7">
        <w:rPr>
          <w:rFonts w:ascii="Arial" w:hAnsi="Arial" w:cs="Arial"/>
          <w:lang w:val="es-ES_tradnl"/>
        </w:rPr>
        <w:t xml:space="preserve">de implementar las reformas </w:t>
      </w:r>
      <w:r w:rsidR="0022507B" w:rsidRPr="003923D7">
        <w:rPr>
          <w:rFonts w:ascii="Arial" w:hAnsi="Arial" w:cs="Arial"/>
          <w:lang w:val="es-ES_tradnl"/>
        </w:rPr>
        <w:t>como unidad de referencia para establecer estos flujos. En este sentido cabe notar que una gran parte del proceso bajo consideración involucra la aplicación de cambios legales y regulatorios, para los cuales es difícil establecer una valuación</w:t>
      </w:r>
      <w:r w:rsidRPr="003923D7">
        <w:rPr>
          <w:rFonts w:ascii="Arial" w:hAnsi="Arial" w:cs="Arial"/>
          <w:lang w:val="es-ES_tradnl"/>
        </w:rPr>
        <w:t>.</w:t>
      </w:r>
      <w:r w:rsidR="00D03771" w:rsidRPr="003923D7">
        <w:rPr>
          <w:rFonts w:ascii="Arial" w:hAnsi="Arial" w:cs="Arial"/>
          <w:lang w:val="es-ES_tradnl"/>
        </w:rPr>
        <w:t xml:space="preserve"> </w:t>
      </w:r>
      <w:r w:rsidR="008272C9" w:rsidRPr="003923D7">
        <w:rPr>
          <w:rFonts w:ascii="Arial" w:hAnsi="Arial" w:cs="Arial"/>
          <w:lang w:val="es-ES_tradnl"/>
        </w:rPr>
        <w:t>Sin embargo, a los efectos de dar cuenta de la presencia de costos asociados al funcionamiento de estas reformas se procede a computar un costo incremental esperado en salarios y gastos operativos. Este costo incremental es aproximado de la siguiente manera: (i) utilizando los datos publicados en el BCRD se calculan los gastos en servicios personales y bienes y servicios (dentro de los gastos corrientes) para 4 ministerios que se consideran relevantes dado el tipo de reformas que se están implementando; estos ministerios son: Hacienda, Trabajo, Industria y Comercio, y Economía</w:t>
      </w:r>
      <w:r w:rsidR="008272C9" w:rsidRPr="003923D7">
        <w:rPr>
          <w:rStyle w:val="FootnoteReference"/>
          <w:rFonts w:ascii="Arial" w:hAnsi="Arial" w:cs="Arial"/>
          <w:lang w:val="es-ES_tradnl"/>
        </w:rPr>
        <w:footnoteReference w:id="23"/>
      </w:r>
      <w:r w:rsidR="008272C9" w:rsidRPr="003923D7">
        <w:rPr>
          <w:rFonts w:ascii="Arial" w:hAnsi="Arial" w:cs="Arial"/>
          <w:lang w:val="es-ES_tradnl"/>
        </w:rPr>
        <w:t>; (ii) se computa el gasto promedio en las referidas partidas para estos cuatro ministerios; (iii) se realiza el supuesto de que estos gasto</w:t>
      </w:r>
      <w:r w:rsidR="00833C66" w:rsidRPr="003923D7">
        <w:rPr>
          <w:rFonts w:ascii="Arial" w:hAnsi="Arial" w:cs="Arial"/>
          <w:lang w:val="es-ES_tradnl"/>
        </w:rPr>
        <w:t>s promedio</w:t>
      </w:r>
      <w:r w:rsidR="008272C9" w:rsidRPr="003923D7">
        <w:rPr>
          <w:rFonts w:ascii="Arial" w:hAnsi="Arial" w:cs="Arial"/>
          <w:lang w:val="es-ES_tradnl"/>
        </w:rPr>
        <w:t xml:space="preserve"> permanecerán estables como proporción del PIB; (iv) se computan como gastos atribuibles a las reformas una fracción de este gasto promedio; </w:t>
      </w:r>
      <w:r w:rsidRPr="003923D7">
        <w:rPr>
          <w:rFonts w:ascii="Arial" w:hAnsi="Arial" w:cs="Arial"/>
          <w:lang w:val="es-ES_tradnl"/>
        </w:rPr>
        <w:t xml:space="preserve">en particular, </w:t>
      </w:r>
      <w:r w:rsidR="008272C9" w:rsidRPr="003923D7">
        <w:rPr>
          <w:rFonts w:ascii="Arial" w:hAnsi="Arial" w:cs="Arial"/>
          <w:lang w:val="es-ES_tradnl"/>
        </w:rPr>
        <w:t>para el escenario central se toma un gasto incremental de 20% (10% por incrementos atribuibles a la reforma financiera y 10% a las reformas de competitividad)</w:t>
      </w:r>
      <w:r w:rsidR="008272C9" w:rsidRPr="003923D7">
        <w:rPr>
          <w:rStyle w:val="FootnoteReference"/>
          <w:rFonts w:ascii="Arial" w:hAnsi="Arial" w:cs="Arial"/>
          <w:lang w:val="es-ES_tradnl"/>
        </w:rPr>
        <w:footnoteReference w:id="24"/>
      </w:r>
      <w:r w:rsidR="008272C9" w:rsidRPr="003923D7">
        <w:rPr>
          <w:rFonts w:ascii="Arial" w:hAnsi="Arial" w:cs="Arial"/>
          <w:lang w:val="es-ES_tradnl"/>
        </w:rPr>
        <w:t xml:space="preserve">. </w:t>
      </w:r>
    </w:p>
    <w:p w14:paraId="3E00FFA9" w14:textId="77777777" w:rsidR="00B1419E" w:rsidRPr="003923D7" w:rsidRDefault="009173A2" w:rsidP="00C11587">
      <w:pPr>
        <w:pStyle w:val="Paragraph"/>
        <w:tabs>
          <w:tab w:val="num" w:pos="720"/>
        </w:tabs>
        <w:spacing w:after="80"/>
        <w:ind w:left="720" w:hanging="720"/>
        <w:rPr>
          <w:rFonts w:ascii="Arial" w:hAnsi="Arial" w:cs="Arial"/>
          <w:szCs w:val="24"/>
          <w:lang w:val="es-ES"/>
        </w:rPr>
      </w:pPr>
      <w:r w:rsidRPr="003923D7">
        <w:rPr>
          <w:rFonts w:ascii="Arial" w:hAnsi="Arial" w:cs="Arial"/>
          <w:b/>
          <w:lang w:val="es-ES"/>
        </w:rPr>
        <w:t>Descuento de flujos diferenciales.</w:t>
      </w:r>
      <w:r w:rsidRPr="003923D7">
        <w:rPr>
          <w:rFonts w:ascii="Arial" w:hAnsi="Arial" w:cs="Arial"/>
          <w:lang w:val="es-ES"/>
        </w:rPr>
        <w:t xml:space="preserve"> </w:t>
      </w:r>
      <w:r w:rsidR="00D03771" w:rsidRPr="003923D7">
        <w:rPr>
          <w:rFonts w:ascii="Arial" w:hAnsi="Arial" w:cs="Arial"/>
          <w:lang w:val="es-ES_tradnl"/>
        </w:rPr>
        <w:t>Estos flujos de beneficios y costos son luego descontados por la tasa establecida para la evaluación de este tipo de programas</w:t>
      </w:r>
      <w:r w:rsidR="00833C66" w:rsidRPr="003923D7">
        <w:rPr>
          <w:rFonts w:ascii="Arial" w:hAnsi="Arial" w:cs="Arial"/>
          <w:lang w:val="es-ES_tradnl"/>
        </w:rPr>
        <w:t xml:space="preserve"> (12%)</w:t>
      </w:r>
      <w:r w:rsidR="00D03771" w:rsidRPr="003923D7">
        <w:rPr>
          <w:rFonts w:ascii="Arial" w:hAnsi="Arial" w:cs="Arial"/>
          <w:lang w:val="es-ES_tradnl"/>
        </w:rPr>
        <w:t xml:space="preserve">. Desde luego, el programa </w:t>
      </w:r>
      <w:r w:rsidR="00D03771" w:rsidRPr="003923D7">
        <w:rPr>
          <w:rFonts w:ascii="Arial" w:hAnsi="Arial" w:cs="Arial"/>
          <w:lang w:val="es-ES"/>
        </w:rPr>
        <w:t xml:space="preserve">deberá considerarse económicamente viable si y solo si el valor presente neto (VPN) del diferencial de riqueza </w:t>
      </w:r>
      <w:r w:rsidR="00833C66" w:rsidRPr="003923D7">
        <w:rPr>
          <w:rFonts w:ascii="Arial" w:hAnsi="Arial" w:cs="Arial"/>
          <w:lang w:val="es-ES"/>
        </w:rPr>
        <w:t xml:space="preserve">(valor agregado) </w:t>
      </w:r>
      <w:r w:rsidR="00D03771" w:rsidRPr="003923D7">
        <w:rPr>
          <w:rFonts w:ascii="Arial" w:hAnsi="Arial" w:cs="Arial"/>
          <w:lang w:val="es-ES"/>
        </w:rPr>
        <w:t>que la implementación de las reformas representa, acumulado en el tiempo, resulta mayor que sus costos.</w:t>
      </w:r>
    </w:p>
    <w:p w14:paraId="475CC9CA" w14:textId="77777777" w:rsidR="002338D2" w:rsidRPr="003923D7" w:rsidRDefault="00C7083B">
      <w:pPr>
        <w:pStyle w:val="Paragraph"/>
        <w:tabs>
          <w:tab w:val="num" w:pos="720"/>
        </w:tabs>
        <w:ind w:left="720" w:hanging="720"/>
        <w:rPr>
          <w:rFonts w:ascii="Arial" w:hAnsi="Arial" w:cs="Arial"/>
          <w:szCs w:val="24"/>
          <w:lang w:val="es-ES_tradnl"/>
        </w:rPr>
      </w:pPr>
      <w:r w:rsidRPr="003923D7">
        <w:rPr>
          <w:rFonts w:ascii="Arial" w:hAnsi="Arial" w:cs="Arial"/>
          <w:szCs w:val="24"/>
          <w:lang w:val="es-ES_tradnl"/>
        </w:rPr>
        <w:t>Esta estrategia puede representarse de la siguiente manera</w:t>
      </w:r>
    </w:p>
    <w:p w14:paraId="4DB62A97" w14:textId="77777777" w:rsidR="002338D2" w:rsidRPr="003923D7" w:rsidRDefault="002338D2" w:rsidP="002338D2">
      <w:pPr>
        <w:pStyle w:val="subpar"/>
        <w:numPr>
          <w:ilvl w:val="0"/>
          <w:numId w:val="0"/>
        </w:numPr>
        <w:ind w:left="720"/>
        <w:jc w:val="left"/>
        <w:rPr>
          <w:rFonts w:ascii="Arial" w:hAnsi="Arial" w:cs="Arial"/>
          <w:szCs w:val="24"/>
        </w:rPr>
      </w:pPr>
      <m:oMathPara>
        <m:oMathParaPr>
          <m:jc m:val="left"/>
        </m:oMathParaPr>
        <m:oMath>
          <m:r>
            <w:rPr>
              <w:rFonts w:ascii="Cambria Math" w:hAnsi="Cambria Math" w:cs="Arial"/>
              <w:szCs w:val="24"/>
              <w:lang w:val="es-ES_tradnl"/>
            </w:rPr>
            <m:t xml:space="preserve">VPN </m:t>
          </m:r>
          <m:d>
            <m:dPr>
              <m:ctrlPr>
                <w:rPr>
                  <w:rFonts w:ascii="Cambria Math" w:hAnsi="Cambria Math" w:cs="Arial"/>
                  <w:i/>
                  <w:szCs w:val="24"/>
                  <w:lang w:val="es-ES_tradnl"/>
                </w:rPr>
              </m:ctrlPr>
            </m:dPr>
            <m:e>
              <m:r>
                <w:rPr>
                  <w:rFonts w:ascii="Cambria Math" w:hAnsi="Cambria Math" w:cs="Arial"/>
                  <w:szCs w:val="24"/>
                  <w:lang w:val="pt-BR"/>
                </w:rPr>
                <m:t>δ</m:t>
              </m:r>
              <m:ctrlPr>
                <w:rPr>
                  <w:rFonts w:ascii="Cambria Math" w:hAnsi="Cambria Math" w:cs="Arial"/>
                  <w:i/>
                  <w:szCs w:val="24"/>
                  <w:lang w:val="pt-BR"/>
                </w:rPr>
              </m:ctrlPr>
            </m:e>
          </m:d>
          <m:r>
            <w:rPr>
              <w:rFonts w:ascii="Cambria Math" w:hAnsi="Cambria Math" w:cs="Arial"/>
              <w:szCs w:val="24"/>
              <w:lang w:val="pt-BR"/>
            </w:rPr>
            <m:t>=∑(</m:t>
          </m:r>
          <m:r>
            <w:rPr>
              <w:rFonts w:ascii="Cambria Math" w:hAnsi="Cambria Math" w:cs="Arial"/>
              <w:szCs w:val="24"/>
              <w:lang w:val="es-ES_tradnl"/>
            </w:rPr>
            <m:t>beneficios)-costos</m:t>
          </m:r>
        </m:oMath>
      </m:oMathPara>
    </w:p>
    <w:p w14:paraId="09A2529A" w14:textId="77777777" w:rsidR="002338D2" w:rsidRPr="003923D7" w:rsidRDefault="002338D2" w:rsidP="002338D2">
      <w:pPr>
        <w:pStyle w:val="subpar"/>
        <w:numPr>
          <w:ilvl w:val="0"/>
          <w:numId w:val="0"/>
        </w:numPr>
        <w:rPr>
          <w:rFonts w:ascii="Arial" w:hAnsi="Arial" w:cs="Arial"/>
          <w:szCs w:val="24"/>
          <w:lang w:val="es-ES_tradnl"/>
        </w:rPr>
      </w:pPr>
      <w:r w:rsidRPr="003923D7">
        <w:rPr>
          <w:rFonts w:ascii="Arial" w:hAnsi="Arial" w:cs="Arial"/>
          <w:szCs w:val="24"/>
          <w:lang w:val="es-ES_tradnl"/>
        </w:rPr>
        <w:tab/>
      </w:r>
      <m:oMath>
        <m:r>
          <w:rPr>
            <w:rFonts w:ascii="Cambria Math" w:hAnsi="Cambria Math" w:cs="Arial"/>
            <w:szCs w:val="24"/>
            <w:lang w:val="es-ES_tradnl"/>
          </w:rPr>
          <m:t xml:space="preserve">VPN </m:t>
        </m:r>
        <m:d>
          <m:dPr>
            <m:ctrlPr>
              <w:rPr>
                <w:rFonts w:ascii="Cambria Math" w:hAnsi="Cambria Math" w:cs="Arial"/>
                <w:i/>
                <w:szCs w:val="24"/>
                <w:lang w:val="es-ES_tradnl"/>
              </w:rPr>
            </m:ctrlPr>
          </m:dPr>
          <m:e>
            <m:r>
              <w:rPr>
                <w:rFonts w:ascii="Cambria Math" w:hAnsi="Cambria Math" w:cs="Arial"/>
                <w:szCs w:val="24"/>
                <w:lang w:val="pt-BR"/>
              </w:rPr>
              <m:t>δ</m:t>
            </m:r>
            <m:ctrlPr>
              <w:rPr>
                <w:rFonts w:ascii="Cambria Math" w:hAnsi="Cambria Math" w:cs="Arial"/>
                <w:i/>
                <w:szCs w:val="24"/>
                <w:lang w:val="pt-BR"/>
              </w:rPr>
            </m:ctrlPr>
          </m:e>
        </m:d>
        <m:r>
          <w:rPr>
            <w:rFonts w:ascii="Cambria Math" w:hAnsi="Cambria Math" w:cs="Arial"/>
            <w:szCs w:val="24"/>
            <w:lang w:val="es-ES_tradnl"/>
          </w:rPr>
          <m:t>=∑(</m:t>
        </m:r>
        <m:sSub>
          <m:sSubPr>
            <m:ctrlPr>
              <w:rPr>
                <w:rFonts w:ascii="Cambria Math" w:hAnsi="Cambria Math" w:cs="Arial"/>
                <w:i/>
                <w:szCs w:val="24"/>
                <w:lang w:val="es-ES_tradnl"/>
              </w:rPr>
            </m:ctrlPr>
          </m:sSubPr>
          <m:e>
            <m:r>
              <w:rPr>
                <w:rFonts w:ascii="Cambria Math" w:hAnsi="Cambria Math" w:cs="Arial"/>
                <w:szCs w:val="24"/>
                <w:lang w:val="es-ES_tradnl"/>
              </w:rPr>
              <m:t>PBI</m:t>
            </m:r>
          </m:e>
          <m:sub>
            <m:r>
              <w:rPr>
                <w:rFonts w:ascii="Cambria Math" w:hAnsi="Cambria Math" w:cs="Arial"/>
                <w:szCs w:val="24"/>
                <w:lang w:val="pt-BR"/>
              </w:rPr>
              <m:t>Bt</m:t>
            </m:r>
          </m:sub>
        </m:sSub>
        <m:r>
          <w:rPr>
            <w:rFonts w:ascii="Cambria Math" w:hAnsi="Cambria Math" w:cs="Arial"/>
            <w:szCs w:val="24"/>
            <w:lang w:val="es-ES_tradnl"/>
          </w:rPr>
          <m:t xml:space="preserve">- </m:t>
        </m:r>
        <m:sSub>
          <m:sSubPr>
            <m:ctrlPr>
              <w:rPr>
                <w:rFonts w:ascii="Cambria Math" w:hAnsi="Cambria Math" w:cs="Arial"/>
                <w:i/>
                <w:szCs w:val="24"/>
                <w:lang w:val="es-ES_tradnl"/>
              </w:rPr>
            </m:ctrlPr>
          </m:sSubPr>
          <m:e>
            <m:r>
              <w:rPr>
                <w:rFonts w:ascii="Cambria Math" w:hAnsi="Cambria Math" w:cs="Arial"/>
                <w:szCs w:val="24"/>
                <w:lang w:val="es-ES_tradnl"/>
              </w:rPr>
              <m:t>PBI</m:t>
            </m:r>
          </m:e>
          <m:sub>
            <m:r>
              <w:rPr>
                <w:rFonts w:ascii="Cambria Math" w:hAnsi="Cambria Math" w:cs="Arial"/>
                <w:szCs w:val="24"/>
                <w:lang w:val="pt-BR"/>
              </w:rPr>
              <m:t>At</m:t>
            </m:r>
          </m:sub>
        </m:sSub>
        <m:r>
          <w:rPr>
            <w:rFonts w:ascii="Cambria Math" w:hAnsi="Cambria Math" w:cs="Arial"/>
            <w:szCs w:val="24"/>
            <w:lang w:val="es-ES_tradnl"/>
          </w:rPr>
          <m:t>)-L</m:t>
        </m:r>
      </m:oMath>
      <w:r w:rsidRPr="003923D7">
        <w:rPr>
          <w:rFonts w:ascii="Arial" w:hAnsi="Arial" w:cs="Arial"/>
          <w:szCs w:val="24"/>
          <w:lang w:val="es-ES_tradnl"/>
        </w:rPr>
        <w:t>S,</w:t>
      </w:r>
    </w:p>
    <w:p w14:paraId="7DB8513C" w14:textId="77777777" w:rsidR="002338D2" w:rsidRPr="003923D7" w:rsidRDefault="002338D2" w:rsidP="002338D2">
      <w:pPr>
        <w:pStyle w:val="subpar"/>
        <w:numPr>
          <w:ilvl w:val="0"/>
          <w:numId w:val="0"/>
        </w:numPr>
        <w:tabs>
          <w:tab w:val="left" w:pos="1620"/>
        </w:tabs>
        <w:spacing w:after="0"/>
        <w:ind w:left="720"/>
        <w:rPr>
          <w:rFonts w:ascii="Arial" w:hAnsi="Arial" w:cs="Arial"/>
          <w:szCs w:val="24"/>
          <w:lang w:val="es-ES_tradnl"/>
        </w:rPr>
      </w:pPr>
      <w:r w:rsidRPr="003923D7">
        <w:rPr>
          <w:rFonts w:ascii="Arial" w:hAnsi="Arial" w:cs="Arial"/>
          <w:szCs w:val="24"/>
          <w:lang w:val="es-ES_tradnl"/>
        </w:rPr>
        <w:t>dónde:</w:t>
      </w:r>
    </w:p>
    <w:p w14:paraId="23116A07" w14:textId="77777777" w:rsidR="002338D2" w:rsidRPr="003923D7" w:rsidRDefault="002338D2" w:rsidP="002338D2">
      <w:pPr>
        <w:pStyle w:val="subpar"/>
        <w:numPr>
          <w:ilvl w:val="0"/>
          <w:numId w:val="0"/>
        </w:numPr>
        <w:tabs>
          <w:tab w:val="left" w:pos="1620"/>
        </w:tabs>
        <w:spacing w:after="0"/>
        <w:ind w:left="720"/>
        <w:rPr>
          <w:rFonts w:ascii="Arial" w:hAnsi="Arial" w:cs="Arial"/>
          <w:szCs w:val="24"/>
          <w:lang w:val="es-ES_tradnl"/>
        </w:rPr>
      </w:pPr>
      <w:r w:rsidRPr="003923D7">
        <w:rPr>
          <w:rFonts w:ascii="Arial" w:hAnsi="Arial" w:cs="Arial"/>
          <w:szCs w:val="24"/>
          <w:lang w:val="es-ES_tradnl"/>
        </w:rPr>
        <w:t>PBI</w:t>
      </w:r>
      <w:r w:rsidRPr="003923D7">
        <w:rPr>
          <w:rFonts w:ascii="Arial" w:hAnsi="Arial" w:cs="Arial"/>
          <w:szCs w:val="24"/>
          <w:vertAlign w:val="subscript"/>
          <w:lang w:val="es-ES_tradnl"/>
        </w:rPr>
        <w:t>A</w:t>
      </w:r>
      <w:r w:rsidRPr="003923D7">
        <w:rPr>
          <w:rFonts w:ascii="Arial" w:hAnsi="Arial" w:cs="Arial"/>
          <w:szCs w:val="24"/>
          <w:lang w:val="es-ES_tradnl"/>
        </w:rPr>
        <w:t xml:space="preserve"> = PBI anual proyectado sin reformas en el año</w:t>
      </w:r>
    </w:p>
    <w:p w14:paraId="6E1D5280" w14:textId="77777777" w:rsidR="002338D2" w:rsidRPr="003923D7" w:rsidRDefault="002338D2" w:rsidP="002338D2">
      <w:pPr>
        <w:pStyle w:val="subpar"/>
        <w:numPr>
          <w:ilvl w:val="0"/>
          <w:numId w:val="0"/>
        </w:numPr>
        <w:tabs>
          <w:tab w:val="left" w:pos="1620"/>
        </w:tabs>
        <w:spacing w:after="0"/>
        <w:ind w:left="720"/>
        <w:rPr>
          <w:rFonts w:ascii="Arial" w:hAnsi="Arial" w:cs="Arial"/>
          <w:szCs w:val="24"/>
          <w:lang w:val="es-ES_tradnl"/>
        </w:rPr>
      </w:pPr>
      <w:r w:rsidRPr="003923D7">
        <w:rPr>
          <w:rFonts w:ascii="Arial" w:hAnsi="Arial" w:cs="Arial"/>
          <w:szCs w:val="24"/>
          <w:lang w:val="es-ES_tradnl"/>
        </w:rPr>
        <w:t>PBI</w:t>
      </w:r>
      <w:r w:rsidRPr="003923D7">
        <w:rPr>
          <w:rFonts w:ascii="Arial" w:hAnsi="Arial" w:cs="Arial"/>
          <w:szCs w:val="24"/>
          <w:vertAlign w:val="subscript"/>
          <w:lang w:val="es-ES_tradnl"/>
        </w:rPr>
        <w:t>B</w:t>
      </w:r>
      <w:r w:rsidRPr="003923D7">
        <w:rPr>
          <w:rFonts w:ascii="Arial" w:hAnsi="Arial" w:cs="Arial"/>
          <w:szCs w:val="24"/>
          <w:lang w:val="es-ES_tradnl"/>
        </w:rPr>
        <w:t xml:space="preserve"> = PBI anual proyectado con efecto de reformas</w:t>
      </w:r>
    </w:p>
    <w:p w14:paraId="75F2EF09" w14:textId="77777777" w:rsidR="002338D2" w:rsidRPr="003923D7" w:rsidRDefault="002338D2" w:rsidP="002338D2">
      <w:pPr>
        <w:pStyle w:val="subpar"/>
        <w:numPr>
          <w:ilvl w:val="0"/>
          <w:numId w:val="0"/>
        </w:numPr>
        <w:spacing w:after="0"/>
        <w:ind w:firstLine="720"/>
        <w:rPr>
          <w:rFonts w:ascii="Arial" w:hAnsi="Arial" w:cs="Arial"/>
          <w:szCs w:val="24"/>
          <w:lang w:val="es-ES"/>
        </w:rPr>
      </w:pPr>
      <w:r w:rsidRPr="003923D7">
        <w:rPr>
          <w:rFonts w:ascii="Arial" w:hAnsi="Arial" w:cs="Arial"/>
          <w:szCs w:val="24"/>
          <w:lang w:val="es-ES"/>
        </w:rPr>
        <w:lastRenderedPageBreak/>
        <w:t> = tasa de descuento</w:t>
      </w:r>
    </w:p>
    <w:p w14:paraId="03C913E6" w14:textId="77777777" w:rsidR="002338D2" w:rsidRPr="003923D7" w:rsidRDefault="002338D2" w:rsidP="002338D2">
      <w:pPr>
        <w:pStyle w:val="subpar"/>
        <w:numPr>
          <w:ilvl w:val="0"/>
          <w:numId w:val="0"/>
        </w:numPr>
        <w:spacing w:after="0"/>
        <w:ind w:left="720"/>
        <w:rPr>
          <w:rFonts w:ascii="Arial" w:hAnsi="Arial" w:cs="Arial"/>
          <w:color w:val="000000" w:themeColor="text1"/>
          <w:szCs w:val="24"/>
          <w:lang w:val="es-ES_tradnl"/>
        </w:rPr>
      </w:pPr>
      <w:r w:rsidRPr="003923D7">
        <w:rPr>
          <w:rFonts w:ascii="Arial" w:hAnsi="Arial" w:cs="Arial"/>
          <w:szCs w:val="24"/>
          <w:lang w:val="es-ES_tradnl"/>
        </w:rPr>
        <w:t xml:space="preserve">LS = costos totales incrementales en personal y bienes y servicios para </w:t>
      </w:r>
      <w:r w:rsidRPr="003923D7">
        <w:rPr>
          <w:rFonts w:ascii="Arial" w:hAnsi="Arial" w:cs="Arial"/>
          <w:color w:val="000000" w:themeColor="text1"/>
          <w:szCs w:val="24"/>
          <w:lang w:val="es-ES_tradnl"/>
        </w:rPr>
        <w:t>implementar y administrar las reformas</w:t>
      </w:r>
    </w:p>
    <w:p w14:paraId="540D1A1F" w14:textId="77777777" w:rsidR="00A173DF" w:rsidRPr="003923D7" w:rsidRDefault="002338D2" w:rsidP="00833C66">
      <w:pPr>
        <w:pStyle w:val="Paragraph"/>
        <w:tabs>
          <w:tab w:val="clear" w:pos="1386"/>
          <w:tab w:val="num" w:pos="720"/>
        </w:tabs>
        <w:spacing w:after="80"/>
        <w:ind w:left="720" w:hanging="720"/>
        <w:rPr>
          <w:rFonts w:ascii="Arial" w:hAnsi="Arial" w:cs="Arial"/>
          <w:b/>
          <w:szCs w:val="24"/>
          <w:lang w:val="es-ES_tradnl"/>
        </w:rPr>
      </w:pPr>
      <w:r w:rsidRPr="003923D7">
        <w:rPr>
          <w:rFonts w:ascii="Arial" w:hAnsi="Arial" w:cs="Arial"/>
          <w:color w:val="000000" w:themeColor="text1"/>
          <w:szCs w:val="24"/>
          <w:lang w:val="es-ES_tradnl"/>
        </w:rPr>
        <w:t xml:space="preserve">El elemento de relevancia de esta caracterización es desde luego la secuencia de PBI bajo la implementación del programa. Para computar esta secuencia se parte de los ya mencionados estudios. La idea detrás de este cálculo se presenta en el esquema de la figura 2.1, donde se aprecia que el supuesto detrás del mismo es que las reformas permiten desplazar durante un período determinado el nivel de ingreso </w:t>
      </w:r>
      <w:r w:rsidRPr="003923D7">
        <w:rPr>
          <w:rFonts w:ascii="Arial" w:hAnsi="Arial" w:cs="Arial"/>
          <w:lang w:val="es-ES"/>
        </w:rPr>
        <w:t>mediante</w:t>
      </w:r>
      <w:r w:rsidRPr="003923D7">
        <w:rPr>
          <w:rFonts w:ascii="Arial" w:hAnsi="Arial" w:cs="Arial"/>
          <w:color w:val="000000" w:themeColor="text1"/>
          <w:szCs w:val="24"/>
          <w:lang w:val="es-ES_tradnl"/>
        </w:rPr>
        <w:t xml:space="preserve"> la aceleración de la tasa de crecimiento, para luego retornar a tasas de crecimiento menores. A fin de estimar el beneficio económico asociado a las reformas implementadas por el programa, el presente análisis compara un horizonte de 20 años</w:t>
      </w:r>
      <w:r w:rsidR="00A173DF" w:rsidRPr="003923D7">
        <w:rPr>
          <w:rFonts w:ascii="Arial" w:hAnsi="Arial" w:cs="Arial"/>
          <w:color w:val="000000" w:themeColor="text1"/>
          <w:szCs w:val="24"/>
          <w:lang w:val="es-ES_tradnl"/>
        </w:rPr>
        <w:t>.</w:t>
      </w:r>
    </w:p>
    <w:p w14:paraId="15B0009D" w14:textId="77777777" w:rsidR="00B727CC" w:rsidRPr="003923D7" w:rsidRDefault="00A173DF" w:rsidP="00A173DF">
      <w:pPr>
        <w:pStyle w:val="Paragraph"/>
        <w:numPr>
          <w:ilvl w:val="0"/>
          <w:numId w:val="0"/>
        </w:numPr>
        <w:spacing w:after="80"/>
        <w:ind w:left="720"/>
        <w:rPr>
          <w:rFonts w:ascii="Arial" w:hAnsi="Arial" w:cs="Arial"/>
          <w:b/>
          <w:szCs w:val="24"/>
          <w:lang w:val="es-ES_tradnl"/>
        </w:rPr>
      </w:pPr>
      <w:r w:rsidRPr="003923D7">
        <w:rPr>
          <w:rFonts w:ascii="Arial" w:hAnsi="Arial" w:cs="Arial"/>
          <w:b/>
          <w:szCs w:val="24"/>
          <w:lang w:val="es-ES_tradnl"/>
        </w:rPr>
        <w:t xml:space="preserve">        </w:t>
      </w:r>
      <w:r w:rsidR="00B727CC" w:rsidRPr="003923D7">
        <w:rPr>
          <w:rFonts w:ascii="Arial" w:hAnsi="Arial" w:cs="Arial"/>
          <w:b/>
          <w:szCs w:val="24"/>
          <w:lang w:val="es-ES_tradnl"/>
        </w:rPr>
        <w:t>Figura 2.1. Esquema de la metodología para el análisis de beneficios</w:t>
      </w:r>
    </w:p>
    <w:p w14:paraId="1C144959" w14:textId="77777777" w:rsidR="00B727CC" w:rsidRPr="003923D7" w:rsidRDefault="00B727CC" w:rsidP="00EE641D">
      <w:pPr>
        <w:pStyle w:val="Paragraph"/>
        <w:numPr>
          <w:ilvl w:val="0"/>
          <w:numId w:val="0"/>
        </w:numPr>
        <w:spacing w:before="240" w:after="80"/>
        <w:ind w:left="720"/>
        <w:jc w:val="center"/>
        <w:rPr>
          <w:rFonts w:ascii="Arial" w:hAnsi="Arial" w:cs="Arial"/>
          <w:szCs w:val="24"/>
          <w:lang w:val="es-ES_tradnl"/>
        </w:rPr>
      </w:pPr>
      <w:r w:rsidRPr="003923D7">
        <w:rPr>
          <w:rFonts w:ascii="Arial" w:hAnsi="Arial" w:cs="Arial"/>
          <w:noProof/>
          <w:color w:val="0070C0"/>
          <w:szCs w:val="24"/>
        </w:rPr>
        <w:drawing>
          <wp:inline distT="0" distB="0" distL="0" distR="0" wp14:anchorId="2337ECB1" wp14:editId="338012DA">
            <wp:extent cx="4352925" cy="2584580"/>
            <wp:effectExtent l="19050" t="19050" r="9525" b="2540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0842" cy="2589281"/>
                    </a:xfrm>
                    <a:prstGeom prst="rect">
                      <a:avLst/>
                    </a:prstGeom>
                    <a:noFill/>
                    <a:ln>
                      <a:solidFill>
                        <a:schemeClr val="tx1"/>
                      </a:solidFill>
                    </a:ln>
                  </pic:spPr>
                </pic:pic>
              </a:graphicData>
            </a:graphic>
          </wp:inline>
        </w:drawing>
      </w:r>
    </w:p>
    <w:p w14:paraId="514EABA8" w14:textId="77777777" w:rsidR="002338D2" w:rsidRPr="003923D7" w:rsidRDefault="002338D2" w:rsidP="00C11587">
      <w:pPr>
        <w:pStyle w:val="Paragraph"/>
        <w:numPr>
          <w:ilvl w:val="0"/>
          <w:numId w:val="0"/>
        </w:numPr>
        <w:spacing w:after="80"/>
        <w:ind w:left="720"/>
        <w:rPr>
          <w:rFonts w:ascii="Arial" w:hAnsi="Arial" w:cs="Arial"/>
          <w:b/>
          <w:lang w:val="es-ES_tradnl"/>
        </w:rPr>
      </w:pPr>
    </w:p>
    <w:p w14:paraId="521C1B14" w14:textId="77777777" w:rsidR="00EE7F47" w:rsidRPr="003923D7" w:rsidRDefault="00B12ED5" w:rsidP="00C11587">
      <w:pPr>
        <w:pStyle w:val="Paragraph"/>
        <w:tabs>
          <w:tab w:val="num" w:pos="720"/>
        </w:tabs>
        <w:ind w:left="720" w:hanging="720"/>
        <w:rPr>
          <w:rFonts w:ascii="Arial" w:hAnsi="Arial" w:cs="Arial"/>
          <w:lang w:val="es-ES_tradnl"/>
        </w:rPr>
      </w:pPr>
      <w:r w:rsidRPr="003923D7">
        <w:rPr>
          <w:rFonts w:ascii="Arial" w:hAnsi="Arial" w:cs="Arial"/>
          <w:b/>
          <w:lang w:val="es-ES_tradnl"/>
        </w:rPr>
        <w:t xml:space="preserve">Mejoras en </w:t>
      </w:r>
      <w:r w:rsidR="00007509" w:rsidRPr="003923D7">
        <w:rPr>
          <w:rFonts w:ascii="Arial" w:hAnsi="Arial" w:cs="Arial"/>
          <w:b/>
          <w:lang w:val="es-ES_tradnl"/>
        </w:rPr>
        <w:t>el índice de reforma financiera</w:t>
      </w:r>
      <w:r w:rsidRPr="003923D7">
        <w:rPr>
          <w:rFonts w:ascii="Arial" w:hAnsi="Arial" w:cs="Arial"/>
          <w:b/>
          <w:lang w:val="es-ES_tradnl"/>
        </w:rPr>
        <w:t xml:space="preserve">. </w:t>
      </w:r>
      <w:r w:rsidR="007011BC" w:rsidRPr="003923D7">
        <w:rPr>
          <w:rFonts w:ascii="Arial" w:hAnsi="Arial" w:cs="Arial"/>
          <w:lang w:val="es-ES_tradnl"/>
        </w:rPr>
        <w:t>En términos generales, el análisis se basa en el supuesto de que las deficiencias en los mercados que limitan las mejoras en l</w:t>
      </w:r>
      <w:r w:rsidR="005C506D" w:rsidRPr="003923D7">
        <w:rPr>
          <w:rFonts w:ascii="Arial" w:hAnsi="Arial" w:cs="Arial"/>
          <w:lang w:val="es-ES_tradnl"/>
        </w:rPr>
        <w:t xml:space="preserve">a asignación y el uso eficiente de los </w:t>
      </w:r>
      <w:r w:rsidR="007011BC" w:rsidRPr="003923D7">
        <w:rPr>
          <w:rFonts w:ascii="Arial" w:hAnsi="Arial" w:cs="Arial"/>
          <w:lang w:val="es-ES_tradnl"/>
        </w:rPr>
        <w:t>factores de producción</w:t>
      </w:r>
      <w:r w:rsidR="00BD6FF7" w:rsidRPr="003923D7">
        <w:rPr>
          <w:rFonts w:ascii="Arial" w:hAnsi="Arial" w:cs="Arial"/>
          <w:lang w:val="es-ES_tradnl"/>
        </w:rPr>
        <w:t xml:space="preserve"> reducen el crecimiento de la economía y la productividad en </w:t>
      </w:r>
      <w:r w:rsidR="00D15A60" w:rsidRPr="003923D7">
        <w:rPr>
          <w:rFonts w:ascii="Arial" w:hAnsi="Arial" w:cs="Arial"/>
          <w:lang w:val="es-ES_tradnl"/>
        </w:rPr>
        <w:t>la República Dominicana</w:t>
      </w:r>
      <w:r w:rsidR="004172D6" w:rsidRPr="003923D7">
        <w:rPr>
          <w:rFonts w:ascii="Arial" w:hAnsi="Arial" w:cs="Arial"/>
          <w:lang w:val="es-ES_tradnl"/>
        </w:rPr>
        <w:t>, en línea con la discusión realizada en párrafos anteriores. En términos particulares, los impactos de las reformas son tomadas del trabajo de Swiston y Barrot (2011). A este punto es necesario discutir la variación que se considera para el presente en lo que hace a las condiciones financieras</w:t>
      </w:r>
      <w:r w:rsidR="00832651" w:rsidRPr="003923D7">
        <w:rPr>
          <w:rFonts w:ascii="Arial" w:hAnsi="Arial" w:cs="Arial"/>
          <w:lang w:val="es-ES_tradnl"/>
        </w:rPr>
        <w:t xml:space="preserve"> </w:t>
      </w:r>
      <w:r w:rsidR="00007509" w:rsidRPr="003923D7">
        <w:rPr>
          <w:rFonts w:ascii="Arial" w:hAnsi="Arial" w:cs="Arial"/>
          <w:lang w:val="es-ES_tradnl"/>
        </w:rPr>
        <w:t xml:space="preserve">(se discute luego la de </w:t>
      </w:r>
      <w:r w:rsidR="00832651" w:rsidRPr="003923D7">
        <w:rPr>
          <w:rFonts w:ascii="Arial" w:hAnsi="Arial" w:cs="Arial"/>
          <w:lang w:val="es-ES_tradnl"/>
        </w:rPr>
        <w:t>productos</w:t>
      </w:r>
      <w:r w:rsidR="00007509" w:rsidRPr="003923D7">
        <w:rPr>
          <w:rFonts w:ascii="Arial" w:hAnsi="Arial" w:cs="Arial"/>
          <w:lang w:val="es-ES_tradnl"/>
        </w:rPr>
        <w:t>)</w:t>
      </w:r>
      <w:r w:rsidR="004172D6" w:rsidRPr="003923D7">
        <w:rPr>
          <w:rFonts w:ascii="Arial" w:hAnsi="Arial" w:cs="Arial"/>
          <w:lang w:val="es-ES_tradnl"/>
        </w:rPr>
        <w:t xml:space="preserve">. </w:t>
      </w:r>
      <w:r w:rsidR="005374B4" w:rsidRPr="003923D7">
        <w:rPr>
          <w:rFonts w:ascii="Arial" w:hAnsi="Arial" w:cs="Arial"/>
          <w:lang w:val="es-ES_tradnl"/>
        </w:rPr>
        <w:t xml:space="preserve">En este sentido, tal como surge de la descripción del programa, el objetivo de las reformas es </w:t>
      </w:r>
      <w:r w:rsidR="0066035D" w:rsidRPr="003923D7">
        <w:rPr>
          <w:rFonts w:ascii="Arial" w:hAnsi="Arial" w:cs="Arial"/>
          <w:color w:val="000000" w:themeColor="text1"/>
          <w:szCs w:val="24"/>
          <w:lang w:val="es-ES_tradnl"/>
        </w:rPr>
        <w:t>amplio</w:t>
      </w:r>
      <w:r w:rsidR="005374B4" w:rsidRPr="003923D7">
        <w:rPr>
          <w:rFonts w:ascii="Arial" w:hAnsi="Arial" w:cs="Arial"/>
          <w:lang w:val="es-ES_tradnl"/>
        </w:rPr>
        <w:t xml:space="preserve"> y busca acercar las condiciones financieras</w:t>
      </w:r>
      <w:r w:rsidR="00832651" w:rsidRPr="003923D7">
        <w:rPr>
          <w:rFonts w:ascii="Arial" w:hAnsi="Arial" w:cs="Arial"/>
          <w:lang w:val="es-ES_tradnl"/>
        </w:rPr>
        <w:t xml:space="preserve"> </w:t>
      </w:r>
      <w:r w:rsidR="00903B24" w:rsidRPr="003923D7">
        <w:rPr>
          <w:rFonts w:ascii="Arial" w:hAnsi="Arial" w:cs="Arial"/>
          <w:lang w:val="es-ES_tradnl"/>
        </w:rPr>
        <w:t>(</w:t>
      </w:r>
      <w:r w:rsidR="00832651" w:rsidRPr="003923D7">
        <w:rPr>
          <w:rFonts w:ascii="Arial" w:hAnsi="Arial" w:cs="Arial"/>
          <w:lang w:val="es-ES_tradnl"/>
        </w:rPr>
        <w:t xml:space="preserve">y </w:t>
      </w:r>
      <w:r w:rsidR="008F3364" w:rsidRPr="003923D7">
        <w:rPr>
          <w:rFonts w:ascii="Arial" w:hAnsi="Arial" w:cs="Arial"/>
          <w:lang w:val="es-ES_tradnl"/>
        </w:rPr>
        <w:t xml:space="preserve">de </w:t>
      </w:r>
      <w:r w:rsidR="00903B24" w:rsidRPr="003923D7">
        <w:rPr>
          <w:rFonts w:ascii="Arial" w:hAnsi="Arial" w:cs="Arial"/>
          <w:lang w:val="es-ES_tradnl"/>
        </w:rPr>
        <w:t xml:space="preserve">competitividad) </w:t>
      </w:r>
      <w:r w:rsidR="005374B4" w:rsidRPr="003923D7">
        <w:rPr>
          <w:rFonts w:ascii="Arial" w:hAnsi="Arial" w:cs="Arial"/>
          <w:lang w:val="es-ES_tradnl"/>
        </w:rPr>
        <w:lastRenderedPageBreak/>
        <w:t xml:space="preserve">con las observadas en los mercados relativamente más eficientes de la región. El trabajo de Swiston y Barrot presenta un ranking de eficiencia que puede utilizarse para parametrizar estos cambios. Siguiendo el espíritu conservador que debe primar en </w:t>
      </w:r>
      <w:r w:rsidR="008F3364" w:rsidRPr="003923D7">
        <w:rPr>
          <w:rFonts w:ascii="Arial" w:hAnsi="Arial" w:cs="Arial"/>
          <w:lang w:val="es-ES_tradnl"/>
        </w:rPr>
        <w:t xml:space="preserve">un </w:t>
      </w:r>
      <w:r w:rsidR="005374B4" w:rsidRPr="003923D7">
        <w:rPr>
          <w:rFonts w:ascii="Arial" w:hAnsi="Arial" w:cs="Arial"/>
          <w:lang w:val="es-ES_tradnl"/>
        </w:rPr>
        <w:t>análisis como el presente</w:t>
      </w:r>
      <w:r w:rsidR="008F3364" w:rsidRPr="003923D7">
        <w:rPr>
          <w:rFonts w:ascii="Arial" w:hAnsi="Arial" w:cs="Arial"/>
          <w:lang w:val="es-ES_tradnl"/>
        </w:rPr>
        <w:t>,</w:t>
      </w:r>
      <w:r w:rsidR="005374B4" w:rsidRPr="003923D7">
        <w:rPr>
          <w:rFonts w:ascii="Arial" w:hAnsi="Arial" w:cs="Arial"/>
          <w:lang w:val="es-ES_tradnl"/>
        </w:rPr>
        <w:t xml:space="preserve"> y considerando la dimensión de las reformas a implementar, se considera que es razonable suponer que de implementarse plenamente las reformas, el sistema financiero</w:t>
      </w:r>
      <w:r w:rsidR="00832651" w:rsidRPr="003923D7">
        <w:rPr>
          <w:rFonts w:ascii="Arial" w:hAnsi="Arial" w:cs="Arial"/>
          <w:lang w:val="es-ES_tradnl"/>
        </w:rPr>
        <w:t xml:space="preserve"> y los niveles de competitividad</w:t>
      </w:r>
      <w:r w:rsidR="005374B4" w:rsidRPr="003923D7">
        <w:rPr>
          <w:rFonts w:ascii="Arial" w:hAnsi="Arial" w:cs="Arial"/>
          <w:lang w:val="es-ES_tradnl"/>
        </w:rPr>
        <w:t xml:space="preserve"> alcanzaría</w:t>
      </w:r>
      <w:r w:rsidR="00832651" w:rsidRPr="003923D7">
        <w:rPr>
          <w:rFonts w:ascii="Arial" w:hAnsi="Arial" w:cs="Arial"/>
          <w:lang w:val="es-ES_tradnl"/>
        </w:rPr>
        <w:t>n</w:t>
      </w:r>
      <w:r w:rsidR="005374B4" w:rsidRPr="003923D7">
        <w:rPr>
          <w:rFonts w:ascii="Arial" w:hAnsi="Arial" w:cs="Arial"/>
          <w:lang w:val="es-ES_tradnl"/>
        </w:rPr>
        <w:t xml:space="preserve"> un nivel</w:t>
      </w:r>
      <w:r w:rsidR="00F955A6" w:rsidRPr="003923D7">
        <w:rPr>
          <w:rFonts w:ascii="Arial" w:hAnsi="Arial" w:cs="Arial"/>
          <w:lang w:val="es-ES_tradnl"/>
        </w:rPr>
        <w:t xml:space="preserve"> un 25% superior a la brecha que separa a DR de</w:t>
      </w:r>
      <w:r w:rsidR="005374B4" w:rsidRPr="003923D7">
        <w:rPr>
          <w:rFonts w:ascii="Arial" w:hAnsi="Arial" w:cs="Arial"/>
          <w:lang w:val="es-ES_tradnl"/>
        </w:rPr>
        <w:t>l promedio de México, Perú, y Chile.</w:t>
      </w:r>
      <w:r w:rsidR="005374B4" w:rsidRPr="003923D7">
        <w:rPr>
          <w:rStyle w:val="FootnoteReference"/>
          <w:rFonts w:ascii="Arial" w:hAnsi="Arial" w:cs="Arial"/>
          <w:lang w:val="es-ES_tradnl"/>
        </w:rPr>
        <w:footnoteReference w:id="25"/>
      </w:r>
      <w:r w:rsidR="0066035D" w:rsidRPr="003923D7">
        <w:rPr>
          <w:rFonts w:ascii="Arial" w:hAnsi="Arial" w:cs="Arial"/>
          <w:lang w:val="es-ES_tradnl"/>
        </w:rPr>
        <w:t>Sin embargo, siguiendo en línea con el enfoque conservador en la estimación de los beneficios</w:t>
      </w:r>
      <w:r w:rsidR="008F3364" w:rsidRPr="003923D7">
        <w:rPr>
          <w:rFonts w:ascii="Arial" w:hAnsi="Arial" w:cs="Arial"/>
          <w:lang w:val="es-ES_tradnl"/>
        </w:rPr>
        <w:t>,</w:t>
      </w:r>
      <w:r w:rsidR="0066035D" w:rsidRPr="003923D7">
        <w:rPr>
          <w:rFonts w:ascii="Arial" w:hAnsi="Arial" w:cs="Arial"/>
          <w:lang w:val="es-ES_tradnl"/>
        </w:rPr>
        <w:t xml:space="preserve"> y atendiendo a los potenciales problemas de ejecución, implementación, y de otro tipo que puedan surgir en el camino de las reformas, se supone que el impacto efectivo en el </w:t>
      </w:r>
      <w:r w:rsidR="005D28D1" w:rsidRPr="003923D7">
        <w:rPr>
          <w:rFonts w:ascii="Arial" w:hAnsi="Arial" w:cs="Arial"/>
          <w:lang w:val="es-ES_tradnl"/>
        </w:rPr>
        <w:t xml:space="preserve">escenario </w:t>
      </w:r>
      <w:r w:rsidR="0066035D" w:rsidRPr="003923D7">
        <w:rPr>
          <w:rFonts w:ascii="Arial" w:hAnsi="Arial" w:cs="Arial"/>
          <w:lang w:val="es-ES_tradnl"/>
        </w:rPr>
        <w:t xml:space="preserve">central es un 40% menor de lo que surge de las estimaciones de Swiston y Barrot (2011). Cabe aquí </w:t>
      </w:r>
      <w:r w:rsidR="00165506" w:rsidRPr="003923D7">
        <w:rPr>
          <w:rFonts w:ascii="Arial" w:hAnsi="Arial" w:cs="Arial"/>
          <w:lang w:val="es-ES_tradnl"/>
        </w:rPr>
        <w:t xml:space="preserve">notar una vez más la interpretación de esta sensibilización </w:t>
      </w:r>
      <m:oMath>
        <m:r>
          <w:rPr>
            <w:rFonts w:ascii="Cambria Math" w:hAnsi="Cambria Math" w:cs="Arial"/>
            <w:lang w:val="es-ES_tradnl"/>
          </w:rPr>
          <m:t>α</m:t>
        </m:r>
      </m:oMath>
      <w:r w:rsidR="00165506" w:rsidRPr="003923D7">
        <w:rPr>
          <w:rFonts w:ascii="Arial" w:hAnsi="Arial" w:cs="Arial"/>
          <w:lang w:val="es-ES_tradnl"/>
        </w:rPr>
        <w:t xml:space="preserve">; en particular se tiene que </w:t>
      </w:r>
      <m:oMath>
        <m:r>
          <w:rPr>
            <w:rFonts w:ascii="Cambria Math" w:hAnsi="Cambria Math" w:cs="Arial"/>
            <w:lang w:val="es-ES_tradnl"/>
          </w:rPr>
          <m:t>impacto efectivo=</m:t>
        </m:r>
        <m:r>
          <w:rPr>
            <w:rFonts w:ascii="Cambria Math" w:hAnsi="Cambria Math" w:cs="Arial"/>
          </w:rPr>
          <m:t>coef</m:t>
        </m:r>
        <m:r>
          <w:rPr>
            <w:rFonts w:ascii="Cambria Math" w:hAnsi="Cambria Math" w:cs="Arial"/>
            <w:lang w:val="es-ES_tradnl"/>
          </w:rPr>
          <m:t>. × ∆X×α</m:t>
        </m:r>
      </m:oMath>
      <w:r w:rsidR="00165506" w:rsidRPr="003923D7">
        <w:rPr>
          <w:rFonts w:ascii="Arial" w:hAnsi="Arial" w:cs="Arial"/>
          <w:lang w:val="es-ES_tradnl"/>
        </w:rPr>
        <w:t xml:space="preserve">, de lo cual resulta claro que </w:t>
      </w:r>
      <m:oMath>
        <m:r>
          <w:rPr>
            <w:rFonts w:ascii="Cambria Math" w:hAnsi="Cambria Math" w:cs="Arial"/>
            <w:lang w:val="es-ES_tradnl"/>
          </w:rPr>
          <m:t>α</m:t>
        </m:r>
      </m:oMath>
      <w:r w:rsidR="00165506" w:rsidRPr="003923D7">
        <w:rPr>
          <w:rFonts w:ascii="Arial" w:hAnsi="Arial" w:cs="Arial"/>
          <w:lang w:val="es-ES_tradnl"/>
        </w:rPr>
        <w:t xml:space="preserve"> puede interpretarse de múltiples maneras. </w:t>
      </w:r>
      <m:oMath>
        <m:r>
          <w:rPr>
            <w:rFonts w:ascii="Cambria Math" w:hAnsi="Cambria Math" w:cs="Arial"/>
            <w:lang w:val="es-ES_tradnl"/>
          </w:rPr>
          <m:t>∆X</m:t>
        </m:r>
      </m:oMath>
      <w:r w:rsidR="00F955A6" w:rsidRPr="003923D7">
        <w:rPr>
          <w:rFonts w:ascii="Arial" w:hAnsi="Arial" w:cs="Arial"/>
          <w:lang w:val="es-ES_tradnl"/>
        </w:rPr>
        <w:t xml:space="preserve"> indica el cambio en los índices de eficiencia, en tanto que </w:t>
      </w:r>
      <w:r w:rsidR="00165506" w:rsidRPr="003923D7">
        <w:rPr>
          <w:rFonts w:ascii="Arial" w:hAnsi="Arial" w:cs="Arial"/>
          <w:lang w:val="es-ES_tradnl"/>
        </w:rPr>
        <w:t xml:space="preserve">el coeficiente </w:t>
      </w:r>
      <m:oMath>
        <m:r>
          <w:rPr>
            <w:rFonts w:ascii="Cambria Math" w:hAnsi="Cambria Math" w:cs="Arial"/>
            <w:lang w:val="es-ES_tradnl"/>
          </w:rPr>
          <m:t>α</m:t>
        </m:r>
      </m:oMath>
      <w:r w:rsidR="00165506" w:rsidRPr="003923D7">
        <w:rPr>
          <w:rFonts w:ascii="Arial" w:hAnsi="Arial" w:cs="Arial"/>
          <w:lang w:val="es-ES_tradnl"/>
        </w:rPr>
        <w:t xml:space="preserve"> está capturando problemas de implementación y eficiencia</w:t>
      </w:r>
      <w:r w:rsidR="00F955A6" w:rsidRPr="003923D7">
        <w:rPr>
          <w:rFonts w:ascii="Arial" w:hAnsi="Arial" w:cs="Arial"/>
          <w:lang w:val="es-ES_tradnl"/>
        </w:rPr>
        <w:t xml:space="preserve"> que </w:t>
      </w:r>
      <w:r w:rsidR="00165506" w:rsidRPr="003923D7">
        <w:rPr>
          <w:rFonts w:ascii="Arial" w:hAnsi="Arial" w:cs="Arial"/>
          <w:lang w:val="es-ES_tradnl"/>
        </w:rPr>
        <w:t>puede interpretarse como una combinación lineal de múltiples factores</w:t>
      </w:r>
      <w:r w:rsidR="00F955A6" w:rsidRPr="003923D7">
        <w:rPr>
          <w:rFonts w:ascii="Arial" w:hAnsi="Arial" w:cs="Arial"/>
          <w:lang w:val="es-ES_tradnl"/>
        </w:rPr>
        <w:t xml:space="preserve">. </w:t>
      </w:r>
      <w:r w:rsidR="00165506" w:rsidRPr="003923D7">
        <w:rPr>
          <w:rFonts w:ascii="Arial" w:hAnsi="Arial" w:cs="Arial"/>
          <w:lang w:val="es-ES_tradnl"/>
        </w:rPr>
        <w:t xml:space="preserve">Dicho esto, se resalta una vez más que el </w:t>
      </w:r>
      <w:r w:rsidR="00F955A6" w:rsidRPr="003923D7">
        <w:rPr>
          <w:rFonts w:ascii="Arial" w:hAnsi="Arial" w:cs="Arial"/>
          <w:lang w:val="es-ES_tradnl"/>
        </w:rPr>
        <w:t xml:space="preserve">escenario </w:t>
      </w:r>
      <w:r w:rsidR="00165506" w:rsidRPr="003923D7">
        <w:rPr>
          <w:rFonts w:ascii="Arial" w:hAnsi="Arial" w:cs="Arial"/>
          <w:lang w:val="es-ES_tradnl"/>
        </w:rPr>
        <w:t xml:space="preserve">central ya incluye una sensibilización con </w:t>
      </w:r>
      <m:oMath>
        <m:r>
          <w:rPr>
            <w:rFonts w:ascii="Cambria Math" w:hAnsi="Cambria Math" w:cs="Arial"/>
            <w:lang w:val="es-ES_tradnl"/>
          </w:rPr>
          <m:t>α</m:t>
        </m:r>
      </m:oMath>
      <w:r w:rsidR="00165506" w:rsidRPr="003923D7">
        <w:rPr>
          <w:rFonts w:ascii="Arial" w:hAnsi="Arial" w:cs="Arial"/>
          <w:lang w:val="es-ES_tradnl"/>
        </w:rPr>
        <w:t>=0.6.</w:t>
      </w:r>
    </w:p>
    <w:p w14:paraId="2AA95BB6" w14:textId="77777777" w:rsidR="00903B24" w:rsidRPr="003923D7" w:rsidRDefault="00903B24" w:rsidP="00903B24">
      <w:pPr>
        <w:pStyle w:val="Paragraph"/>
        <w:tabs>
          <w:tab w:val="num" w:pos="720"/>
        </w:tabs>
        <w:ind w:left="720" w:hanging="720"/>
        <w:rPr>
          <w:rFonts w:ascii="Arial" w:hAnsi="Arial" w:cs="Arial"/>
          <w:color w:val="000000" w:themeColor="text1"/>
          <w:szCs w:val="24"/>
          <w:lang w:val="es-ES_tradnl"/>
        </w:rPr>
      </w:pPr>
      <w:r w:rsidRPr="003923D7">
        <w:rPr>
          <w:rFonts w:ascii="Arial" w:hAnsi="Arial" w:cs="Arial"/>
          <w:b/>
          <w:color w:val="000000" w:themeColor="text1"/>
          <w:szCs w:val="24"/>
          <w:lang w:val="es-ES_tradnl"/>
        </w:rPr>
        <w:t>Reformas clima de negocios y regulación</w:t>
      </w:r>
      <w:r w:rsidRPr="003923D7">
        <w:rPr>
          <w:rFonts w:ascii="Arial" w:hAnsi="Arial" w:cs="Arial"/>
          <w:color w:val="000000" w:themeColor="text1"/>
          <w:szCs w:val="24"/>
          <w:lang w:val="es-ES_tradnl"/>
        </w:rPr>
        <w:t>. Para el compon</w:t>
      </w:r>
      <w:r w:rsidR="007969C8" w:rsidRPr="003923D7">
        <w:rPr>
          <w:rFonts w:ascii="Arial" w:hAnsi="Arial" w:cs="Arial"/>
          <w:color w:val="000000" w:themeColor="text1"/>
          <w:szCs w:val="24"/>
          <w:lang w:val="es-ES_tradnl"/>
        </w:rPr>
        <w:t xml:space="preserve">ente de competitividad, el impacto esperado se computa teniendo en cuenta los resultados de las estimaciones de Dabla-Norris y otros. </w:t>
      </w:r>
      <w:r w:rsidR="00AB18D8" w:rsidRPr="003923D7">
        <w:rPr>
          <w:rFonts w:ascii="Arial" w:hAnsi="Arial" w:cs="Arial"/>
          <w:color w:val="000000" w:themeColor="text1"/>
          <w:szCs w:val="24"/>
          <w:lang w:val="es-ES_tradnl"/>
        </w:rPr>
        <w:t>En este caso se sigue también metodológicamente el trabajo de referencia y se toma la información sobre regulación del Índice Fraser. En este caso, para establecer el cambio esperado por la reforma se toman como referencia a los países de la región a los que se espera acercarse con esta reforma (Colombia, Chile, Perú, Panamá), lo que equivale a una mejora del índice de regulación de un 13,2%</w:t>
      </w:r>
      <w:r w:rsidR="005F28F1" w:rsidRPr="003923D7">
        <w:rPr>
          <w:rFonts w:ascii="Arial" w:hAnsi="Arial" w:cs="Arial"/>
          <w:color w:val="000000" w:themeColor="text1"/>
          <w:szCs w:val="24"/>
          <w:lang w:val="es-ES_tradnl"/>
        </w:rPr>
        <w:t>.</w:t>
      </w:r>
      <w:r w:rsidR="00CA7808" w:rsidRPr="003923D7">
        <w:rPr>
          <w:rFonts w:ascii="Arial" w:hAnsi="Arial" w:cs="Arial"/>
          <w:color w:val="000000" w:themeColor="text1"/>
          <w:szCs w:val="24"/>
          <w:lang w:val="es-ES_tradnl"/>
        </w:rPr>
        <w:t xml:space="preserve"> Cabe </w:t>
      </w:r>
      <w:r w:rsidR="00DC10F8" w:rsidRPr="003923D7">
        <w:rPr>
          <w:rFonts w:ascii="Arial" w:hAnsi="Arial" w:cs="Arial"/>
          <w:color w:val="000000" w:themeColor="text1"/>
          <w:szCs w:val="24"/>
          <w:lang w:val="es-ES_tradnl"/>
        </w:rPr>
        <w:t>notar,</w:t>
      </w:r>
      <w:r w:rsidR="00CA7808" w:rsidRPr="003923D7">
        <w:rPr>
          <w:rFonts w:ascii="Arial" w:hAnsi="Arial" w:cs="Arial"/>
          <w:color w:val="000000" w:themeColor="text1"/>
          <w:szCs w:val="24"/>
          <w:lang w:val="es-ES_tradnl"/>
        </w:rPr>
        <w:t xml:space="preserve"> además, que los resultados de las estimaciones que se consideran son los correspondientes a las regresiones para países en el tercer cuartil (lugar donde se ubica la República Dominica consistentemente</w:t>
      </w:r>
      <w:r w:rsidR="00BB7126" w:rsidRPr="003923D7">
        <w:rPr>
          <w:rFonts w:ascii="Arial" w:hAnsi="Arial" w:cs="Arial"/>
          <w:color w:val="000000" w:themeColor="text1"/>
          <w:szCs w:val="24"/>
          <w:lang w:val="es-ES_tradnl"/>
        </w:rPr>
        <w:t>,</w:t>
      </w:r>
      <w:r w:rsidR="00CA7808" w:rsidRPr="003923D7">
        <w:rPr>
          <w:rFonts w:ascii="Arial" w:hAnsi="Arial" w:cs="Arial"/>
          <w:color w:val="000000" w:themeColor="text1"/>
          <w:szCs w:val="24"/>
          <w:lang w:val="es-ES_tradnl"/>
        </w:rPr>
        <w:t xml:space="preserve"> utilizando los ordenamiento</w:t>
      </w:r>
      <w:r w:rsidR="00BB7126" w:rsidRPr="003923D7">
        <w:rPr>
          <w:rFonts w:ascii="Arial" w:hAnsi="Arial" w:cs="Arial"/>
          <w:color w:val="000000" w:themeColor="text1"/>
          <w:szCs w:val="24"/>
          <w:lang w:val="es-ES_tradnl"/>
        </w:rPr>
        <w:t>s</w:t>
      </w:r>
      <w:r w:rsidR="00CA7808" w:rsidRPr="003923D7">
        <w:rPr>
          <w:rFonts w:ascii="Arial" w:hAnsi="Arial" w:cs="Arial"/>
          <w:color w:val="000000" w:themeColor="text1"/>
          <w:szCs w:val="24"/>
          <w:lang w:val="es-ES_tradnl"/>
        </w:rPr>
        <w:t xml:space="preserve"> de países por ingreso del FMI, Banco Mundial, y Naciones Unidas.</w:t>
      </w:r>
    </w:p>
    <w:p w14:paraId="3E3013C2" w14:textId="77777777" w:rsidR="00B141A9" w:rsidRPr="003923D7" w:rsidRDefault="00B141A9" w:rsidP="00EE1202">
      <w:pPr>
        <w:pStyle w:val="Paragraph"/>
        <w:numPr>
          <w:ilvl w:val="0"/>
          <w:numId w:val="0"/>
        </w:numPr>
        <w:spacing w:after="80"/>
        <w:ind w:left="720"/>
        <w:rPr>
          <w:rFonts w:ascii="Arial" w:hAnsi="Arial" w:cs="Arial"/>
          <w:lang w:val="es-ES_tradnl"/>
        </w:rPr>
      </w:pPr>
    </w:p>
    <w:p w14:paraId="5572CD9F" w14:textId="77777777" w:rsidR="002D509F" w:rsidRPr="003923D7" w:rsidRDefault="00C50872">
      <w:pPr>
        <w:pStyle w:val="Paragraph"/>
        <w:tabs>
          <w:tab w:val="num" w:pos="720"/>
        </w:tabs>
        <w:spacing w:after="80"/>
        <w:ind w:left="720" w:hanging="720"/>
        <w:rPr>
          <w:rFonts w:ascii="Arial" w:hAnsi="Arial" w:cs="Arial"/>
          <w:lang w:val="es-ES_tradnl"/>
        </w:rPr>
      </w:pPr>
      <w:bookmarkStart w:id="6" w:name="_Ref360616502"/>
      <w:r w:rsidRPr="003923D7">
        <w:rPr>
          <w:rFonts w:ascii="Arial" w:hAnsi="Arial" w:cs="Arial"/>
          <w:b/>
          <w:lang w:val="es-ES_tradnl"/>
        </w:rPr>
        <w:t>En</w:t>
      </w:r>
      <w:r w:rsidR="00E41090" w:rsidRPr="003923D7">
        <w:rPr>
          <w:rFonts w:ascii="Arial" w:hAnsi="Arial" w:cs="Arial"/>
          <w:b/>
          <w:lang w:val="es-ES_tradnl"/>
        </w:rPr>
        <w:t xml:space="preserve"> resumen</w:t>
      </w:r>
      <w:r w:rsidR="00E41090" w:rsidRPr="003923D7">
        <w:rPr>
          <w:rFonts w:ascii="Arial" w:hAnsi="Arial" w:cs="Arial"/>
          <w:lang w:val="es-ES_tradnl"/>
        </w:rPr>
        <w:t>:</w:t>
      </w:r>
      <w:bookmarkEnd w:id="6"/>
    </w:p>
    <w:p w14:paraId="304725ED" w14:textId="77777777" w:rsidR="007D15AA" w:rsidRPr="003923D7" w:rsidRDefault="00AE1664" w:rsidP="00827A7F">
      <w:pPr>
        <w:pStyle w:val="subpar"/>
        <w:numPr>
          <w:ilvl w:val="2"/>
          <w:numId w:val="9"/>
        </w:numPr>
        <w:tabs>
          <w:tab w:val="clear" w:pos="2304"/>
          <w:tab w:val="num" w:pos="1710"/>
        </w:tabs>
        <w:ind w:left="1710"/>
        <w:rPr>
          <w:rFonts w:ascii="Arial" w:hAnsi="Arial" w:cs="Arial"/>
          <w:lang w:val="es-ES_tradnl"/>
        </w:rPr>
      </w:pPr>
      <w:r w:rsidRPr="003923D7">
        <w:rPr>
          <w:rFonts w:ascii="Arial" w:hAnsi="Arial" w:cs="Arial"/>
          <w:lang w:val="es-ES_tradnl"/>
        </w:rPr>
        <w:t xml:space="preserve">Con relación al incremento en las tasas de crecimiento del PIB por efecto de la implementación de las reformas </w:t>
      </w:r>
      <w:r w:rsidR="00CA7808" w:rsidRPr="003923D7">
        <w:rPr>
          <w:rFonts w:ascii="Arial" w:hAnsi="Arial" w:cs="Arial"/>
          <w:lang w:val="es-ES_tradnl"/>
        </w:rPr>
        <w:t xml:space="preserve">financieras </w:t>
      </w:r>
      <w:r w:rsidR="008759A4" w:rsidRPr="003923D7">
        <w:rPr>
          <w:rFonts w:ascii="Arial" w:hAnsi="Arial" w:cs="Arial"/>
          <w:lang w:val="es-ES_tradnl"/>
        </w:rPr>
        <w:t>se toma como base los resultados de un estudio sobre el impacto de las reformas estructurales en América Central</w:t>
      </w:r>
      <w:r w:rsidR="008759A4" w:rsidRPr="003923D7">
        <w:rPr>
          <w:rStyle w:val="FootnoteReference"/>
          <w:rFonts w:ascii="Arial" w:hAnsi="Arial" w:cs="Arial"/>
          <w:lang w:val="es-ES_tradnl"/>
        </w:rPr>
        <w:footnoteReference w:id="26"/>
      </w:r>
      <w:r w:rsidR="00B426F6" w:rsidRPr="003923D7">
        <w:rPr>
          <w:rFonts w:ascii="Arial" w:hAnsi="Arial" w:cs="Arial"/>
          <w:lang w:val="es-ES_tradnl"/>
        </w:rPr>
        <w:t>.</w:t>
      </w:r>
      <w:r w:rsidR="007D15AA" w:rsidRPr="003923D7">
        <w:rPr>
          <w:rFonts w:ascii="Arial" w:hAnsi="Arial" w:cs="Arial"/>
          <w:lang w:val="es-ES_tradnl"/>
        </w:rPr>
        <w:t xml:space="preserve"> De dicho estudio </w:t>
      </w:r>
      <w:r w:rsidR="007D15AA" w:rsidRPr="003923D7">
        <w:rPr>
          <w:rFonts w:ascii="Arial" w:hAnsi="Arial" w:cs="Arial"/>
          <w:lang w:val="es-ES_tradnl"/>
        </w:rPr>
        <w:lastRenderedPageBreak/>
        <w:t xml:space="preserve">se toma la elasticidad de la tasa de crecimiento a las reformas </w:t>
      </w:r>
      <w:r w:rsidR="00E41090" w:rsidRPr="003923D7">
        <w:rPr>
          <w:rFonts w:ascii="Arial" w:hAnsi="Arial" w:cs="Arial"/>
          <w:lang w:val="es-ES_tradnl"/>
        </w:rPr>
        <w:t>financieras</w:t>
      </w:r>
      <w:r w:rsidR="00CA7808" w:rsidRPr="003923D7">
        <w:rPr>
          <w:rFonts w:ascii="Arial" w:hAnsi="Arial" w:cs="Arial"/>
          <w:lang w:val="es-ES_tradnl"/>
        </w:rPr>
        <w:t>.</w:t>
      </w:r>
      <w:r w:rsidR="00FE3ABA" w:rsidRPr="003923D7">
        <w:rPr>
          <w:rFonts w:ascii="Arial" w:hAnsi="Arial" w:cs="Arial"/>
          <w:lang w:val="es-ES_tradnl"/>
        </w:rPr>
        <w:t xml:space="preserve"> </w:t>
      </w:r>
      <w:r w:rsidR="005030D8" w:rsidRPr="003923D7">
        <w:rPr>
          <w:rFonts w:ascii="Arial" w:hAnsi="Arial" w:cs="Arial"/>
          <w:lang w:val="es-ES_tradnl"/>
        </w:rPr>
        <w:t xml:space="preserve">A los efectos de mantener la razonabilidad de los supuestos, se distribuye el efecto de las reformas a lo largo de tres años (es decir, el impacto no se manifiesta </w:t>
      </w:r>
      <w:r w:rsidR="00BB7126" w:rsidRPr="003923D7">
        <w:rPr>
          <w:rFonts w:ascii="Arial" w:hAnsi="Arial" w:cs="Arial"/>
          <w:lang w:val="es-ES_tradnl"/>
        </w:rPr>
        <w:t>inmediatamente,</w:t>
      </w:r>
      <w:r w:rsidR="005030D8" w:rsidRPr="003923D7">
        <w:rPr>
          <w:rFonts w:ascii="Arial" w:hAnsi="Arial" w:cs="Arial"/>
          <w:lang w:val="es-ES_tradnl"/>
        </w:rPr>
        <w:t xml:space="preserve"> sino que distribuye a lo largo de tres años:</w:t>
      </w:r>
      <w:r w:rsidR="00BB7126" w:rsidRPr="003923D7">
        <w:rPr>
          <w:rFonts w:ascii="Arial" w:hAnsi="Arial" w:cs="Arial"/>
          <w:lang w:val="es-ES_tradnl"/>
        </w:rPr>
        <w:t xml:space="preserve"> </w:t>
      </w:r>
      <w:r w:rsidR="005030D8" w:rsidRPr="003923D7">
        <w:rPr>
          <w:rFonts w:ascii="Arial" w:hAnsi="Arial" w:cs="Arial"/>
          <w:lang w:val="es-ES_tradnl"/>
        </w:rPr>
        <w:t>201</w:t>
      </w:r>
      <w:r w:rsidR="008C4026" w:rsidRPr="003923D7">
        <w:rPr>
          <w:rFonts w:ascii="Arial" w:hAnsi="Arial" w:cs="Arial"/>
          <w:lang w:val="es-ES_tradnl"/>
        </w:rPr>
        <w:t>7</w:t>
      </w:r>
      <w:r w:rsidR="005030D8" w:rsidRPr="003923D7">
        <w:rPr>
          <w:rFonts w:ascii="Arial" w:hAnsi="Arial" w:cs="Arial"/>
          <w:lang w:val="es-ES_tradnl"/>
        </w:rPr>
        <w:t>-201</w:t>
      </w:r>
      <w:r w:rsidR="008C4026" w:rsidRPr="003923D7">
        <w:rPr>
          <w:rFonts w:ascii="Arial" w:hAnsi="Arial" w:cs="Arial"/>
          <w:lang w:val="es-ES_tradnl"/>
        </w:rPr>
        <w:t>9</w:t>
      </w:r>
      <w:r w:rsidR="005030D8" w:rsidRPr="003923D7">
        <w:rPr>
          <w:rFonts w:ascii="Arial" w:hAnsi="Arial" w:cs="Arial"/>
          <w:lang w:val="es-ES_tradnl"/>
        </w:rPr>
        <w:t>).</w:t>
      </w:r>
      <w:r w:rsidR="00CA7808" w:rsidRPr="003923D7">
        <w:rPr>
          <w:rFonts w:ascii="Arial" w:hAnsi="Arial" w:cs="Arial"/>
          <w:lang w:val="es-ES_tradnl"/>
        </w:rPr>
        <w:t xml:space="preserve"> Para las reformas de clima de negocios se</w:t>
      </w:r>
      <w:r w:rsidR="009A19DD" w:rsidRPr="003923D7">
        <w:rPr>
          <w:rFonts w:ascii="Arial" w:hAnsi="Arial" w:cs="Arial"/>
          <w:lang w:val="es-ES_tradnl"/>
        </w:rPr>
        <w:t xml:space="preserve"> parte del marco empírico propuesto por Dabla-Norris y otros (2013). En este caso, </w:t>
      </w:r>
      <w:r w:rsidR="0077489D" w:rsidRPr="003923D7">
        <w:rPr>
          <w:rFonts w:ascii="Arial" w:hAnsi="Arial" w:cs="Arial"/>
          <w:lang w:val="es-ES_tradnl"/>
        </w:rPr>
        <w:t>aún</w:t>
      </w:r>
      <w:r w:rsidR="009A19DD" w:rsidRPr="003923D7">
        <w:rPr>
          <w:rFonts w:ascii="Arial" w:hAnsi="Arial" w:cs="Arial"/>
          <w:lang w:val="es-ES_tradnl"/>
        </w:rPr>
        <w:t xml:space="preserve"> cuando los parámetros puede</w:t>
      </w:r>
      <w:r w:rsidR="00BB7126" w:rsidRPr="003923D7">
        <w:rPr>
          <w:rFonts w:ascii="Arial" w:hAnsi="Arial" w:cs="Arial"/>
          <w:lang w:val="es-ES_tradnl"/>
        </w:rPr>
        <w:t>n</w:t>
      </w:r>
      <w:r w:rsidR="009A19DD" w:rsidRPr="003923D7">
        <w:rPr>
          <w:rFonts w:ascii="Arial" w:hAnsi="Arial" w:cs="Arial"/>
          <w:lang w:val="es-ES_tradnl"/>
        </w:rPr>
        <w:t xml:space="preserve"> interpretarse como de corto plazo, también se distribuyen los efectos en tres años</w:t>
      </w:r>
      <w:r w:rsidR="00BB7126" w:rsidRPr="003923D7">
        <w:rPr>
          <w:rFonts w:ascii="Arial" w:hAnsi="Arial" w:cs="Arial"/>
          <w:lang w:val="es-ES_tradnl"/>
        </w:rPr>
        <w:t>,</w:t>
      </w:r>
      <w:r w:rsidR="009A19DD" w:rsidRPr="003923D7">
        <w:rPr>
          <w:rFonts w:ascii="Arial" w:hAnsi="Arial" w:cs="Arial"/>
          <w:lang w:val="es-ES_tradnl"/>
        </w:rPr>
        <w:t xml:space="preserve"> atendiendo a la probabilidad de una reforma escalonada.</w:t>
      </w:r>
      <w:r w:rsidR="009A19DD" w:rsidRPr="003923D7">
        <w:rPr>
          <w:rStyle w:val="FootnoteReference"/>
          <w:rFonts w:ascii="Arial" w:hAnsi="Arial" w:cs="Arial"/>
          <w:lang w:val="es-ES_tradnl"/>
        </w:rPr>
        <w:footnoteReference w:id="27"/>
      </w:r>
    </w:p>
    <w:p w14:paraId="48F87AC8" w14:textId="77777777" w:rsidR="00E41090" w:rsidRPr="003923D7" w:rsidRDefault="007D15AA">
      <w:pPr>
        <w:pStyle w:val="subpar"/>
        <w:numPr>
          <w:ilvl w:val="2"/>
          <w:numId w:val="9"/>
        </w:numPr>
        <w:tabs>
          <w:tab w:val="clear" w:pos="2304"/>
          <w:tab w:val="num" w:pos="1710"/>
        </w:tabs>
        <w:ind w:left="1710"/>
        <w:rPr>
          <w:rFonts w:ascii="Arial" w:hAnsi="Arial" w:cs="Arial"/>
          <w:lang w:val="es-ES_tradnl"/>
        </w:rPr>
      </w:pPr>
      <w:r w:rsidRPr="003923D7">
        <w:rPr>
          <w:rFonts w:ascii="Arial" w:hAnsi="Arial" w:cs="Arial"/>
          <w:lang w:val="es-ES_tradnl"/>
        </w:rPr>
        <w:t xml:space="preserve">En cuanto a los índices que representan el estado de estas reformas (cuyo cambio deriva en el impacto sobre la tasa de crecimiento vía las elasticidades mencionadas en el párrafo anterior), se consideran los índices calculados en </w:t>
      </w:r>
      <w:r w:rsidR="009A19DD" w:rsidRPr="003923D7">
        <w:rPr>
          <w:rFonts w:ascii="Arial" w:hAnsi="Arial" w:cs="Arial"/>
          <w:lang w:val="es-ES_tradnl"/>
        </w:rPr>
        <w:t>Swiston y Barrot y la distancia entre el índice de República Dominicana y el promedio de Colombia, Chile, Perú, y Panamá)</w:t>
      </w:r>
      <w:r w:rsidRPr="003923D7">
        <w:rPr>
          <w:rFonts w:ascii="Arial" w:hAnsi="Arial" w:cs="Arial"/>
          <w:lang w:val="es-ES_tradnl"/>
        </w:rPr>
        <w:t>. En particular, se supone que la reforma</w:t>
      </w:r>
      <w:r w:rsidR="00FF06F7" w:rsidRPr="003923D7">
        <w:rPr>
          <w:rFonts w:ascii="Arial" w:hAnsi="Arial" w:cs="Arial"/>
          <w:lang w:val="es-ES_tradnl"/>
        </w:rPr>
        <w:t xml:space="preserve"> financiera</w:t>
      </w:r>
      <w:r w:rsidRPr="003923D7">
        <w:rPr>
          <w:rFonts w:ascii="Arial" w:hAnsi="Arial" w:cs="Arial"/>
          <w:lang w:val="es-ES_tradnl"/>
        </w:rPr>
        <w:t xml:space="preserve"> </w:t>
      </w:r>
      <w:r w:rsidR="00853EA3" w:rsidRPr="003923D7">
        <w:rPr>
          <w:rFonts w:ascii="Arial" w:hAnsi="Arial" w:cs="Arial"/>
          <w:lang w:val="es-ES_tradnl"/>
        </w:rPr>
        <w:t>reducirá a la mitad</w:t>
      </w:r>
      <w:r w:rsidRPr="003923D7">
        <w:rPr>
          <w:rFonts w:ascii="Arial" w:hAnsi="Arial" w:cs="Arial"/>
          <w:lang w:val="es-ES_tradnl"/>
        </w:rPr>
        <w:t xml:space="preserve"> la brecha existente entre </w:t>
      </w:r>
      <w:r w:rsidR="00C50872" w:rsidRPr="003923D7">
        <w:rPr>
          <w:rFonts w:ascii="Arial" w:hAnsi="Arial" w:cs="Arial"/>
          <w:lang w:val="es-ES_tradnl"/>
        </w:rPr>
        <w:t>la República Dominicana</w:t>
      </w:r>
      <w:r w:rsidRPr="003923D7">
        <w:rPr>
          <w:rFonts w:ascii="Arial" w:hAnsi="Arial" w:cs="Arial"/>
          <w:lang w:val="es-ES_tradnl"/>
        </w:rPr>
        <w:t xml:space="preserve"> y </w:t>
      </w:r>
      <w:r w:rsidR="00853EA3" w:rsidRPr="003923D7">
        <w:rPr>
          <w:rFonts w:ascii="Arial" w:hAnsi="Arial" w:cs="Arial"/>
          <w:lang w:val="es-ES_tradnl"/>
        </w:rPr>
        <w:t>LA-3</w:t>
      </w:r>
      <w:r w:rsidR="00FF06F7" w:rsidRPr="003923D7">
        <w:rPr>
          <w:rFonts w:ascii="Arial" w:hAnsi="Arial" w:cs="Arial"/>
          <w:lang w:val="es-ES_tradnl"/>
        </w:rPr>
        <w:t>, y que el índice de regulación mejorará en 13,2%.</w:t>
      </w:r>
    </w:p>
    <w:p w14:paraId="7F8B361A" w14:textId="77777777" w:rsidR="00DA5AE5" w:rsidRPr="003923D7" w:rsidRDefault="00786229" w:rsidP="00FF5E71">
      <w:pPr>
        <w:pStyle w:val="subpar"/>
        <w:numPr>
          <w:ilvl w:val="2"/>
          <w:numId w:val="9"/>
        </w:numPr>
        <w:tabs>
          <w:tab w:val="clear" w:pos="2304"/>
          <w:tab w:val="num" w:pos="1710"/>
        </w:tabs>
        <w:ind w:left="1710"/>
        <w:rPr>
          <w:rFonts w:ascii="Arial" w:hAnsi="Arial" w:cs="Arial"/>
          <w:sz w:val="20"/>
          <w:lang w:val="es-ES_tradnl"/>
        </w:rPr>
      </w:pPr>
      <w:r w:rsidRPr="003923D7">
        <w:rPr>
          <w:rFonts w:ascii="Arial" w:hAnsi="Arial" w:cs="Arial"/>
          <w:lang w:val="es-ES_tradnl"/>
        </w:rPr>
        <w:t>Adicionalmente se considera la posibilidad de que las reformas</w:t>
      </w:r>
      <w:r w:rsidR="00FF06F7" w:rsidRPr="003923D7">
        <w:rPr>
          <w:rFonts w:ascii="Arial" w:hAnsi="Arial" w:cs="Arial"/>
          <w:lang w:val="es-ES_tradnl"/>
        </w:rPr>
        <w:t xml:space="preserve"> financieras</w:t>
      </w:r>
      <w:r w:rsidRPr="003923D7">
        <w:rPr>
          <w:rFonts w:ascii="Arial" w:hAnsi="Arial" w:cs="Arial"/>
          <w:lang w:val="es-ES_tradnl"/>
        </w:rPr>
        <w:t xml:space="preserve"> no sean implementadas adecuadamente, o tengan un alcance menor, o que el efecto sea menor al esperado. En ese sentido, se utiliza el parámetro </w:t>
      </w:r>
      <m:oMath>
        <m:r>
          <w:rPr>
            <w:rFonts w:ascii="Cambria Math" w:hAnsi="Cambria Math" w:cs="Arial"/>
            <w:lang w:val="es-ES_tradnl"/>
          </w:rPr>
          <m:t>α</m:t>
        </m:r>
      </m:oMath>
      <w:r w:rsidRPr="003923D7">
        <w:rPr>
          <w:rFonts w:ascii="Arial" w:hAnsi="Arial" w:cs="Arial"/>
          <w:lang w:val="es-ES_tradnl"/>
        </w:rPr>
        <w:t xml:space="preserve"> para proceder a dicho ajuste. Cuando dicho </w:t>
      </w:r>
      <w:r w:rsidR="00BB7126" w:rsidRPr="003923D7">
        <w:rPr>
          <w:rFonts w:ascii="Arial" w:hAnsi="Arial" w:cs="Arial"/>
          <w:lang w:val="es-ES_tradnl"/>
        </w:rPr>
        <w:t>parámetro</w:t>
      </w:r>
      <w:r w:rsidRPr="003923D7">
        <w:rPr>
          <w:rFonts w:ascii="Arial" w:hAnsi="Arial" w:cs="Arial"/>
          <w:lang w:val="es-AR"/>
        </w:rPr>
        <w:t xml:space="preserve"> toma un valor igual a </w:t>
      </w:r>
      <w:r w:rsidR="00B60318" w:rsidRPr="003923D7">
        <w:rPr>
          <w:rFonts w:ascii="Arial" w:hAnsi="Arial" w:cs="Arial"/>
          <w:lang w:val="es-AR"/>
        </w:rPr>
        <w:t>0.6</w:t>
      </w:r>
      <w:r w:rsidRPr="003923D7">
        <w:rPr>
          <w:rFonts w:ascii="Arial" w:hAnsi="Arial" w:cs="Arial"/>
          <w:lang w:val="es-AR"/>
        </w:rPr>
        <w:t xml:space="preserve"> (</w:t>
      </w:r>
      <w:r w:rsidR="00B60318" w:rsidRPr="003923D7">
        <w:rPr>
          <w:rFonts w:ascii="Arial" w:hAnsi="Arial" w:cs="Arial"/>
          <w:lang w:val="es-AR"/>
        </w:rPr>
        <w:t>6</w:t>
      </w:r>
      <w:r w:rsidRPr="003923D7">
        <w:rPr>
          <w:rFonts w:ascii="Arial" w:hAnsi="Arial" w:cs="Arial"/>
          <w:lang w:val="es-AR"/>
        </w:rPr>
        <w:t xml:space="preserve">0%), se supone que las reformas son implementadas </w:t>
      </w:r>
      <w:r w:rsidR="00B60318" w:rsidRPr="003923D7">
        <w:rPr>
          <w:rFonts w:ascii="Arial" w:hAnsi="Arial" w:cs="Arial"/>
          <w:lang w:val="es-AR"/>
        </w:rPr>
        <w:t>imperfectamente o con cierta in</w:t>
      </w:r>
      <w:r w:rsidRPr="003923D7">
        <w:rPr>
          <w:rFonts w:ascii="Arial" w:hAnsi="Arial" w:cs="Arial"/>
          <w:lang w:val="es-AR"/>
        </w:rPr>
        <w:t>eficiencia</w:t>
      </w:r>
      <w:r w:rsidR="00BB7126" w:rsidRPr="003923D7">
        <w:rPr>
          <w:rFonts w:ascii="Arial" w:hAnsi="Arial" w:cs="Arial"/>
          <w:lang w:val="es-AR"/>
        </w:rPr>
        <w:t>,</w:t>
      </w:r>
      <w:r w:rsidRPr="003923D7">
        <w:rPr>
          <w:rFonts w:ascii="Arial" w:hAnsi="Arial" w:cs="Arial"/>
          <w:lang w:val="es-AR"/>
        </w:rPr>
        <w:t xml:space="preserve"> o que las mismas</w:t>
      </w:r>
      <w:r w:rsidR="00B60318" w:rsidRPr="003923D7">
        <w:rPr>
          <w:rFonts w:ascii="Arial" w:hAnsi="Arial" w:cs="Arial"/>
          <w:lang w:val="es-AR"/>
        </w:rPr>
        <w:t xml:space="preserve"> no</w:t>
      </w:r>
      <w:r w:rsidRPr="003923D7">
        <w:rPr>
          <w:rFonts w:ascii="Arial" w:hAnsi="Arial" w:cs="Arial"/>
          <w:lang w:val="es-AR"/>
        </w:rPr>
        <w:t xml:space="preserve"> tiene</w:t>
      </w:r>
      <w:r w:rsidR="00B60318" w:rsidRPr="003923D7">
        <w:rPr>
          <w:rFonts w:ascii="Arial" w:hAnsi="Arial" w:cs="Arial"/>
          <w:lang w:val="es-AR"/>
        </w:rPr>
        <w:t>n</w:t>
      </w:r>
      <w:r w:rsidRPr="003923D7">
        <w:rPr>
          <w:rFonts w:ascii="Arial" w:hAnsi="Arial" w:cs="Arial"/>
          <w:lang w:val="es-AR"/>
        </w:rPr>
        <w:t xml:space="preserve"> el efecto esperado sobre la brecha relativa a otros países de la región. Si dicho parámetro tomara el valor de cero, se estaría en el caso en el que las reformas no fueron implementadas o que tuvieron un impacto nulo sobre los niveles de eficiencia de la economía. </w:t>
      </w:r>
      <w:r w:rsidR="00AE1664" w:rsidRPr="003923D7">
        <w:rPr>
          <w:rFonts w:ascii="Arial" w:hAnsi="Arial" w:cs="Arial"/>
          <w:lang w:val="es-ES_tradnl"/>
        </w:rPr>
        <w:t xml:space="preserve">Con relación a la efectividad en la implementación de las reformas propuestas </w:t>
      </w:r>
      <w:r w:rsidR="00B426F6" w:rsidRPr="003923D7">
        <w:rPr>
          <w:rFonts w:ascii="Arial" w:hAnsi="Arial" w:cs="Arial"/>
          <w:lang w:val="es-ES_tradnl"/>
        </w:rPr>
        <w:t xml:space="preserve">se consideran tres escenarios alternativos en los que las reformas son implementadas con un grado variable de efectividad que va desde </w:t>
      </w:r>
      <w:r w:rsidR="00B60318" w:rsidRPr="003923D7">
        <w:rPr>
          <w:rFonts w:ascii="Arial" w:hAnsi="Arial" w:cs="Arial"/>
          <w:lang w:val="es-ES_tradnl"/>
        </w:rPr>
        <w:t>75</w:t>
      </w:r>
      <w:r w:rsidR="00B426F6" w:rsidRPr="003923D7">
        <w:rPr>
          <w:rFonts w:ascii="Arial" w:hAnsi="Arial" w:cs="Arial"/>
          <w:lang w:val="es-ES_tradnl"/>
        </w:rPr>
        <w:t>%</w:t>
      </w:r>
      <w:r w:rsidR="00AC01F2" w:rsidRPr="003923D7">
        <w:rPr>
          <w:rFonts w:ascii="Arial" w:hAnsi="Arial" w:cs="Arial"/>
          <w:lang w:val="es-ES_tradnl"/>
        </w:rPr>
        <w:t xml:space="preserve"> (</w:t>
      </w:r>
      <m:oMath>
        <m:r>
          <w:rPr>
            <w:rFonts w:ascii="Cambria Math" w:hAnsi="Cambria Math" w:cs="Arial"/>
            <w:lang w:val="es-ES_tradnl"/>
          </w:rPr>
          <m:t>α=0.75</m:t>
        </m:r>
      </m:oMath>
      <w:r w:rsidR="00AC01F2" w:rsidRPr="003923D7">
        <w:rPr>
          <w:rFonts w:ascii="Arial" w:hAnsi="Arial" w:cs="Arial"/>
          <w:lang w:val="es-ES_tradnl"/>
        </w:rPr>
        <w:t>)</w:t>
      </w:r>
      <w:r w:rsidR="00B426F6" w:rsidRPr="003923D7">
        <w:rPr>
          <w:rFonts w:ascii="Arial" w:hAnsi="Arial" w:cs="Arial"/>
          <w:lang w:val="es-ES_tradnl"/>
        </w:rPr>
        <w:t xml:space="preserve"> en un escenario optimista a un </w:t>
      </w:r>
      <w:r w:rsidR="00AC01F2" w:rsidRPr="003923D7">
        <w:rPr>
          <w:rFonts w:ascii="Arial" w:hAnsi="Arial" w:cs="Arial"/>
          <w:lang w:val="es-ES_tradnl"/>
        </w:rPr>
        <w:t>25</w:t>
      </w:r>
      <w:r w:rsidR="00B426F6" w:rsidRPr="003923D7">
        <w:rPr>
          <w:rFonts w:ascii="Arial" w:hAnsi="Arial" w:cs="Arial"/>
          <w:lang w:val="es-ES_tradnl"/>
        </w:rPr>
        <w:t xml:space="preserve">% </w:t>
      </w:r>
      <w:r w:rsidR="00AC01F2" w:rsidRPr="003923D7">
        <w:rPr>
          <w:rFonts w:ascii="Arial" w:hAnsi="Arial" w:cs="Arial"/>
          <w:lang w:val="es-ES_tradnl"/>
        </w:rPr>
        <w:t>(</w:t>
      </w:r>
      <m:oMath>
        <m:r>
          <w:rPr>
            <w:rFonts w:ascii="Cambria Math" w:hAnsi="Cambria Math" w:cs="Arial"/>
            <w:lang w:val="es-ES_tradnl"/>
          </w:rPr>
          <m:t>α=0.25</m:t>
        </m:r>
      </m:oMath>
      <w:r w:rsidR="00AC01F2" w:rsidRPr="003923D7">
        <w:rPr>
          <w:rFonts w:ascii="Arial" w:hAnsi="Arial" w:cs="Arial"/>
          <w:lang w:val="es-ES_tradnl"/>
        </w:rPr>
        <w:t xml:space="preserve">) </w:t>
      </w:r>
      <w:r w:rsidR="00B426F6" w:rsidRPr="003923D7">
        <w:rPr>
          <w:rFonts w:ascii="Arial" w:hAnsi="Arial" w:cs="Arial"/>
          <w:lang w:val="es-ES_tradnl"/>
        </w:rPr>
        <w:t xml:space="preserve">en un escenario pesimista, tomando como </w:t>
      </w:r>
      <w:r w:rsidR="00AC01F2" w:rsidRPr="003923D7">
        <w:rPr>
          <w:rFonts w:ascii="Arial" w:hAnsi="Arial" w:cs="Arial"/>
          <w:lang w:val="es-ES_tradnl"/>
        </w:rPr>
        <w:t xml:space="preserve">escenario base </w:t>
      </w:r>
      <m:oMath>
        <m:r>
          <w:rPr>
            <w:rFonts w:ascii="Cambria Math" w:hAnsi="Cambria Math" w:cs="Arial"/>
            <w:lang w:val="es-ES_tradnl"/>
          </w:rPr>
          <m:t>α=0.6</m:t>
        </m:r>
      </m:oMath>
      <w:r w:rsidR="006430BD" w:rsidRPr="003923D7">
        <w:rPr>
          <w:rFonts w:ascii="Arial" w:hAnsi="Arial" w:cs="Arial"/>
          <w:lang w:val="es-ES_tradnl"/>
        </w:rPr>
        <w:t>.</w:t>
      </w:r>
    </w:p>
    <w:p w14:paraId="1AA76F6B" w14:textId="77777777" w:rsidR="004B3192" w:rsidRPr="003923D7" w:rsidRDefault="00E55312" w:rsidP="00E55312">
      <w:pPr>
        <w:pStyle w:val="Paragraph"/>
        <w:ind w:left="720" w:hanging="720"/>
        <w:rPr>
          <w:rFonts w:ascii="Arial" w:hAnsi="Arial" w:cs="Arial"/>
          <w:lang w:val="es-ES_tradnl"/>
        </w:rPr>
      </w:pPr>
      <w:bookmarkStart w:id="7" w:name="_Ref349135201"/>
      <w:r w:rsidRPr="003923D7">
        <w:rPr>
          <w:rFonts w:ascii="Arial" w:hAnsi="Arial" w:cs="Arial"/>
          <w:lang w:val="es-ES_tradnl"/>
        </w:rPr>
        <w:t xml:space="preserve">Por el lado del </w:t>
      </w:r>
      <w:r w:rsidRPr="003923D7">
        <w:rPr>
          <w:rFonts w:ascii="Arial" w:hAnsi="Arial" w:cs="Arial"/>
          <w:b/>
          <w:lang w:val="es-ES_tradnl"/>
        </w:rPr>
        <w:t>costo económico</w:t>
      </w:r>
      <w:r w:rsidRPr="003923D7">
        <w:rPr>
          <w:rFonts w:ascii="Arial" w:hAnsi="Arial" w:cs="Arial"/>
          <w:lang w:val="es-ES_tradnl"/>
        </w:rPr>
        <w:t>, el análisis asume</w:t>
      </w:r>
      <w:r w:rsidR="00AE1664" w:rsidRPr="003923D7">
        <w:rPr>
          <w:rFonts w:ascii="Arial" w:hAnsi="Arial" w:cs="Arial"/>
          <w:lang w:val="es-ES_tradnl"/>
        </w:rPr>
        <w:t xml:space="preserve"> </w:t>
      </w:r>
      <w:r w:rsidR="00FE3ABA" w:rsidRPr="003923D7">
        <w:rPr>
          <w:rFonts w:ascii="Arial" w:hAnsi="Arial" w:cs="Arial"/>
          <w:lang w:val="es-ES_tradnl"/>
        </w:rPr>
        <w:t xml:space="preserve">que se generarán costos incrementales en personal y bienes y servicios; para la determinación de la dimensión de estos costos incrementales se </w:t>
      </w:r>
      <w:r w:rsidR="00234232" w:rsidRPr="003923D7">
        <w:rPr>
          <w:rFonts w:ascii="Arial" w:hAnsi="Arial" w:cs="Arial"/>
          <w:lang w:val="es-ES_tradnl"/>
        </w:rPr>
        <w:t xml:space="preserve">consideró el gasto promedio de los ministerios de Trabajo, Hacienda, Economía, e </w:t>
      </w:r>
      <w:r w:rsidR="00234232" w:rsidRPr="003923D7">
        <w:rPr>
          <w:rFonts w:ascii="Arial" w:hAnsi="Arial" w:cs="Arial"/>
          <w:lang w:val="es-ES_tradnl"/>
        </w:rPr>
        <w:lastRenderedPageBreak/>
        <w:t xml:space="preserve">Industria y Comercio, y </w:t>
      </w:r>
      <w:r w:rsidR="0022498F" w:rsidRPr="003923D7">
        <w:rPr>
          <w:rFonts w:ascii="Arial" w:hAnsi="Arial" w:cs="Arial"/>
          <w:lang w:val="es-ES_tradnl"/>
        </w:rPr>
        <w:t xml:space="preserve">se tomó un incremento base de </w:t>
      </w:r>
      <w:r w:rsidR="00234232" w:rsidRPr="003923D7">
        <w:rPr>
          <w:rFonts w:ascii="Arial" w:hAnsi="Arial" w:cs="Arial"/>
          <w:lang w:val="es-ES_tradnl"/>
        </w:rPr>
        <w:t>10%</w:t>
      </w:r>
      <w:r w:rsidR="0022498F" w:rsidRPr="003923D7">
        <w:rPr>
          <w:rFonts w:ascii="Arial" w:hAnsi="Arial" w:cs="Arial"/>
          <w:lang w:val="es-ES_tradnl"/>
        </w:rPr>
        <w:t xml:space="preserve"> </w:t>
      </w:r>
      <w:r w:rsidR="00234232" w:rsidRPr="003923D7">
        <w:rPr>
          <w:rFonts w:ascii="Arial" w:hAnsi="Arial" w:cs="Arial"/>
          <w:lang w:val="es-ES_tradnl"/>
        </w:rPr>
        <w:t>por cada uno de los dos componentes considerados</w:t>
      </w:r>
      <w:r w:rsidR="0022498F" w:rsidRPr="003923D7">
        <w:rPr>
          <w:rFonts w:ascii="Arial" w:hAnsi="Arial" w:cs="Arial"/>
          <w:lang w:val="es-ES_tradnl"/>
        </w:rPr>
        <w:t>.</w:t>
      </w:r>
    </w:p>
    <w:p w14:paraId="246A2BF9" w14:textId="77777777" w:rsidR="00DD6442" w:rsidRPr="003923D7" w:rsidRDefault="004B3192" w:rsidP="00F90A1C">
      <w:pPr>
        <w:pStyle w:val="Paragraph"/>
        <w:ind w:left="720" w:hanging="720"/>
        <w:rPr>
          <w:rFonts w:ascii="Arial" w:hAnsi="Arial" w:cs="Arial"/>
          <w:lang w:val="es-ES_tradnl"/>
        </w:rPr>
      </w:pPr>
      <w:r w:rsidRPr="003923D7">
        <w:rPr>
          <w:rFonts w:ascii="Arial" w:hAnsi="Arial" w:cs="Arial"/>
          <w:b/>
          <w:lang w:val="es-ES_tradnl"/>
        </w:rPr>
        <w:t>Separación de los resultados</w:t>
      </w:r>
      <w:r w:rsidRPr="003923D7">
        <w:rPr>
          <w:rFonts w:ascii="Arial" w:hAnsi="Arial" w:cs="Arial"/>
          <w:lang w:val="es-ES_tradnl"/>
        </w:rPr>
        <w:t xml:space="preserve">. </w:t>
      </w:r>
      <w:bookmarkEnd w:id="7"/>
      <w:r w:rsidRPr="003923D7">
        <w:rPr>
          <w:rFonts w:ascii="Arial" w:hAnsi="Arial" w:cs="Arial"/>
          <w:lang w:val="es-ES_tradnl"/>
        </w:rPr>
        <w:t>Dado que las fuentes de las estimaciones corresponden a dos estudios distintos, y que el cálculo de los efectos cruzados (que en principio se esperan positivos) no estaría adecuadamente definido, se ha optado por presentar los resultado</w:t>
      </w:r>
      <w:r w:rsidR="00BB7126" w:rsidRPr="003923D7">
        <w:rPr>
          <w:rFonts w:ascii="Arial" w:hAnsi="Arial" w:cs="Arial"/>
          <w:lang w:val="es-ES_tradnl"/>
        </w:rPr>
        <w:t>s</w:t>
      </w:r>
      <w:r w:rsidRPr="003923D7">
        <w:rPr>
          <w:rFonts w:ascii="Arial" w:hAnsi="Arial" w:cs="Arial"/>
          <w:lang w:val="es-ES_tradnl"/>
        </w:rPr>
        <w:t xml:space="preserve"> de los cálculos para cada componente por separado, lo mismo que las sensibilizaciones, dejando solo el reporte conjunto de los escenarios centrales de cada componente.</w:t>
      </w:r>
    </w:p>
    <w:p w14:paraId="1825A99B" w14:textId="77777777" w:rsidR="00C63042" w:rsidRPr="003923D7" w:rsidRDefault="00C63042" w:rsidP="00E55312">
      <w:pPr>
        <w:pStyle w:val="Paragraph"/>
        <w:ind w:left="720" w:hanging="720"/>
        <w:rPr>
          <w:rFonts w:ascii="Arial" w:hAnsi="Arial" w:cs="Arial"/>
          <w:b/>
          <w:lang w:val="es-ES_tradnl"/>
        </w:rPr>
      </w:pPr>
      <w:r w:rsidRPr="003923D7">
        <w:rPr>
          <w:rFonts w:ascii="Arial" w:hAnsi="Arial" w:cs="Arial"/>
          <w:b/>
          <w:lang w:val="es-ES_tradnl"/>
        </w:rPr>
        <w:t xml:space="preserve">Relación con la matriz de resultados. </w:t>
      </w:r>
      <w:r w:rsidRPr="003923D7">
        <w:rPr>
          <w:rFonts w:ascii="Arial" w:hAnsi="Arial" w:cs="Arial"/>
          <w:lang w:val="es-ES_tradnl"/>
        </w:rPr>
        <w:t xml:space="preserve">Los efectos estimados sobre el PIB en el análisis CBA desarrollado son coherentes con la matriz de resultados, aunque no </w:t>
      </w:r>
      <w:r w:rsidR="000E40F6" w:rsidRPr="003923D7">
        <w:rPr>
          <w:rFonts w:ascii="Arial" w:hAnsi="Arial" w:cs="Arial"/>
          <w:lang w:val="es-ES_tradnl"/>
        </w:rPr>
        <w:t>absolutamente</w:t>
      </w:r>
      <w:r w:rsidR="00BB7126" w:rsidRPr="003923D7">
        <w:rPr>
          <w:rFonts w:ascii="Arial" w:hAnsi="Arial" w:cs="Arial"/>
          <w:lang w:val="es-ES_tradnl"/>
        </w:rPr>
        <w:t xml:space="preserve"> </w:t>
      </w:r>
      <w:r w:rsidRPr="003923D7">
        <w:rPr>
          <w:rFonts w:ascii="Arial" w:hAnsi="Arial" w:cs="Arial"/>
          <w:lang w:val="es-ES_tradnl"/>
        </w:rPr>
        <w:t>coincidente</w:t>
      </w:r>
      <w:r w:rsidR="000E40F6" w:rsidRPr="003923D7">
        <w:rPr>
          <w:rFonts w:ascii="Arial" w:hAnsi="Arial" w:cs="Arial"/>
          <w:lang w:val="es-ES_tradnl"/>
        </w:rPr>
        <w:t>s</w:t>
      </w:r>
      <w:r w:rsidR="00BB7126" w:rsidRPr="003923D7">
        <w:rPr>
          <w:rFonts w:ascii="Arial" w:hAnsi="Arial" w:cs="Arial"/>
          <w:lang w:val="es-ES_tradnl"/>
        </w:rPr>
        <w:t>,</w:t>
      </w:r>
      <w:r w:rsidRPr="003923D7">
        <w:rPr>
          <w:rFonts w:ascii="Arial" w:hAnsi="Arial" w:cs="Arial"/>
          <w:lang w:val="es-ES_tradnl"/>
        </w:rPr>
        <w:t xml:space="preserve"> porque en la matriz de resultados se ha tomado como impacto esperado </w:t>
      </w:r>
      <w:r w:rsidR="007E6212" w:rsidRPr="003923D7">
        <w:rPr>
          <w:rFonts w:ascii="Arial" w:hAnsi="Arial" w:cs="Arial"/>
          <w:lang w:val="es-ES_tradnl"/>
        </w:rPr>
        <w:t>el conjunto de reformas</w:t>
      </w:r>
      <w:r w:rsidR="000E40F6" w:rsidRPr="003923D7">
        <w:rPr>
          <w:rFonts w:ascii="Arial" w:hAnsi="Arial" w:cs="Arial"/>
          <w:lang w:val="es-ES_tradnl"/>
        </w:rPr>
        <w:t xml:space="preserve"> a implementarse</w:t>
      </w:r>
      <w:r w:rsidR="007E6212" w:rsidRPr="003923D7">
        <w:rPr>
          <w:rFonts w:ascii="Arial" w:hAnsi="Arial" w:cs="Arial"/>
          <w:lang w:val="es-ES_tradnl"/>
        </w:rPr>
        <w:t xml:space="preserve">, </w:t>
      </w:r>
      <w:r w:rsidRPr="003923D7">
        <w:rPr>
          <w:rFonts w:ascii="Arial" w:hAnsi="Arial" w:cs="Arial"/>
          <w:lang w:val="es-ES_tradnl"/>
        </w:rPr>
        <w:t xml:space="preserve">y </w:t>
      </w:r>
      <w:r w:rsidR="000E40F6" w:rsidRPr="003923D7">
        <w:rPr>
          <w:rFonts w:ascii="Arial" w:hAnsi="Arial" w:cs="Arial"/>
          <w:lang w:val="es-ES_tradnl"/>
        </w:rPr>
        <w:t>cuya implementación no ha</w:t>
      </w:r>
      <w:r w:rsidR="007E6212" w:rsidRPr="003923D7">
        <w:rPr>
          <w:rFonts w:ascii="Arial" w:hAnsi="Arial" w:cs="Arial"/>
          <w:lang w:val="es-ES_tradnl"/>
        </w:rPr>
        <w:t xml:space="preserve"> sido </w:t>
      </w:r>
      <w:r w:rsidR="000E40F6" w:rsidRPr="003923D7">
        <w:rPr>
          <w:rFonts w:ascii="Arial" w:hAnsi="Arial" w:cs="Arial"/>
          <w:lang w:val="es-ES_tradnl"/>
        </w:rPr>
        <w:t>totalmente tenida</w:t>
      </w:r>
      <w:r w:rsidR="007E6212" w:rsidRPr="003923D7">
        <w:rPr>
          <w:rFonts w:ascii="Arial" w:hAnsi="Arial" w:cs="Arial"/>
          <w:lang w:val="es-ES_tradnl"/>
        </w:rPr>
        <w:t xml:space="preserve"> en cuenta en este análisis por</w:t>
      </w:r>
      <w:r w:rsidR="008906EB" w:rsidRPr="003923D7">
        <w:rPr>
          <w:rFonts w:ascii="Arial" w:hAnsi="Arial" w:cs="Arial"/>
          <w:lang w:val="es-ES_tradnl"/>
        </w:rPr>
        <w:t xml:space="preserve"> los</w:t>
      </w:r>
      <w:r w:rsidR="007E6212" w:rsidRPr="003923D7">
        <w:rPr>
          <w:rFonts w:ascii="Arial" w:hAnsi="Arial" w:cs="Arial"/>
          <w:lang w:val="es-ES_tradnl"/>
        </w:rPr>
        <w:t xml:space="preserve"> motivos</w:t>
      </w:r>
      <w:r w:rsidR="008906EB" w:rsidRPr="003923D7">
        <w:rPr>
          <w:rFonts w:ascii="Arial" w:hAnsi="Arial" w:cs="Arial"/>
          <w:lang w:val="es-ES_tradnl"/>
        </w:rPr>
        <w:t xml:space="preserve"> ya discutidos</w:t>
      </w:r>
      <w:r w:rsidR="007E6212" w:rsidRPr="003923D7">
        <w:rPr>
          <w:rFonts w:ascii="Arial" w:hAnsi="Arial" w:cs="Arial"/>
          <w:lang w:val="es-ES_tradnl"/>
        </w:rPr>
        <w:t xml:space="preserve">. </w:t>
      </w:r>
      <w:r w:rsidR="00535BAD" w:rsidRPr="003923D7">
        <w:rPr>
          <w:rFonts w:ascii="Arial" w:hAnsi="Arial" w:cs="Arial"/>
          <w:lang w:val="es-ES_tradnl"/>
        </w:rPr>
        <w:t xml:space="preserve">Adicionalmente, en la matriz de resultados, no se ha adoptado un enfoque tan conservador respecto al grado de eficiencia de las reformas (parámetro </w:t>
      </w:r>
      <m:oMath>
        <m:r>
          <w:rPr>
            <w:rFonts w:ascii="Cambria Math" w:hAnsi="Cambria Math" w:cs="Arial"/>
            <w:lang w:val="es-ES_tradnl"/>
          </w:rPr>
          <m:t>α</m:t>
        </m:r>
      </m:oMath>
      <w:r w:rsidR="00535BAD" w:rsidRPr="003923D7">
        <w:rPr>
          <w:rFonts w:ascii="Arial" w:hAnsi="Arial" w:cs="Arial"/>
          <w:lang w:val="es-ES_tradnl"/>
        </w:rPr>
        <w:t xml:space="preserve"> en el modelo anterior), ya que se considera más razonable pensar que en el escenario con programa que se ha de reflejar en la matriz </w:t>
      </w:r>
      <w:r w:rsidR="000E40F6" w:rsidRPr="003923D7">
        <w:rPr>
          <w:rFonts w:ascii="Arial" w:hAnsi="Arial" w:cs="Arial"/>
          <w:lang w:val="es-ES_tradnl"/>
        </w:rPr>
        <w:t xml:space="preserve">todas </w:t>
      </w:r>
      <w:r w:rsidR="00535BAD" w:rsidRPr="003923D7">
        <w:rPr>
          <w:rFonts w:ascii="Arial" w:hAnsi="Arial" w:cs="Arial"/>
          <w:lang w:val="es-ES_tradnl"/>
        </w:rPr>
        <w:t xml:space="preserve">las reformas son debidamente implementadas. Por lo anterior, en la matriz de resultados se supone que el crecimiento promedio será de 0,2 punto porcentuales mayor que el escenario base del FMI para el periodo </w:t>
      </w:r>
      <w:r w:rsidR="00DC55B6" w:rsidRPr="003923D7">
        <w:rPr>
          <w:rFonts w:ascii="Arial" w:hAnsi="Arial" w:cs="Arial"/>
          <w:lang w:val="es-ES_tradnl"/>
        </w:rPr>
        <w:t>de an</w:t>
      </w:r>
      <w:r w:rsidR="00E12EAD" w:rsidRPr="003923D7">
        <w:rPr>
          <w:rFonts w:ascii="Arial" w:hAnsi="Arial" w:cs="Arial"/>
          <w:lang w:val="es-ES_tradnl"/>
        </w:rPr>
        <w:t>álisis (crecimiento promedio</w:t>
      </w:r>
      <w:r w:rsidR="000E40F6" w:rsidRPr="003923D7">
        <w:rPr>
          <w:rFonts w:ascii="Arial" w:hAnsi="Arial" w:cs="Arial"/>
          <w:lang w:val="es-ES_tradnl"/>
        </w:rPr>
        <w:t xml:space="preserve"> durante 2013 – 2019</w:t>
      </w:r>
      <w:r w:rsidR="00E12EAD" w:rsidRPr="003923D7">
        <w:rPr>
          <w:rFonts w:ascii="Arial" w:hAnsi="Arial" w:cs="Arial"/>
          <w:lang w:val="es-ES_tradnl"/>
        </w:rPr>
        <w:t xml:space="preserve">). </w:t>
      </w:r>
    </w:p>
    <w:p w14:paraId="77E850FC" w14:textId="77777777" w:rsidR="008D37EA" w:rsidRPr="003923D7" w:rsidRDefault="008D37EA" w:rsidP="008D37EA">
      <w:pPr>
        <w:rPr>
          <w:rFonts w:ascii="Arial" w:hAnsi="Arial" w:cs="Arial"/>
          <w:lang w:val="es-ES_tradnl"/>
        </w:rPr>
      </w:pPr>
    </w:p>
    <w:p w14:paraId="2677BDCC" w14:textId="77777777" w:rsidR="008D37EA" w:rsidRPr="003923D7" w:rsidRDefault="008D37EA" w:rsidP="008D37EA">
      <w:pPr>
        <w:rPr>
          <w:rFonts w:ascii="Arial" w:hAnsi="Arial" w:cs="Arial"/>
          <w:lang w:val="es-ES_tradnl"/>
        </w:rPr>
        <w:sectPr w:rsidR="008D37EA" w:rsidRPr="003923D7" w:rsidSect="00767E95">
          <w:pgSz w:w="12240" w:h="15840"/>
          <w:pgMar w:top="1440" w:right="1800" w:bottom="1440" w:left="1800" w:header="720" w:footer="720" w:gutter="0"/>
          <w:pgNumType w:start="1"/>
          <w:cols w:space="720"/>
          <w:titlePg/>
          <w:docGrid w:linePitch="360"/>
        </w:sectPr>
      </w:pPr>
    </w:p>
    <w:p w14:paraId="5AB90476" w14:textId="77777777" w:rsidR="008D37EA" w:rsidRPr="003923D7" w:rsidRDefault="008D37EA" w:rsidP="008D37EA">
      <w:pPr>
        <w:pStyle w:val="Chapter"/>
        <w:rPr>
          <w:rFonts w:ascii="Arial" w:hAnsi="Arial" w:cs="Arial"/>
          <w:lang w:val="es-ES_tradnl"/>
        </w:rPr>
        <w:sectPr w:rsidR="008D37EA" w:rsidRPr="003923D7" w:rsidSect="008D37EA">
          <w:type w:val="continuous"/>
          <w:pgSz w:w="12240" w:h="15840"/>
          <w:pgMar w:top="1440" w:right="1800" w:bottom="1440" w:left="1800" w:header="720" w:footer="720" w:gutter="0"/>
          <w:pgNumType w:start="1"/>
          <w:cols w:space="720"/>
          <w:titlePg/>
          <w:docGrid w:linePitch="360"/>
        </w:sectPr>
      </w:pPr>
    </w:p>
    <w:p w14:paraId="06ED1C68" w14:textId="77777777" w:rsidR="00ED372C" w:rsidRPr="003923D7" w:rsidRDefault="00ED372C" w:rsidP="00F90A1C">
      <w:pPr>
        <w:pStyle w:val="Chapter"/>
        <w:rPr>
          <w:rFonts w:ascii="Arial" w:hAnsi="Arial" w:cs="Arial"/>
          <w:lang w:val="es-ES_tradnl"/>
        </w:rPr>
      </w:pPr>
      <w:bookmarkStart w:id="8" w:name="_Toc398196142"/>
      <w:r w:rsidRPr="003923D7">
        <w:rPr>
          <w:rFonts w:ascii="Arial" w:hAnsi="Arial" w:cs="Arial"/>
          <w:lang w:val="es-ES_tradnl"/>
        </w:rPr>
        <w:lastRenderedPageBreak/>
        <w:t>Valoración del Beneficio Económico</w:t>
      </w:r>
      <w:bookmarkEnd w:id="8"/>
    </w:p>
    <w:p w14:paraId="516766B8" w14:textId="77777777" w:rsidR="001D5B83" w:rsidRPr="003923D7" w:rsidRDefault="004D31B2" w:rsidP="00C11587">
      <w:pPr>
        <w:pStyle w:val="Paragraph"/>
        <w:ind w:left="720" w:hanging="720"/>
        <w:rPr>
          <w:rFonts w:ascii="Arial" w:hAnsi="Arial" w:cs="Arial"/>
          <w:lang w:val="es-ES_tradnl"/>
        </w:rPr>
      </w:pPr>
      <w:r w:rsidRPr="003923D7">
        <w:rPr>
          <w:rFonts w:ascii="Arial" w:hAnsi="Arial" w:cs="Arial"/>
          <w:lang w:val="es-ES_tradnl"/>
        </w:rPr>
        <w:t xml:space="preserve">Siguiendo </w:t>
      </w:r>
      <w:r w:rsidR="00794481" w:rsidRPr="003923D7">
        <w:rPr>
          <w:rFonts w:ascii="Arial" w:hAnsi="Arial" w:cs="Arial"/>
          <w:lang w:val="es-ES_tradnl"/>
        </w:rPr>
        <w:t>la metodología y supuestos descritos en</w:t>
      </w:r>
      <w:r w:rsidR="0076425A" w:rsidRPr="003923D7">
        <w:rPr>
          <w:rFonts w:ascii="Arial" w:hAnsi="Arial" w:cs="Arial"/>
          <w:lang w:val="es-ES_tradnl"/>
        </w:rPr>
        <w:t xml:space="preserve"> la Sección II</w:t>
      </w:r>
      <w:r w:rsidR="001D5B83" w:rsidRPr="003923D7">
        <w:rPr>
          <w:rFonts w:ascii="Arial" w:hAnsi="Arial" w:cs="Arial"/>
          <w:lang w:val="es-ES_tradnl"/>
        </w:rPr>
        <w:t xml:space="preserve"> se ha calculado el Valor Presente Neto (VPN) de los beneficios incrementales por </w:t>
      </w:r>
      <w:r w:rsidR="0076425A" w:rsidRPr="003923D7">
        <w:rPr>
          <w:rFonts w:ascii="Arial" w:hAnsi="Arial" w:cs="Arial"/>
          <w:lang w:val="es-ES_tradnl"/>
        </w:rPr>
        <w:t>aumento en los niveles de PIB gracias a la</w:t>
      </w:r>
      <w:r w:rsidR="00E447CB" w:rsidRPr="003923D7">
        <w:rPr>
          <w:rFonts w:ascii="Arial" w:hAnsi="Arial" w:cs="Arial"/>
          <w:lang w:val="es-ES_tradnl"/>
        </w:rPr>
        <w:t>s</w:t>
      </w:r>
      <w:r w:rsidR="0076425A" w:rsidRPr="003923D7">
        <w:rPr>
          <w:rFonts w:ascii="Arial" w:hAnsi="Arial" w:cs="Arial"/>
          <w:lang w:val="es-ES_tradnl"/>
        </w:rPr>
        <w:t xml:space="preserve"> reforma</w:t>
      </w:r>
      <w:r w:rsidR="00E447CB" w:rsidRPr="003923D7">
        <w:rPr>
          <w:rFonts w:ascii="Arial" w:hAnsi="Arial" w:cs="Arial"/>
          <w:lang w:val="es-ES_tradnl"/>
        </w:rPr>
        <w:t>s</w:t>
      </w:r>
      <w:r w:rsidR="0076425A" w:rsidRPr="003923D7">
        <w:rPr>
          <w:rFonts w:ascii="Arial" w:hAnsi="Arial" w:cs="Arial"/>
          <w:lang w:val="es-ES_tradnl"/>
        </w:rPr>
        <w:t xml:space="preserve"> realizada</w:t>
      </w:r>
      <w:r w:rsidR="00E447CB" w:rsidRPr="003923D7">
        <w:rPr>
          <w:rFonts w:ascii="Arial" w:hAnsi="Arial" w:cs="Arial"/>
          <w:lang w:val="es-ES_tradnl"/>
        </w:rPr>
        <w:t>s</w:t>
      </w:r>
      <w:r w:rsidR="0076425A" w:rsidRPr="003923D7">
        <w:rPr>
          <w:rFonts w:ascii="Arial" w:hAnsi="Arial" w:cs="Arial"/>
          <w:lang w:val="es-ES_tradnl"/>
        </w:rPr>
        <w:t>. É</w:t>
      </w:r>
      <w:r w:rsidR="001D5B83" w:rsidRPr="003923D7">
        <w:rPr>
          <w:rFonts w:ascii="Arial" w:hAnsi="Arial" w:cs="Arial"/>
          <w:lang w:val="es-ES_tradnl"/>
        </w:rPr>
        <w:t>ste resulta mayor que el VPN del</w:t>
      </w:r>
      <w:r w:rsidR="008D37EA" w:rsidRPr="003923D7">
        <w:rPr>
          <w:rFonts w:ascii="Arial" w:hAnsi="Arial" w:cs="Arial"/>
          <w:lang w:val="es-ES_tradnl"/>
        </w:rPr>
        <w:t xml:space="preserve"> </w:t>
      </w:r>
      <w:r w:rsidR="001D5B83" w:rsidRPr="003923D7">
        <w:rPr>
          <w:rFonts w:ascii="Arial" w:hAnsi="Arial" w:cs="Arial"/>
          <w:lang w:val="es-ES_tradnl"/>
        </w:rPr>
        <w:t>cos</w:t>
      </w:r>
      <w:r w:rsidR="00794481" w:rsidRPr="003923D7">
        <w:rPr>
          <w:rFonts w:ascii="Arial" w:hAnsi="Arial" w:cs="Arial"/>
          <w:lang w:val="es-ES_tradnl"/>
        </w:rPr>
        <w:t xml:space="preserve">to efectivo asociado </w:t>
      </w:r>
      <w:r w:rsidR="0076425A" w:rsidRPr="003923D7">
        <w:rPr>
          <w:rFonts w:ascii="Arial" w:hAnsi="Arial" w:cs="Arial"/>
          <w:lang w:val="es-ES_tradnl"/>
        </w:rPr>
        <w:t>en su conjunto</w:t>
      </w:r>
      <w:r w:rsidR="001D5B83" w:rsidRPr="003923D7">
        <w:rPr>
          <w:rFonts w:ascii="Arial" w:hAnsi="Arial" w:cs="Arial"/>
          <w:lang w:val="es-ES_tradnl"/>
        </w:rPr>
        <w:t>, arrojando un beneficio actual neto de US</w:t>
      </w:r>
      <w:r w:rsidR="00734FBF" w:rsidRPr="003923D7">
        <w:rPr>
          <w:rFonts w:ascii="Arial" w:hAnsi="Arial" w:cs="Arial"/>
          <w:lang w:val="es-ES_tradnl"/>
        </w:rPr>
        <w:t xml:space="preserve">$ </w:t>
      </w:r>
      <w:r w:rsidR="00E447CB" w:rsidRPr="003923D7">
        <w:rPr>
          <w:rFonts w:ascii="Arial" w:hAnsi="Arial" w:cs="Arial"/>
          <w:lang w:val="es-ES_tradnl"/>
        </w:rPr>
        <w:t>1.352</w:t>
      </w:r>
      <w:r w:rsidR="00AB32CE" w:rsidRPr="003923D7">
        <w:rPr>
          <w:rFonts w:ascii="Arial" w:hAnsi="Arial" w:cs="Arial"/>
          <w:lang w:val="es-ES_tradnl"/>
        </w:rPr>
        <w:t xml:space="preserve"> </w:t>
      </w:r>
      <w:r w:rsidR="005C3F23" w:rsidRPr="003923D7">
        <w:rPr>
          <w:rFonts w:ascii="Arial" w:hAnsi="Arial" w:cs="Arial"/>
          <w:lang w:val="es-ES_tradnl"/>
        </w:rPr>
        <w:t>m</w:t>
      </w:r>
      <w:r w:rsidR="00793897" w:rsidRPr="003923D7">
        <w:rPr>
          <w:rFonts w:ascii="Arial" w:hAnsi="Arial" w:cs="Arial"/>
          <w:lang w:val="es-ES_tradnl"/>
        </w:rPr>
        <w:t>illones</w:t>
      </w:r>
      <w:r w:rsidR="00E447CB" w:rsidRPr="003923D7">
        <w:rPr>
          <w:rFonts w:ascii="Arial" w:hAnsi="Arial" w:cs="Arial"/>
          <w:lang w:val="es-ES_tradnl"/>
        </w:rPr>
        <w:t xml:space="preserve"> en valor presente</w:t>
      </w:r>
      <w:r w:rsidR="000B6230" w:rsidRPr="003923D7">
        <w:rPr>
          <w:rFonts w:ascii="Arial" w:hAnsi="Arial" w:cs="Arial"/>
          <w:lang w:val="es-ES_tradnl"/>
        </w:rPr>
        <w:t xml:space="preserve"> </w:t>
      </w:r>
      <w:r w:rsidR="007D2F82" w:rsidRPr="003923D7">
        <w:rPr>
          <w:rFonts w:ascii="Arial" w:hAnsi="Arial" w:cs="Arial"/>
          <w:lang w:val="es-ES_tradnl"/>
        </w:rPr>
        <w:t>(sobre un período de 20 años). El flujo de beneficios y costos y el resultado neto</w:t>
      </w:r>
      <w:r w:rsidR="0006460B" w:rsidRPr="003923D7">
        <w:rPr>
          <w:rFonts w:ascii="Arial" w:hAnsi="Arial" w:cs="Arial"/>
          <w:lang w:val="es-ES_tradnl"/>
        </w:rPr>
        <w:t xml:space="preserve"> esperado bajo </w:t>
      </w:r>
      <w:r w:rsidR="00416D9E" w:rsidRPr="003923D7">
        <w:rPr>
          <w:rFonts w:ascii="Arial" w:hAnsi="Arial" w:cs="Arial"/>
          <w:lang w:val="es-ES_tradnl"/>
        </w:rPr>
        <w:t xml:space="preserve">el </w:t>
      </w:r>
      <w:r w:rsidR="0006460B" w:rsidRPr="003923D7">
        <w:rPr>
          <w:rFonts w:ascii="Arial" w:hAnsi="Arial" w:cs="Arial"/>
          <w:lang w:val="es-ES_tradnl"/>
        </w:rPr>
        <w:t>programa</w:t>
      </w:r>
      <w:r w:rsidR="007D2F82" w:rsidRPr="003923D7">
        <w:rPr>
          <w:rFonts w:ascii="Arial" w:hAnsi="Arial" w:cs="Arial"/>
          <w:lang w:val="es-ES_tradnl"/>
        </w:rPr>
        <w:t xml:space="preserve"> se presentan</w:t>
      </w:r>
      <w:r w:rsidR="0057303F" w:rsidRPr="003923D7">
        <w:rPr>
          <w:rFonts w:ascii="Arial" w:hAnsi="Arial" w:cs="Arial"/>
          <w:lang w:val="es-ES_tradnl"/>
        </w:rPr>
        <w:t xml:space="preserve"> en la</w:t>
      </w:r>
      <w:r w:rsidR="00E447CB" w:rsidRPr="003923D7">
        <w:rPr>
          <w:rFonts w:ascii="Arial" w:hAnsi="Arial" w:cs="Arial"/>
          <w:lang w:val="es-ES_tradnl"/>
        </w:rPr>
        <w:t xml:space="preserve">s siguientes tablas: </w:t>
      </w:r>
      <w:r w:rsidR="00416D9E" w:rsidRPr="003923D7">
        <w:rPr>
          <w:rFonts w:ascii="Arial" w:hAnsi="Arial" w:cs="Arial"/>
          <w:lang w:val="es-ES_tradnl"/>
        </w:rPr>
        <w:t>la T</w:t>
      </w:r>
      <w:r w:rsidR="00F35F26" w:rsidRPr="003923D7">
        <w:rPr>
          <w:rFonts w:ascii="Arial" w:hAnsi="Arial" w:cs="Arial"/>
          <w:lang w:val="es-ES_tradnl"/>
        </w:rPr>
        <w:t>abla 1 present</w:t>
      </w:r>
      <w:r w:rsidR="00A42D77" w:rsidRPr="003923D7">
        <w:rPr>
          <w:rFonts w:ascii="Arial" w:hAnsi="Arial" w:cs="Arial"/>
          <w:lang w:val="es-ES_tradnl"/>
        </w:rPr>
        <w:t>a</w:t>
      </w:r>
      <w:r w:rsidR="00F35F26" w:rsidRPr="003923D7">
        <w:rPr>
          <w:rFonts w:ascii="Arial" w:hAnsi="Arial" w:cs="Arial"/>
          <w:lang w:val="es-ES_tradnl"/>
        </w:rPr>
        <w:t xml:space="preserve"> los flujos y los valores resumen para el componente financiero, que arroja un VPN de US$ 628 millones</w:t>
      </w:r>
      <w:r w:rsidR="00416D9E" w:rsidRPr="003923D7">
        <w:rPr>
          <w:rFonts w:ascii="Arial" w:hAnsi="Arial" w:cs="Arial"/>
          <w:lang w:val="es-ES_tradnl"/>
        </w:rPr>
        <w:t>; la T</w:t>
      </w:r>
      <w:r w:rsidR="00A42D77" w:rsidRPr="003923D7">
        <w:rPr>
          <w:rFonts w:ascii="Arial" w:hAnsi="Arial" w:cs="Arial"/>
          <w:lang w:val="es-ES_tradnl"/>
        </w:rPr>
        <w:t xml:space="preserve">abla 2 presenta los flujos y los valores resumen para el componente competitividad, que arroja un </w:t>
      </w:r>
      <w:r w:rsidR="00416D9E" w:rsidRPr="003923D7">
        <w:rPr>
          <w:rFonts w:ascii="Arial" w:hAnsi="Arial" w:cs="Arial"/>
          <w:lang w:val="es-ES_tradnl"/>
        </w:rPr>
        <w:t>VPN de US$ 724 millones, y; la T</w:t>
      </w:r>
      <w:r w:rsidR="00A42D77" w:rsidRPr="003923D7">
        <w:rPr>
          <w:rFonts w:ascii="Arial" w:hAnsi="Arial" w:cs="Arial"/>
          <w:lang w:val="es-ES_tradnl"/>
        </w:rPr>
        <w:t>abla 3 presenta el</w:t>
      </w:r>
      <w:r w:rsidR="001D05BB" w:rsidRPr="003923D7">
        <w:rPr>
          <w:rFonts w:ascii="Arial" w:hAnsi="Arial" w:cs="Arial"/>
          <w:lang w:val="es-ES_tradnl"/>
        </w:rPr>
        <w:t xml:space="preserve"> valor total dado por la suma</w:t>
      </w:r>
      <w:r w:rsidR="00A42D77" w:rsidRPr="003923D7">
        <w:rPr>
          <w:rFonts w:ascii="Arial" w:hAnsi="Arial" w:cs="Arial"/>
          <w:lang w:val="es-ES_tradnl"/>
        </w:rPr>
        <w:t xml:space="preserve"> de los componentes que arroja un VPN total de US$ 1.352 millones.</w:t>
      </w:r>
    </w:p>
    <w:p w14:paraId="06DC8FBE" w14:textId="77777777" w:rsidR="00637045" w:rsidRPr="003923D7" w:rsidRDefault="00637045" w:rsidP="00C11587">
      <w:pPr>
        <w:spacing w:after="0"/>
        <w:jc w:val="center"/>
        <w:rPr>
          <w:rFonts w:ascii="Arial" w:hAnsi="Arial" w:cs="Arial"/>
          <w:szCs w:val="24"/>
          <w:lang w:val="es-ES_tradnl"/>
        </w:rPr>
      </w:pPr>
      <w:r w:rsidRPr="003923D7">
        <w:rPr>
          <w:rFonts w:ascii="Arial" w:hAnsi="Arial" w:cs="Arial"/>
          <w:b/>
          <w:sz w:val="24"/>
          <w:szCs w:val="24"/>
          <w:lang w:val="es-ES_tradnl"/>
        </w:rPr>
        <w:t xml:space="preserve">Tabla </w:t>
      </w:r>
      <w:r w:rsidR="00F35F26" w:rsidRPr="003923D7">
        <w:rPr>
          <w:rFonts w:ascii="Arial" w:hAnsi="Arial" w:cs="Arial"/>
          <w:b/>
          <w:sz w:val="24"/>
          <w:szCs w:val="24"/>
          <w:lang w:val="es-ES_tradnl"/>
        </w:rPr>
        <w:t>1</w:t>
      </w:r>
    </w:p>
    <w:p w14:paraId="568318E8" w14:textId="77777777" w:rsidR="008D37EA" w:rsidRPr="003923D7" w:rsidRDefault="00637045" w:rsidP="00C11587">
      <w:pPr>
        <w:spacing w:after="0"/>
        <w:jc w:val="center"/>
        <w:rPr>
          <w:rFonts w:ascii="Arial" w:hAnsi="Arial" w:cs="Arial"/>
          <w:szCs w:val="24"/>
          <w:lang w:val="es-ES_tradnl"/>
        </w:rPr>
      </w:pPr>
      <w:r w:rsidRPr="003923D7">
        <w:rPr>
          <w:rFonts w:ascii="Arial" w:hAnsi="Arial" w:cs="Arial"/>
          <w:b/>
          <w:noProof/>
          <w:sz w:val="24"/>
          <w:szCs w:val="24"/>
        </w:rPr>
        <w:drawing>
          <wp:anchor distT="0" distB="0" distL="114300" distR="114300" simplePos="0" relativeHeight="251671552" behindDoc="1" locked="0" layoutInCell="1" allowOverlap="1" wp14:anchorId="4F71BEE6" wp14:editId="59B5706B">
            <wp:simplePos x="0" y="0"/>
            <wp:positionH relativeFrom="column">
              <wp:posOffset>-976630</wp:posOffset>
            </wp:positionH>
            <wp:positionV relativeFrom="paragraph">
              <wp:posOffset>741045</wp:posOffset>
            </wp:positionV>
            <wp:extent cx="7338695" cy="1561465"/>
            <wp:effectExtent l="0" t="0" r="0" b="635"/>
            <wp:wrapThrough wrapText="bothSides">
              <wp:wrapPolygon edited="0">
                <wp:start x="0" y="0"/>
                <wp:lineTo x="0" y="21345"/>
                <wp:lineTo x="21531" y="21345"/>
                <wp:lineTo x="2153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38695" cy="1561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3D7">
        <w:rPr>
          <w:rFonts w:ascii="Arial" w:hAnsi="Arial" w:cs="Arial"/>
          <w:b/>
          <w:sz w:val="24"/>
          <w:szCs w:val="24"/>
          <w:lang w:val="es-ES_tradnl"/>
        </w:rPr>
        <w:t>Escenario central</w:t>
      </w:r>
      <w:r w:rsidR="0071051D" w:rsidRPr="003923D7">
        <w:rPr>
          <w:rFonts w:ascii="Arial" w:hAnsi="Arial" w:cs="Arial"/>
          <w:b/>
          <w:sz w:val="24"/>
          <w:szCs w:val="24"/>
          <w:lang w:val="es-ES_tradnl"/>
        </w:rPr>
        <w:t xml:space="preserve"> reforma financiera</w:t>
      </w:r>
      <w:r w:rsidR="00416D9E" w:rsidRPr="003923D7">
        <w:rPr>
          <w:rFonts w:ascii="Arial" w:hAnsi="Arial" w:cs="Arial"/>
          <w:b/>
          <w:sz w:val="24"/>
          <w:szCs w:val="24"/>
          <w:lang w:val="es-ES_tradnl"/>
        </w:rPr>
        <w:t xml:space="preserve">. Cierre de la </w:t>
      </w:r>
      <w:r w:rsidRPr="003923D7">
        <w:rPr>
          <w:rFonts w:ascii="Arial" w:hAnsi="Arial" w:cs="Arial"/>
          <w:b/>
          <w:sz w:val="24"/>
          <w:szCs w:val="24"/>
          <w:lang w:val="es-ES_tradnl"/>
        </w:rPr>
        <w:t>brecha con LA-3 en 50%, eficiencia de implementación 60%, y 10% de incremento total de costos en personal y bienes y servicios</w:t>
      </w:r>
    </w:p>
    <w:p w14:paraId="7E5F4E8D" w14:textId="77777777" w:rsidR="0071051D" w:rsidRPr="003923D7" w:rsidRDefault="0071051D" w:rsidP="00C11587">
      <w:pPr>
        <w:spacing w:after="0"/>
        <w:jc w:val="center"/>
        <w:rPr>
          <w:rFonts w:ascii="Arial" w:hAnsi="Arial" w:cs="Arial"/>
          <w:b/>
          <w:szCs w:val="24"/>
          <w:lang w:val="es-ES_tradnl"/>
        </w:rPr>
      </w:pPr>
      <w:r w:rsidRPr="003923D7">
        <w:rPr>
          <w:rFonts w:ascii="Arial" w:hAnsi="Arial" w:cs="Arial"/>
          <w:b/>
          <w:sz w:val="24"/>
          <w:szCs w:val="24"/>
          <w:lang w:val="es-ES_tradnl"/>
        </w:rPr>
        <w:t xml:space="preserve">Tabla </w:t>
      </w:r>
      <w:r w:rsidR="00F35F26" w:rsidRPr="003923D7">
        <w:rPr>
          <w:rFonts w:ascii="Arial" w:hAnsi="Arial" w:cs="Arial"/>
          <w:b/>
          <w:sz w:val="24"/>
          <w:szCs w:val="24"/>
          <w:lang w:val="es-ES_tradnl"/>
        </w:rPr>
        <w:t>2</w:t>
      </w:r>
    </w:p>
    <w:p w14:paraId="295561FF" w14:textId="77777777" w:rsidR="0071051D" w:rsidRPr="003923D7" w:rsidRDefault="00AB7EB7" w:rsidP="00C11587">
      <w:pPr>
        <w:spacing w:after="0"/>
        <w:jc w:val="center"/>
        <w:rPr>
          <w:rFonts w:ascii="Arial" w:hAnsi="Arial" w:cs="Arial"/>
          <w:szCs w:val="24"/>
          <w:lang w:val="es-ES_tradnl"/>
        </w:rPr>
      </w:pPr>
      <w:r w:rsidRPr="003923D7">
        <w:rPr>
          <w:rFonts w:ascii="Arial" w:hAnsi="Arial" w:cs="Arial"/>
          <w:b/>
          <w:noProof/>
          <w:sz w:val="24"/>
          <w:szCs w:val="24"/>
        </w:rPr>
        <w:drawing>
          <wp:anchor distT="0" distB="0" distL="114300" distR="114300" simplePos="0" relativeHeight="251672576" behindDoc="1" locked="0" layoutInCell="1" allowOverlap="1" wp14:anchorId="3AC7BCC8" wp14:editId="1BA2228B">
            <wp:simplePos x="0" y="0"/>
            <wp:positionH relativeFrom="column">
              <wp:posOffset>-976630</wp:posOffset>
            </wp:positionH>
            <wp:positionV relativeFrom="paragraph">
              <wp:posOffset>552450</wp:posOffset>
            </wp:positionV>
            <wp:extent cx="7341235" cy="1367155"/>
            <wp:effectExtent l="0" t="0" r="0" b="4445"/>
            <wp:wrapThrough wrapText="bothSides">
              <wp:wrapPolygon edited="0">
                <wp:start x="0" y="0"/>
                <wp:lineTo x="0" y="21369"/>
                <wp:lineTo x="21523" y="21369"/>
                <wp:lineTo x="21523" y="0"/>
                <wp:lineTo x="0" y="0"/>
              </wp:wrapPolygon>
            </wp:wrapThrough>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41235" cy="136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71051D" w:rsidRPr="003923D7">
        <w:rPr>
          <w:rFonts w:ascii="Arial" w:hAnsi="Arial" w:cs="Arial"/>
          <w:b/>
          <w:sz w:val="24"/>
          <w:szCs w:val="24"/>
          <w:lang w:val="es-ES_tradnl"/>
        </w:rPr>
        <w:t>Escenario central reforma competitividad. Regulaciones se ubican el promedio de</w:t>
      </w:r>
      <w:r w:rsidR="0071051D" w:rsidRPr="003923D7">
        <w:rPr>
          <w:rFonts w:ascii="Arial" w:hAnsi="Arial" w:cs="Arial"/>
          <w:sz w:val="24"/>
          <w:szCs w:val="24"/>
          <w:lang w:val="es-ES_tradnl"/>
        </w:rPr>
        <w:t xml:space="preserve"> </w:t>
      </w:r>
      <w:r w:rsidR="0071051D" w:rsidRPr="003923D7">
        <w:rPr>
          <w:rFonts w:ascii="Arial" w:hAnsi="Arial" w:cs="Arial"/>
          <w:b/>
          <w:sz w:val="24"/>
          <w:szCs w:val="24"/>
          <w:lang w:val="es-ES_tradnl"/>
        </w:rPr>
        <w:t>Colombia, Chile, Panamá y Perú</w:t>
      </w:r>
    </w:p>
    <w:p w14:paraId="4B9D4755" w14:textId="77777777" w:rsidR="008D37EA" w:rsidRPr="003923D7" w:rsidRDefault="008D37EA">
      <w:pPr>
        <w:rPr>
          <w:rFonts w:ascii="Arial" w:hAnsi="Arial" w:cs="Arial"/>
          <w:b/>
          <w:sz w:val="24"/>
          <w:szCs w:val="24"/>
          <w:lang w:val="es-ES_tradnl"/>
        </w:rPr>
      </w:pPr>
      <w:r w:rsidRPr="003923D7">
        <w:rPr>
          <w:rFonts w:ascii="Arial" w:hAnsi="Arial" w:cs="Arial"/>
          <w:b/>
          <w:sz w:val="24"/>
          <w:szCs w:val="24"/>
          <w:lang w:val="es-ES_tradnl"/>
        </w:rPr>
        <w:br w:type="page"/>
      </w:r>
    </w:p>
    <w:p w14:paraId="6BC65D98" w14:textId="77777777" w:rsidR="00AB7EB7" w:rsidRPr="003923D7" w:rsidRDefault="00AB7EB7" w:rsidP="00C11587">
      <w:pPr>
        <w:spacing w:after="0"/>
        <w:jc w:val="center"/>
        <w:rPr>
          <w:rFonts w:ascii="Arial" w:hAnsi="Arial" w:cs="Arial"/>
          <w:b/>
          <w:szCs w:val="24"/>
          <w:lang w:val="es-ES_tradnl"/>
        </w:rPr>
      </w:pPr>
      <w:r w:rsidRPr="003923D7">
        <w:rPr>
          <w:rFonts w:ascii="Arial" w:hAnsi="Arial" w:cs="Arial"/>
          <w:b/>
          <w:sz w:val="24"/>
          <w:szCs w:val="24"/>
          <w:lang w:val="es-ES_tradnl"/>
        </w:rPr>
        <w:lastRenderedPageBreak/>
        <w:t xml:space="preserve">Tabla </w:t>
      </w:r>
      <w:r w:rsidR="00F35F26" w:rsidRPr="003923D7">
        <w:rPr>
          <w:rFonts w:ascii="Arial" w:hAnsi="Arial" w:cs="Arial"/>
          <w:b/>
          <w:sz w:val="24"/>
          <w:szCs w:val="24"/>
          <w:lang w:val="es-ES_tradnl"/>
        </w:rPr>
        <w:t>3</w:t>
      </w:r>
    </w:p>
    <w:p w14:paraId="340188A1" w14:textId="77777777" w:rsidR="008D37EA" w:rsidRPr="003923D7" w:rsidRDefault="00AB7EB7" w:rsidP="00C11587">
      <w:pPr>
        <w:spacing w:after="0"/>
        <w:jc w:val="center"/>
        <w:rPr>
          <w:rFonts w:ascii="Arial" w:hAnsi="Arial" w:cs="Arial"/>
          <w:b/>
          <w:szCs w:val="24"/>
          <w:lang w:val="es-ES_tradnl"/>
        </w:rPr>
      </w:pPr>
      <w:r w:rsidRPr="003923D7">
        <w:rPr>
          <w:rFonts w:ascii="Arial" w:hAnsi="Arial" w:cs="Arial"/>
          <w:b/>
          <w:sz w:val="24"/>
          <w:szCs w:val="24"/>
          <w:lang w:val="es-ES_tradnl"/>
        </w:rPr>
        <w:t>VPN combinado escenario central</w:t>
      </w:r>
    </w:p>
    <w:p w14:paraId="39E35E6F" w14:textId="77777777" w:rsidR="0071051D" w:rsidRPr="003923D7" w:rsidRDefault="00AB7EB7" w:rsidP="00C11587">
      <w:pPr>
        <w:spacing w:after="0"/>
        <w:jc w:val="center"/>
        <w:rPr>
          <w:rFonts w:ascii="Arial" w:hAnsi="Arial" w:cs="Arial"/>
          <w:b/>
          <w:szCs w:val="24"/>
          <w:lang w:val="es-ES_tradnl"/>
        </w:rPr>
      </w:pPr>
      <w:r w:rsidRPr="003923D7">
        <w:rPr>
          <w:rFonts w:ascii="Arial" w:hAnsi="Arial" w:cs="Arial"/>
          <w:b/>
          <w:sz w:val="24"/>
          <w:szCs w:val="24"/>
          <w:lang w:val="es-ES_tradnl"/>
        </w:rPr>
        <w:t>reforma financiera y reforma competitividad</w:t>
      </w:r>
    </w:p>
    <w:p w14:paraId="62AA88E9" w14:textId="77777777" w:rsidR="001D5B83" w:rsidRPr="003923D7" w:rsidRDefault="00EE6EDF" w:rsidP="00C11587">
      <w:pPr>
        <w:spacing w:after="0"/>
        <w:jc w:val="center"/>
        <w:rPr>
          <w:rFonts w:ascii="Arial" w:hAnsi="Arial" w:cs="Arial"/>
          <w:lang w:val="es-ES_tradnl"/>
        </w:rPr>
      </w:pPr>
      <w:r w:rsidRPr="003923D7">
        <w:rPr>
          <w:rFonts w:ascii="Arial" w:hAnsi="Arial" w:cs="Arial"/>
          <w:noProof/>
          <w:sz w:val="24"/>
          <w:szCs w:val="24"/>
        </w:rPr>
        <w:drawing>
          <wp:inline distT="0" distB="0" distL="0" distR="0" wp14:anchorId="7358991C" wp14:editId="28F6C49B">
            <wp:extent cx="2456815" cy="819150"/>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6815" cy="819150"/>
                    </a:xfrm>
                    <a:prstGeom prst="rect">
                      <a:avLst/>
                    </a:prstGeom>
                    <a:noFill/>
                    <a:ln>
                      <a:noFill/>
                    </a:ln>
                  </pic:spPr>
                </pic:pic>
              </a:graphicData>
            </a:graphic>
          </wp:inline>
        </w:drawing>
      </w:r>
    </w:p>
    <w:p w14:paraId="43534283" w14:textId="77777777" w:rsidR="008D37EA" w:rsidRPr="003923D7" w:rsidRDefault="008D37EA" w:rsidP="008D37EA">
      <w:pPr>
        <w:rPr>
          <w:rFonts w:ascii="Arial" w:hAnsi="Arial" w:cs="Arial"/>
          <w:lang w:val="es-ES_tradnl"/>
        </w:rPr>
      </w:pPr>
      <w:bookmarkStart w:id="9" w:name="_Toc298764672"/>
    </w:p>
    <w:p w14:paraId="6C2B7CB2" w14:textId="77777777" w:rsidR="008D37EA" w:rsidRPr="003923D7" w:rsidRDefault="008D37EA" w:rsidP="008D37EA">
      <w:pPr>
        <w:rPr>
          <w:rFonts w:ascii="Arial" w:hAnsi="Arial" w:cs="Arial"/>
          <w:lang w:val="es-ES_tradnl"/>
        </w:rPr>
        <w:sectPr w:rsidR="008D37EA" w:rsidRPr="003923D7" w:rsidSect="00767E95">
          <w:pgSz w:w="12240" w:h="15840"/>
          <w:pgMar w:top="1440" w:right="1800" w:bottom="1440" w:left="1800" w:header="720" w:footer="720" w:gutter="0"/>
          <w:cols w:space="720"/>
          <w:docGrid w:linePitch="360"/>
        </w:sectPr>
      </w:pPr>
    </w:p>
    <w:p w14:paraId="5B5BA216" w14:textId="77777777" w:rsidR="00D66825" w:rsidRPr="003923D7" w:rsidRDefault="00A704AB" w:rsidP="00C11587">
      <w:pPr>
        <w:pStyle w:val="Chapter"/>
        <w:rPr>
          <w:rFonts w:ascii="Arial" w:hAnsi="Arial" w:cs="Arial"/>
          <w:lang w:val="es-ES_tradnl"/>
        </w:rPr>
      </w:pPr>
      <w:bookmarkStart w:id="10" w:name="_Toc398196143"/>
      <w:r w:rsidRPr="003923D7">
        <w:rPr>
          <w:rFonts w:ascii="Arial" w:hAnsi="Arial" w:cs="Arial"/>
          <w:lang w:val="es-ES_tradnl"/>
        </w:rPr>
        <w:t>Análisis</w:t>
      </w:r>
      <w:r w:rsidR="003D7B88" w:rsidRPr="003923D7">
        <w:rPr>
          <w:rFonts w:ascii="Arial" w:hAnsi="Arial" w:cs="Arial"/>
          <w:lang w:val="es-ES_tradnl"/>
        </w:rPr>
        <w:t xml:space="preserve"> de Sensibilidad</w:t>
      </w:r>
      <w:bookmarkEnd w:id="9"/>
      <w:bookmarkEnd w:id="10"/>
    </w:p>
    <w:p w14:paraId="656615B5" w14:textId="77777777" w:rsidR="00734FBF" w:rsidRPr="003923D7" w:rsidRDefault="00734FBF">
      <w:pPr>
        <w:pStyle w:val="Paragraph"/>
        <w:tabs>
          <w:tab w:val="num" w:pos="720"/>
        </w:tabs>
        <w:spacing w:after="80"/>
        <w:ind w:left="720" w:hanging="720"/>
        <w:rPr>
          <w:rFonts w:ascii="Arial" w:hAnsi="Arial" w:cs="Arial"/>
          <w:lang w:val="es-ES_tradnl"/>
        </w:rPr>
      </w:pPr>
      <w:bookmarkStart w:id="11" w:name="OLE_LINK1"/>
      <w:bookmarkStart w:id="12" w:name="OLE_LINK2"/>
      <w:r w:rsidRPr="003923D7">
        <w:rPr>
          <w:rFonts w:ascii="Arial" w:hAnsi="Arial" w:cs="Arial"/>
          <w:lang w:val="es-ES_tradnl"/>
        </w:rPr>
        <w:t>Un aspecto importante del análisis de costo beneficio es la etapa de sensibilización. En el presente caso</w:t>
      </w:r>
      <w:r w:rsidR="00416D9E" w:rsidRPr="003923D7">
        <w:rPr>
          <w:rFonts w:ascii="Arial" w:hAnsi="Arial" w:cs="Arial"/>
          <w:lang w:val="es-ES_tradnl"/>
        </w:rPr>
        <w:t>,</w:t>
      </w:r>
      <w:r w:rsidRPr="003923D7">
        <w:rPr>
          <w:rFonts w:ascii="Arial" w:hAnsi="Arial" w:cs="Arial"/>
          <w:lang w:val="es-ES_tradnl"/>
        </w:rPr>
        <w:t xml:space="preserve"> existen varios escenarios que han de considerarse. </w:t>
      </w:r>
      <w:r w:rsidR="00DF744A" w:rsidRPr="003923D7">
        <w:rPr>
          <w:rFonts w:ascii="Arial" w:hAnsi="Arial" w:cs="Arial"/>
          <w:lang w:val="es-ES_tradnl"/>
        </w:rPr>
        <w:t xml:space="preserve">Como ya se indicó previamente, dado que las fuentes de las estimaciones corresponden a dos estudios distintos, y que el cálculo de los efectos cruzados (que en principio se esperan positivos) no estaría adecuadamente definido, se ha optado por presentar aquí también los resultados para cada componente por separado. </w:t>
      </w:r>
      <w:r w:rsidRPr="003923D7">
        <w:rPr>
          <w:rFonts w:ascii="Arial" w:hAnsi="Arial" w:cs="Arial"/>
          <w:lang w:val="es-ES_tradnl"/>
        </w:rPr>
        <w:t>Estos escenarios se plantean a continuación</w:t>
      </w:r>
      <w:r w:rsidR="00DF744A" w:rsidRPr="003923D7">
        <w:rPr>
          <w:rFonts w:ascii="Arial" w:hAnsi="Arial" w:cs="Arial"/>
          <w:lang w:val="es-ES_tradnl"/>
        </w:rPr>
        <w:t xml:space="preserve">, comenzando por </w:t>
      </w:r>
      <w:r w:rsidR="008053E9" w:rsidRPr="003923D7">
        <w:rPr>
          <w:rFonts w:ascii="Arial" w:hAnsi="Arial" w:cs="Arial"/>
          <w:lang w:val="es-ES_tradnl"/>
        </w:rPr>
        <w:t xml:space="preserve">las sensibilizaciones correspondientes al componente de reforma financiera, para luego pasar a la discusión de los resultados del componente de competitividad. </w:t>
      </w:r>
      <w:r w:rsidR="005D4A10" w:rsidRPr="003923D7">
        <w:rPr>
          <w:rFonts w:ascii="Arial" w:hAnsi="Arial" w:cs="Arial"/>
          <w:lang w:val="es-ES_tradnl"/>
        </w:rPr>
        <w:t>Cabe además comentar que las sensibilizaciones están además limitadas por la estrategia de cuantificación de los costos y beneficios. En particular, el modelo empírico utilizado hace depender los beneficios netos medidos como cambios en valor agregado (</w:t>
      </w:r>
      <w:r w:rsidR="003E5214" w:rsidRPr="003923D7">
        <w:rPr>
          <w:rFonts w:ascii="Arial" w:hAnsi="Arial" w:cs="Arial"/>
          <w:lang w:val="es-ES_tradnl"/>
        </w:rPr>
        <w:t>aún</w:t>
      </w:r>
      <w:r w:rsidR="005D4A10" w:rsidRPr="003923D7">
        <w:rPr>
          <w:rFonts w:ascii="Arial" w:hAnsi="Arial" w:cs="Arial"/>
          <w:lang w:val="es-ES_tradnl"/>
        </w:rPr>
        <w:t xml:space="preserve"> cuando correspondan estrictamente a cambios en productividad, o a cambios en productividad y acumulación de factores como en el caso de las reformas financieras) de una serie de variables que entran en forma aditiva en las especificaciones, y al no disponer de un marco de referencia en el presente anexo para establecer el impacto de las reformas en los otros términos del modelo, el análisis de sensibilidad se encuentra mayormente limitado a los casos aquí considerados.</w:t>
      </w:r>
    </w:p>
    <w:p w14:paraId="185BBA4A" w14:textId="77777777" w:rsidR="003C5D8F" w:rsidRPr="003923D7" w:rsidRDefault="003C5D8F" w:rsidP="00C11587">
      <w:pPr>
        <w:pStyle w:val="Paragraph"/>
        <w:numPr>
          <w:ilvl w:val="0"/>
          <w:numId w:val="0"/>
        </w:numPr>
        <w:spacing w:after="80"/>
        <w:ind w:left="720"/>
        <w:rPr>
          <w:rFonts w:ascii="Arial" w:hAnsi="Arial" w:cs="Arial"/>
          <w:b/>
          <w:lang w:val="es-ES_tradnl"/>
        </w:rPr>
      </w:pPr>
      <w:r w:rsidRPr="003923D7">
        <w:rPr>
          <w:rFonts w:ascii="Arial" w:hAnsi="Arial" w:cs="Arial"/>
          <w:b/>
          <w:lang w:val="es-ES_tradnl"/>
        </w:rPr>
        <w:t>Sensibilizaciones componente financiero</w:t>
      </w:r>
    </w:p>
    <w:p w14:paraId="12067430" w14:textId="77777777" w:rsidR="00734FBF" w:rsidRPr="003923D7" w:rsidRDefault="00734FBF" w:rsidP="00734FBF">
      <w:pPr>
        <w:pStyle w:val="Paragraph"/>
        <w:tabs>
          <w:tab w:val="num" w:pos="720"/>
        </w:tabs>
        <w:spacing w:after="80"/>
        <w:ind w:left="720" w:hanging="720"/>
        <w:rPr>
          <w:rFonts w:ascii="Arial" w:hAnsi="Arial" w:cs="Arial"/>
          <w:lang w:val="es-ES_tradnl"/>
        </w:rPr>
      </w:pPr>
      <w:r w:rsidRPr="003923D7">
        <w:rPr>
          <w:rFonts w:ascii="Arial" w:hAnsi="Arial" w:cs="Arial"/>
          <w:lang w:val="es-ES_tradnl"/>
        </w:rPr>
        <w:t xml:space="preserve">Una primera sensibilización al escenario central consiste en variar el parámetro de eficiencia (que en el escenario central fue fijado en </w:t>
      </w:r>
      <m:oMath>
        <m:r>
          <w:rPr>
            <w:rFonts w:ascii="Cambria Math" w:hAnsi="Cambria Math" w:cs="Arial"/>
            <w:lang w:val="es-ES_tradnl"/>
          </w:rPr>
          <m:t>α</m:t>
        </m:r>
      </m:oMath>
      <w:r w:rsidRPr="003923D7">
        <w:rPr>
          <w:rFonts w:ascii="Arial" w:hAnsi="Arial" w:cs="Arial"/>
          <w:lang w:val="es-ES_tradnl"/>
        </w:rPr>
        <w:t xml:space="preserve">=0.6). Si la ejecución de las reformas tuviera un nivel distinto de eficiencia esto podría considerarse en el parámetro </w:t>
      </w:r>
      <m:oMath>
        <m:r>
          <w:rPr>
            <w:rFonts w:ascii="Cambria Math" w:hAnsi="Cambria Math" w:cs="Arial"/>
            <w:lang w:val="es-ES_tradnl"/>
          </w:rPr>
          <m:t>α</m:t>
        </m:r>
      </m:oMath>
      <w:r w:rsidRPr="003923D7">
        <w:rPr>
          <w:rFonts w:ascii="Arial" w:hAnsi="Arial" w:cs="Arial"/>
          <w:lang w:val="es-ES_tradnl"/>
        </w:rPr>
        <w:t>.</w:t>
      </w:r>
      <w:r w:rsidR="003E5214" w:rsidRPr="003923D7">
        <w:rPr>
          <w:rFonts w:ascii="Arial" w:hAnsi="Arial" w:cs="Arial"/>
          <w:lang w:val="es-ES_tradnl"/>
        </w:rPr>
        <w:t xml:space="preserve"> En</w:t>
      </w:r>
      <w:r w:rsidRPr="003923D7">
        <w:rPr>
          <w:rFonts w:ascii="Arial" w:hAnsi="Arial" w:cs="Arial"/>
          <w:lang w:val="es-ES_tradnl"/>
        </w:rPr>
        <w:t xml:space="preserve"> este punto es importante señalar que, </w:t>
      </w:r>
      <w:r w:rsidR="003E5214" w:rsidRPr="003923D7">
        <w:rPr>
          <w:rFonts w:ascii="Arial" w:hAnsi="Arial" w:cs="Arial"/>
          <w:lang w:val="es-ES_tradnl"/>
        </w:rPr>
        <w:t>bajo</w:t>
      </w:r>
      <w:r w:rsidRPr="003923D7">
        <w:rPr>
          <w:rFonts w:ascii="Arial" w:hAnsi="Arial" w:cs="Arial"/>
          <w:lang w:val="es-ES_tradnl"/>
        </w:rPr>
        <w:t xml:space="preserve"> este enfoque de sensibilización, el parámetro </w:t>
      </w:r>
      <m:oMath>
        <m:r>
          <w:rPr>
            <w:rFonts w:ascii="Cambria Math" w:hAnsi="Cambria Math" w:cs="Arial"/>
            <w:lang w:val="es-ES_tradnl"/>
          </w:rPr>
          <m:t>α</m:t>
        </m:r>
      </m:oMath>
      <w:r w:rsidRPr="003923D7">
        <w:rPr>
          <w:rFonts w:ascii="Arial" w:hAnsi="Arial" w:cs="Arial"/>
          <w:lang w:val="es-ES_tradnl"/>
        </w:rPr>
        <w:t xml:space="preserve"> puede alternativamente cumplir el rol de diversos factores </w:t>
      </w:r>
      <w:r w:rsidR="003E5214" w:rsidRPr="003923D7">
        <w:rPr>
          <w:rFonts w:ascii="Arial" w:hAnsi="Arial" w:cs="Arial"/>
          <w:lang w:val="es-ES_tradnl"/>
        </w:rPr>
        <w:t>que afectan</w:t>
      </w:r>
      <w:r w:rsidRPr="003923D7">
        <w:rPr>
          <w:rFonts w:ascii="Arial" w:hAnsi="Arial" w:cs="Arial"/>
          <w:lang w:val="es-ES_tradnl"/>
        </w:rPr>
        <w:t xml:space="preserve"> la eficiencia con la cual las reformas impactan en mayores tasas de crecimiento. Así, por ejemplo, un parámetro </w:t>
      </w:r>
      <m:oMath>
        <m:r>
          <w:rPr>
            <w:rFonts w:ascii="Cambria Math" w:hAnsi="Cambria Math" w:cs="Arial"/>
            <w:lang w:val="es-ES_tradnl"/>
          </w:rPr>
          <m:t>α=0.5</m:t>
        </m:r>
      </m:oMath>
      <w:r w:rsidRPr="003923D7">
        <w:rPr>
          <w:rFonts w:ascii="Arial" w:hAnsi="Arial" w:cs="Arial"/>
          <w:lang w:val="es-ES_tradnl"/>
        </w:rPr>
        <w:t xml:space="preserve"> que reduce a la mitad el impacto calculado por Swiston y Barrot puede dar cuenta también de implementaciones parciales, o falta de efectividad en la ejecución de las </w:t>
      </w:r>
      <w:r w:rsidRPr="003923D7">
        <w:rPr>
          <w:rFonts w:ascii="Arial" w:hAnsi="Arial" w:cs="Arial"/>
          <w:lang w:val="es-ES_tradnl"/>
        </w:rPr>
        <w:lastRenderedPageBreak/>
        <w:t xml:space="preserve">mismas, o de cualquier combinación lineal de estos factores. En este sentido, no es necesario presentar sensibilizaciones separadas para estos tres elementos, ya que es suficiente con variar el valor de </w:t>
      </w:r>
      <m:oMath>
        <m:r>
          <w:rPr>
            <w:rFonts w:ascii="Cambria Math" w:hAnsi="Cambria Math" w:cs="Arial"/>
            <w:lang w:val="es-ES_tradnl"/>
          </w:rPr>
          <m:t>α</m:t>
        </m:r>
      </m:oMath>
      <w:r w:rsidRPr="003923D7">
        <w:rPr>
          <w:rFonts w:ascii="Arial" w:hAnsi="Arial" w:cs="Arial"/>
          <w:lang w:val="es-ES_tradnl"/>
        </w:rPr>
        <w:t xml:space="preserve"> según la consideración que se quiera realizar. Más concretamente, un </w:t>
      </w:r>
      <m:oMath>
        <m:r>
          <w:rPr>
            <w:rFonts w:ascii="Cambria Math" w:hAnsi="Cambria Math" w:cs="Arial"/>
            <w:lang w:val="es-ES_tradnl"/>
          </w:rPr>
          <m:t>α=0.5</m:t>
        </m:r>
      </m:oMath>
      <w:r w:rsidRPr="003923D7">
        <w:rPr>
          <w:rFonts w:ascii="Arial" w:hAnsi="Arial" w:cs="Arial"/>
          <w:lang w:val="es-ES_tradnl"/>
        </w:rPr>
        <w:t xml:space="preserve"> puede representar un alto grado de ineficiencia en la aplicación de las reformas que sería equivalente a que el impacto efectivo de las reformas plenamente implementadas sea para la República Dominicana un 50% menor que para el promedio de la muestra utilizada para derivar los parámetros. Es decir, el parámetro de sensibilización </w:t>
      </w:r>
      <m:oMath>
        <m:r>
          <w:rPr>
            <w:rFonts w:ascii="Cambria Math" w:hAnsi="Cambria Math" w:cs="Arial"/>
            <w:lang w:val="es-ES_tradnl"/>
          </w:rPr>
          <m:t>α</m:t>
        </m:r>
      </m:oMath>
      <w:r w:rsidRPr="003923D7">
        <w:rPr>
          <w:rFonts w:ascii="Arial" w:hAnsi="Arial" w:cs="Arial"/>
          <w:lang w:val="es-ES_tradnl"/>
        </w:rPr>
        <w:t xml:space="preserve"> acomoda una amplia serie de potenciales eventualidades, incluyendo problemas de implementación y variaciones en las tasas de crecimiento resultantes. Este parámetro se hace variar (como se muestra más abajo) entre 0.75 y 0.25 lo cual acomoda un amplio rango de escenarios posibles según lo discutido</w:t>
      </w:r>
      <w:r w:rsidRPr="003923D7">
        <w:rPr>
          <w:rStyle w:val="FootnoteReference"/>
          <w:rFonts w:ascii="Arial" w:hAnsi="Arial" w:cs="Arial"/>
          <w:lang w:val="es-ES_tradnl"/>
        </w:rPr>
        <w:footnoteReference w:id="28"/>
      </w:r>
      <w:r w:rsidRPr="003923D7">
        <w:rPr>
          <w:rFonts w:ascii="Arial" w:hAnsi="Arial" w:cs="Arial"/>
          <w:lang w:val="es-ES_tradnl"/>
        </w:rPr>
        <w:t xml:space="preserve">. </w:t>
      </w:r>
    </w:p>
    <w:p w14:paraId="5F1E8656" w14:textId="77777777" w:rsidR="00734FBF" w:rsidRPr="003923D7" w:rsidRDefault="00734FBF" w:rsidP="00C11587">
      <w:pPr>
        <w:pStyle w:val="Paragraph"/>
        <w:tabs>
          <w:tab w:val="num" w:pos="720"/>
        </w:tabs>
        <w:ind w:left="720" w:hanging="720"/>
        <w:rPr>
          <w:rFonts w:ascii="Arial" w:hAnsi="Arial" w:cs="Arial"/>
          <w:b/>
          <w:lang w:val="es-ES_tradnl"/>
        </w:rPr>
      </w:pPr>
      <w:r w:rsidRPr="003923D7">
        <w:rPr>
          <w:rFonts w:ascii="Arial" w:hAnsi="Arial" w:cs="Arial"/>
          <w:lang w:val="es-ES_tradnl"/>
        </w:rPr>
        <w:t xml:space="preserve">En forma adicional se consideran dos sensibilizaciones para los costos incrementales de gastos en personal y en bienes y servicios. </w:t>
      </w:r>
      <w:r w:rsidR="00431F02" w:rsidRPr="003923D7">
        <w:rPr>
          <w:rFonts w:ascii="Arial" w:hAnsi="Arial" w:cs="Arial"/>
          <w:lang w:val="es-ES_tradnl"/>
        </w:rPr>
        <w:t>Se supone en primer lugar que los costos de personal en insumos para llevar adelante el componente serán un 5% del ministerio representativo y</w:t>
      </w:r>
      <w:r w:rsidR="003E5214" w:rsidRPr="003923D7">
        <w:rPr>
          <w:rFonts w:ascii="Arial" w:hAnsi="Arial" w:cs="Arial"/>
          <w:lang w:val="es-ES_tradnl"/>
        </w:rPr>
        <w:t>a descri</w:t>
      </w:r>
      <w:r w:rsidR="00431F02" w:rsidRPr="003923D7">
        <w:rPr>
          <w:rFonts w:ascii="Arial" w:hAnsi="Arial" w:cs="Arial"/>
          <w:lang w:val="es-ES_tradnl"/>
        </w:rPr>
        <w:t>to</w:t>
      </w:r>
      <w:r w:rsidR="003E5214" w:rsidRPr="003923D7">
        <w:rPr>
          <w:rFonts w:ascii="Arial" w:hAnsi="Arial" w:cs="Arial"/>
          <w:lang w:val="es-ES_tradnl"/>
        </w:rPr>
        <w:t>,</w:t>
      </w:r>
      <w:r w:rsidR="00431F02" w:rsidRPr="003923D7">
        <w:rPr>
          <w:rFonts w:ascii="Arial" w:hAnsi="Arial" w:cs="Arial"/>
          <w:lang w:val="es-ES_tradnl"/>
        </w:rPr>
        <w:t xml:space="preserve"> y luego que esos montos ascienden a 20%. Esto se muestra en la </w:t>
      </w:r>
      <w:r w:rsidR="003E5214" w:rsidRPr="003923D7">
        <w:rPr>
          <w:rFonts w:ascii="Arial" w:hAnsi="Arial" w:cs="Arial"/>
          <w:lang w:val="es-ES_tradnl"/>
        </w:rPr>
        <w:t>T</w:t>
      </w:r>
      <w:r w:rsidR="00431F02" w:rsidRPr="003923D7">
        <w:rPr>
          <w:rFonts w:ascii="Arial" w:hAnsi="Arial" w:cs="Arial"/>
          <w:lang w:val="es-ES_tradnl"/>
        </w:rPr>
        <w:t xml:space="preserve">abla 4, la cual también reporta el valor de </w:t>
      </w:r>
      <m:oMath>
        <m:r>
          <w:rPr>
            <w:rFonts w:ascii="Cambria Math" w:hAnsi="Cambria Math" w:cs="Arial"/>
          </w:rPr>
          <m:t>α</m:t>
        </m:r>
      </m:oMath>
      <w:r w:rsidR="00431F02" w:rsidRPr="003923D7">
        <w:rPr>
          <w:rFonts w:ascii="Arial" w:hAnsi="Arial" w:cs="Arial"/>
          <w:lang w:val="es-ES_tradnl"/>
        </w:rPr>
        <w:t xml:space="preserve"> para el cual se nivela </w:t>
      </w:r>
      <w:r w:rsidR="009A59CD" w:rsidRPr="003923D7">
        <w:rPr>
          <w:rFonts w:ascii="Arial" w:hAnsi="Arial" w:cs="Arial"/>
          <w:lang w:val="es-ES_tradnl"/>
        </w:rPr>
        <w:t>el componente</w:t>
      </w:r>
      <w:r w:rsidRPr="003923D7">
        <w:rPr>
          <w:rFonts w:ascii="Arial" w:hAnsi="Arial" w:cs="Arial"/>
          <w:lang w:val="es-ES_tradnl"/>
        </w:rPr>
        <w:t>.</w:t>
      </w:r>
    </w:p>
    <w:p w14:paraId="311489E1" w14:textId="77777777" w:rsidR="00734FBF" w:rsidRPr="003923D7" w:rsidRDefault="00734FBF" w:rsidP="00C11587">
      <w:pPr>
        <w:pStyle w:val="Paragraph"/>
        <w:tabs>
          <w:tab w:val="num" w:pos="720"/>
        </w:tabs>
        <w:spacing w:after="80"/>
        <w:ind w:left="720" w:hanging="720"/>
        <w:rPr>
          <w:rFonts w:ascii="Arial" w:hAnsi="Arial" w:cs="Arial"/>
          <w:b/>
          <w:lang w:val="es-ES_tradnl"/>
        </w:rPr>
      </w:pPr>
      <w:r w:rsidRPr="003923D7">
        <w:rPr>
          <w:rFonts w:ascii="Arial" w:hAnsi="Arial" w:cs="Arial"/>
          <w:b/>
          <w:lang w:val="es-ES_tradnl"/>
        </w:rPr>
        <w:t xml:space="preserve">Sensibilizaciones adicionales: reducción tasas de crecimiento PBI inicial. </w:t>
      </w:r>
      <w:r w:rsidRPr="003923D7">
        <w:rPr>
          <w:rFonts w:ascii="Arial" w:hAnsi="Arial" w:cs="Arial"/>
          <w:lang w:val="es-ES_tradnl"/>
        </w:rPr>
        <w:t xml:space="preserve">Se presentan a continuación los resultados bajo la hipótesis de que las tasas de crecimiento esperadas del PBI se reducen en un 5%, 15%, y 30% ya que este es un supuesto de gran importancia para el </w:t>
      </w:r>
      <w:r w:rsidR="00BE30A6" w:rsidRPr="003923D7">
        <w:rPr>
          <w:rFonts w:ascii="Arial" w:hAnsi="Arial" w:cs="Arial"/>
          <w:lang w:val="es-ES_tradnl"/>
        </w:rPr>
        <w:t>cómputo</w:t>
      </w:r>
      <w:r w:rsidRPr="003923D7">
        <w:rPr>
          <w:rFonts w:ascii="Arial" w:hAnsi="Arial" w:cs="Arial"/>
          <w:lang w:val="es-ES_tradnl"/>
        </w:rPr>
        <w:t xml:space="preserve"> de los beneficios diferenciales de las reformas.</w:t>
      </w:r>
      <w:r w:rsidR="00F54B95" w:rsidRPr="003923D7">
        <w:rPr>
          <w:rFonts w:ascii="Arial" w:hAnsi="Arial" w:cs="Arial"/>
          <w:lang w:val="es-ES_tradnl"/>
        </w:rPr>
        <w:t xml:space="preserve"> Para cada uno de estos casos, se reporta n</w:t>
      </w:r>
      <w:r w:rsidR="003E5214" w:rsidRPr="003923D7">
        <w:rPr>
          <w:rFonts w:ascii="Arial" w:hAnsi="Arial" w:cs="Arial"/>
          <w:lang w:val="es-ES_tradnl"/>
        </w:rPr>
        <w:t>uevamente el equivalente de la T</w:t>
      </w:r>
      <w:r w:rsidR="00F54B95" w:rsidRPr="003923D7">
        <w:rPr>
          <w:rFonts w:ascii="Arial" w:hAnsi="Arial" w:cs="Arial"/>
          <w:lang w:val="es-ES_tradnl"/>
        </w:rPr>
        <w:t>abla 4 del escenario central</w:t>
      </w:r>
      <w:r w:rsidR="009B0653" w:rsidRPr="003923D7">
        <w:rPr>
          <w:rFonts w:ascii="Arial" w:hAnsi="Arial" w:cs="Arial"/>
          <w:lang w:val="es-ES_tradnl"/>
        </w:rPr>
        <w:t xml:space="preserve"> (tablas 5-7)</w:t>
      </w:r>
      <w:r w:rsidR="00F54B95" w:rsidRPr="003923D7">
        <w:rPr>
          <w:rFonts w:ascii="Arial" w:hAnsi="Arial" w:cs="Arial"/>
          <w:lang w:val="es-ES_tradnl"/>
        </w:rPr>
        <w:t>.</w:t>
      </w:r>
    </w:p>
    <w:p w14:paraId="7BFA4125" w14:textId="77777777" w:rsidR="005E1F24" w:rsidRPr="003923D7" w:rsidRDefault="005E1F24" w:rsidP="00C11587">
      <w:pPr>
        <w:pStyle w:val="Paragraph"/>
        <w:numPr>
          <w:ilvl w:val="0"/>
          <w:numId w:val="0"/>
        </w:numPr>
        <w:ind w:left="720"/>
        <w:rPr>
          <w:rFonts w:ascii="Arial" w:hAnsi="Arial" w:cs="Arial"/>
          <w:b/>
          <w:lang w:val="es-ES_tradnl"/>
        </w:rPr>
      </w:pPr>
      <w:r w:rsidRPr="003923D7">
        <w:rPr>
          <w:rFonts w:ascii="Arial" w:hAnsi="Arial" w:cs="Arial"/>
          <w:b/>
          <w:lang w:val="es-ES_tradnl"/>
        </w:rPr>
        <w:t>Sensibilizaciones componente competitividad</w:t>
      </w:r>
    </w:p>
    <w:p w14:paraId="4AA2226D" w14:textId="77777777" w:rsidR="00F54B95" w:rsidRPr="003923D7" w:rsidRDefault="00275C28" w:rsidP="005E1F24">
      <w:pPr>
        <w:pStyle w:val="Paragraph"/>
        <w:tabs>
          <w:tab w:val="num" w:pos="720"/>
        </w:tabs>
        <w:spacing w:after="80"/>
        <w:ind w:left="720" w:hanging="720"/>
        <w:rPr>
          <w:rFonts w:ascii="Arial" w:hAnsi="Arial" w:cs="Arial"/>
          <w:lang w:val="es-ES_tradnl"/>
        </w:rPr>
      </w:pPr>
      <w:r w:rsidRPr="003923D7">
        <w:rPr>
          <w:rFonts w:ascii="Arial" w:hAnsi="Arial" w:cs="Arial"/>
          <w:lang w:val="es-ES_tradnl"/>
        </w:rPr>
        <w:t xml:space="preserve">Por las razones ya </w:t>
      </w:r>
      <w:r w:rsidR="00AA16F8" w:rsidRPr="003923D7">
        <w:rPr>
          <w:rFonts w:ascii="Arial" w:hAnsi="Arial" w:cs="Arial"/>
          <w:lang w:val="es-ES_tradnl"/>
        </w:rPr>
        <w:t>expuestas</w:t>
      </w:r>
      <w:r w:rsidRPr="003923D7">
        <w:rPr>
          <w:rFonts w:ascii="Arial" w:hAnsi="Arial" w:cs="Arial"/>
          <w:lang w:val="es-ES_tradnl"/>
        </w:rPr>
        <w:t>, se presentan separadamente las sensibilizaciones para el componen</w:t>
      </w:r>
      <w:r w:rsidR="003E5214" w:rsidRPr="003923D7">
        <w:rPr>
          <w:rFonts w:ascii="Arial" w:hAnsi="Arial" w:cs="Arial"/>
          <w:lang w:val="es-ES_tradnl"/>
        </w:rPr>
        <w:t>te de competitividad. En la T</w:t>
      </w:r>
      <w:r w:rsidRPr="003923D7">
        <w:rPr>
          <w:rFonts w:ascii="Arial" w:hAnsi="Arial" w:cs="Arial"/>
          <w:lang w:val="es-ES_tradnl"/>
        </w:rPr>
        <w:t xml:space="preserve">abla </w:t>
      </w:r>
      <w:r w:rsidR="009B0653" w:rsidRPr="003923D7">
        <w:rPr>
          <w:rFonts w:ascii="Arial" w:hAnsi="Arial" w:cs="Arial"/>
          <w:lang w:val="es-ES_tradnl"/>
        </w:rPr>
        <w:t>8</w:t>
      </w:r>
      <w:r w:rsidRPr="003923D7">
        <w:rPr>
          <w:rFonts w:ascii="Arial" w:hAnsi="Arial" w:cs="Arial"/>
          <w:lang w:val="es-ES_tradnl"/>
        </w:rPr>
        <w:t xml:space="preserve"> a continuación se presentan en forma resumida los resultados </w:t>
      </w:r>
      <w:r w:rsidR="003E5214" w:rsidRPr="003923D7">
        <w:rPr>
          <w:rFonts w:ascii="Arial" w:hAnsi="Arial" w:cs="Arial"/>
          <w:lang w:val="es-ES_tradnl"/>
        </w:rPr>
        <w:t>de replicar el ejercicio de la T</w:t>
      </w:r>
      <w:r w:rsidRPr="003923D7">
        <w:rPr>
          <w:rFonts w:ascii="Arial" w:hAnsi="Arial" w:cs="Arial"/>
          <w:lang w:val="es-ES_tradnl"/>
        </w:rPr>
        <w:t>abla 2 con los supuestos detallados.</w:t>
      </w:r>
      <w:r w:rsidRPr="003923D7">
        <w:rPr>
          <w:rStyle w:val="FootnoteReference"/>
          <w:rFonts w:ascii="Arial" w:hAnsi="Arial" w:cs="Arial"/>
          <w:lang w:val="es-ES_tradnl"/>
        </w:rPr>
        <w:footnoteReference w:id="29"/>
      </w:r>
      <w:r w:rsidRPr="003923D7">
        <w:rPr>
          <w:rFonts w:ascii="Arial" w:hAnsi="Arial" w:cs="Arial"/>
          <w:lang w:val="es-ES_tradnl"/>
        </w:rPr>
        <w:t xml:space="preserve"> Como puede v</w:t>
      </w:r>
      <w:r w:rsidR="00AA16F8" w:rsidRPr="003923D7">
        <w:rPr>
          <w:rFonts w:ascii="Arial" w:hAnsi="Arial" w:cs="Arial"/>
          <w:lang w:val="es-ES_tradnl"/>
        </w:rPr>
        <w:t xml:space="preserve">erse, el componente muestra </w:t>
      </w:r>
      <w:r w:rsidRPr="003923D7">
        <w:rPr>
          <w:rFonts w:ascii="Arial" w:hAnsi="Arial" w:cs="Arial"/>
          <w:lang w:val="es-ES_tradnl"/>
        </w:rPr>
        <w:t xml:space="preserve">tolerancia a reducciones significativas en la evolución esperada de las tasas de crecimiento del PIB y TFP. También puede observarse que existe un amplio margen para que el nivel de reformas sea menor al esperado y el componente </w:t>
      </w:r>
      <w:r w:rsidR="0077489D" w:rsidRPr="003923D7">
        <w:rPr>
          <w:rFonts w:ascii="Arial" w:hAnsi="Arial" w:cs="Arial"/>
          <w:lang w:val="es-ES_tradnl"/>
        </w:rPr>
        <w:t>aún</w:t>
      </w:r>
      <w:r w:rsidRPr="003923D7">
        <w:rPr>
          <w:rFonts w:ascii="Arial" w:hAnsi="Arial" w:cs="Arial"/>
          <w:lang w:val="es-ES_tradnl"/>
        </w:rPr>
        <w:t xml:space="preserve"> mantenga su contribución positiva. Finalmente se observa que </w:t>
      </w:r>
      <w:r w:rsidR="00515C64" w:rsidRPr="003923D7">
        <w:rPr>
          <w:rFonts w:ascii="Arial" w:hAnsi="Arial" w:cs="Arial"/>
          <w:lang w:val="es-ES_tradnl"/>
        </w:rPr>
        <w:t>el VPN también resiste incrementos en los costos de implementación.</w:t>
      </w:r>
      <w:r w:rsidR="007D26B7" w:rsidRPr="003923D7">
        <w:rPr>
          <w:rFonts w:ascii="Arial" w:hAnsi="Arial" w:cs="Arial"/>
          <w:lang w:val="es-ES_tradnl"/>
        </w:rPr>
        <w:t xml:space="preserve"> En cuanto al valor que por el cual necesita incrementarse el </w:t>
      </w:r>
      <w:r w:rsidR="007D26B7" w:rsidRPr="003923D7">
        <w:rPr>
          <w:rFonts w:ascii="Arial" w:hAnsi="Arial" w:cs="Arial"/>
          <w:lang w:val="es-AR"/>
        </w:rPr>
        <w:t xml:space="preserve">índice de reforma para cubrir los costos </w:t>
      </w:r>
      <w:r w:rsidR="007D26B7" w:rsidRPr="003923D7">
        <w:rPr>
          <w:rFonts w:ascii="Arial" w:hAnsi="Arial" w:cs="Arial"/>
          <w:lang w:val="es-AR"/>
        </w:rPr>
        <w:lastRenderedPageBreak/>
        <w:t xml:space="preserve">de implementación </w:t>
      </w:r>
      <w:r w:rsidR="005D2422" w:rsidRPr="003923D7">
        <w:rPr>
          <w:rFonts w:ascii="Arial" w:hAnsi="Arial" w:cs="Arial"/>
          <w:lang w:val="es-AR"/>
        </w:rPr>
        <w:t>(insumos y personal), este resulta ser de 0,85% (no reportado en la tabla).</w:t>
      </w:r>
    </w:p>
    <w:p w14:paraId="726EF27F" w14:textId="77777777" w:rsidR="005548DB" w:rsidRPr="003923D7" w:rsidRDefault="005548DB">
      <w:pPr>
        <w:rPr>
          <w:rFonts w:ascii="Arial" w:hAnsi="Arial" w:cs="Arial"/>
          <w:b/>
          <w:sz w:val="24"/>
          <w:szCs w:val="24"/>
          <w:lang w:val="es-ES_tradnl"/>
        </w:rPr>
      </w:pPr>
      <w:r w:rsidRPr="003923D7">
        <w:rPr>
          <w:rFonts w:ascii="Arial" w:hAnsi="Arial" w:cs="Arial"/>
          <w:b/>
          <w:szCs w:val="24"/>
          <w:lang w:val="es-ES_tradnl"/>
        </w:rPr>
        <w:br w:type="page"/>
      </w:r>
    </w:p>
    <w:p w14:paraId="2559EDFF" w14:textId="77777777" w:rsidR="005548DB" w:rsidRPr="003923D7" w:rsidRDefault="005548DB"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lastRenderedPageBreak/>
        <w:t xml:space="preserve">Tablas </w:t>
      </w:r>
      <w:r w:rsidR="003E5214" w:rsidRPr="003923D7">
        <w:rPr>
          <w:rFonts w:ascii="Arial" w:hAnsi="Arial" w:cs="Arial"/>
          <w:b/>
          <w:szCs w:val="24"/>
          <w:lang w:val="es-ES_tradnl"/>
        </w:rPr>
        <w:t>de S</w:t>
      </w:r>
      <w:r w:rsidRPr="003923D7">
        <w:rPr>
          <w:rFonts w:ascii="Arial" w:hAnsi="Arial" w:cs="Arial"/>
          <w:b/>
          <w:szCs w:val="24"/>
          <w:lang w:val="es-ES_tradnl"/>
        </w:rPr>
        <w:t>ensibilización</w:t>
      </w:r>
    </w:p>
    <w:p w14:paraId="060C0CDB" w14:textId="77777777" w:rsidR="005548DB" w:rsidRPr="003923D7" w:rsidRDefault="005548DB" w:rsidP="00C11587">
      <w:pPr>
        <w:pStyle w:val="Paragraph"/>
        <w:numPr>
          <w:ilvl w:val="0"/>
          <w:numId w:val="0"/>
        </w:numPr>
        <w:spacing w:before="0" w:after="0"/>
        <w:ind w:left="720"/>
        <w:jc w:val="left"/>
        <w:rPr>
          <w:rFonts w:ascii="Arial" w:hAnsi="Arial" w:cs="Arial"/>
          <w:b/>
          <w:szCs w:val="24"/>
          <w:lang w:val="es-ES_tradnl"/>
        </w:rPr>
      </w:pPr>
    </w:p>
    <w:p w14:paraId="1755F066" w14:textId="77777777" w:rsidR="005548DB" w:rsidRPr="003923D7" w:rsidRDefault="005548DB" w:rsidP="00C11587">
      <w:pPr>
        <w:pStyle w:val="Paragraph"/>
        <w:numPr>
          <w:ilvl w:val="0"/>
          <w:numId w:val="0"/>
        </w:numPr>
        <w:spacing w:before="0" w:after="0"/>
        <w:ind w:left="720"/>
        <w:jc w:val="left"/>
        <w:rPr>
          <w:rFonts w:ascii="Arial" w:hAnsi="Arial" w:cs="Arial"/>
          <w:b/>
          <w:szCs w:val="24"/>
          <w:lang w:val="es-ES_tradnl"/>
        </w:rPr>
      </w:pPr>
    </w:p>
    <w:p w14:paraId="56F42D6E"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Tabla 4</w:t>
      </w:r>
    </w:p>
    <w:p w14:paraId="707FAD86"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 xml:space="preserve">Sensibilización en el parámetro de eficiencia, costos de personal en bienes y servicios, y análisis de nivelación (escenario central: Cierre de la brecha con LA-3 en 50%, eficiencia de implementación 60%) </w:t>
      </w:r>
      <w:r w:rsidRPr="003923D7">
        <w:rPr>
          <w:rFonts w:ascii="Arial" w:hAnsi="Arial" w:cs="Arial"/>
          <w:noProof/>
          <w:szCs w:val="24"/>
        </w:rPr>
        <w:drawing>
          <wp:inline distT="0" distB="0" distL="0" distR="0" wp14:anchorId="12D5C00F" wp14:editId="2D35B985">
            <wp:extent cx="52959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900" cy="1009650"/>
                    </a:xfrm>
                    <a:prstGeom prst="rect">
                      <a:avLst/>
                    </a:prstGeom>
                    <a:noFill/>
                    <a:ln>
                      <a:noFill/>
                    </a:ln>
                  </pic:spPr>
                </pic:pic>
              </a:graphicData>
            </a:graphic>
          </wp:inline>
        </w:drawing>
      </w:r>
    </w:p>
    <w:p w14:paraId="6D30E257"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p>
    <w:p w14:paraId="07681CC5" w14:textId="77777777" w:rsidR="005548DB" w:rsidRPr="003923D7" w:rsidRDefault="005548DB" w:rsidP="00C11587">
      <w:pPr>
        <w:pStyle w:val="Paragraph"/>
        <w:numPr>
          <w:ilvl w:val="0"/>
          <w:numId w:val="0"/>
        </w:numPr>
        <w:spacing w:before="0" w:after="0"/>
        <w:ind w:left="720"/>
        <w:jc w:val="center"/>
        <w:rPr>
          <w:rFonts w:ascii="Arial" w:hAnsi="Arial" w:cs="Arial"/>
          <w:b/>
          <w:szCs w:val="24"/>
          <w:lang w:val="es-ES_tradnl"/>
        </w:rPr>
      </w:pPr>
    </w:p>
    <w:p w14:paraId="40245A1A"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Tabla 5</w:t>
      </w:r>
    </w:p>
    <w:p w14:paraId="4DA17B8D"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 xml:space="preserve">Sensibilización en el parámetro de eficiencia, costos de personal en bienes y servicios (escenario: reducción de las tasas proyectadas de crecimiento en un 5%, con cierre de la brecha con LA-3 en 50%) </w:t>
      </w:r>
      <w:r w:rsidRPr="003923D7">
        <w:rPr>
          <w:rFonts w:ascii="Arial" w:hAnsi="Arial" w:cs="Arial"/>
          <w:noProof/>
          <w:szCs w:val="24"/>
        </w:rPr>
        <w:drawing>
          <wp:inline distT="0" distB="0" distL="0" distR="0" wp14:anchorId="011AF465" wp14:editId="021E6857">
            <wp:extent cx="5295265" cy="88265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265" cy="882650"/>
                    </a:xfrm>
                    <a:prstGeom prst="rect">
                      <a:avLst/>
                    </a:prstGeom>
                    <a:noFill/>
                    <a:ln>
                      <a:noFill/>
                    </a:ln>
                  </pic:spPr>
                </pic:pic>
              </a:graphicData>
            </a:graphic>
          </wp:inline>
        </w:drawing>
      </w:r>
    </w:p>
    <w:p w14:paraId="470D9D79" w14:textId="77777777" w:rsidR="005548DB" w:rsidRPr="003923D7" w:rsidRDefault="005548DB" w:rsidP="00C11587">
      <w:pPr>
        <w:pStyle w:val="Paragraph"/>
        <w:numPr>
          <w:ilvl w:val="0"/>
          <w:numId w:val="0"/>
        </w:numPr>
        <w:spacing w:before="0" w:after="0"/>
        <w:ind w:left="720"/>
        <w:jc w:val="center"/>
        <w:rPr>
          <w:rFonts w:ascii="Arial" w:hAnsi="Arial" w:cs="Arial"/>
          <w:b/>
          <w:szCs w:val="24"/>
          <w:lang w:val="es-ES_tradnl"/>
        </w:rPr>
      </w:pPr>
    </w:p>
    <w:p w14:paraId="705F0F35" w14:textId="77777777" w:rsidR="005548DB" w:rsidRPr="003923D7" w:rsidRDefault="005548DB" w:rsidP="00C11587">
      <w:pPr>
        <w:pStyle w:val="Paragraph"/>
        <w:numPr>
          <w:ilvl w:val="0"/>
          <w:numId w:val="0"/>
        </w:numPr>
        <w:spacing w:before="0" w:after="0"/>
        <w:ind w:left="720"/>
        <w:jc w:val="center"/>
        <w:rPr>
          <w:rFonts w:ascii="Arial" w:hAnsi="Arial" w:cs="Arial"/>
          <w:b/>
          <w:szCs w:val="24"/>
          <w:lang w:val="es-ES_tradnl"/>
        </w:rPr>
      </w:pPr>
    </w:p>
    <w:p w14:paraId="09D765CF"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Tabla 6</w:t>
      </w:r>
    </w:p>
    <w:p w14:paraId="27696BED"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 xml:space="preserve">Sensibilización en el parámetro de eficiencia, costos de personal en bienes y servicios (escenario: reducción de las tasas proyectadas de crecimiento en un 15%, con cierre de la brecha con LA-3 en 50%) </w:t>
      </w:r>
      <w:r w:rsidRPr="003923D7">
        <w:rPr>
          <w:rFonts w:ascii="Arial" w:hAnsi="Arial" w:cs="Arial"/>
          <w:noProof/>
          <w:szCs w:val="24"/>
        </w:rPr>
        <w:drawing>
          <wp:inline distT="0" distB="0" distL="0" distR="0" wp14:anchorId="63957412" wp14:editId="7792D127">
            <wp:extent cx="5295265" cy="874395"/>
            <wp:effectExtent l="0" t="0" r="63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5265" cy="874395"/>
                    </a:xfrm>
                    <a:prstGeom prst="rect">
                      <a:avLst/>
                    </a:prstGeom>
                    <a:noFill/>
                    <a:ln>
                      <a:noFill/>
                    </a:ln>
                  </pic:spPr>
                </pic:pic>
              </a:graphicData>
            </a:graphic>
          </wp:inline>
        </w:drawing>
      </w:r>
    </w:p>
    <w:p w14:paraId="125E1FA5"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p>
    <w:p w14:paraId="3FF0A76D" w14:textId="77777777" w:rsidR="005548DB" w:rsidRPr="003923D7" w:rsidRDefault="005548DB" w:rsidP="00C11587">
      <w:pPr>
        <w:pStyle w:val="Paragraph"/>
        <w:numPr>
          <w:ilvl w:val="0"/>
          <w:numId w:val="0"/>
        </w:numPr>
        <w:spacing w:before="0" w:after="0"/>
        <w:ind w:left="720"/>
        <w:jc w:val="center"/>
        <w:rPr>
          <w:rFonts w:ascii="Arial" w:hAnsi="Arial" w:cs="Arial"/>
          <w:b/>
          <w:szCs w:val="24"/>
          <w:lang w:val="es-ES_tradnl"/>
        </w:rPr>
      </w:pPr>
    </w:p>
    <w:p w14:paraId="0E53DA11"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Tabla 7</w:t>
      </w:r>
    </w:p>
    <w:p w14:paraId="41E16D02"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 xml:space="preserve">Sensibilización en el parámetro de eficiencia, costos de personal en bienes y servicios (escenario: reducción de las tasas proyectadas de crecimiento en un 30%, con cierre de la brecha con LA-3 en 50%) </w:t>
      </w:r>
      <w:r w:rsidRPr="003923D7">
        <w:rPr>
          <w:rFonts w:ascii="Arial" w:hAnsi="Arial" w:cs="Arial"/>
          <w:noProof/>
          <w:szCs w:val="24"/>
        </w:rPr>
        <w:drawing>
          <wp:inline distT="0" distB="0" distL="0" distR="0" wp14:anchorId="566ECB5D" wp14:editId="737C94E9">
            <wp:extent cx="5295265" cy="866775"/>
            <wp:effectExtent l="0" t="0" r="63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95265" cy="866775"/>
                    </a:xfrm>
                    <a:prstGeom prst="rect">
                      <a:avLst/>
                    </a:prstGeom>
                    <a:noFill/>
                    <a:ln>
                      <a:noFill/>
                    </a:ln>
                  </pic:spPr>
                </pic:pic>
              </a:graphicData>
            </a:graphic>
          </wp:inline>
        </w:drawing>
      </w:r>
    </w:p>
    <w:p w14:paraId="001FAD5D" w14:textId="77777777" w:rsidR="005548DB" w:rsidRPr="003923D7" w:rsidRDefault="005548DB" w:rsidP="00C11587">
      <w:pPr>
        <w:pStyle w:val="Paragraph"/>
        <w:numPr>
          <w:ilvl w:val="0"/>
          <w:numId w:val="0"/>
        </w:numPr>
        <w:spacing w:before="0" w:after="0"/>
        <w:ind w:left="720"/>
        <w:jc w:val="center"/>
        <w:rPr>
          <w:rFonts w:ascii="Arial" w:hAnsi="Arial" w:cs="Arial"/>
          <w:b/>
          <w:szCs w:val="24"/>
          <w:lang w:val="es-ES_tradnl"/>
        </w:rPr>
      </w:pPr>
    </w:p>
    <w:p w14:paraId="5A4A6EC6"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lastRenderedPageBreak/>
        <w:t xml:space="preserve">Tabla </w:t>
      </w:r>
      <w:r w:rsidR="009B0653" w:rsidRPr="003923D7">
        <w:rPr>
          <w:rFonts w:ascii="Arial" w:hAnsi="Arial" w:cs="Arial"/>
          <w:b/>
          <w:szCs w:val="24"/>
          <w:lang w:val="es-ES_tradnl"/>
        </w:rPr>
        <w:t>8</w:t>
      </w:r>
    </w:p>
    <w:p w14:paraId="74887F4A"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Resumen sensibilización componente competitividad</w:t>
      </w:r>
    </w:p>
    <w:p w14:paraId="33882E8C" w14:textId="77777777" w:rsidR="008A223E" w:rsidRPr="003923D7" w:rsidRDefault="008A223E" w:rsidP="00C11587">
      <w:pPr>
        <w:pStyle w:val="Paragraph"/>
        <w:numPr>
          <w:ilvl w:val="0"/>
          <w:numId w:val="0"/>
        </w:numPr>
        <w:spacing w:before="0" w:after="0"/>
        <w:ind w:left="720"/>
        <w:jc w:val="center"/>
        <w:rPr>
          <w:rFonts w:ascii="Arial" w:hAnsi="Arial" w:cs="Arial"/>
          <w:b/>
          <w:szCs w:val="24"/>
          <w:lang w:val="es-ES_tradnl"/>
        </w:rPr>
      </w:pPr>
      <w:r w:rsidRPr="003923D7">
        <w:rPr>
          <w:rFonts w:ascii="Arial" w:hAnsi="Arial" w:cs="Arial"/>
          <w:b/>
          <w:szCs w:val="24"/>
          <w:lang w:val="es-ES_tradnl"/>
        </w:rPr>
        <w:t>Reducción PIB, TFP, y diferentes costos de person</w:t>
      </w:r>
      <w:r w:rsidR="000B2DF5" w:rsidRPr="003923D7">
        <w:rPr>
          <w:rFonts w:ascii="Arial" w:hAnsi="Arial" w:cs="Arial"/>
          <w:b/>
          <w:szCs w:val="24"/>
          <w:lang w:val="es-ES_tradnl"/>
        </w:rPr>
        <w:t>al e insumos en el contrafactual</w:t>
      </w:r>
      <w:r w:rsidRPr="003923D7">
        <w:rPr>
          <w:rFonts w:ascii="Arial" w:hAnsi="Arial" w:cs="Arial"/>
          <w:b/>
          <w:szCs w:val="24"/>
          <w:lang w:val="es-ES_tradnl"/>
        </w:rPr>
        <w:t>, y menor cambio en el nivel de reformas</w:t>
      </w:r>
    </w:p>
    <w:p w14:paraId="0A6E83A9" w14:textId="77777777" w:rsidR="008A223E" w:rsidRPr="003923D7" w:rsidRDefault="008A223E" w:rsidP="00C11587">
      <w:pPr>
        <w:pStyle w:val="Paragraph"/>
        <w:numPr>
          <w:ilvl w:val="0"/>
          <w:numId w:val="0"/>
        </w:numPr>
        <w:spacing w:before="0" w:after="0"/>
        <w:rPr>
          <w:rFonts w:ascii="Arial" w:hAnsi="Arial" w:cs="Arial"/>
          <w:szCs w:val="24"/>
          <w:lang w:val="es-ES_tradnl"/>
        </w:rPr>
      </w:pPr>
      <w:r w:rsidRPr="003923D7">
        <w:rPr>
          <w:rFonts w:ascii="Arial" w:hAnsi="Arial" w:cs="Arial"/>
          <w:noProof/>
          <w:szCs w:val="24"/>
        </w:rPr>
        <w:drawing>
          <wp:inline distT="0" distB="0" distL="0" distR="0" wp14:anchorId="0D699E97" wp14:editId="27F5C892">
            <wp:extent cx="5486400" cy="80627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806272"/>
                    </a:xfrm>
                    <a:prstGeom prst="rect">
                      <a:avLst/>
                    </a:prstGeom>
                    <a:noFill/>
                    <a:ln>
                      <a:noFill/>
                    </a:ln>
                  </pic:spPr>
                </pic:pic>
              </a:graphicData>
            </a:graphic>
          </wp:inline>
        </w:drawing>
      </w:r>
    </w:p>
    <w:p w14:paraId="4CBD92DB" w14:textId="77777777" w:rsidR="00734FBF" w:rsidRPr="003923D7" w:rsidRDefault="00734FBF" w:rsidP="00C11587">
      <w:pPr>
        <w:spacing w:after="0"/>
        <w:rPr>
          <w:rFonts w:ascii="Arial" w:hAnsi="Arial" w:cs="Arial"/>
          <w:lang w:val="es-ES_tradnl"/>
        </w:rPr>
      </w:pPr>
    </w:p>
    <w:p w14:paraId="1FB7B8B2" w14:textId="77777777" w:rsidR="0069544C" w:rsidRPr="003923D7" w:rsidRDefault="0069544C" w:rsidP="00ED372C">
      <w:pPr>
        <w:pStyle w:val="Chapter"/>
        <w:rPr>
          <w:rFonts w:ascii="Arial" w:hAnsi="Arial" w:cs="Arial"/>
          <w:lang w:val="es-ES_tradnl"/>
        </w:rPr>
      </w:pPr>
      <w:bookmarkStart w:id="13" w:name="_Toc398196144"/>
      <w:bookmarkEnd w:id="11"/>
      <w:bookmarkEnd w:id="12"/>
      <w:r w:rsidRPr="003923D7">
        <w:rPr>
          <w:rFonts w:ascii="Arial" w:hAnsi="Arial" w:cs="Arial"/>
          <w:lang w:val="es-ES_tradnl"/>
        </w:rPr>
        <w:t>Conclusiones</w:t>
      </w:r>
      <w:bookmarkEnd w:id="13"/>
    </w:p>
    <w:p w14:paraId="66355609" w14:textId="77777777" w:rsidR="00AA7993" w:rsidRPr="003923D7" w:rsidRDefault="00C20AD2" w:rsidP="002C5263">
      <w:pPr>
        <w:pStyle w:val="Paragraph"/>
        <w:tabs>
          <w:tab w:val="num" w:pos="720"/>
        </w:tabs>
        <w:spacing w:after="80"/>
        <w:ind w:left="720" w:hanging="720"/>
        <w:rPr>
          <w:rFonts w:ascii="Arial" w:hAnsi="Arial" w:cs="Arial"/>
          <w:lang w:val="es-ES_tradnl"/>
        </w:rPr>
      </w:pPr>
      <w:r w:rsidRPr="003923D7">
        <w:rPr>
          <w:rFonts w:ascii="Arial" w:hAnsi="Arial" w:cs="Arial"/>
          <w:lang w:val="es-ES_tradnl"/>
        </w:rPr>
        <w:t>Con base en la utilización de parámetros con</w:t>
      </w:r>
      <w:r w:rsidR="00E50C12" w:rsidRPr="003923D7">
        <w:rPr>
          <w:rFonts w:ascii="Arial" w:hAnsi="Arial" w:cs="Arial"/>
          <w:lang w:val="es-ES_tradnl"/>
        </w:rPr>
        <w:t xml:space="preserve"> valores conservadores, a fin de mantener la confiabilidad de los resultados, </w:t>
      </w:r>
      <w:r w:rsidRPr="003923D7">
        <w:rPr>
          <w:rFonts w:ascii="Arial" w:hAnsi="Arial" w:cs="Arial"/>
          <w:lang w:val="es-ES_tradnl"/>
        </w:rPr>
        <w:t>el presente análisis costo beneficio muestra que los beneficios actualizados superan los costos actualizados</w:t>
      </w:r>
      <w:r w:rsidR="005E03A9" w:rsidRPr="003923D7">
        <w:rPr>
          <w:rFonts w:ascii="Arial" w:hAnsi="Arial" w:cs="Arial"/>
          <w:lang w:val="es-ES_tradnl"/>
        </w:rPr>
        <w:t xml:space="preserve"> bajo un escenario de supuestos razonables</w:t>
      </w:r>
      <w:r w:rsidRPr="003923D7">
        <w:rPr>
          <w:rFonts w:ascii="Arial" w:hAnsi="Arial" w:cs="Arial"/>
          <w:lang w:val="es-ES_tradnl"/>
        </w:rPr>
        <w:t>. E</w:t>
      </w:r>
      <w:r w:rsidR="00E50C12" w:rsidRPr="003923D7">
        <w:rPr>
          <w:rFonts w:ascii="Arial" w:hAnsi="Arial" w:cs="Arial"/>
          <w:lang w:val="es-ES_tradnl"/>
        </w:rPr>
        <w:t xml:space="preserve">l VPN de los </w:t>
      </w:r>
      <w:r w:rsidRPr="003923D7">
        <w:rPr>
          <w:rFonts w:ascii="Arial" w:hAnsi="Arial" w:cs="Arial"/>
          <w:lang w:val="es-ES_tradnl"/>
        </w:rPr>
        <w:t xml:space="preserve">incrementos en valor agregado del país </w:t>
      </w:r>
      <w:r w:rsidR="005E03A9" w:rsidRPr="003923D7">
        <w:rPr>
          <w:rFonts w:ascii="Arial" w:hAnsi="Arial" w:cs="Arial"/>
          <w:lang w:val="es-ES_tradnl"/>
        </w:rPr>
        <w:t xml:space="preserve">proyectado por un periodo de </w:t>
      </w:r>
      <w:r w:rsidR="008E1D85" w:rsidRPr="003923D7">
        <w:rPr>
          <w:rFonts w:ascii="Arial" w:hAnsi="Arial" w:cs="Arial"/>
          <w:lang w:val="es-ES_tradnl"/>
        </w:rPr>
        <w:t>20</w:t>
      </w:r>
      <w:r w:rsidR="005E03A9" w:rsidRPr="003923D7">
        <w:rPr>
          <w:rFonts w:ascii="Arial" w:hAnsi="Arial" w:cs="Arial"/>
          <w:lang w:val="es-ES_tradnl"/>
        </w:rPr>
        <w:t xml:space="preserve"> años </w:t>
      </w:r>
      <w:r w:rsidR="00E50C12" w:rsidRPr="003923D7">
        <w:rPr>
          <w:rFonts w:ascii="Arial" w:hAnsi="Arial" w:cs="Arial"/>
          <w:lang w:val="es-ES_tradnl"/>
        </w:rPr>
        <w:t xml:space="preserve">es de </w:t>
      </w:r>
      <w:r w:rsidR="00903754" w:rsidRPr="003923D7">
        <w:rPr>
          <w:rFonts w:ascii="Arial" w:hAnsi="Arial" w:cs="Arial"/>
          <w:lang w:val="es-ES_tradnl"/>
        </w:rPr>
        <w:t xml:space="preserve">US$ </w:t>
      </w:r>
      <w:r w:rsidR="007D26B7" w:rsidRPr="003923D7">
        <w:rPr>
          <w:rFonts w:ascii="Arial" w:hAnsi="Arial" w:cs="Arial"/>
          <w:lang w:val="es-ES_tradnl"/>
        </w:rPr>
        <w:t xml:space="preserve">1.352 </w:t>
      </w:r>
      <w:r w:rsidR="008E1D85" w:rsidRPr="003923D7">
        <w:rPr>
          <w:rFonts w:ascii="Arial" w:hAnsi="Arial" w:cs="Arial"/>
          <w:lang w:val="es-ES_tradnl"/>
        </w:rPr>
        <w:t>millones</w:t>
      </w:r>
      <w:r w:rsidR="00C944ED" w:rsidRPr="003923D7">
        <w:rPr>
          <w:rFonts w:ascii="Arial" w:hAnsi="Arial" w:cs="Arial"/>
          <w:lang w:val="es-ES_tradnl"/>
        </w:rPr>
        <w:t xml:space="preserve"> en el escenario central</w:t>
      </w:r>
      <w:r w:rsidR="008E1D85" w:rsidRPr="003923D7">
        <w:rPr>
          <w:rFonts w:ascii="Arial" w:hAnsi="Arial" w:cs="Arial"/>
          <w:lang w:val="es-ES_tradnl"/>
        </w:rPr>
        <w:t>.</w:t>
      </w:r>
      <w:r w:rsidR="00E50C12" w:rsidRPr="003923D7">
        <w:rPr>
          <w:rFonts w:ascii="Arial" w:hAnsi="Arial" w:cs="Arial"/>
          <w:lang w:val="es-ES_tradnl"/>
        </w:rPr>
        <w:t xml:space="preserve"> </w:t>
      </w:r>
      <w:r w:rsidR="008E1D85" w:rsidRPr="003923D7">
        <w:rPr>
          <w:rFonts w:ascii="Arial" w:hAnsi="Arial" w:cs="Arial"/>
          <w:lang w:val="es-ES_tradnl"/>
        </w:rPr>
        <w:t>Adicionalmente, el programa posee un al</w:t>
      </w:r>
      <w:r w:rsidR="00C944ED" w:rsidRPr="003923D7">
        <w:rPr>
          <w:rFonts w:ascii="Arial" w:hAnsi="Arial" w:cs="Arial"/>
          <w:lang w:val="es-ES_tradnl"/>
        </w:rPr>
        <w:t>to</w:t>
      </w:r>
      <w:r w:rsidR="008E1D85" w:rsidRPr="003923D7">
        <w:rPr>
          <w:rFonts w:ascii="Arial" w:hAnsi="Arial" w:cs="Arial"/>
          <w:lang w:val="es-ES_tradnl"/>
        </w:rPr>
        <w:t xml:space="preserve"> grado de tolerancia a problema</w:t>
      </w:r>
      <w:r w:rsidR="00C944ED" w:rsidRPr="003923D7">
        <w:rPr>
          <w:rFonts w:ascii="Arial" w:hAnsi="Arial" w:cs="Arial"/>
          <w:lang w:val="es-ES_tradnl"/>
        </w:rPr>
        <w:t>s</w:t>
      </w:r>
      <w:r w:rsidR="008E1D85" w:rsidRPr="003923D7">
        <w:rPr>
          <w:rFonts w:ascii="Arial" w:hAnsi="Arial" w:cs="Arial"/>
          <w:lang w:val="es-ES_tradnl"/>
        </w:rPr>
        <w:t xml:space="preserve"> de implementación</w:t>
      </w:r>
      <w:r w:rsidR="00D912EC" w:rsidRPr="003923D7">
        <w:rPr>
          <w:rFonts w:ascii="Arial" w:hAnsi="Arial" w:cs="Arial"/>
          <w:lang w:val="es-ES_tradnl"/>
        </w:rPr>
        <w:t xml:space="preserve">, </w:t>
      </w:r>
      <w:r w:rsidR="008E1D85" w:rsidRPr="003923D7">
        <w:rPr>
          <w:rFonts w:ascii="Arial" w:hAnsi="Arial" w:cs="Arial"/>
          <w:lang w:val="es-ES_tradnl"/>
        </w:rPr>
        <w:t>e</w:t>
      </w:r>
      <w:r w:rsidR="002C5263" w:rsidRPr="003923D7">
        <w:rPr>
          <w:rFonts w:ascii="Arial" w:hAnsi="Arial" w:cs="Arial"/>
          <w:lang w:val="es-ES_tradnl"/>
        </w:rPr>
        <w:t>fectos menores a los esperados</w:t>
      </w:r>
      <w:r w:rsidR="00D912EC" w:rsidRPr="003923D7">
        <w:rPr>
          <w:rFonts w:ascii="Arial" w:hAnsi="Arial" w:cs="Arial"/>
          <w:lang w:val="es-ES_tradnl"/>
        </w:rPr>
        <w:t xml:space="preserve">, e incrementos substanciales </w:t>
      </w:r>
      <w:r w:rsidR="009A448C" w:rsidRPr="003923D7">
        <w:rPr>
          <w:rFonts w:ascii="Arial" w:hAnsi="Arial" w:cs="Arial"/>
          <w:lang w:val="es-ES_tradnl"/>
        </w:rPr>
        <w:t>en los costos de personal y bienes y servicios requeridos por las reformas</w:t>
      </w:r>
      <w:r w:rsidR="002C5263" w:rsidRPr="003923D7">
        <w:rPr>
          <w:rFonts w:ascii="Arial" w:hAnsi="Arial" w:cs="Arial"/>
          <w:lang w:val="es-ES_tradnl"/>
        </w:rPr>
        <w:t xml:space="preserve">. </w:t>
      </w:r>
    </w:p>
    <w:p w14:paraId="27327B27" w14:textId="77777777" w:rsidR="00455162" w:rsidRPr="003923D7" w:rsidRDefault="00AA7993" w:rsidP="00EE1202">
      <w:pPr>
        <w:pStyle w:val="Paragraph"/>
        <w:ind w:left="720" w:hanging="720"/>
        <w:rPr>
          <w:rFonts w:ascii="Arial" w:hAnsi="Arial" w:cs="Arial"/>
          <w:lang w:val="es-ES_tradnl"/>
        </w:rPr>
      </w:pPr>
      <w:r w:rsidRPr="003923D7">
        <w:rPr>
          <w:rFonts w:ascii="Arial" w:hAnsi="Arial" w:cs="Arial"/>
          <w:lang w:val="es-ES_tradnl"/>
        </w:rPr>
        <w:t>D</w:t>
      </w:r>
      <w:r w:rsidR="00E50C12" w:rsidRPr="003923D7">
        <w:rPr>
          <w:rFonts w:ascii="Arial" w:hAnsi="Arial" w:cs="Arial"/>
          <w:lang w:val="es-ES_tradnl"/>
        </w:rPr>
        <w:t xml:space="preserve">ada la complejidad de </w:t>
      </w:r>
      <w:r w:rsidR="00D444F2" w:rsidRPr="003923D7">
        <w:rPr>
          <w:rFonts w:ascii="Arial" w:hAnsi="Arial" w:cs="Arial"/>
          <w:lang w:val="es-ES_tradnl"/>
        </w:rPr>
        <w:t>cuantificación</w:t>
      </w:r>
      <w:r w:rsidR="00E50C12" w:rsidRPr="003923D7">
        <w:rPr>
          <w:rFonts w:ascii="Arial" w:hAnsi="Arial" w:cs="Arial"/>
          <w:lang w:val="es-ES_tradnl"/>
        </w:rPr>
        <w:t xml:space="preserve"> de los impactos de </w:t>
      </w:r>
      <w:r w:rsidR="00026AA9" w:rsidRPr="003923D7">
        <w:rPr>
          <w:rFonts w:ascii="Arial" w:hAnsi="Arial" w:cs="Arial"/>
          <w:lang w:val="es-ES_tradnl"/>
        </w:rPr>
        <w:t xml:space="preserve">todas las reformas llevadas adelante con apoyo del programa se ha optado por computar los beneficios mínimos atribuibles a las reformas </w:t>
      </w:r>
      <w:r w:rsidR="005D2422" w:rsidRPr="003923D7">
        <w:rPr>
          <w:rFonts w:ascii="Arial" w:hAnsi="Arial" w:cs="Arial"/>
          <w:lang w:val="es-ES_tradnl"/>
        </w:rPr>
        <w:t xml:space="preserve">en forma separada </w:t>
      </w:r>
      <w:r w:rsidR="00026AA9" w:rsidRPr="003923D7">
        <w:rPr>
          <w:rFonts w:ascii="Arial" w:hAnsi="Arial" w:cs="Arial"/>
          <w:lang w:val="es-ES_tradnl"/>
        </w:rPr>
        <w:t>por las razones ya detalladas. Dada la naturaleza complementaria de las reformas, el presente cálculo ha de considerarse</w:t>
      </w:r>
      <w:r w:rsidR="005D2422" w:rsidRPr="003923D7">
        <w:rPr>
          <w:rFonts w:ascii="Arial" w:hAnsi="Arial" w:cs="Arial"/>
          <w:lang w:val="es-ES_tradnl"/>
        </w:rPr>
        <w:t>, entonces,</w:t>
      </w:r>
      <w:r w:rsidR="00026AA9" w:rsidRPr="003923D7">
        <w:rPr>
          <w:rFonts w:ascii="Arial" w:hAnsi="Arial" w:cs="Arial"/>
          <w:lang w:val="es-ES_tradnl"/>
        </w:rPr>
        <w:t xml:space="preserve"> como representativo de un límite inferior. Es por ello</w:t>
      </w:r>
      <w:r w:rsidR="005D2422" w:rsidRPr="003923D7">
        <w:rPr>
          <w:rFonts w:ascii="Arial" w:hAnsi="Arial" w:cs="Arial"/>
          <w:lang w:val="es-ES_tradnl"/>
        </w:rPr>
        <w:t xml:space="preserve"> que </w:t>
      </w:r>
      <w:r w:rsidR="00D1145F" w:rsidRPr="003923D7">
        <w:rPr>
          <w:rFonts w:ascii="Arial" w:hAnsi="Arial" w:cs="Arial"/>
          <w:lang w:val="es-ES_tradnl"/>
        </w:rPr>
        <w:t>e</w:t>
      </w:r>
      <w:r w:rsidR="00455162" w:rsidRPr="003923D7">
        <w:rPr>
          <w:rFonts w:ascii="Arial" w:hAnsi="Arial" w:cs="Arial"/>
          <w:lang w:val="es-ES_tradnl"/>
        </w:rPr>
        <w:t>l equipo de proyecto recomienda que el BID apruebe el financiamiento del presente programa.</w:t>
      </w:r>
    </w:p>
    <w:p w14:paraId="56AB3F83" w14:textId="77777777" w:rsidR="00DF6316" w:rsidRPr="003923D7" w:rsidRDefault="00DF6316" w:rsidP="00EE1202">
      <w:pPr>
        <w:rPr>
          <w:rFonts w:ascii="Arial" w:hAnsi="Arial" w:cs="Arial"/>
          <w:b/>
          <w:color w:val="0070C0"/>
          <w:sz w:val="20"/>
          <w:lang w:val="es-ES_tradnl"/>
        </w:rPr>
      </w:pPr>
    </w:p>
    <w:sectPr w:rsidR="00DF6316" w:rsidRPr="003923D7" w:rsidSect="008D37EA">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64D62" w14:textId="77777777" w:rsidR="00B629EA" w:rsidRDefault="00B629EA" w:rsidP="000B2B08">
      <w:pPr>
        <w:spacing w:after="0" w:line="240" w:lineRule="auto"/>
      </w:pPr>
      <w:r>
        <w:separator/>
      </w:r>
    </w:p>
  </w:endnote>
  <w:endnote w:type="continuationSeparator" w:id="0">
    <w:p w14:paraId="68936943" w14:textId="77777777" w:rsidR="00B629EA" w:rsidRDefault="00B629EA"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07536" w14:textId="77777777" w:rsidR="00B629EA" w:rsidRDefault="00B629EA" w:rsidP="000B2B08">
      <w:pPr>
        <w:spacing w:after="0" w:line="240" w:lineRule="auto"/>
      </w:pPr>
      <w:r>
        <w:separator/>
      </w:r>
    </w:p>
  </w:footnote>
  <w:footnote w:type="continuationSeparator" w:id="0">
    <w:p w14:paraId="468D4C51" w14:textId="77777777" w:rsidR="00B629EA" w:rsidRDefault="00B629EA" w:rsidP="000B2B08">
      <w:pPr>
        <w:spacing w:after="0" w:line="240" w:lineRule="auto"/>
      </w:pPr>
      <w:r>
        <w:continuationSeparator/>
      </w:r>
    </w:p>
  </w:footnote>
  <w:footnote w:id="1">
    <w:p w14:paraId="35B5A602" w14:textId="77777777" w:rsidR="00734FBF" w:rsidRPr="003923D7" w:rsidRDefault="00734FBF" w:rsidP="003923D7">
      <w:pPr>
        <w:pStyle w:val="FootnoteText"/>
        <w:spacing w:after="0"/>
        <w:ind w:left="180" w:hanging="180"/>
        <w:rPr>
          <w:rFonts w:ascii="Arial" w:hAnsi="Arial" w:cs="Arial"/>
          <w:sz w:val="18"/>
          <w:szCs w:val="18"/>
          <w:lang w:val="es-ES"/>
        </w:rPr>
      </w:pPr>
      <w:r w:rsidRPr="003923D7">
        <w:rPr>
          <w:rStyle w:val="FootnoteReference"/>
          <w:rFonts w:ascii="Arial" w:hAnsi="Arial" w:cs="Arial"/>
          <w:sz w:val="18"/>
          <w:szCs w:val="18"/>
        </w:rPr>
        <w:footnoteRef/>
      </w:r>
      <w:r w:rsidRPr="003923D7">
        <w:rPr>
          <w:rFonts w:ascii="Arial" w:hAnsi="Arial" w:cs="Arial"/>
          <w:sz w:val="18"/>
          <w:szCs w:val="18"/>
          <w:lang w:val="es-ES"/>
        </w:rPr>
        <w:t xml:space="preserve"> </w:t>
      </w:r>
      <w:r w:rsidRPr="003923D7">
        <w:rPr>
          <w:rFonts w:ascii="Arial" w:hAnsi="Arial" w:cs="Arial"/>
          <w:sz w:val="18"/>
          <w:szCs w:val="18"/>
          <w:lang w:val="es-ES"/>
        </w:rPr>
        <w:tab/>
        <w:t xml:space="preserve">Datos en base a </w:t>
      </w:r>
      <w:bookmarkStart w:id="3" w:name="_Hlk485294757"/>
      <w:r w:rsidRPr="003923D7">
        <w:rPr>
          <w:rFonts w:ascii="Arial" w:hAnsi="Arial" w:cs="Arial"/>
          <w:sz w:val="18"/>
          <w:szCs w:val="18"/>
          <w:lang w:val="es-ES"/>
        </w:rPr>
        <w:t>Fondo Monetario Intern</w:t>
      </w:r>
      <w:r w:rsidR="00EB667C" w:rsidRPr="003923D7">
        <w:rPr>
          <w:rFonts w:ascii="Arial" w:hAnsi="Arial" w:cs="Arial"/>
          <w:sz w:val="18"/>
          <w:szCs w:val="18"/>
          <w:lang w:val="es-ES"/>
        </w:rPr>
        <w:t xml:space="preserve">acional (FMI), </w:t>
      </w:r>
      <w:r w:rsidR="00EB667C" w:rsidRPr="003923D7">
        <w:rPr>
          <w:rFonts w:ascii="Arial" w:hAnsi="Arial" w:cs="Arial"/>
          <w:sz w:val="18"/>
          <w:szCs w:val="18"/>
          <w:u w:val="single"/>
          <w:lang w:val="es-ES"/>
        </w:rPr>
        <w:t>Artículo IV</w:t>
      </w:r>
      <w:r w:rsidR="00797747" w:rsidRPr="003923D7">
        <w:rPr>
          <w:rFonts w:ascii="Arial" w:hAnsi="Arial" w:cs="Arial"/>
          <w:sz w:val="18"/>
          <w:szCs w:val="18"/>
          <w:u w:val="single"/>
          <w:lang w:val="es-ES"/>
        </w:rPr>
        <w:t xml:space="preserve"> para República Dominicana</w:t>
      </w:r>
      <w:r w:rsidR="00EB667C" w:rsidRPr="003923D7">
        <w:rPr>
          <w:rFonts w:ascii="Arial" w:hAnsi="Arial" w:cs="Arial"/>
          <w:sz w:val="18"/>
          <w:szCs w:val="18"/>
          <w:lang w:val="es-ES"/>
        </w:rPr>
        <w:t>, 2017</w:t>
      </w:r>
      <w:r w:rsidRPr="003923D7">
        <w:rPr>
          <w:rFonts w:ascii="Arial" w:hAnsi="Arial" w:cs="Arial"/>
          <w:sz w:val="18"/>
          <w:szCs w:val="18"/>
          <w:lang w:val="es-ES"/>
        </w:rPr>
        <w:t xml:space="preserve"> </w:t>
      </w:r>
      <w:bookmarkEnd w:id="3"/>
      <w:r w:rsidRPr="003923D7">
        <w:rPr>
          <w:rFonts w:ascii="Arial" w:hAnsi="Arial" w:cs="Arial"/>
          <w:sz w:val="18"/>
          <w:szCs w:val="18"/>
          <w:lang w:val="es-ES"/>
        </w:rPr>
        <w:t xml:space="preserve">y </w:t>
      </w:r>
      <w:r w:rsidRPr="003923D7">
        <w:rPr>
          <w:rFonts w:ascii="Arial" w:hAnsi="Arial" w:cs="Arial"/>
          <w:i/>
          <w:sz w:val="18"/>
          <w:szCs w:val="18"/>
          <w:lang w:val="es-ES"/>
        </w:rPr>
        <w:t>World Economic Outlook</w:t>
      </w:r>
      <w:r w:rsidRPr="003923D7">
        <w:rPr>
          <w:rFonts w:ascii="Arial" w:hAnsi="Arial" w:cs="Arial"/>
          <w:sz w:val="18"/>
          <w:szCs w:val="18"/>
          <w:lang w:val="es-ES"/>
        </w:rPr>
        <w:t xml:space="preserve"> (WEO)</w:t>
      </w:r>
      <w:r w:rsidR="00ED3436" w:rsidRPr="003923D7">
        <w:rPr>
          <w:rFonts w:ascii="Arial" w:hAnsi="Arial" w:cs="Arial"/>
          <w:sz w:val="18"/>
          <w:szCs w:val="18"/>
          <w:lang w:val="es-ES"/>
        </w:rPr>
        <w:t>.</w:t>
      </w:r>
    </w:p>
  </w:footnote>
  <w:footnote w:id="2">
    <w:p w14:paraId="14AE5865" w14:textId="77777777" w:rsidR="00734FBF" w:rsidRPr="003923D7" w:rsidRDefault="00734FBF" w:rsidP="003923D7">
      <w:pPr>
        <w:spacing w:after="0" w:line="240" w:lineRule="auto"/>
        <w:ind w:left="180" w:hanging="180"/>
        <w:jc w:val="both"/>
        <w:rPr>
          <w:rFonts w:ascii="Arial" w:hAnsi="Arial" w:cs="Arial"/>
          <w:sz w:val="18"/>
          <w:szCs w:val="18"/>
          <w:lang w:val="es-ES"/>
        </w:rPr>
      </w:pPr>
      <w:r w:rsidRPr="003923D7">
        <w:rPr>
          <w:rStyle w:val="FootnoteReference"/>
          <w:rFonts w:ascii="Arial" w:hAnsi="Arial" w:cs="Arial"/>
          <w:sz w:val="18"/>
          <w:szCs w:val="18"/>
        </w:rPr>
        <w:footnoteRef/>
      </w:r>
      <w:r w:rsidRPr="003923D7">
        <w:rPr>
          <w:rFonts w:ascii="Arial" w:hAnsi="Arial" w:cs="Arial"/>
          <w:sz w:val="18"/>
          <w:szCs w:val="18"/>
          <w:lang w:val="es-ES"/>
        </w:rPr>
        <w:t xml:space="preserve"> </w:t>
      </w:r>
      <w:r w:rsidRPr="003923D7">
        <w:rPr>
          <w:rFonts w:ascii="Arial" w:hAnsi="Arial" w:cs="Arial"/>
          <w:sz w:val="18"/>
          <w:szCs w:val="18"/>
          <w:lang w:val="es-ES"/>
        </w:rPr>
        <w:tab/>
        <w:t xml:space="preserve">Únicamente por detrás de Panamá y Chile. </w:t>
      </w:r>
    </w:p>
  </w:footnote>
  <w:footnote w:id="3">
    <w:p w14:paraId="7F81E0F8"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
        </w:rPr>
        <w:t xml:space="preserve"> </w:t>
      </w:r>
      <w:r w:rsidRPr="003923D7">
        <w:rPr>
          <w:rFonts w:ascii="Arial" w:hAnsi="Arial" w:cs="Arial"/>
          <w:sz w:val="18"/>
          <w:szCs w:val="18"/>
          <w:lang w:val="es-ES"/>
        </w:rPr>
        <w:tab/>
        <w:t xml:space="preserve">Véase Johnson, C. 2013. </w:t>
      </w:r>
      <w:hyperlink r:id="rId1" w:history="1">
        <w:r w:rsidRPr="003923D7">
          <w:rPr>
            <w:rStyle w:val="Hyperlink"/>
            <w:rFonts w:ascii="Arial" w:hAnsi="Arial" w:cs="Arial"/>
            <w:i/>
            <w:sz w:val="18"/>
            <w:szCs w:val="18"/>
            <w:lang w:val="es-ES_tradnl"/>
          </w:rPr>
          <w:t>Potential Output and Output Gap in Central America, Panama and Dominican Republic</w:t>
        </w:r>
      </w:hyperlink>
      <w:r w:rsidR="00797747" w:rsidRPr="003923D7">
        <w:rPr>
          <w:rFonts w:ascii="Arial" w:hAnsi="Arial" w:cs="Arial"/>
          <w:sz w:val="18"/>
          <w:szCs w:val="18"/>
          <w:lang w:val="es-ES_tradnl"/>
        </w:rPr>
        <w:t xml:space="preserve">, IMF WP13/145, y Fondo Monetario Internacional (FMI), </w:t>
      </w:r>
      <w:r w:rsidR="00797747" w:rsidRPr="003923D7">
        <w:rPr>
          <w:rFonts w:ascii="Arial" w:hAnsi="Arial" w:cs="Arial"/>
          <w:sz w:val="18"/>
          <w:szCs w:val="18"/>
          <w:u w:val="single"/>
          <w:lang w:val="es-ES_tradnl"/>
        </w:rPr>
        <w:t>Artículo IV para República Dominicana</w:t>
      </w:r>
      <w:r w:rsidR="00797747" w:rsidRPr="003923D7">
        <w:rPr>
          <w:rFonts w:ascii="Arial" w:hAnsi="Arial" w:cs="Arial"/>
          <w:sz w:val="18"/>
          <w:szCs w:val="18"/>
          <w:lang w:val="es-ES_tradnl"/>
        </w:rPr>
        <w:t>, 2017.</w:t>
      </w:r>
      <w:r w:rsidRPr="003923D7">
        <w:rPr>
          <w:rFonts w:ascii="Arial" w:hAnsi="Arial" w:cs="Arial"/>
          <w:sz w:val="18"/>
          <w:szCs w:val="18"/>
          <w:lang w:val="es-ES_tradnl"/>
        </w:rPr>
        <w:t xml:space="preserve">  </w:t>
      </w:r>
    </w:p>
  </w:footnote>
  <w:footnote w:id="4">
    <w:p w14:paraId="34A098D5" w14:textId="0D2D1247" w:rsidR="00EB667C" w:rsidRPr="003923D7" w:rsidRDefault="00EB667C"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w:t>
      </w:r>
      <w:r w:rsidR="003923D7">
        <w:rPr>
          <w:rFonts w:ascii="Arial" w:hAnsi="Arial" w:cs="Arial"/>
          <w:sz w:val="18"/>
          <w:szCs w:val="18"/>
          <w:lang w:val="es-ES_tradnl"/>
        </w:rPr>
        <w:tab/>
      </w:r>
      <w:r w:rsidRPr="003923D7">
        <w:rPr>
          <w:rFonts w:ascii="Arial" w:hAnsi="Arial" w:cs="Arial"/>
          <w:sz w:val="18"/>
          <w:szCs w:val="18"/>
          <w:lang w:val="es-ES_tradnl"/>
        </w:rPr>
        <w:t xml:space="preserve">Ver FMI, </w:t>
      </w:r>
      <w:r w:rsidRPr="003923D7">
        <w:rPr>
          <w:rFonts w:ascii="Arial" w:hAnsi="Arial" w:cs="Arial"/>
          <w:sz w:val="18"/>
          <w:szCs w:val="18"/>
          <w:u w:val="single"/>
          <w:lang w:val="es-ES_tradnl"/>
        </w:rPr>
        <w:t>Artículo IV</w:t>
      </w:r>
      <w:r w:rsidR="00797747" w:rsidRPr="003923D7">
        <w:rPr>
          <w:rFonts w:ascii="Arial" w:hAnsi="Arial" w:cs="Arial"/>
          <w:sz w:val="18"/>
          <w:szCs w:val="18"/>
          <w:u w:val="single"/>
          <w:lang w:val="es-ES_tradnl"/>
        </w:rPr>
        <w:t xml:space="preserve"> para República Dominicana</w:t>
      </w:r>
      <w:r w:rsidRPr="003923D7">
        <w:rPr>
          <w:rFonts w:ascii="Arial" w:hAnsi="Arial" w:cs="Arial"/>
          <w:sz w:val="18"/>
          <w:szCs w:val="18"/>
          <w:lang w:val="es-ES_tradnl"/>
        </w:rPr>
        <w:t>, 2017.</w:t>
      </w:r>
    </w:p>
  </w:footnote>
  <w:footnote w:id="5">
    <w:p w14:paraId="1013FE45" w14:textId="77777777" w:rsidR="00734FBF" w:rsidRPr="003923D7" w:rsidRDefault="00734FBF" w:rsidP="003923D7">
      <w:pPr>
        <w:pStyle w:val="FootnoteText"/>
        <w:spacing w:after="0"/>
        <w:ind w:left="180" w:hanging="180"/>
        <w:rPr>
          <w:rFonts w:ascii="Arial" w:hAnsi="Arial" w:cs="Arial"/>
          <w:sz w:val="18"/>
          <w:szCs w:val="18"/>
          <w:lang w:val="es-ES"/>
        </w:rPr>
      </w:pPr>
      <w:r w:rsidRPr="003923D7">
        <w:rPr>
          <w:rStyle w:val="FootnoteReference"/>
          <w:rFonts w:ascii="Arial" w:hAnsi="Arial" w:cs="Arial"/>
          <w:sz w:val="18"/>
          <w:szCs w:val="18"/>
        </w:rPr>
        <w:footnoteRef/>
      </w:r>
      <w:r w:rsidRPr="003923D7">
        <w:rPr>
          <w:rFonts w:ascii="Arial" w:hAnsi="Arial" w:cs="Arial"/>
          <w:sz w:val="18"/>
          <w:szCs w:val="18"/>
          <w:lang w:val="es-ES"/>
        </w:rPr>
        <w:t xml:space="preserve"> </w:t>
      </w:r>
      <w:r w:rsidRPr="003923D7">
        <w:rPr>
          <w:rFonts w:ascii="Arial" w:hAnsi="Arial" w:cs="Arial"/>
          <w:sz w:val="18"/>
          <w:szCs w:val="18"/>
          <w:lang w:val="es-ES"/>
        </w:rPr>
        <w:tab/>
        <w:t>Véase por</w:t>
      </w:r>
      <w:r w:rsidR="005F55DA" w:rsidRPr="003923D7">
        <w:rPr>
          <w:rFonts w:ascii="Arial" w:hAnsi="Arial" w:cs="Arial"/>
          <w:sz w:val="18"/>
          <w:szCs w:val="18"/>
          <w:lang w:val="es-ES"/>
        </w:rPr>
        <w:t xml:space="preserve"> ejemplo FMI, </w:t>
      </w:r>
      <w:r w:rsidR="005F55DA" w:rsidRPr="003923D7">
        <w:rPr>
          <w:rFonts w:ascii="Arial" w:hAnsi="Arial" w:cs="Arial"/>
          <w:sz w:val="18"/>
          <w:szCs w:val="18"/>
          <w:u w:val="single"/>
          <w:lang w:val="es-ES"/>
        </w:rPr>
        <w:t>Artículo</w:t>
      </w:r>
      <w:r w:rsidR="000025B9" w:rsidRPr="003923D7">
        <w:rPr>
          <w:rFonts w:ascii="Arial" w:hAnsi="Arial" w:cs="Arial"/>
          <w:sz w:val="18"/>
          <w:szCs w:val="18"/>
          <w:u w:val="single"/>
          <w:lang w:val="es-ES"/>
        </w:rPr>
        <w:t xml:space="preserve"> IV</w:t>
      </w:r>
      <w:r w:rsidR="00824AB3" w:rsidRPr="003923D7">
        <w:rPr>
          <w:rFonts w:ascii="Arial" w:hAnsi="Arial" w:cs="Arial"/>
          <w:sz w:val="18"/>
          <w:szCs w:val="18"/>
          <w:u w:val="single"/>
          <w:lang w:val="es-ES"/>
        </w:rPr>
        <w:t xml:space="preserve"> para República Dominicana,</w:t>
      </w:r>
      <w:r w:rsidR="000025B9" w:rsidRPr="003923D7">
        <w:rPr>
          <w:rFonts w:ascii="Arial" w:hAnsi="Arial" w:cs="Arial"/>
          <w:sz w:val="18"/>
          <w:szCs w:val="18"/>
          <w:u w:val="single"/>
          <w:lang w:val="es-ES"/>
        </w:rPr>
        <w:t xml:space="preserve"> 2017</w:t>
      </w:r>
      <w:r w:rsidRPr="003923D7">
        <w:rPr>
          <w:rFonts w:ascii="Arial" w:hAnsi="Arial" w:cs="Arial"/>
          <w:sz w:val="18"/>
          <w:szCs w:val="18"/>
          <w:lang w:val="es-ES"/>
        </w:rPr>
        <w:t>;</w:t>
      </w:r>
      <w:r w:rsidR="000025B9" w:rsidRPr="003923D7">
        <w:rPr>
          <w:rFonts w:ascii="Arial" w:hAnsi="Arial" w:cs="Arial"/>
          <w:sz w:val="18"/>
          <w:szCs w:val="18"/>
          <w:lang w:val="es-ES"/>
        </w:rPr>
        <w:t xml:space="preserve"> y</w:t>
      </w:r>
      <w:r w:rsidRPr="003923D7">
        <w:rPr>
          <w:rFonts w:ascii="Arial" w:hAnsi="Arial" w:cs="Arial"/>
          <w:sz w:val="18"/>
          <w:szCs w:val="18"/>
          <w:lang w:val="es-ES"/>
        </w:rPr>
        <w:t xml:space="preserve"> </w:t>
      </w:r>
      <w:hyperlink r:id="rId2" w:anchor="firm-characteristics" w:history="1">
        <w:r w:rsidRPr="003923D7">
          <w:rPr>
            <w:rStyle w:val="Hyperlink"/>
            <w:rFonts w:ascii="Arial" w:hAnsi="Arial" w:cs="Arial"/>
            <w:i/>
            <w:sz w:val="18"/>
            <w:szCs w:val="18"/>
            <w:lang w:val="es-ES"/>
          </w:rPr>
          <w:t>Enterprise Surveys</w:t>
        </w:r>
      </w:hyperlink>
      <w:r w:rsidRPr="003923D7">
        <w:rPr>
          <w:rFonts w:ascii="Arial" w:hAnsi="Arial" w:cs="Arial"/>
          <w:i/>
          <w:sz w:val="18"/>
          <w:szCs w:val="18"/>
          <w:lang w:val="es-ES"/>
        </w:rPr>
        <w:t xml:space="preserve">, </w:t>
      </w:r>
      <w:r w:rsidR="006958AE" w:rsidRPr="003923D7">
        <w:rPr>
          <w:rFonts w:ascii="Arial" w:hAnsi="Arial" w:cs="Arial"/>
          <w:sz w:val="18"/>
          <w:szCs w:val="18"/>
          <w:lang w:val="es-ES"/>
        </w:rPr>
        <w:t>201</w:t>
      </w:r>
      <w:r w:rsidR="00D7335C" w:rsidRPr="003923D7">
        <w:rPr>
          <w:rFonts w:ascii="Arial" w:hAnsi="Arial" w:cs="Arial"/>
          <w:sz w:val="18"/>
          <w:szCs w:val="18"/>
          <w:lang w:val="es-ES"/>
        </w:rPr>
        <w:t>6</w:t>
      </w:r>
      <w:r w:rsidRPr="003923D7">
        <w:rPr>
          <w:rFonts w:ascii="Arial" w:hAnsi="Arial" w:cs="Arial"/>
          <w:sz w:val="18"/>
          <w:szCs w:val="18"/>
          <w:lang w:val="es-ES"/>
        </w:rPr>
        <w:t xml:space="preserve">. </w:t>
      </w:r>
    </w:p>
  </w:footnote>
  <w:footnote w:id="6">
    <w:p w14:paraId="6A0E5D34" w14:textId="71BE7E4A" w:rsidR="00734FBF" w:rsidRPr="003923D7" w:rsidRDefault="00734FBF" w:rsidP="003923D7">
      <w:pPr>
        <w:pStyle w:val="FootnoteText"/>
        <w:spacing w:after="0"/>
        <w:ind w:left="180" w:hanging="180"/>
        <w:rPr>
          <w:rFonts w:ascii="Arial" w:hAnsi="Arial" w:cs="Arial"/>
          <w:sz w:val="18"/>
          <w:szCs w:val="18"/>
          <w:lang w:val="es-ES"/>
        </w:rPr>
      </w:pPr>
      <w:r w:rsidRPr="003923D7">
        <w:rPr>
          <w:rStyle w:val="FootnoteReference"/>
          <w:rFonts w:ascii="Arial" w:hAnsi="Arial" w:cs="Arial"/>
          <w:sz w:val="18"/>
          <w:szCs w:val="18"/>
          <w:lang w:val="es-ES"/>
        </w:rPr>
        <w:footnoteRef/>
      </w:r>
      <w:r w:rsidRPr="003923D7">
        <w:rPr>
          <w:rFonts w:ascii="Arial" w:hAnsi="Arial" w:cs="Arial"/>
          <w:sz w:val="18"/>
          <w:szCs w:val="18"/>
          <w:lang w:val="es-ES"/>
        </w:rPr>
        <w:t xml:space="preserve"> </w:t>
      </w:r>
      <w:r w:rsidR="003923D7">
        <w:rPr>
          <w:rFonts w:ascii="Arial" w:hAnsi="Arial" w:cs="Arial"/>
          <w:sz w:val="18"/>
          <w:szCs w:val="18"/>
          <w:lang w:val="es-ES"/>
        </w:rPr>
        <w:tab/>
      </w:r>
      <w:r w:rsidRPr="003923D7">
        <w:rPr>
          <w:rFonts w:ascii="Arial" w:hAnsi="Arial" w:cs="Arial"/>
          <w:sz w:val="18"/>
          <w:szCs w:val="18"/>
          <w:lang w:val="es-ES"/>
        </w:rPr>
        <w:t>Cabe notar aquí que los modelos de equilibrio general computado constituyen instrumentos naturales para evaluar los impactos de este tipo de reformas abarcando múltiples áreas.  Sin embargo, incluso estos modelos de alta sofisticación se encuentran limitados al momento de su implementación para dar aproximación cuantitativas y cualitativas de los mismos, en particular porque estos modelos requieren ser diseñados con atención a las preguntas que intentan responder. Es decir, incluso estos modelos están limitados al momento de cuantificar con precisión el impacto de este tipo de reformas abarcando múltiples dimensiones complementarias. Razones de parsimonia y oportunidad, entonces, rubrican una vez más el enfoque de evaluar los beneficios de un componente como una aproximación viable para determinar un límite inferior de los efectos del programa.</w:t>
      </w:r>
    </w:p>
  </w:footnote>
  <w:footnote w:id="7">
    <w:p w14:paraId="441A8050" w14:textId="5D249D97"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w:t>
      </w:r>
      <w:r w:rsidR="003923D7">
        <w:rPr>
          <w:rFonts w:ascii="Arial" w:hAnsi="Arial" w:cs="Arial"/>
          <w:sz w:val="18"/>
          <w:szCs w:val="18"/>
        </w:rPr>
        <w:tab/>
      </w:r>
      <w:r w:rsidRPr="003923D7">
        <w:rPr>
          <w:rFonts w:ascii="Arial" w:hAnsi="Arial" w:cs="Arial"/>
          <w:sz w:val="18"/>
          <w:szCs w:val="18"/>
        </w:rPr>
        <w:t xml:space="preserve">Ver Beck, T., R. Levine, N. Loayza. </w:t>
      </w:r>
      <w:r w:rsidRPr="003923D7">
        <w:rPr>
          <w:rFonts w:ascii="Arial" w:hAnsi="Arial" w:cs="Arial"/>
          <w:sz w:val="18"/>
          <w:szCs w:val="18"/>
          <w:u w:val="single"/>
        </w:rPr>
        <w:t>Financial intermediation and growth: causality and causes</w:t>
      </w:r>
      <w:r w:rsidRPr="003923D7">
        <w:rPr>
          <w:rFonts w:ascii="Arial" w:hAnsi="Arial" w:cs="Arial"/>
          <w:sz w:val="18"/>
          <w:szCs w:val="18"/>
        </w:rPr>
        <w:t xml:space="preserve">. Journal of Monetary Economics, 46 (2000), pp. 31–77; Beck, T., R. Levine, N. Loayza. </w:t>
      </w:r>
      <w:r w:rsidRPr="003923D7">
        <w:rPr>
          <w:rFonts w:ascii="Arial" w:hAnsi="Arial" w:cs="Arial"/>
          <w:sz w:val="18"/>
          <w:szCs w:val="18"/>
          <w:u w:val="single"/>
        </w:rPr>
        <w:t>Finance and the sources of growth</w:t>
      </w:r>
      <w:r w:rsidRPr="003923D7">
        <w:rPr>
          <w:rFonts w:ascii="Arial" w:hAnsi="Arial" w:cs="Arial"/>
          <w:sz w:val="18"/>
          <w:szCs w:val="18"/>
        </w:rPr>
        <w:t xml:space="preserve">. Journal of Financial Economics, 58 (2000), pp. 261–300; Aghion, P. Howitt, D. Mayer-Foulkes. </w:t>
      </w:r>
      <w:r w:rsidRPr="003923D7">
        <w:rPr>
          <w:rFonts w:ascii="Arial" w:hAnsi="Arial" w:cs="Arial"/>
          <w:sz w:val="18"/>
          <w:szCs w:val="18"/>
          <w:u w:val="single"/>
        </w:rPr>
        <w:t>The effect of financial development on convergence: theory and evidence</w:t>
      </w:r>
      <w:r w:rsidRPr="003923D7">
        <w:rPr>
          <w:rFonts w:ascii="Arial" w:hAnsi="Arial" w:cs="Arial"/>
          <w:sz w:val="18"/>
          <w:szCs w:val="18"/>
        </w:rPr>
        <w:t xml:space="preserve">. Quarterly Journal of Economics, 120 (2005), pp. 173–222; Rajan, R. and Zingales, L. </w:t>
      </w:r>
      <w:r w:rsidRPr="003923D7">
        <w:rPr>
          <w:rFonts w:ascii="Arial" w:hAnsi="Arial" w:cs="Arial"/>
          <w:sz w:val="18"/>
          <w:szCs w:val="18"/>
          <w:u w:val="single"/>
        </w:rPr>
        <w:t>Financial dependence and growth</w:t>
      </w:r>
      <w:r w:rsidRPr="003923D7">
        <w:rPr>
          <w:rFonts w:ascii="Arial" w:hAnsi="Arial" w:cs="Arial"/>
          <w:sz w:val="18"/>
          <w:szCs w:val="18"/>
        </w:rPr>
        <w:t xml:space="preserve">. American Economic Review, 88 (1998), pp. 559–586, y; Galindo, A., Schiantarelli, F, and Weiss, A. </w:t>
      </w:r>
      <w:r w:rsidRPr="003923D7">
        <w:rPr>
          <w:rFonts w:ascii="Arial" w:hAnsi="Arial" w:cs="Arial"/>
          <w:sz w:val="18"/>
          <w:szCs w:val="18"/>
          <w:u w:val="single"/>
        </w:rPr>
        <w:t>Does financial liberalization improve the allocation of investment? Micro evidence from developing countries</w:t>
      </w:r>
      <w:r w:rsidRPr="003923D7">
        <w:rPr>
          <w:rFonts w:ascii="Arial" w:hAnsi="Arial" w:cs="Arial"/>
          <w:sz w:val="18"/>
          <w:szCs w:val="18"/>
        </w:rPr>
        <w:t>. Journal of Development Economics, 83 (2007), pp. 562–587 entre otros.</w:t>
      </w:r>
    </w:p>
  </w:footnote>
  <w:footnote w:id="8">
    <w:p w14:paraId="47B95088" w14:textId="5CA75468"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w:t>
      </w:r>
      <w:r w:rsidR="003923D7">
        <w:rPr>
          <w:rFonts w:ascii="Arial" w:hAnsi="Arial" w:cs="Arial"/>
          <w:sz w:val="18"/>
          <w:szCs w:val="18"/>
          <w:lang w:val="es-ES_tradnl"/>
        </w:rPr>
        <w:tab/>
      </w:r>
      <w:r w:rsidRPr="003923D7">
        <w:rPr>
          <w:rFonts w:ascii="Arial" w:hAnsi="Arial" w:cs="Arial"/>
          <w:sz w:val="18"/>
          <w:szCs w:val="18"/>
          <w:lang w:val="es-ES_tradnl"/>
        </w:rPr>
        <w:t xml:space="preserve">En particular, cabe notar que una reforma pro mercado es en general </w:t>
      </w:r>
      <w:proofErr w:type="gramStart"/>
      <w:r w:rsidRPr="003923D7">
        <w:rPr>
          <w:rFonts w:ascii="Arial" w:hAnsi="Arial" w:cs="Arial"/>
          <w:sz w:val="18"/>
          <w:szCs w:val="18"/>
          <w:lang w:val="es-ES_tradnl"/>
        </w:rPr>
        <w:t>entendida</w:t>
      </w:r>
      <w:proofErr w:type="gramEnd"/>
      <w:r w:rsidRPr="003923D7">
        <w:rPr>
          <w:rFonts w:ascii="Arial" w:hAnsi="Arial" w:cs="Arial"/>
          <w:sz w:val="18"/>
          <w:szCs w:val="18"/>
          <w:lang w:val="es-ES_tradnl"/>
        </w:rPr>
        <w:t xml:space="preserve"> como una que reduce la intervención del gobierno en la economía y que a la vez promueve una mejora institucional en los procesos de gobernanza. Para una discusión más amplia de estos conceptos véase Williamson, J. 2004. </w:t>
      </w:r>
      <w:r w:rsidRPr="003923D7">
        <w:rPr>
          <w:rFonts w:ascii="Arial" w:hAnsi="Arial" w:cs="Arial"/>
          <w:sz w:val="18"/>
          <w:szCs w:val="18"/>
          <w:u w:val="single"/>
        </w:rPr>
        <w:t>The strange history of the Washington consensus</w:t>
      </w:r>
      <w:r w:rsidRPr="003923D7">
        <w:rPr>
          <w:rFonts w:ascii="Arial" w:hAnsi="Arial" w:cs="Arial"/>
          <w:sz w:val="18"/>
          <w:szCs w:val="18"/>
        </w:rPr>
        <w:t>. Journal of Post Keynesian Economics,27: 195–206.</w:t>
      </w:r>
    </w:p>
  </w:footnote>
  <w:footnote w:id="9">
    <w:p w14:paraId="2B535896" w14:textId="62E8F96E"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w:t>
      </w:r>
      <w:r w:rsidR="003923D7">
        <w:rPr>
          <w:rFonts w:ascii="Arial" w:hAnsi="Arial" w:cs="Arial"/>
          <w:sz w:val="18"/>
          <w:szCs w:val="18"/>
        </w:rPr>
        <w:tab/>
      </w:r>
      <w:r w:rsidRPr="003923D7">
        <w:rPr>
          <w:rFonts w:ascii="Arial" w:hAnsi="Arial" w:cs="Arial"/>
          <w:sz w:val="18"/>
          <w:szCs w:val="18"/>
        </w:rPr>
        <w:t xml:space="preserve">Ver Cuervo-Cazurra, Alvaro, and Luis Alfonso Dau. </w:t>
      </w:r>
      <w:r w:rsidRPr="003923D7">
        <w:rPr>
          <w:rFonts w:ascii="Arial" w:hAnsi="Arial" w:cs="Arial"/>
          <w:sz w:val="18"/>
          <w:szCs w:val="18"/>
          <w:u w:val="single"/>
        </w:rPr>
        <w:t>Pro</w:t>
      </w:r>
      <w:r w:rsidR="00572770" w:rsidRPr="003923D7">
        <w:rPr>
          <w:rFonts w:ascii="Arial" w:hAnsi="Arial" w:cs="Arial"/>
          <w:sz w:val="18"/>
          <w:szCs w:val="18"/>
          <w:u w:val="single"/>
        </w:rPr>
        <w:t>-</w:t>
      </w:r>
      <w:r w:rsidRPr="003923D7">
        <w:rPr>
          <w:rFonts w:ascii="Arial" w:hAnsi="Arial" w:cs="Arial"/>
          <w:sz w:val="18"/>
          <w:szCs w:val="18"/>
          <w:u w:val="single"/>
        </w:rPr>
        <w:t>market reforms and firm profitability in developing countries</w:t>
      </w:r>
      <w:r w:rsidRPr="003923D7">
        <w:rPr>
          <w:rFonts w:ascii="Arial" w:hAnsi="Arial" w:cs="Arial"/>
          <w:sz w:val="18"/>
          <w:szCs w:val="18"/>
        </w:rPr>
        <w:t xml:space="preserve">. </w:t>
      </w:r>
      <w:r w:rsidRPr="003923D7">
        <w:rPr>
          <w:rFonts w:ascii="Arial" w:hAnsi="Arial" w:cs="Arial"/>
          <w:i/>
          <w:iCs/>
          <w:sz w:val="18"/>
          <w:szCs w:val="18"/>
        </w:rPr>
        <w:t>Academy of Management Journal</w:t>
      </w:r>
      <w:r w:rsidRPr="003923D7">
        <w:rPr>
          <w:rFonts w:ascii="Arial" w:hAnsi="Arial" w:cs="Arial"/>
          <w:sz w:val="18"/>
          <w:szCs w:val="18"/>
        </w:rPr>
        <w:t xml:space="preserve"> 52.6 (2009): 1348-1368.</w:t>
      </w:r>
    </w:p>
  </w:footnote>
  <w:footnote w:id="10">
    <w:p w14:paraId="377A2A8A" w14:textId="17795E7B"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Ver Lora</w:t>
      </w:r>
      <w:r w:rsidR="00572770" w:rsidRPr="003923D7">
        <w:rPr>
          <w:rFonts w:ascii="Arial" w:hAnsi="Arial" w:cs="Arial"/>
          <w:sz w:val="18"/>
          <w:szCs w:val="18"/>
        </w:rPr>
        <w:t xml:space="preserve">, Eduardo, and Felipe Barrera. </w:t>
      </w:r>
      <w:r w:rsidRPr="003923D7">
        <w:rPr>
          <w:rFonts w:ascii="Arial" w:hAnsi="Arial" w:cs="Arial"/>
          <w:sz w:val="18"/>
          <w:szCs w:val="18"/>
          <w:u w:val="single"/>
        </w:rPr>
        <w:t>A decade of structural reforms in Latin America: growth, productivity and investment are not what they used to be</w:t>
      </w:r>
      <w:r w:rsidR="00572770" w:rsidRPr="003923D7">
        <w:rPr>
          <w:rFonts w:ascii="Arial" w:hAnsi="Arial" w:cs="Arial"/>
          <w:sz w:val="18"/>
          <w:szCs w:val="18"/>
        </w:rPr>
        <w:t>.</w:t>
      </w:r>
      <w:r w:rsidRPr="003923D7">
        <w:rPr>
          <w:rFonts w:ascii="Arial" w:hAnsi="Arial" w:cs="Arial"/>
          <w:sz w:val="18"/>
          <w:szCs w:val="18"/>
        </w:rPr>
        <w:t xml:space="preserve"> </w:t>
      </w:r>
      <w:r w:rsidRPr="003923D7">
        <w:rPr>
          <w:rFonts w:ascii="Arial" w:hAnsi="Arial" w:cs="Arial"/>
          <w:sz w:val="18"/>
          <w:szCs w:val="18"/>
          <w:u w:val="single"/>
        </w:rPr>
        <w:t>Latin America after a decade of reforms: what comes next</w:t>
      </w:r>
      <w:r w:rsidRPr="003923D7">
        <w:rPr>
          <w:rFonts w:ascii="Arial" w:hAnsi="Arial" w:cs="Arial"/>
          <w:sz w:val="18"/>
          <w:szCs w:val="18"/>
        </w:rPr>
        <w:t xml:space="preserve"> (1997).</w:t>
      </w:r>
    </w:p>
  </w:footnote>
  <w:footnote w:id="11">
    <w:p w14:paraId="64BEC4E0" w14:textId="2C1A7DB6"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w:t>
      </w:r>
      <w:bookmarkStart w:id="5" w:name="_GoBack"/>
      <w:bookmarkEnd w:id="5"/>
      <w:r w:rsidRPr="003923D7">
        <w:rPr>
          <w:rFonts w:ascii="Arial" w:hAnsi="Arial" w:cs="Arial"/>
          <w:sz w:val="18"/>
          <w:szCs w:val="18"/>
          <w:lang w:val="es-ES_tradnl"/>
        </w:rPr>
        <w:t>La consideración sobre la relación entre las condiciones financieras y el sector rea</w:t>
      </w:r>
      <w:r w:rsidR="00572770" w:rsidRPr="003923D7">
        <w:rPr>
          <w:rFonts w:ascii="Arial" w:hAnsi="Arial" w:cs="Arial"/>
          <w:sz w:val="18"/>
          <w:szCs w:val="18"/>
          <w:lang w:val="es-ES_tradnl"/>
        </w:rPr>
        <w:t>l de la economía ya fue atendida</w:t>
      </w:r>
      <w:r w:rsidRPr="003923D7">
        <w:rPr>
          <w:rFonts w:ascii="Arial" w:hAnsi="Arial" w:cs="Arial"/>
          <w:sz w:val="18"/>
          <w:szCs w:val="18"/>
          <w:lang w:val="es-ES_tradnl"/>
        </w:rPr>
        <w:t xml:space="preserve"> previamente.</w:t>
      </w:r>
    </w:p>
  </w:footnote>
  <w:footnote w:id="12">
    <w:p w14:paraId="0593AFED"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En general el argumento se hace en relación a la asignación de capital, lo cual es un caso particular de asignación de recursos, ya que por una parte los procesos productivos requieren la utilización de múltiples factores, y por otra parte el procesos de liberalización afecta en principio las decisiones de distribución de recursos generando una mayor acumulación de capital (movimiento a lo largo de la FPP entre bienes de consumo y bienes de capital y potencialmente a un traslado de dicha curva ya que el conjunto de regulaciones bajo consideración son argumentos de dicha función.</w:t>
      </w:r>
    </w:p>
  </w:footnote>
  <w:footnote w:id="13">
    <w:p w14:paraId="0DD0D5D1"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rPr>
        <w:t xml:space="preserve"> Tressel, T. </w:t>
      </w:r>
      <w:r w:rsidRPr="003923D7">
        <w:rPr>
          <w:rFonts w:ascii="Arial" w:hAnsi="Arial" w:cs="Arial"/>
          <w:sz w:val="18"/>
          <w:szCs w:val="18"/>
          <w:u w:val="single"/>
        </w:rPr>
        <w:t>Unbundling the effects of reforms</w:t>
      </w:r>
      <w:r w:rsidRPr="003923D7">
        <w:rPr>
          <w:rFonts w:ascii="Arial" w:hAnsi="Arial" w:cs="Arial"/>
          <w:sz w:val="18"/>
          <w:szCs w:val="18"/>
        </w:rPr>
        <w:t xml:space="preserve">. </w:t>
      </w:r>
      <w:r w:rsidRPr="003923D7">
        <w:rPr>
          <w:rFonts w:ascii="Arial" w:hAnsi="Arial" w:cs="Arial"/>
          <w:sz w:val="18"/>
          <w:szCs w:val="18"/>
          <w:lang w:val="es-ES_tradnl"/>
        </w:rPr>
        <w:t>International Monetary Fund, 2008.</w:t>
      </w:r>
    </w:p>
  </w:footnote>
  <w:footnote w:id="14">
    <w:p w14:paraId="1FA767AD"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Tressel (2009) también encuentra que dichas reformas mejoran la capacidad de la economía para recuperarse de shocks financieros.</w:t>
      </w:r>
    </w:p>
  </w:footnote>
  <w:footnote w:id="15">
    <w:p w14:paraId="74412CE3" w14:textId="77777777"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Bekaert, G., Harvey, C.R., Lundblad, C., 2001. </w:t>
      </w:r>
      <w:r w:rsidRPr="003923D7">
        <w:rPr>
          <w:rFonts w:ascii="Arial" w:hAnsi="Arial" w:cs="Arial"/>
          <w:sz w:val="18"/>
          <w:szCs w:val="18"/>
          <w:u w:val="single"/>
        </w:rPr>
        <w:t>Emerging equity markets and economic development</w:t>
      </w:r>
      <w:r w:rsidRPr="003923D7">
        <w:rPr>
          <w:rFonts w:ascii="Arial" w:hAnsi="Arial" w:cs="Arial"/>
          <w:sz w:val="18"/>
          <w:szCs w:val="18"/>
        </w:rPr>
        <w:t>. Journal of Development Economics 66, 465–504.</w:t>
      </w:r>
    </w:p>
  </w:footnote>
  <w:footnote w:id="16">
    <w:p w14:paraId="036406E4" w14:textId="77777777"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Hubbard, G., 1997. </w:t>
      </w:r>
      <w:r w:rsidRPr="003923D7">
        <w:rPr>
          <w:rFonts w:ascii="Arial" w:hAnsi="Arial" w:cs="Arial"/>
          <w:sz w:val="18"/>
          <w:szCs w:val="18"/>
          <w:u w:val="single"/>
        </w:rPr>
        <w:t>Capital market imperfections and investment</w:t>
      </w:r>
      <w:r w:rsidRPr="003923D7">
        <w:rPr>
          <w:rFonts w:ascii="Arial" w:hAnsi="Arial" w:cs="Arial"/>
          <w:sz w:val="18"/>
          <w:szCs w:val="18"/>
        </w:rPr>
        <w:t>. Journal of Economic Literature 36, 193–225.</w:t>
      </w:r>
    </w:p>
  </w:footnote>
  <w:footnote w:id="17">
    <w:p w14:paraId="2F690736" w14:textId="77777777"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Ver Devereux, M., Smith, G.W. </w:t>
      </w:r>
      <w:r w:rsidRPr="003923D7">
        <w:rPr>
          <w:rFonts w:ascii="Arial" w:hAnsi="Arial" w:cs="Arial"/>
          <w:sz w:val="18"/>
          <w:szCs w:val="18"/>
          <w:u w:val="single"/>
        </w:rPr>
        <w:t>International risk sharing and economic growth</w:t>
      </w:r>
      <w:r w:rsidRPr="003923D7">
        <w:rPr>
          <w:rFonts w:ascii="Arial" w:hAnsi="Arial" w:cs="Arial"/>
          <w:sz w:val="18"/>
          <w:szCs w:val="18"/>
        </w:rPr>
        <w:t xml:space="preserve">. International Economic Review, 35 (1994), pp. 535–551, y Eichengreen, B. </w:t>
      </w:r>
      <w:r w:rsidRPr="003923D7">
        <w:rPr>
          <w:rFonts w:ascii="Arial" w:hAnsi="Arial" w:cs="Arial"/>
          <w:sz w:val="18"/>
          <w:szCs w:val="18"/>
          <w:u w:val="single"/>
        </w:rPr>
        <w:t>Capital account liberalization: what do the cross-country studies tell us?</w:t>
      </w:r>
      <w:r w:rsidRPr="003923D7">
        <w:rPr>
          <w:rFonts w:ascii="Arial" w:hAnsi="Arial" w:cs="Arial"/>
          <w:sz w:val="18"/>
          <w:szCs w:val="18"/>
        </w:rPr>
        <w:t xml:space="preserve"> World Bank Economic Review, 15 (2002), pp. 341–366 entre otros.</w:t>
      </w:r>
    </w:p>
  </w:footnote>
  <w:footnote w:id="18">
    <w:p w14:paraId="6B4666CD" w14:textId="77777777" w:rsidR="00734FBF" w:rsidRPr="003923D7" w:rsidRDefault="00734FBF"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00572770" w:rsidRPr="003923D7">
        <w:rPr>
          <w:rFonts w:ascii="Arial" w:hAnsi="Arial" w:cs="Arial"/>
          <w:sz w:val="18"/>
          <w:szCs w:val="18"/>
        </w:rPr>
        <w:t xml:space="preserve"> Lora, Eduardo. </w:t>
      </w:r>
      <w:r w:rsidRPr="003923D7">
        <w:rPr>
          <w:rFonts w:ascii="Arial" w:hAnsi="Arial" w:cs="Arial"/>
          <w:sz w:val="18"/>
          <w:szCs w:val="18"/>
          <w:u w:val="single"/>
        </w:rPr>
        <w:t xml:space="preserve">A decade of structural reform in Latin America: what has been </w:t>
      </w:r>
      <w:r w:rsidR="00572770" w:rsidRPr="003923D7">
        <w:rPr>
          <w:rFonts w:ascii="Arial" w:hAnsi="Arial" w:cs="Arial"/>
          <w:sz w:val="18"/>
          <w:szCs w:val="18"/>
          <w:u w:val="single"/>
        </w:rPr>
        <w:t>reformed and how to measure it</w:t>
      </w:r>
      <w:r w:rsidR="00572770" w:rsidRPr="003923D7">
        <w:rPr>
          <w:rFonts w:ascii="Arial" w:hAnsi="Arial" w:cs="Arial"/>
          <w:sz w:val="18"/>
          <w:szCs w:val="18"/>
        </w:rPr>
        <w:t>.</w:t>
      </w:r>
      <w:r w:rsidRPr="003923D7">
        <w:rPr>
          <w:rFonts w:ascii="Arial" w:hAnsi="Arial" w:cs="Arial"/>
          <w:sz w:val="18"/>
          <w:szCs w:val="18"/>
        </w:rPr>
        <w:t xml:space="preserve"> (1997).</w:t>
      </w:r>
    </w:p>
  </w:footnote>
  <w:footnote w:id="19">
    <w:p w14:paraId="06E2AB8E" w14:textId="77777777" w:rsidR="00F249CD" w:rsidRPr="003923D7" w:rsidRDefault="00F249CD" w:rsidP="003923D7">
      <w:pPr>
        <w:pStyle w:val="FootnoteText"/>
        <w:spacing w:after="0"/>
        <w:ind w:left="180" w:hanging="180"/>
        <w:rPr>
          <w:rFonts w:ascii="Arial" w:hAnsi="Arial" w:cs="Arial"/>
          <w:sz w:val="18"/>
          <w:szCs w:val="18"/>
        </w:rPr>
      </w:pPr>
      <w:r w:rsidRPr="003923D7">
        <w:rPr>
          <w:rStyle w:val="FootnoteReference"/>
          <w:rFonts w:ascii="Arial" w:hAnsi="Arial" w:cs="Arial"/>
          <w:sz w:val="18"/>
          <w:szCs w:val="18"/>
        </w:rPr>
        <w:footnoteRef/>
      </w:r>
      <w:r w:rsidRPr="003923D7">
        <w:rPr>
          <w:rFonts w:ascii="Arial" w:hAnsi="Arial" w:cs="Arial"/>
          <w:sz w:val="18"/>
          <w:szCs w:val="18"/>
        </w:rPr>
        <w:t xml:space="preserve"> Swiston, And</w:t>
      </w:r>
      <w:r w:rsidR="00572770" w:rsidRPr="003923D7">
        <w:rPr>
          <w:rFonts w:ascii="Arial" w:hAnsi="Arial" w:cs="Arial"/>
          <w:sz w:val="18"/>
          <w:szCs w:val="18"/>
        </w:rPr>
        <w:t xml:space="preserve">rew J., and Luis-Diego Barrot. </w:t>
      </w:r>
      <w:r w:rsidRPr="003923D7">
        <w:rPr>
          <w:rFonts w:ascii="Arial" w:hAnsi="Arial" w:cs="Arial"/>
          <w:sz w:val="18"/>
          <w:szCs w:val="18"/>
          <w:u w:val="single"/>
        </w:rPr>
        <w:t>The Role of Structural Reforms in Raising Economic Growth in Central America.</w:t>
      </w:r>
      <w:r w:rsidRPr="003923D7">
        <w:rPr>
          <w:rFonts w:ascii="Arial" w:hAnsi="Arial" w:cs="Arial"/>
          <w:sz w:val="18"/>
          <w:szCs w:val="18"/>
        </w:rPr>
        <w:t xml:space="preserve"> IMF Working Papers (2011): 1-20.</w:t>
      </w:r>
    </w:p>
  </w:footnote>
  <w:footnote w:id="20">
    <w:p w14:paraId="40DC1B69" w14:textId="77777777" w:rsidR="009103E5" w:rsidRPr="003923D7" w:rsidRDefault="009103E5"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rPr>
        <w:t xml:space="preserve"> Dabla-Norris, E.</w:t>
      </w:r>
      <w:r w:rsidR="00783E6D" w:rsidRPr="003923D7">
        <w:rPr>
          <w:rFonts w:ascii="Arial" w:hAnsi="Arial" w:cs="Arial"/>
          <w:sz w:val="18"/>
          <w:szCs w:val="18"/>
        </w:rPr>
        <w:t xml:space="preserve">, Giang Ho, and Annette Kyobe. </w:t>
      </w:r>
      <w:r w:rsidRPr="003923D7">
        <w:rPr>
          <w:rFonts w:ascii="Arial" w:hAnsi="Arial" w:cs="Arial"/>
          <w:sz w:val="18"/>
          <w:szCs w:val="18"/>
          <w:u w:val="single"/>
        </w:rPr>
        <w:t>Reforms and distance to frontier</w:t>
      </w:r>
      <w:r w:rsidR="00783E6D" w:rsidRPr="003923D7">
        <w:rPr>
          <w:rFonts w:ascii="Arial" w:hAnsi="Arial" w:cs="Arial"/>
          <w:sz w:val="18"/>
          <w:szCs w:val="18"/>
        </w:rPr>
        <w:t>.</w:t>
      </w:r>
      <w:r w:rsidRPr="003923D7">
        <w:rPr>
          <w:rFonts w:ascii="Arial" w:hAnsi="Arial" w:cs="Arial"/>
          <w:sz w:val="18"/>
          <w:szCs w:val="18"/>
        </w:rPr>
        <w:t xml:space="preserve"> </w:t>
      </w:r>
      <w:r w:rsidRPr="003923D7">
        <w:rPr>
          <w:rFonts w:ascii="Arial" w:hAnsi="Arial" w:cs="Arial"/>
          <w:sz w:val="18"/>
          <w:szCs w:val="18"/>
          <w:lang w:val="es-ES_tradnl"/>
        </w:rPr>
        <w:t xml:space="preserve">IMF, 2013. </w:t>
      </w:r>
      <w:r w:rsidR="00783E6D" w:rsidRPr="003923D7">
        <w:rPr>
          <w:rFonts w:ascii="Arial" w:hAnsi="Arial" w:cs="Arial"/>
          <w:sz w:val="18"/>
          <w:szCs w:val="18"/>
          <w:lang w:val="es-ES_tradnl"/>
        </w:rPr>
        <w:t xml:space="preserve">International </w:t>
      </w:r>
      <w:r w:rsidRPr="003923D7">
        <w:rPr>
          <w:rFonts w:ascii="Arial" w:hAnsi="Arial" w:cs="Arial"/>
          <w:sz w:val="18"/>
          <w:szCs w:val="18"/>
          <w:lang w:val="es-ES_tradnl"/>
        </w:rPr>
        <w:t>Monetary Fund).</w:t>
      </w:r>
    </w:p>
  </w:footnote>
  <w:footnote w:id="21">
    <w:p w14:paraId="57146728"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Esta consistencia entre las series nominales y reales permite reconstruir series nominales consistentes a partir de cambios en series reales y viceversa.</w:t>
      </w:r>
    </w:p>
  </w:footnote>
  <w:footnote w:id="22">
    <w:p w14:paraId="44C64578"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Un</w:t>
      </w:r>
      <w:r w:rsidR="003A3931" w:rsidRPr="003923D7">
        <w:rPr>
          <w:rFonts w:ascii="Arial" w:hAnsi="Arial" w:cs="Arial"/>
          <w:sz w:val="18"/>
          <w:szCs w:val="18"/>
          <w:lang w:val="es-ES_tradnl"/>
        </w:rPr>
        <w:t>a</w:t>
      </w:r>
      <w:r w:rsidRPr="003923D7">
        <w:rPr>
          <w:rFonts w:ascii="Arial" w:hAnsi="Arial" w:cs="Arial"/>
          <w:sz w:val="18"/>
          <w:szCs w:val="18"/>
          <w:lang w:val="es-ES_tradnl"/>
        </w:rPr>
        <w:t xml:space="preserve"> descripción más detallada se brinda más adelante junto con la presentación de los flujos considerados.</w:t>
      </w:r>
    </w:p>
  </w:footnote>
  <w:footnote w:id="23">
    <w:p w14:paraId="0563E191"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La idea aquí es capturar la estructura de gastos más asimilable a lo que se espera generen las reformas. Así, por ejemplo, se dejan de lado los ministerios de educación y seguridad para este cálculo (así como el resto no explícitamente </w:t>
      </w:r>
      <w:r w:rsidR="00833C66" w:rsidRPr="003923D7">
        <w:rPr>
          <w:rFonts w:ascii="Arial" w:hAnsi="Arial" w:cs="Arial"/>
          <w:sz w:val="18"/>
          <w:szCs w:val="18"/>
          <w:lang w:val="es-ES_tradnl"/>
        </w:rPr>
        <w:t>incluido</w:t>
      </w:r>
      <w:r w:rsidRPr="003923D7">
        <w:rPr>
          <w:rFonts w:ascii="Arial" w:hAnsi="Arial" w:cs="Arial"/>
          <w:sz w:val="18"/>
          <w:szCs w:val="18"/>
          <w:lang w:val="es-ES_tradnl"/>
        </w:rPr>
        <w:t xml:space="preserve"> en la descripción).</w:t>
      </w:r>
    </w:p>
  </w:footnote>
  <w:footnote w:id="24">
    <w:p w14:paraId="63D12A66"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El incremental de costos también se sensibiliza en 10% (5% dos veces) y 40% (20% dos veces). Cabe resaltar que estos son valores significativos y no se considera razonable incluir variaciones de costos que superen estas dimensiones.</w:t>
      </w:r>
    </w:p>
  </w:footnote>
  <w:footnote w:id="25">
    <w:p w14:paraId="6A548A21"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Fonts w:ascii="Arial" w:hAnsi="Arial" w:cs="Arial"/>
          <w:sz w:val="18"/>
          <w:szCs w:val="18"/>
          <w:vertAlign w:val="superscript"/>
          <w:lang w:val="es-ES_tradnl"/>
        </w:rPr>
        <w:footnoteRef/>
      </w:r>
      <w:r w:rsidRPr="003923D7">
        <w:rPr>
          <w:rFonts w:ascii="Arial" w:hAnsi="Arial" w:cs="Arial"/>
          <w:sz w:val="18"/>
          <w:szCs w:val="18"/>
          <w:lang w:val="es-ES_tradnl"/>
        </w:rPr>
        <w:t xml:space="preserve"> Se considera en particular que la brecha en dichos índices se reducirá en un 25%. Esta reducción se sensibiliza luego considerando variaciones de 10% y 50%.</w:t>
      </w:r>
    </w:p>
  </w:footnote>
  <w:footnote w:id="26">
    <w:p w14:paraId="48441697"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IMF Working Paper No. WP/11/248, Fondo Monetario Internacional, octubre 2011.</w:t>
      </w:r>
    </w:p>
  </w:footnote>
  <w:footnote w:id="27">
    <w:p w14:paraId="77236955" w14:textId="77777777" w:rsidR="009A19DD" w:rsidRPr="003923D7" w:rsidRDefault="009A19DD" w:rsidP="003923D7">
      <w:pPr>
        <w:pStyle w:val="FootnoteText"/>
        <w:spacing w:after="0"/>
        <w:ind w:left="180" w:hanging="180"/>
        <w:rPr>
          <w:rFonts w:ascii="Arial" w:hAnsi="Arial" w:cs="Arial"/>
          <w:sz w:val="18"/>
          <w:szCs w:val="18"/>
          <w:lang w:val="es-AR"/>
        </w:rPr>
      </w:pPr>
      <w:r w:rsidRPr="003923D7">
        <w:rPr>
          <w:rStyle w:val="FootnoteReference"/>
          <w:rFonts w:ascii="Arial" w:hAnsi="Arial" w:cs="Arial"/>
          <w:sz w:val="18"/>
          <w:szCs w:val="18"/>
        </w:rPr>
        <w:footnoteRef/>
      </w:r>
      <w:r w:rsidRPr="003923D7">
        <w:rPr>
          <w:rFonts w:ascii="Arial" w:hAnsi="Arial" w:cs="Arial"/>
          <w:sz w:val="18"/>
          <w:szCs w:val="18"/>
          <w:lang w:val="es-AR"/>
        </w:rPr>
        <w:t xml:space="preserve"> Cabe notar que esta distribución hace las estimaciones más conservadoras ya que los beneficios se demoran en el tiempo y son penalizados por el factor de descuento. </w:t>
      </w:r>
    </w:p>
  </w:footnote>
  <w:footnote w:id="28">
    <w:p w14:paraId="248CD0DA" w14:textId="77777777" w:rsidR="00734FBF" w:rsidRPr="003923D7" w:rsidRDefault="00734FBF" w:rsidP="003923D7">
      <w:pPr>
        <w:pStyle w:val="FootnoteText"/>
        <w:spacing w:after="0"/>
        <w:ind w:left="180" w:hanging="180"/>
        <w:rPr>
          <w:rFonts w:ascii="Arial" w:hAnsi="Arial" w:cs="Arial"/>
          <w:sz w:val="18"/>
          <w:szCs w:val="18"/>
          <w:lang w:val="es-ES_tradnl"/>
        </w:rPr>
      </w:pPr>
      <w:r w:rsidRPr="003923D7">
        <w:rPr>
          <w:rStyle w:val="FootnoteReference"/>
          <w:rFonts w:ascii="Arial" w:hAnsi="Arial" w:cs="Arial"/>
          <w:sz w:val="18"/>
          <w:szCs w:val="18"/>
        </w:rPr>
        <w:footnoteRef/>
      </w:r>
      <w:r w:rsidRPr="003923D7">
        <w:rPr>
          <w:rFonts w:ascii="Arial" w:hAnsi="Arial" w:cs="Arial"/>
          <w:sz w:val="18"/>
          <w:szCs w:val="18"/>
          <w:lang w:val="es-ES_tradnl"/>
        </w:rPr>
        <w:t xml:space="preserve"> Un valor de 0.75 supone un escenario más optimist</w:t>
      </w:r>
      <w:r w:rsidR="003E5214" w:rsidRPr="003923D7">
        <w:rPr>
          <w:rFonts w:ascii="Arial" w:hAnsi="Arial" w:cs="Arial"/>
          <w:sz w:val="18"/>
          <w:szCs w:val="18"/>
          <w:lang w:val="es-ES_tradnl"/>
        </w:rPr>
        <w:t>a que el escenario contrafactual</w:t>
      </w:r>
      <w:r w:rsidRPr="003923D7">
        <w:rPr>
          <w:rFonts w:ascii="Arial" w:hAnsi="Arial" w:cs="Arial"/>
          <w:sz w:val="18"/>
          <w:szCs w:val="18"/>
          <w:lang w:val="es-ES_tradnl"/>
        </w:rPr>
        <w:t xml:space="preserve"> central, y se incluye a los efectos de completar los escenarios e informar más adecuadamente sobre las magnitudes involucradas.</w:t>
      </w:r>
    </w:p>
  </w:footnote>
  <w:footnote w:id="29">
    <w:p w14:paraId="4934EF1F" w14:textId="77777777" w:rsidR="00275C28" w:rsidRPr="003923D7" w:rsidRDefault="00275C28" w:rsidP="003923D7">
      <w:pPr>
        <w:pStyle w:val="FootnoteText"/>
        <w:spacing w:after="0"/>
        <w:ind w:left="180" w:hanging="180"/>
        <w:rPr>
          <w:rFonts w:ascii="Arial" w:hAnsi="Arial" w:cs="Arial"/>
          <w:sz w:val="18"/>
          <w:szCs w:val="18"/>
          <w:lang w:val="es-AR"/>
        </w:rPr>
      </w:pPr>
      <w:r w:rsidRPr="003923D7">
        <w:rPr>
          <w:rStyle w:val="FootnoteReference"/>
          <w:rFonts w:ascii="Arial" w:hAnsi="Arial" w:cs="Arial"/>
          <w:sz w:val="18"/>
          <w:szCs w:val="18"/>
        </w:rPr>
        <w:footnoteRef/>
      </w:r>
      <w:r w:rsidRPr="003923D7">
        <w:rPr>
          <w:rFonts w:ascii="Arial" w:hAnsi="Arial" w:cs="Arial"/>
          <w:sz w:val="18"/>
          <w:szCs w:val="18"/>
          <w:lang w:val="es-AR"/>
        </w:rPr>
        <w:t xml:space="preserve"> El parámetro </w:t>
      </w:r>
      <m:oMath>
        <m:r>
          <w:rPr>
            <w:rFonts w:ascii="Cambria Math" w:hAnsi="Cambria Math" w:cs="Arial"/>
            <w:sz w:val="18"/>
            <w:szCs w:val="18"/>
            <w:lang w:val="es-ES_tradnl"/>
          </w:rPr>
          <m:t>α</m:t>
        </m:r>
      </m:oMath>
      <w:r w:rsidRPr="003923D7">
        <w:rPr>
          <w:rFonts w:ascii="Arial" w:hAnsi="Arial" w:cs="Arial"/>
          <w:sz w:val="18"/>
          <w:szCs w:val="18"/>
          <w:lang w:val="es-ES_tradnl"/>
        </w:rPr>
        <w:t xml:space="preserve"> está implícito en la tercera columna, pero se ha elegido esta forma de presentación por simplicidad.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57281" w14:textId="77777777" w:rsidR="00734FBF" w:rsidRDefault="00734F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18"/>
        <w:szCs w:val="18"/>
      </w:rPr>
      <w:id w:val="-123233892"/>
      <w:docPartObj>
        <w:docPartGallery w:val="Page Numbers (Top of Page)"/>
        <w:docPartUnique/>
      </w:docPartObj>
    </w:sdtPr>
    <w:sdtEndPr/>
    <w:sdtContent>
      <w:p w14:paraId="5654BEB9" w14:textId="178E0605" w:rsidR="00734FBF" w:rsidRPr="003923D7" w:rsidRDefault="00734FBF">
        <w:pPr>
          <w:pStyle w:val="Header"/>
          <w:jc w:val="center"/>
          <w:rPr>
            <w:rFonts w:ascii="Arial" w:eastAsiaTheme="majorEastAsia" w:hAnsi="Arial" w:cs="Arial"/>
            <w:sz w:val="18"/>
            <w:szCs w:val="18"/>
          </w:rPr>
        </w:pPr>
        <w:r w:rsidRPr="003923D7">
          <w:rPr>
            <w:rFonts w:ascii="Arial" w:eastAsiaTheme="majorEastAsia" w:hAnsi="Arial" w:cs="Arial"/>
            <w:sz w:val="18"/>
            <w:szCs w:val="18"/>
          </w:rPr>
          <w:t xml:space="preserve">- </w:t>
        </w:r>
        <w:r w:rsidRPr="003923D7">
          <w:rPr>
            <w:rFonts w:ascii="Arial" w:hAnsi="Arial" w:cs="Arial"/>
            <w:sz w:val="18"/>
            <w:szCs w:val="18"/>
          </w:rPr>
          <w:fldChar w:fldCharType="begin"/>
        </w:r>
        <w:r w:rsidRPr="003923D7">
          <w:rPr>
            <w:rFonts w:ascii="Arial" w:hAnsi="Arial" w:cs="Arial"/>
            <w:sz w:val="18"/>
            <w:szCs w:val="18"/>
          </w:rPr>
          <w:instrText xml:space="preserve"> PAGE    \* MERGEFORMAT </w:instrText>
        </w:r>
        <w:r w:rsidRPr="003923D7">
          <w:rPr>
            <w:rFonts w:ascii="Arial" w:hAnsi="Arial" w:cs="Arial"/>
            <w:sz w:val="18"/>
            <w:szCs w:val="18"/>
          </w:rPr>
          <w:fldChar w:fldCharType="separate"/>
        </w:r>
        <w:r w:rsidR="003923D7" w:rsidRPr="003923D7">
          <w:rPr>
            <w:rFonts w:ascii="Arial" w:eastAsiaTheme="majorEastAsia" w:hAnsi="Arial" w:cs="Arial"/>
            <w:noProof/>
            <w:sz w:val="18"/>
            <w:szCs w:val="18"/>
          </w:rPr>
          <w:t>14</w:t>
        </w:r>
        <w:r w:rsidRPr="003923D7">
          <w:rPr>
            <w:rFonts w:ascii="Arial" w:eastAsiaTheme="majorEastAsia" w:hAnsi="Arial" w:cs="Arial"/>
            <w:noProof/>
            <w:sz w:val="18"/>
            <w:szCs w:val="18"/>
          </w:rPr>
          <w:fldChar w:fldCharType="end"/>
        </w:r>
        <w:r w:rsidRPr="003923D7">
          <w:rPr>
            <w:rFonts w:ascii="Arial" w:eastAsiaTheme="majorEastAsia" w:hAnsi="Arial" w:cs="Arial"/>
            <w:sz w:val="18"/>
            <w:szCs w:val="18"/>
          </w:rPr>
          <w:t xml:space="preserve"> -</w:t>
        </w:r>
      </w:p>
    </w:sdtContent>
  </w:sdt>
  <w:p w14:paraId="0C25917B" w14:textId="77777777" w:rsidR="00734FBF" w:rsidRDefault="00734F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3CC58" w14:textId="77777777" w:rsidR="00734FBF" w:rsidRDefault="00734FBF">
    <w:pPr>
      <w:pStyle w:val="Header"/>
      <w:jc w:val="center"/>
      <w:rPr>
        <w:rFonts w:asciiTheme="majorHAnsi" w:eastAsiaTheme="majorEastAsia" w:hAnsiTheme="majorHAnsi" w:cstheme="majorBidi"/>
        <w:sz w:val="28"/>
        <w:szCs w:val="28"/>
      </w:rPr>
    </w:pPr>
  </w:p>
  <w:p w14:paraId="5A42F45B" w14:textId="77777777" w:rsidR="00734FBF" w:rsidRPr="00767E95" w:rsidRDefault="00734FBF">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5762"/>
    <w:multiLevelType w:val="hybridMultilevel"/>
    <w:tmpl w:val="8C68FEC0"/>
    <w:lvl w:ilvl="0" w:tplc="A6DA7D12">
      <w:start w:val="2013"/>
      <w:numFmt w:val="bullet"/>
      <w:lvlText w:val=""/>
      <w:lvlJc w:val="left"/>
      <w:pPr>
        <w:ind w:left="1800" w:hanging="360"/>
      </w:pPr>
      <w:rPr>
        <w:rFonts w:ascii="Symbol" w:eastAsiaTheme="minorEastAsia"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372558"/>
    <w:multiLevelType w:val="multilevel"/>
    <w:tmpl w:val="35FEA49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CBF3865"/>
    <w:multiLevelType w:val="hybridMultilevel"/>
    <w:tmpl w:val="A3DE1FF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F314D156">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D32317"/>
    <w:multiLevelType w:val="hybridMultilevel"/>
    <w:tmpl w:val="DD964E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28C1D54"/>
    <w:multiLevelType w:val="multilevel"/>
    <w:tmpl w:val="AB148E0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rPr>
        <w:rFonts w:hint="default"/>
      </w:rPr>
    </w:lvl>
    <w:lvl w:ilvl="3">
      <w:start w:val="1"/>
      <w:numFmt w:val="lowerLetter"/>
      <w:lvlText w:val="(%4)"/>
      <w:lvlJc w:val="left"/>
      <w:pPr>
        <w:tabs>
          <w:tab w:val="num" w:pos="2736"/>
        </w:tabs>
        <w:ind w:left="2736" w:hanging="288"/>
      </w:pPr>
      <w:rPr>
        <w:rFonts w:hint="default"/>
        <w:u w:val="none"/>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2B535AE1"/>
    <w:multiLevelType w:val="multilevel"/>
    <w:tmpl w:val="4AB6C13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0CB2705"/>
    <w:multiLevelType w:val="hybridMultilevel"/>
    <w:tmpl w:val="F002445A"/>
    <w:lvl w:ilvl="0" w:tplc="9A0C65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B03322"/>
    <w:multiLevelType w:val="multilevel"/>
    <w:tmpl w:val="973E88F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rPr>
        <w:rFonts w:hint="default"/>
      </w:rPr>
    </w:lvl>
    <w:lvl w:ilvl="3">
      <w:start w:val="1"/>
      <w:numFmt w:val="lowerLetter"/>
      <w:lvlText w:val="%4."/>
      <w:lvlJc w:val="left"/>
      <w:pPr>
        <w:tabs>
          <w:tab w:val="num" w:pos="2736"/>
        </w:tabs>
        <w:ind w:left="2736" w:hanging="288"/>
      </w:pPr>
      <w:rPr>
        <w:rFonts w:hint="default"/>
        <w:u w:val="none"/>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2F878B7"/>
    <w:multiLevelType w:val="multilevel"/>
    <w:tmpl w:val="C80E51D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386"/>
        </w:tabs>
        <w:ind w:left="1386" w:hanging="1296"/>
      </w:pPr>
      <w:rPr>
        <w:b w:val="0"/>
        <w:color w:val="000000" w:themeColor="text1"/>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484D7750"/>
    <w:multiLevelType w:val="hybridMultilevel"/>
    <w:tmpl w:val="3C029AAC"/>
    <w:lvl w:ilvl="0" w:tplc="452C291E">
      <w:start w:val="1"/>
      <w:numFmt w:val="lowerRoman"/>
      <w:lvlText w:val="(%1)"/>
      <w:lvlJc w:val="left"/>
      <w:pPr>
        <w:ind w:left="1440" w:hanging="720"/>
      </w:pPr>
      <w:rPr>
        <w:rFonts w:hint="default"/>
      </w:rPr>
    </w:lvl>
    <w:lvl w:ilvl="1" w:tplc="A95E199E" w:tentative="1">
      <w:start w:val="1"/>
      <w:numFmt w:val="lowerLetter"/>
      <w:lvlText w:val="%2."/>
      <w:lvlJc w:val="left"/>
      <w:pPr>
        <w:ind w:left="1800" w:hanging="360"/>
      </w:pPr>
    </w:lvl>
    <w:lvl w:ilvl="2" w:tplc="43DA6FA2" w:tentative="1">
      <w:start w:val="1"/>
      <w:numFmt w:val="lowerRoman"/>
      <w:lvlText w:val="%3."/>
      <w:lvlJc w:val="right"/>
      <w:pPr>
        <w:ind w:left="2520" w:hanging="180"/>
      </w:pPr>
    </w:lvl>
    <w:lvl w:ilvl="3" w:tplc="014C15A0" w:tentative="1">
      <w:start w:val="1"/>
      <w:numFmt w:val="decimal"/>
      <w:lvlText w:val="%4."/>
      <w:lvlJc w:val="left"/>
      <w:pPr>
        <w:ind w:left="3240" w:hanging="360"/>
      </w:pPr>
    </w:lvl>
    <w:lvl w:ilvl="4" w:tplc="0D247110" w:tentative="1">
      <w:start w:val="1"/>
      <w:numFmt w:val="lowerLetter"/>
      <w:lvlText w:val="%5."/>
      <w:lvlJc w:val="left"/>
      <w:pPr>
        <w:ind w:left="3960" w:hanging="360"/>
      </w:pPr>
    </w:lvl>
    <w:lvl w:ilvl="5" w:tplc="107A5EFC" w:tentative="1">
      <w:start w:val="1"/>
      <w:numFmt w:val="lowerRoman"/>
      <w:lvlText w:val="%6."/>
      <w:lvlJc w:val="right"/>
      <w:pPr>
        <w:ind w:left="4680" w:hanging="180"/>
      </w:pPr>
    </w:lvl>
    <w:lvl w:ilvl="6" w:tplc="803AB072" w:tentative="1">
      <w:start w:val="1"/>
      <w:numFmt w:val="decimal"/>
      <w:lvlText w:val="%7."/>
      <w:lvlJc w:val="left"/>
      <w:pPr>
        <w:ind w:left="5400" w:hanging="360"/>
      </w:pPr>
    </w:lvl>
    <w:lvl w:ilvl="7" w:tplc="8530162A" w:tentative="1">
      <w:start w:val="1"/>
      <w:numFmt w:val="lowerLetter"/>
      <w:lvlText w:val="%8."/>
      <w:lvlJc w:val="left"/>
      <w:pPr>
        <w:ind w:left="6120" w:hanging="360"/>
      </w:pPr>
    </w:lvl>
    <w:lvl w:ilvl="8" w:tplc="C22A40F4" w:tentative="1">
      <w:start w:val="1"/>
      <w:numFmt w:val="lowerRoman"/>
      <w:lvlText w:val="%9."/>
      <w:lvlJc w:val="right"/>
      <w:pPr>
        <w:ind w:left="6840" w:hanging="180"/>
      </w:pPr>
    </w:lvl>
  </w:abstractNum>
  <w:abstractNum w:abstractNumId="10" w15:restartNumberingAfterBreak="0">
    <w:nsid w:val="4A5142A7"/>
    <w:multiLevelType w:val="hybridMultilevel"/>
    <w:tmpl w:val="3C029AAC"/>
    <w:lvl w:ilvl="0" w:tplc="452C291E">
      <w:start w:val="1"/>
      <w:numFmt w:val="lowerRoman"/>
      <w:lvlText w:val="(%1)"/>
      <w:lvlJc w:val="left"/>
      <w:pPr>
        <w:ind w:left="1440" w:hanging="720"/>
      </w:pPr>
      <w:rPr>
        <w:rFonts w:hint="default"/>
      </w:rPr>
    </w:lvl>
    <w:lvl w:ilvl="1" w:tplc="A95E199E" w:tentative="1">
      <w:start w:val="1"/>
      <w:numFmt w:val="lowerLetter"/>
      <w:lvlText w:val="%2."/>
      <w:lvlJc w:val="left"/>
      <w:pPr>
        <w:ind w:left="1800" w:hanging="360"/>
      </w:pPr>
    </w:lvl>
    <w:lvl w:ilvl="2" w:tplc="43DA6FA2" w:tentative="1">
      <w:start w:val="1"/>
      <w:numFmt w:val="lowerRoman"/>
      <w:lvlText w:val="%3."/>
      <w:lvlJc w:val="right"/>
      <w:pPr>
        <w:ind w:left="2520" w:hanging="180"/>
      </w:pPr>
    </w:lvl>
    <w:lvl w:ilvl="3" w:tplc="014C15A0" w:tentative="1">
      <w:start w:val="1"/>
      <w:numFmt w:val="decimal"/>
      <w:lvlText w:val="%4."/>
      <w:lvlJc w:val="left"/>
      <w:pPr>
        <w:ind w:left="3240" w:hanging="360"/>
      </w:pPr>
    </w:lvl>
    <w:lvl w:ilvl="4" w:tplc="0D247110" w:tentative="1">
      <w:start w:val="1"/>
      <w:numFmt w:val="lowerLetter"/>
      <w:lvlText w:val="%5."/>
      <w:lvlJc w:val="left"/>
      <w:pPr>
        <w:ind w:left="3960" w:hanging="360"/>
      </w:pPr>
    </w:lvl>
    <w:lvl w:ilvl="5" w:tplc="107A5EFC" w:tentative="1">
      <w:start w:val="1"/>
      <w:numFmt w:val="lowerRoman"/>
      <w:lvlText w:val="%6."/>
      <w:lvlJc w:val="right"/>
      <w:pPr>
        <w:ind w:left="4680" w:hanging="180"/>
      </w:pPr>
    </w:lvl>
    <w:lvl w:ilvl="6" w:tplc="803AB072" w:tentative="1">
      <w:start w:val="1"/>
      <w:numFmt w:val="decimal"/>
      <w:lvlText w:val="%7."/>
      <w:lvlJc w:val="left"/>
      <w:pPr>
        <w:ind w:left="5400" w:hanging="360"/>
      </w:pPr>
    </w:lvl>
    <w:lvl w:ilvl="7" w:tplc="8530162A" w:tentative="1">
      <w:start w:val="1"/>
      <w:numFmt w:val="lowerLetter"/>
      <w:lvlText w:val="%8."/>
      <w:lvlJc w:val="left"/>
      <w:pPr>
        <w:ind w:left="6120" w:hanging="360"/>
      </w:pPr>
    </w:lvl>
    <w:lvl w:ilvl="8" w:tplc="C22A40F4" w:tentative="1">
      <w:start w:val="1"/>
      <w:numFmt w:val="lowerRoman"/>
      <w:lvlText w:val="%9."/>
      <w:lvlJc w:val="right"/>
      <w:pPr>
        <w:ind w:left="6840" w:hanging="180"/>
      </w:pPr>
    </w:lvl>
  </w:abstractNum>
  <w:abstractNum w:abstractNumId="11" w15:restartNumberingAfterBreak="0">
    <w:nsid w:val="4ED2231C"/>
    <w:multiLevelType w:val="multilevel"/>
    <w:tmpl w:val="57D4CC6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620933FF"/>
    <w:multiLevelType w:val="multilevel"/>
    <w:tmpl w:val="3ECC820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3" w15:restartNumberingAfterBreak="0">
    <w:nsid w:val="693E43E7"/>
    <w:multiLevelType w:val="multilevel"/>
    <w:tmpl w:val="51BE452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739031CB"/>
    <w:multiLevelType w:val="hybridMultilevel"/>
    <w:tmpl w:val="09D68FD4"/>
    <w:lvl w:ilvl="0" w:tplc="B2F4B32E">
      <w:start w:val="1"/>
      <w:numFmt w:val="upperRoman"/>
      <w:lvlText w:val="%1."/>
      <w:lvlJc w:val="left"/>
      <w:pPr>
        <w:ind w:left="1080" w:hanging="720"/>
      </w:pPr>
      <w:rPr>
        <w:rFonts w:hint="default"/>
      </w:rPr>
    </w:lvl>
    <w:lvl w:ilvl="1" w:tplc="82A685BE" w:tentative="1">
      <w:start w:val="1"/>
      <w:numFmt w:val="lowerLetter"/>
      <w:lvlText w:val="%2."/>
      <w:lvlJc w:val="left"/>
      <w:pPr>
        <w:ind w:left="1440" w:hanging="360"/>
      </w:pPr>
    </w:lvl>
    <w:lvl w:ilvl="2" w:tplc="49162BA6" w:tentative="1">
      <w:start w:val="1"/>
      <w:numFmt w:val="lowerRoman"/>
      <w:lvlText w:val="%3."/>
      <w:lvlJc w:val="right"/>
      <w:pPr>
        <w:ind w:left="2160" w:hanging="180"/>
      </w:pPr>
    </w:lvl>
    <w:lvl w:ilvl="3" w:tplc="ECA870AA" w:tentative="1">
      <w:start w:val="1"/>
      <w:numFmt w:val="decimal"/>
      <w:lvlText w:val="%4."/>
      <w:lvlJc w:val="left"/>
      <w:pPr>
        <w:ind w:left="2880" w:hanging="360"/>
      </w:pPr>
    </w:lvl>
    <w:lvl w:ilvl="4" w:tplc="C2CEF0BC" w:tentative="1">
      <w:start w:val="1"/>
      <w:numFmt w:val="lowerLetter"/>
      <w:lvlText w:val="%5."/>
      <w:lvlJc w:val="left"/>
      <w:pPr>
        <w:ind w:left="3600" w:hanging="360"/>
      </w:pPr>
    </w:lvl>
    <w:lvl w:ilvl="5" w:tplc="ED14CFE6" w:tentative="1">
      <w:start w:val="1"/>
      <w:numFmt w:val="lowerRoman"/>
      <w:lvlText w:val="%6."/>
      <w:lvlJc w:val="right"/>
      <w:pPr>
        <w:ind w:left="4320" w:hanging="180"/>
      </w:pPr>
    </w:lvl>
    <w:lvl w:ilvl="6" w:tplc="460A7698" w:tentative="1">
      <w:start w:val="1"/>
      <w:numFmt w:val="decimal"/>
      <w:lvlText w:val="%7."/>
      <w:lvlJc w:val="left"/>
      <w:pPr>
        <w:ind w:left="5040" w:hanging="360"/>
      </w:pPr>
    </w:lvl>
    <w:lvl w:ilvl="7" w:tplc="15720188" w:tentative="1">
      <w:start w:val="1"/>
      <w:numFmt w:val="lowerLetter"/>
      <w:lvlText w:val="%8."/>
      <w:lvlJc w:val="left"/>
      <w:pPr>
        <w:ind w:left="5760" w:hanging="360"/>
      </w:pPr>
    </w:lvl>
    <w:lvl w:ilvl="8" w:tplc="2CE26028" w:tentative="1">
      <w:start w:val="1"/>
      <w:numFmt w:val="lowerRoman"/>
      <w:lvlText w:val="%9."/>
      <w:lvlJc w:val="right"/>
      <w:pPr>
        <w:ind w:left="6480" w:hanging="180"/>
      </w:pPr>
    </w:lvl>
  </w:abstractNum>
  <w:abstractNum w:abstractNumId="15" w15:restartNumberingAfterBreak="0">
    <w:nsid w:val="7A7824F3"/>
    <w:multiLevelType w:val="hybridMultilevel"/>
    <w:tmpl w:val="17E61750"/>
    <w:lvl w:ilvl="0" w:tplc="4AAE6FC8">
      <w:start w:val="1"/>
      <w:numFmt w:val="lowerRoman"/>
      <w:lvlText w:val="(%1)"/>
      <w:lvlJc w:val="left"/>
      <w:pPr>
        <w:ind w:left="1080" w:hanging="360"/>
      </w:pPr>
      <w:rPr>
        <w:rFonts w:hint="default"/>
      </w:rPr>
    </w:lvl>
    <w:lvl w:ilvl="1" w:tplc="B3682908" w:tentative="1">
      <w:start w:val="1"/>
      <w:numFmt w:val="lowerLetter"/>
      <w:lvlText w:val="%2."/>
      <w:lvlJc w:val="left"/>
      <w:pPr>
        <w:ind w:left="1800" w:hanging="360"/>
      </w:pPr>
    </w:lvl>
    <w:lvl w:ilvl="2" w:tplc="8F308846" w:tentative="1">
      <w:start w:val="1"/>
      <w:numFmt w:val="lowerRoman"/>
      <w:lvlText w:val="%3."/>
      <w:lvlJc w:val="right"/>
      <w:pPr>
        <w:ind w:left="2520" w:hanging="180"/>
      </w:pPr>
    </w:lvl>
    <w:lvl w:ilvl="3" w:tplc="79E4B6DC" w:tentative="1">
      <w:start w:val="1"/>
      <w:numFmt w:val="decimal"/>
      <w:lvlText w:val="%4."/>
      <w:lvlJc w:val="left"/>
      <w:pPr>
        <w:ind w:left="3240" w:hanging="360"/>
      </w:pPr>
    </w:lvl>
    <w:lvl w:ilvl="4" w:tplc="AAD43480" w:tentative="1">
      <w:start w:val="1"/>
      <w:numFmt w:val="lowerLetter"/>
      <w:lvlText w:val="%5."/>
      <w:lvlJc w:val="left"/>
      <w:pPr>
        <w:ind w:left="3960" w:hanging="360"/>
      </w:pPr>
    </w:lvl>
    <w:lvl w:ilvl="5" w:tplc="9CEA4242" w:tentative="1">
      <w:start w:val="1"/>
      <w:numFmt w:val="lowerRoman"/>
      <w:lvlText w:val="%6."/>
      <w:lvlJc w:val="right"/>
      <w:pPr>
        <w:ind w:left="4680" w:hanging="180"/>
      </w:pPr>
    </w:lvl>
    <w:lvl w:ilvl="6" w:tplc="4ED4AFAC" w:tentative="1">
      <w:start w:val="1"/>
      <w:numFmt w:val="decimal"/>
      <w:lvlText w:val="%7."/>
      <w:lvlJc w:val="left"/>
      <w:pPr>
        <w:ind w:left="5400" w:hanging="360"/>
      </w:pPr>
    </w:lvl>
    <w:lvl w:ilvl="7" w:tplc="0C521BFE" w:tentative="1">
      <w:start w:val="1"/>
      <w:numFmt w:val="lowerLetter"/>
      <w:lvlText w:val="%8."/>
      <w:lvlJc w:val="left"/>
      <w:pPr>
        <w:ind w:left="6120" w:hanging="360"/>
      </w:pPr>
    </w:lvl>
    <w:lvl w:ilvl="8" w:tplc="2CBEE828" w:tentative="1">
      <w:start w:val="1"/>
      <w:numFmt w:val="lowerRoman"/>
      <w:lvlText w:val="%9."/>
      <w:lvlJc w:val="right"/>
      <w:pPr>
        <w:ind w:left="6840" w:hanging="180"/>
      </w:pPr>
    </w:lvl>
  </w:abstractNum>
  <w:num w:numId="1">
    <w:abstractNumId w:val="8"/>
  </w:num>
  <w:num w:numId="2">
    <w:abstractNumId w:val="12"/>
  </w:num>
  <w:num w:numId="3">
    <w:abstractNumId w:val="2"/>
  </w:num>
  <w:num w:numId="4">
    <w:abstractNumId w:val="15"/>
  </w:num>
  <w:num w:numId="5">
    <w:abstractNumId w:val="10"/>
  </w:num>
  <w:num w:numId="6">
    <w:abstractNumId w:val="14"/>
  </w:num>
  <w:num w:numId="7">
    <w:abstractNumId w:val="11"/>
  </w:num>
  <w:num w:numId="8">
    <w:abstractNumId w:val="9"/>
  </w:num>
  <w:num w:numId="9">
    <w:abstractNumId w:val="13"/>
  </w:num>
  <w:num w:numId="10">
    <w:abstractNumId w:val="0"/>
  </w:num>
  <w:num w:numId="11">
    <w:abstractNumId w:val="4"/>
  </w:num>
  <w:num w:numId="12">
    <w:abstractNumId w:val="7"/>
  </w:num>
  <w:num w:numId="13">
    <w:abstractNumId w:val="8"/>
  </w:num>
  <w:num w:numId="14">
    <w:abstractNumId w:val="8"/>
  </w:num>
  <w:num w:numId="15">
    <w:abstractNumId w:val="5"/>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3"/>
  </w:num>
  <w:num w:numId="29">
    <w:abstractNumId w:val="8"/>
  </w:num>
  <w:num w:numId="30">
    <w:abstractNumId w:val="8"/>
  </w:num>
  <w:num w:numId="31">
    <w:abstractNumId w:val="8"/>
  </w:num>
  <w:num w:numId="32">
    <w:abstractNumId w:val="1"/>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6"/>
  </w:num>
  <w:num w:numId="4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076"/>
    <w:rsid w:val="000025B9"/>
    <w:rsid w:val="00003E7D"/>
    <w:rsid w:val="00007509"/>
    <w:rsid w:val="00011264"/>
    <w:rsid w:val="00013E85"/>
    <w:rsid w:val="00015CB1"/>
    <w:rsid w:val="00026AA9"/>
    <w:rsid w:val="00027662"/>
    <w:rsid w:val="000324F0"/>
    <w:rsid w:val="0003466E"/>
    <w:rsid w:val="00040A1D"/>
    <w:rsid w:val="00042B9E"/>
    <w:rsid w:val="0005224C"/>
    <w:rsid w:val="00054D55"/>
    <w:rsid w:val="00054E28"/>
    <w:rsid w:val="00057EBE"/>
    <w:rsid w:val="00060B45"/>
    <w:rsid w:val="0006142D"/>
    <w:rsid w:val="00061C47"/>
    <w:rsid w:val="00062F5D"/>
    <w:rsid w:val="000631D8"/>
    <w:rsid w:val="0006460B"/>
    <w:rsid w:val="00075A9E"/>
    <w:rsid w:val="00080B71"/>
    <w:rsid w:val="00081173"/>
    <w:rsid w:val="00082AFE"/>
    <w:rsid w:val="00084F8D"/>
    <w:rsid w:val="000912F5"/>
    <w:rsid w:val="00095F4F"/>
    <w:rsid w:val="000A0A8C"/>
    <w:rsid w:val="000A3025"/>
    <w:rsid w:val="000B062B"/>
    <w:rsid w:val="000B16D6"/>
    <w:rsid w:val="000B2B08"/>
    <w:rsid w:val="000B2DF5"/>
    <w:rsid w:val="000B3E91"/>
    <w:rsid w:val="000B6230"/>
    <w:rsid w:val="000B6B16"/>
    <w:rsid w:val="000B6E12"/>
    <w:rsid w:val="000B6E66"/>
    <w:rsid w:val="000B7DF6"/>
    <w:rsid w:val="000C0A1F"/>
    <w:rsid w:val="000E03ED"/>
    <w:rsid w:val="000E0FE7"/>
    <w:rsid w:val="000E2111"/>
    <w:rsid w:val="000E30FB"/>
    <w:rsid w:val="000E354A"/>
    <w:rsid w:val="000E3FA1"/>
    <w:rsid w:val="000E40F6"/>
    <w:rsid w:val="000E47DA"/>
    <w:rsid w:val="000E7874"/>
    <w:rsid w:val="000F201E"/>
    <w:rsid w:val="000F2055"/>
    <w:rsid w:val="000F6E96"/>
    <w:rsid w:val="0010016D"/>
    <w:rsid w:val="00103AAE"/>
    <w:rsid w:val="00105082"/>
    <w:rsid w:val="00111ACF"/>
    <w:rsid w:val="00120842"/>
    <w:rsid w:val="00121382"/>
    <w:rsid w:val="00124587"/>
    <w:rsid w:val="00125C51"/>
    <w:rsid w:val="00132F12"/>
    <w:rsid w:val="00133691"/>
    <w:rsid w:val="001355B0"/>
    <w:rsid w:val="00137A07"/>
    <w:rsid w:val="00143107"/>
    <w:rsid w:val="0014478B"/>
    <w:rsid w:val="00144B19"/>
    <w:rsid w:val="0014713D"/>
    <w:rsid w:val="00150613"/>
    <w:rsid w:val="00154E02"/>
    <w:rsid w:val="00156F77"/>
    <w:rsid w:val="00157EDA"/>
    <w:rsid w:val="001631F0"/>
    <w:rsid w:val="00163D69"/>
    <w:rsid w:val="00165506"/>
    <w:rsid w:val="00165F01"/>
    <w:rsid w:val="0016645D"/>
    <w:rsid w:val="00171F45"/>
    <w:rsid w:val="0017723B"/>
    <w:rsid w:val="001852FB"/>
    <w:rsid w:val="00191D32"/>
    <w:rsid w:val="00192C44"/>
    <w:rsid w:val="001A15D4"/>
    <w:rsid w:val="001A20A1"/>
    <w:rsid w:val="001A3B8F"/>
    <w:rsid w:val="001A519B"/>
    <w:rsid w:val="001A6D12"/>
    <w:rsid w:val="001A7378"/>
    <w:rsid w:val="001A785E"/>
    <w:rsid w:val="001B25C1"/>
    <w:rsid w:val="001B48B9"/>
    <w:rsid w:val="001C10C0"/>
    <w:rsid w:val="001C2AF0"/>
    <w:rsid w:val="001C3314"/>
    <w:rsid w:val="001C565D"/>
    <w:rsid w:val="001C7636"/>
    <w:rsid w:val="001D05BB"/>
    <w:rsid w:val="001D06CF"/>
    <w:rsid w:val="001D5B83"/>
    <w:rsid w:val="001D7F67"/>
    <w:rsid w:val="001E00BB"/>
    <w:rsid w:val="001E09D9"/>
    <w:rsid w:val="001E0C82"/>
    <w:rsid w:val="001E1C12"/>
    <w:rsid w:val="001E2AE6"/>
    <w:rsid w:val="001E4EF5"/>
    <w:rsid w:val="001F0643"/>
    <w:rsid w:val="001F06A4"/>
    <w:rsid w:val="001F3E45"/>
    <w:rsid w:val="0020069F"/>
    <w:rsid w:val="002051C5"/>
    <w:rsid w:val="002071A1"/>
    <w:rsid w:val="00211078"/>
    <w:rsid w:val="00213410"/>
    <w:rsid w:val="00221026"/>
    <w:rsid w:val="002248FE"/>
    <w:rsid w:val="0022498F"/>
    <w:rsid w:val="0022507B"/>
    <w:rsid w:val="002338D2"/>
    <w:rsid w:val="00234232"/>
    <w:rsid w:val="002345AA"/>
    <w:rsid w:val="002352FD"/>
    <w:rsid w:val="002427E3"/>
    <w:rsid w:val="00243843"/>
    <w:rsid w:val="00244484"/>
    <w:rsid w:val="002453DB"/>
    <w:rsid w:val="0025238F"/>
    <w:rsid w:val="00252AA1"/>
    <w:rsid w:val="00256538"/>
    <w:rsid w:val="00262CC2"/>
    <w:rsid w:val="0026456F"/>
    <w:rsid w:val="002747B7"/>
    <w:rsid w:val="00275C28"/>
    <w:rsid w:val="00277FD8"/>
    <w:rsid w:val="00283F88"/>
    <w:rsid w:val="002875F7"/>
    <w:rsid w:val="00291E62"/>
    <w:rsid w:val="0029240B"/>
    <w:rsid w:val="00297CDD"/>
    <w:rsid w:val="002A06F2"/>
    <w:rsid w:val="002A1842"/>
    <w:rsid w:val="002A56F2"/>
    <w:rsid w:val="002A5A6C"/>
    <w:rsid w:val="002B2551"/>
    <w:rsid w:val="002B687C"/>
    <w:rsid w:val="002B7269"/>
    <w:rsid w:val="002B7DA8"/>
    <w:rsid w:val="002C5263"/>
    <w:rsid w:val="002D214E"/>
    <w:rsid w:val="002D2B37"/>
    <w:rsid w:val="002D2C8E"/>
    <w:rsid w:val="002D3A54"/>
    <w:rsid w:val="002D4221"/>
    <w:rsid w:val="002D509F"/>
    <w:rsid w:val="002D68E3"/>
    <w:rsid w:val="002D7F15"/>
    <w:rsid w:val="002E5539"/>
    <w:rsid w:val="002E66AC"/>
    <w:rsid w:val="002E6C66"/>
    <w:rsid w:val="002E7301"/>
    <w:rsid w:val="002F03C3"/>
    <w:rsid w:val="002F13D2"/>
    <w:rsid w:val="002F31CE"/>
    <w:rsid w:val="002F5CD7"/>
    <w:rsid w:val="003011A4"/>
    <w:rsid w:val="003042AC"/>
    <w:rsid w:val="00305DEB"/>
    <w:rsid w:val="00310302"/>
    <w:rsid w:val="00315656"/>
    <w:rsid w:val="00316074"/>
    <w:rsid w:val="00324D16"/>
    <w:rsid w:val="00326351"/>
    <w:rsid w:val="003279BB"/>
    <w:rsid w:val="0033207F"/>
    <w:rsid w:val="00337079"/>
    <w:rsid w:val="00340CF7"/>
    <w:rsid w:val="0034159F"/>
    <w:rsid w:val="00364203"/>
    <w:rsid w:val="0036649E"/>
    <w:rsid w:val="003723C3"/>
    <w:rsid w:val="00373054"/>
    <w:rsid w:val="003752A5"/>
    <w:rsid w:val="0037699D"/>
    <w:rsid w:val="00387BA8"/>
    <w:rsid w:val="00390C8E"/>
    <w:rsid w:val="003923D7"/>
    <w:rsid w:val="00392B2F"/>
    <w:rsid w:val="003A271B"/>
    <w:rsid w:val="003A3931"/>
    <w:rsid w:val="003A39FF"/>
    <w:rsid w:val="003A3A32"/>
    <w:rsid w:val="003A66E9"/>
    <w:rsid w:val="003A6898"/>
    <w:rsid w:val="003A6901"/>
    <w:rsid w:val="003B21BD"/>
    <w:rsid w:val="003B38A2"/>
    <w:rsid w:val="003B546C"/>
    <w:rsid w:val="003C2F71"/>
    <w:rsid w:val="003C394E"/>
    <w:rsid w:val="003C5D8F"/>
    <w:rsid w:val="003C6ED9"/>
    <w:rsid w:val="003C7B30"/>
    <w:rsid w:val="003D04EA"/>
    <w:rsid w:val="003D0CF8"/>
    <w:rsid w:val="003D5B88"/>
    <w:rsid w:val="003D7B88"/>
    <w:rsid w:val="003E3975"/>
    <w:rsid w:val="003E4DFC"/>
    <w:rsid w:val="003E5214"/>
    <w:rsid w:val="003E5437"/>
    <w:rsid w:val="003F1CFB"/>
    <w:rsid w:val="003F20B8"/>
    <w:rsid w:val="003F4773"/>
    <w:rsid w:val="003F4A68"/>
    <w:rsid w:val="003F7F82"/>
    <w:rsid w:val="00400EAD"/>
    <w:rsid w:val="00402969"/>
    <w:rsid w:val="0040445B"/>
    <w:rsid w:val="00404C9F"/>
    <w:rsid w:val="00405DF1"/>
    <w:rsid w:val="0040694F"/>
    <w:rsid w:val="00406BF2"/>
    <w:rsid w:val="00407809"/>
    <w:rsid w:val="00410F92"/>
    <w:rsid w:val="0041529C"/>
    <w:rsid w:val="00416D9E"/>
    <w:rsid w:val="004171C8"/>
    <w:rsid w:val="004172D6"/>
    <w:rsid w:val="00420B78"/>
    <w:rsid w:val="00423005"/>
    <w:rsid w:val="00431F02"/>
    <w:rsid w:val="0044072B"/>
    <w:rsid w:val="00442D2D"/>
    <w:rsid w:val="00443378"/>
    <w:rsid w:val="00444808"/>
    <w:rsid w:val="00447A0F"/>
    <w:rsid w:val="0045183B"/>
    <w:rsid w:val="00453116"/>
    <w:rsid w:val="00453772"/>
    <w:rsid w:val="004543DD"/>
    <w:rsid w:val="00455162"/>
    <w:rsid w:val="004769E2"/>
    <w:rsid w:val="00477B4D"/>
    <w:rsid w:val="004822A9"/>
    <w:rsid w:val="00483CA4"/>
    <w:rsid w:val="00493A53"/>
    <w:rsid w:val="0049585B"/>
    <w:rsid w:val="00495FF1"/>
    <w:rsid w:val="00496482"/>
    <w:rsid w:val="00497BEF"/>
    <w:rsid w:val="004A2747"/>
    <w:rsid w:val="004A6282"/>
    <w:rsid w:val="004A73FD"/>
    <w:rsid w:val="004A7C67"/>
    <w:rsid w:val="004B226F"/>
    <w:rsid w:val="004B2DFE"/>
    <w:rsid w:val="004B3192"/>
    <w:rsid w:val="004B42D0"/>
    <w:rsid w:val="004B5969"/>
    <w:rsid w:val="004B6F24"/>
    <w:rsid w:val="004C0076"/>
    <w:rsid w:val="004C0BDB"/>
    <w:rsid w:val="004C1CA0"/>
    <w:rsid w:val="004C262E"/>
    <w:rsid w:val="004C2745"/>
    <w:rsid w:val="004C38D6"/>
    <w:rsid w:val="004C43A5"/>
    <w:rsid w:val="004C576B"/>
    <w:rsid w:val="004D1672"/>
    <w:rsid w:val="004D31B2"/>
    <w:rsid w:val="004D39BC"/>
    <w:rsid w:val="004E2CBA"/>
    <w:rsid w:val="004E4CA1"/>
    <w:rsid w:val="004F30C6"/>
    <w:rsid w:val="004F4231"/>
    <w:rsid w:val="005030D8"/>
    <w:rsid w:val="00506F9D"/>
    <w:rsid w:val="00511B15"/>
    <w:rsid w:val="00512A61"/>
    <w:rsid w:val="005133E5"/>
    <w:rsid w:val="00515C64"/>
    <w:rsid w:val="00521065"/>
    <w:rsid w:val="0052312E"/>
    <w:rsid w:val="0052565A"/>
    <w:rsid w:val="0052648D"/>
    <w:rsid w:val="00534761"/>
    <w:rsid w:val="00535BAD"/>
    <w:rsid w:val="00536BC0"/>
    <w:rsid w:val="005374B4"/>
    <w:rsid w:val="005511A0"/>
    <w:rsid w:val="005511E7"/>
    <w:rsid w:val="00552D05"/>
    <w:rsid w:val="00553D24"/>
    <w:rsid w:val="005548DB"/>
    <w:rsid w:val="00562321"/>
    <w:rsid w:val="00565829"/>
    <w:rsid w:val="0056697E"/>
    <w:rsid w:val="00572770"/>
    <w:rsid w:val="0057303F"/>
    <w:rsid w:val="00581359"/>
    <w:rsid w:val="005813A7"/>
    <w:rsid w:val="0058164B"/>
    <w:rsid w:val="0058355F"/>
    <w:rsid w:val="00586D30"/>
    <w:rsid w:val="005916F4"/>
    <w:rsid w:val="00592ABE"/>
    <w:rsid w:val="005A3749"/>
    <w:rsid w:val="005A7878"/>
    <w:rsid w:val="005B163F"/>
    <w:rsid w:val="005B26B9"/>
    <w:rsid w:val="005B7F59"/>
    <w:rsid w:val="005C3F23"/>
    <w:rsid w:val="005C506D"/>
    <w:rsid w:val="005C6CAD"/>
    <w:rsid w:val="005C7AB7"/>
    <w:rsid w:val="005D2422"/>
    <w:rsid w:val="005D28D1"/>
    <w:rsid w:val="005D4A10"/>
    <w:rsid w:val="005D6CBC"/>
    <w:rsid w:val="005E03A9"/>
    <w:rsid w:val="005E1F24"/>
    <w:rsid w:val="005E39A2"/>
    <w:rsid w:val="005E49CE"/>
    <w:rsid w:val="005E58BF"/>
    <w:rsid w:val="005E7660"/>
    <w:rsid w:val="005F09CB"/>
    <w:rsid w:val="005F0D86"/>
    <w:rsid w:val="005F28F1"/>
    <w:rsid w:val="005F50C9"/>
    <w:rsid w:val="005F55DA"/>
    <w:rsid w:val="005F5E3C"/>
    <w:rsid w:val="005F7BFB"/>
    <w:rsid w:val="0060031D"/>
    <w:rsid w:val="00602F69"/>
    <w:rsid w:val="00603599"/>
    <w:rsid w:val="00604634"/>
    <w:rsid w:val="00612576"/>
    <w:rsid w:val="00614967"/>
    <w:rsid w:val="00614A5F"/>
    <w:rsid w:val="00617C83"/>
    <w:rsid w:val="0062231D"/>
    <w:rsid w:val="00623E8F"/>
    <w:rsid w:val="006302FF"/>
    <w:rsid w:val="00632B89"/>
    <w:rsid w:val="006351FB"/>
    <w:rsid w:val="00635B35"/>
    <w:rsid w:val="00637045"/>
    <w:rsid w:val="00637170"/>
    <w:rsid w:val="0064307C"/>
    <w:rsid w:val="006430BD"/>
    <w:rsid w:val="006453C6"/>
    <w:rsid w:val="0065083A"/>
    <w:rsid w:val="006508AE"/>
    <w:rsid w:val="00651CB8"/>
    <w:rsid w:val="00653325"/>
    <w:rsid w:val="0065347A"/>
    <w:rsid w:val="006562E7"/>
    <w:rsid w:val="0066035D"/>
    <w:rsid w:val="006609C4"/>
    <w:rsid w:val="00663283"/>
    <w:rsid w:val="006634BA"/>
    <w:rsid w:val="00667412"/>
    <w:rsid w:val="00670D05"/>
    <w:rsid w:val="00673971"/>
    <w:rsid w:val="00674895"/>
    <w:rsid w:val="00674A9D"/>
    <w:rsid w:val="00676E33"/>
    <w:rsid w:val="00677825"/>
    <w:rsid w:val="00682FAF"/>
    <w:rsid w:val="0068345A"/>
    <w:rsid w:val="00685D01"/>
    <w:rsid w:val="00695200"/>
    <w:rsid w:val="0069544C"/>
    <w:rsid w:val="006958AE"/>
    <w:rsid w:val="006A2276"/>
    <w:rsid w:val="006A653E"/>
    <w:rsid w:val="006A6DB5"/>
    <w:rsid w:val="006A7AB9"/>
    <w:rsid w:val="006C2745"/>
    <w:rsid w:val="006C3651"/>
    <w:rsid w:val="006D4501"/>
    <w:rsid w:val="006D6D4C"/>
    <w:rsid w:val="006E6BCF"/>
    <w:rsid w:val="006F0877"/>
    <w:rsid w:val="006F71B5"/>
    <w:rsid w:val="00700B33"/>
    <w:rsid w:val="007011BC"/>
    <w:rsid w:val="0071051D"/>
    <w:rsid w:val="00710BE1"/>
    <w:rsid w:val="00710C7A"/>
    <w:rsid w:val="00710DD1"/>
    <w:rsid w:val="00713DBB"/>
    <w:rsid w:val="0072153E"/>
    <w:rsid w:val="0072154A"/>
    <w:rsid w:val="007237C4"/>
    <w:rsid w:val="007249FB"/>
    <w:rsid w:val="00725239"/>
    <w:rsid w:val="00734FBF"/>
    <w:rsid w:val="00740082"/>
    <w:rsid w:val="00740442"/>
    <w:rsid w:val="007413BB"/>
    <w:rsid w:val="00742F66"/>
    <w:rsid w:val="0074310C"/>
    <w:rsid w:val="00745558"/>
    <w:rsid w:val="007510DB"/>
    <w:rsid w:val="00753D5F"/>
    <w:rsid w:val="00755FA9"/>
    <w:rsid w:val="007615F5"/>
    <w:rsid w:val="0076425A"/>
    <w:rsid w:val="00765103"/>
    <w:rsid w:val="00766977"/>
    <w:rsid w:val="00767E95"/>
    <w:rsid w:val="00773A17"/>
    <w:rsid w:val="0077489D"/>
    <w:rsid w:val="0077604E"/>
    <w:rsid w:val="0078026B"/>
    <w:rsid w:val="00783E6D"/>
    <w:rsid w:val="00786229"/>
    <w:rsid w:val="007869ED"/>
    <w:rsid w:val="007906E3"/>
    <w:rsid w:val="00790B18"/>
    <w:rsid w:val="00793897"/>
    <w:rsid w:val="00794481"/>
    <w:rsid w:val="00794496"/>
    <w:rsid w:val="007969C8"/>
    <w:rsid w:val="00797747"/>
    <w:rsid w:val="007A5A76"/>
    <w:rsid w:val="007B41E1"/>
    <w:rsid w:val="007B48F2"/>
    <w:rsid w:val="007B50EB"/>
    <w:rsid w:val="007B5686"/>
    <w:rsid w:val="007B6208"/>
    <w:rsid w:val="007B6A7F"/>
    <w:rsid w:val="007C0ECB"/>
    <w:rsid w:val="007C1D99"/>
    <w:rsid w:val="007C49DB"/>
    <w:rsid w:val="007D15AA"/>
    <w:rsid w:val="007D26B7"/>
    <w:rsid w:val="007D2F82"/>
    <w:rsid w:val="007D3E49"/>
    <w:rsid w:val="007D6396"/>
    <w:rsid w:val="007D6517"/>
    <w:rsid w:val="007E1452"/>
    <w:rsid w:val="007E2AFD"/>
    <w:rsid w:val="007E5B4E"/>
    <w:rsid w:val="007E6212"/>
    <w:rsid w:val="007E7275"/>
    <w:rsid w:val="00803215"/>
    <w:rsid w:val="00803894"/>
    <w:rsid w:val="008046D7"/>
    <w:rsid w:val="008053E9"/>
    <w:rsid w:val="00807168"/>
    <w:rsid w:val="00807925"/>
    <w:rsid w:val="00811FDC"/>
    <w:rsid w:val="00812C1D"/>
    <w:rsid w:val="0081659D"/>
    <w:rsid w:val="00820E14"/>
    <w:rsid w:val="0082411F"/>
    <w:rsid w:val="00824AB3"/>
    <w:rsid w:val="00824BF7"/>
    <w:rsid w:val="00826967"/>
    <w:rsid w:val="008272C9"/>
    <w:rsid w:val="00827A7F"/>
    <w:rsid w:val="00831E14"/>
    <w:rsid w:val="008325D8"/>
    <w:rsid w:val="00832651"/>
    <w:rsid w:val="00833C66"/>
    <w:rsid w:val="00840349"/>
    <w:rsid w:val="0084184B"/>
    <w:rsid w:val="00841AD6"/>
    <w:rsid w:val="00842A05"/>
    <w:rsid w:val="00844E45"/>
    <w:rsid w:val="00853EA3"/>
    <w:rsid w:val="00857BEF"/>
    <w:rsid w:val="00866735"/>
    <w:rsid w:val="0087062F"/>
    <w:rsid w:val="0087470F"/>
    <w:rsid w:val="008759A4"/>
    <w:rsid w:val="00882B62"/>
    <w:rsid w:val="00883326"/>
    <w:rsid w:val="00883BF2"/>
    <w:rsid w:val="008841AD"/>
    <w:rsid w:val="00885418"/>
    <w:rsid w:val="00885B62"/>
    <w:rsid w:val="00887A7C"/>
    <w:rsid w:val="008906EB"/>
    <w:rsid w:val="008921F5"/>
    <w:rsid w:val="00894281"/>
    <w:rsid w:val="00895C0C"/>
    <w:rsid w:val="008A223E"/>
    <w:rsid w:val="008A47CB"/>
    <w:rsid w:val="008B0540"/>
    <w:rsid w:val="008B5938"/>
    <w:rsid w:val="008B70E6"/>
    <w:rsid w:val="008C4026"/>
    <w:rsid w:val="008C4DD2"/>
    <w:rsid w:val="008C4F91"/>
    <w:rsid w:val="008C7B73"/>
    <w:rsid w:val="008D25CC"/>
    <w:rsid w:val="008D37EA"/>
    <w:rsid w:val="008D640F"/>
    <w:rsid w:val="008E149A"/>
    <w:rsid w:val="008E1708"/>
    <w:rsid w:val="008E1D85"/>
    <w:rsid w:val="008E397B"/>
    <w:rsid w:val="008E3AFE"/>
    <w:rsid w:val="008E5117"/>
    <w:rsid w:val="008E5326"/>
    <w:rsid w:val="008F3364"/>
    <w:rsid w:val="008F55B1"/>
    <w:rsid w:val="008F6818"/>
    <w:rsid w:val="00903754"/>
    <w:rsid w:val="00903B24"/>
    <w:rsid w:val="00903EF0"/>
    <w:rsid w:val="009044F5"/>
    <w:rsid w:val="0090761B"/>
    <w:rsid w:val="009103E5"/>
    <w:rsid w:val="00910A97"/>
    <w:rsid w:val="009173A2"/>
    <w:rsid w:val="0092404A"/>
    <w:rsid w:val="00925500"/>
    <w:rsid w:val="00925A18"/>
    <w:rsid w:val="00931936"/>
    <w:rsid w:val="00932BD4"/>
    <w:rsid w:val="00933D4C"/>
    <w:rsid w:val="00936BA2"/>
    <w:rsid w:val="00941FB8"/>
    <w:rsid w:val="009422E7"/>
    <w:rsid w:val="00946C77"/>
    <w:rsid w:val="00952C61"/>
    <w:rsid w:val="00960C02"/>
    <w:rsid w:val="00972F2F"/>
    <w:rsid w:val="0097510F"/>
    <w:rsid w:val="0097530C"/>
    <w:rsid w:val="00976C13"/>
    <w:rsid w:val="00980B47"/>
    <w:rsid w:val="0098137B"/>
    <w:rsid w:val="00983D09"/>
    <w:rsid w:val="009869E3"/>
    <w:rsid w:val="00986E6F"/>
    <w:rsid w:val="00992158"/>
    <w:rsid w:val="009A085B"/>
    <w:rsid w:val="009A1956"/>
    <w:rsid w:val="009A19DD"/>
    <w:rsid w:val="009A239B"/>
    <w:rsid w:val="009A448C"/>
    <w:rsid w:val="009A59CD"/>
    <w:rsid w:val="009A66E1"/>
    <w:rsid w:val="009A7D38"/>
    <w:rsid w:val="009B0653"/>
    <w:rsid w:val="009B43B5"/>
    <w:rsid w:val="009B5866"/>
    <w:rsid w:val="009C42A8"/>
    <w:rsid w:val="009C6930"/>
    <w:rsid w:val="009C6B02"/>
    <w:rsid w:val="009C731F"/>
    <w:rsid w:val="009D0E47"/>
    <w:rsid w:val="009D20B5"/>
    <w:rsid w:val="009D4AFD"/>
    <w:rsid w:val="009D7FC3"/>
    <w:rsid w:val="009E109C"/>
    <w:rsid w:val="009E3E10"/>
    <w:rsid w:val="009E4743"/>
    <w:rsid w:val="009E483C"/>
    <w:rsid w:val="009E6BC8"/>
    <w:rsid w:val="00A05F56"/>
    <w:rsid w:val="00A07D1C"/>
    <w:rsid w:val="00A11B45"/>
    <w:rsid w:val="00A133D6"/>
    <w:rsid w:val="00A173DF"/>
    <w:rsid w:val="00A20578"/>
    <w:rsid w:val="00A225ED"/>
    <w:rsid w:val="00A26880"/>
    <w:rsid w:val="00A26CD3"/>
    <w:rsid w:val="00A333CD"/>
    <w:rsid w:val="00A35EA2"/>
    <w:rsid w:val="00A41F78"/>
    <w:rsid w:val="00A421F8"/>
    <w:rsid w:val="00A42D77"/>
    <w:rsid w:val="00A43489"/>
    <w:rsid w:val="00A43BDF"/>
    <w:rsid w:val="00A44F64"/>
    <w:rsid w:val="00A4682B"/>
    <w:rsid w:val="00A47F1A"/>
    <w:rsid w:val="00A5609A"/>
    <w:rsid w:val="00A60099"/>
    <w:rsid w:val="00A65A9B"/>
    <w:rsid w:val="00A704AB"/>
    <w:rsid w:val="00A75758"/>
    <w:rsid w:val="00A76EC1"/>
    <w:rsid w:val="00A84813"/>
    <w:rsid w:val="00A9477C"/>
    <w:rsid w:val="00A96147"/>
    <w:rsid w:val="00A961B2"/>
    <w:rsid w:val="00AA16F8"/>
    <w:rsid w:val="00AA2B18"/>
    <w:rsid w:val="00AA32B6"/>
    <w:rsid w:val="00AA6AC6"/>
    <w:rsid w:val="00AA7993"/>
    <w:rsid w:val="00AB18D8"/>
    <w:rsid w:val="00AB19B5"/>
    <w:rsid w:val="00AB31B2"/>
    <w:rsid w:val="00AB32CE"/>
    <w:rsid w:val="00AB3625"/>
    <w:rsid w:val="00AB7EB7"/>
    <w:rsid w:val="00AC01F2"/>
    <w:rsid w:val="00AC2A6A"/>
    <w:rsid w:val="00AC54C2"/>
    <w:rsid w:val="00AD0CDB"/>
    <w:rsid w:val="00AD2A4A"/>
    <w:rsid w:val="00AD34E1"/>
    <w:rsid w:val="00AD44EA"/>
    <w:rsid w:val="00AD60DA"/>
    <w:rsid w:val="00AD77E3"/>
    <w:rsid w:val="00AD79A2"/>
    <w:rsid w:val="00AE1664"/>
    <w:rsid w:val="00AE2944"/>
    <w:rsid w:val="00AE2B9C"/>
    <w:rsid w:val="00AE44E4"/>
    <w:rsid w:val="00AF0CE5"/>
    <w:rsid w:val="00AF2412"/>
    <w:rsid w:val="00B00CC0"/>
    <w:rsid w:val="00B05278"/>
    <w:rsid w:val="00B06095"/>
    <w:rsid w:val="00B067CB"/>
    <w:rsid w:val="00B07DB0"/>
    <w:rsid w:val="00B07E02"/>
    <w:rsid w:val="00B126B7"/>
    <w:rsid w:val="00B12916"/>
    <w:rsid w:val="00B12ED5"/>
    <w:rsid w:val="00B1419E"/>
    <w:rsid w:val="00B141A9"/>
    <w:rsid w:val="00B240AA"/>
    <w:rsid w:val="00B25F68"/>
    <w:rsid w:val="00B30BF9"/>
    <w:rsid w:val="00B31E49"/>
    <w:rsid w:val="00B3233F"/>
    <w:rsid w:val="00B40FDE"/>
    <w:rsid w:val="00B41D50"/>
    <w:rsid w:val="00B426F6"/>
    <w:rsid w:val="00B46116"/>
    <w:rsid w:val="00B47391"/>
    <w:rsid w:val="00B50722"/>
    <w:rsid w:val="00B50C3B"/>
    <w:rsid w:val="00B50EFC"/>
    <w:rsid w:val="00B51CD0"/>
    <w:rsid w:val="00B60318"/>
    <w:rsid w:val="00B629EA"/>
    <w:rsid w:val="00B663A9"/>
    <w:rsid w:val="00B67431"/>
    <w:rsid w:val="00B6753E"/>
    <w:rsid w:val="00B713C1"/>
    <w:rsid w:val="00B727CC"/>
    <w:rsid w:val="00B7430D"/>
    <w:rsid w:val="00B77D97"/>
    <w:rsid w:val="00B846EB"/>
    <w:rsid w:val="00B85DA9"/>
    <w:rsid w:val="00B865FA"/>
    <w:rsid w:val="00B86CF9"/>
    <w:rsid w:val="00B953B3"/>
    <w:rsid w:val="00BA23C8"/>
    <w:rsid w:val="00BA5393"/>
    <w:rsid w:val="00BA595B"/>
    <w:rsid w:val="00BA620A"/>
    <w:rsid w:val="00BB0155"/>
    <w:rsid w:val="00BB2593"/>
    <w:rsid w:val="00BB3ECC"/>
    <w:rsid w:val="00BB7126"/>
    <w:rsid w:val="00BC22A8"/>
    <w:rsid w:val="00BC4811"/>
    <w:rsid w:val="00BC6CA9"/>
    <w:rsid w:val="00BD4C6E"/>
    <w:rsid w:val="00BD5197"/>
    <w:rsid w:val="00BD6FF7"/>
    <w:rsid w:val="00BE1DA1"/>
    <w:rsid w:val="00BE234D"/>
    <w:rsid w:val="00BE235A"/>
    <w:rsid w:val="00BE2C2B"/>
    <w:rsid w:val="00BE30A6"/>
    <w:rsid w:val="00BE48EB"/>
    <w:rsid w:val="00BE4CE7"/>
    <w:rsid w:val="00BF1DEE"/>
    <w:rsid w:val="00BF21C5"/>
    <w:rsid w:val="00BF2354"/>
    <w:rsid w:val="00BF3057"/>
    <w:rsid w:val="00BF3158"/>
    <w:rsid w:val="00BF5C2D"/>
    <w:rsid w:val="00BF6645"/>
    <w:rsid w:val="00BF667A"/>
    <w:rsid w:val="00C039F5"/>
    <w:rsid w:val="00C04301"/>
    <w:rsid w:val="00C07E0C"/>
    <w:rsid w:val="00C11587"/>
    <w:rsid w:val="00C11636"/>
    <w:rsid w:val="00C12484"/>
    <w:rsid w:val="00C16414"/>
    <w:rsid w:val="00C200AD"/>
    <w:rsid w:val="00C20AD2"/>
    <w:rsid w:val="00C21A90"/>
    <w:rsid w:val="00C21E7F"/>
    <w:rsid w:val="00C23A32"/>
    <w:rsid w:val="00C23D8B"/>
    <w:rsid w:val="00C2549D"/>
    <w:rsid w:val="00C26F3A"/>
    <w:rsid w:val="00C30024"/>
    <w:rsid w:val="00C30848"/>
    <w:rsid w:val="00C40BE3"/>
    <w:rsid w:val="00C437D8"/>
    <w:rsid w:val="00C46353"/>
    <w:rsid w:val="00C50872"/>
    <w:rsid w:val="00C523BD"/>
    <w:rsid w:val="00C56FBF"/>
    <w:rsid w:val="00C61D63"/>
    <w:rsid w:val="00C63042"/>
    <w:rsid w:val="00C65186"/>
    <w:rsid w:val="00C677D0"/>
    <w:rsid w:val="00C7083B"/>
    <w:rsid w:val="00C710A0"/>
    <w:rsid w:val="00C724EC"/>
    <w:rsid w:val="00C73338"/>
    <w:rsid w:val="00C82085"/>
    <w:rsid w:val="00C8487A"/>
    <w:rsid w:val="00C85578"/>
    <w:rsid w:val="00C85B68"/>
    <w:rsid w:val="00C86F50"/>
    <w:rsid w:val="00C944ED"/>
    <w:rsid w:val="00CA1B84"/>
    <w:rsid w:val="00CA457F"/>
    <w:rsid w:val="00CA5B20"/>
    <w:rsid w:val="00CA7808"/>
    <w:rsid w:val="00CB1789"/>
    <w:rsid w:val="00CB4348"/>
    <w:rsid w:val="00CB4C2B"/>
    <w:rsid w:val="00CB67F1"/>
    <w:rsid w:val="00CC1654"/>
    <w:rsid w:val="00CC4667"/>
    <w:rsid w:val="00CC4D08"/>
    <w:rsid w:val="00CC6001"/>
    <w:rsid w:val="00CD174E"/>
    <w:rsid w:val="00CD34AA"/>
    <w:rsid w:val="00CE2F49"/>
    <w:rsid w:val="00CE69C6"/>
    <w:rsid w:val="00CF1EE1"/>
    <w:rsid w:val="00CF4635"/>
    <w:rsid w:val="00CF4C8F"/>
    <w:rsid w:val="00CF5ACD"/>
    <w:rsid w:val="00CF7E7E"/>
    <w:rsid w:val="00D02F34"/>
    <w:rsid w:val="00D03771"/>
    <w:rsid w:val="00D1145F"/>
    <w:rsid w:val="00D153C1"/>
    <w:rsid w:val="00D15A60"/>
    <w:rsid w:val="00D16A47"/>
    <w:rsid w:val="00D17997"/>
    <w:rsid w:val="00D208D7"/>
    <w:rsid w:val="00D218AA"/>
    <w:rsid w:val="00D31935"/>
    <w:rsid w:val="00D34EC9"/>
    <w:rsid w:val="00D36EFD"/>
    <w:rsid w:val="00D415BC"/>
    <w:rsid w:val="00D435B7"/>
    <w:rsid w:val="00D444F2"/>
    <w:rsid w:val="00D457B9"/>
    <w:rsid w:val="00D55D1B"/>
    <w:rsid w:val="00D560D9"/>
    <w:rsid w:val="00D66825"/>
    <w:rsid w:val="00D66A01"/>
    <w:rsid w:val="00D72966"/>
    <w:rsid w:val="00D7335C"/>
    <w:rsid w:val="00D7389A"/>
    <w:rsid w:val="00D73A2A"/>
    <w:rsid w:val="00D742D0"/>
    <w:rsid w:val="00D76506"/>
    <w:rsid w:val="00D77CC4"/>
    <w:rsid w:val="00D90ED0"/>
    <w:rsid w:val="00D912EC"/>
    <w:rsid w:val="00D93107"/>
    <w:rsid w:val="00D962B2"/>
    <w:rsid w:val="00D978AD"/>
    <w:rsid w:val="00DA03EA"/>
    <w:rsid w:val="00DA3259"/>
    <w:rsid w:val="00DA5AE5"/>
    <w:rsid w:val="00DB1502"/>
    <w:rsid w:val="00DB4137"/>
    <w:rsid w:val="00DC10F8"/>
    <w:rsid w:val="00DC1279"/>
    <w:rsid w:val="00DC304E"/>
    <w:rsid w:val="00DC55B6"/>
    <w:rsid w:val="00DD37EB"/>
    <w:rsid w:val="00DD412C"/>
    <w:rsid w:val="00DD6442"/>
    <w:rsid w:val="00DE0260"/>
    <w:rsid w:val="00DE0315"/>
    <w:rsid w:val="00DE307C"/>
    <w:rsid w:val="00DE6646"/>
    <w:rsid w:val="00DF433F"/>
    <w:rsid w:val="00DF6316"/>
    <w:rsid w:val="00DF744A"/>
    <w:rsid w:val="00E02DDC"/>
    <w:rsid w:val="00E06B86"/>
    <w:rsid w:val="00E075CE"/>
    <w:rsid w:val="00E12EAD"/>
    <w:rsid w:val="00E14835"/>
    <w:rsid w:val="00E17F7B"/>
    <w:rsid w:val="00E204B8"/>
    <w:rsid w:val="00E21E1A"/>
    <w:rsid w:val="00E264ED"/>
    <w:rsid w:val="00E2693E"/>
    <w:rsid w:val="00E2713A"/>
    <w:rsid w:val="00E30093"/>
    <w:rsid w:val="00E30617"/>
    <w:rsid w:val="00E31E0C"/>
    <w:rsid w:val="00E328E5"/>
    <w:rsid w:val="00E339E4"/>
    <w:rsid w:val="00E351FC"/>
    <w:rsid w:val="00E41090"/>
    <w:rsid w:val="00E43228"/>
    <w:rsid w:val="00E447CB"/>
    <w:rsid w:val="00E452EB"/>
    <w:rsid w:val="00E464E6"/>
    <w:rsid w:val="00E50C12"/>
    <w:rsid w:val="00E5220E"/>
    <w:rsid w:val="00E52B85"/>
    <w:rsid w:val="00E54825"/>
    <w:rsid w:val="00E55312"/>
    <w:rsid w:val="00E56AF9"/>
    <w:rsid w:val="00E60799"/>
    <w:rsid w:val="00E62A87"/>
    <w:rsid w:val="00E66610"/>
    <w:rsid w:val="00E7252F"/>
    <w:rsid w:val="00E75393"/>
    <w:rsid w:val="00E7570F"/>
    <w:rsid w:val="00E77967"/>
    <w:rsid w:val="00E81924"/>
    <w:rsid w:val="00E81EFE"/>
    <w:rsid w:val="00E837CB"/>
    <w:rsid w:val="00E8380C"/>
    <w:rsid w:val="00E838B7"/>
    <w:rsid w:val="00E86369"/>
    <w:rsid w:val="00E872AE"/>
    <w:rsid w:val="00E93BCF"/>
    <w:rsid w:val="00E95469"/>
    <w:rsid w:val="00E96B99"/>
    <w:rsid w:val="00EA291A"/>
    <w:rsid w:val="00EA3195"/>
    <w:rsid w:val="00EA4CF0"/>
    <w:rsid w:val="00EB3355"/>
    <w:rsid w:val="00EB34C3"/>
    <w:rsid w:val="00EB667C"/>
    <w:rsid w:val="00EC15DC"/>
    <w:rsid w:val="00EC2ACD"/>
    <w:rsid w:val="00EC6B5A"/>
    <w:rsid w:val="00ED1E4B"/>
    <w:rsid w:val="00ED3436"/>
    <w:rsid w:val="00ED372C"/>
    <w:rsid w:val="00EE072F"/>
    <w:rsid w:val="00EE1202"/>
    <w:rsid w:val="00EE330B"/>
    <w:rsid w:val="00EE37B1"/>
    <w:rsid w:val="00EE641D"/>
    <w:rsid w:val="00EE6EDF"/>
    <w:rsid w:val="00EE78A6"/>
    <w:rsid w:val="00EE7F47"/>
    <w:rsid w:val="00EF229A"/>
    <w:rsid w:val="00EF77B4"/>
    <w:rsid w:val="00F00A42"/>
    <w:rsid w:val="00F01BED"/>
    <w:rsid w:val="00F064D1"/>
    <w:rsid w:val="00F10720"/>
    <w:rsid w:val="00F10A45"/>
    <w:rsid w:val="00F132F4"/>
    <w:rsid w:val="00F21B09"/>
    <w:rsid w:val="00F22CFA"/>
    <w:rsid w:val="00F2423E"/>
    <w:rsid w:val="00F249CD"/>
    <w:rsid w:val="00F26E18"/>
    <w:rsid w:val="00F26F39"/>
    <w:rsid w:val="00F33594"/>
    <w:rsid w:val="00F338E2"/>
    <w:rsid w:val="00F34656"/>
    <w:rsid w:val="00F35F26"/>
    <w:rsid w:val="00F3742C"/>
    <w:rsid w:val="00F379A5"/>
    <w:rsid w:val="00F40A11"/>
    <w:rsid w:val="00F45591"/>
    <w:rsid w:val="00F4575F"/>
    <w:rsid w:val="00F50E58"/>
    <w:rsid w:val="00F5376D"/>
    <w:rsid w:val="00F54B95"/>
    <w:rsid w:val="00F56D0E"/>
    <w:rsid w:val="00F57506"/>
    <w:rsid w:val="00F61543"/>
    <w:rsid w:val="00F65E8C"/>
    <w:rsid w:val="00F66D79"/>
    <w:rsid w:val="00F72EFC"/>
    <w:rsid w:val="00F80538"/>
    <w:rsid w:val="00F830E2"/>
    <w:rsid w:val="00F834BB"/>
    <w:rsid w:val="00F90A1C"/>
    <w:rsid w:val="00F92328"/>
    <w:rsid w:val="00F92D02"/>
    <w:rsid w:val="00F955A6"/>
    <w:rsid w:val="00F95AD1"/>
    <w:rsid w:val="00F95DFF"/>
    <w:rsid w:val="00FB08E1"/>
    <w:rsid w:val="00FB0A1D"/>
    <w:rsid w:val="00FC5CEB"/>
    <w:rsid w:val="00FD3581"/>
    <w:rsid w:val="00FD593E"/>
    <w:rsid w:val="00FD74C6"/>
    <w:rsid w:val="00FE16CD"/>
    <w:rsid w:val="00FE2FF0"/>
    <w:rsid w:val="00FE3ABA"/>
    <w:rsid w:val="00FE783C"/>
    <w:rsid w:val="00FF06F7"/>
    <w:rsid w:val="00FF0CB3"/>
    <w:rsid w:val="00FF1531"/>
    <w:rsid w:val="00FF3FC2"/>
    <w:rsid w:val="00FF5A5C"/>
    <w:rsid w:val="00FF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33C271"/>
  <w15:docId w15:val="{10A7A442-FD90-4B9C-9654-86D48F44D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link w:val="Heading1Char"/>
    <w:qFormat/>
    <w:rsid w:val="00BA5393"/>
    <w:pPr>
      <w:keepNext/>
      <w:tabs>
        <w:tab w:val="num" w:pos="360"/>
      </w:tabs>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A4C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A23C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A23C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A23C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A23C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A23C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34"/>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numPr>
        <w:numId w:val="1"/>
      </w:numPr>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BA23C8"/>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BA23C8"/>
    <w:rPr>
      <w:rFonts w:ascii="Times New Roman" w:hAnsi="Times New Roman" w:cs="Times New Roman"/>
      <w:b/>
      <w:sz w:val="24"/>
    </w:rPr>
  </w:style>
  <w:style w:type="paragraph" w:customStyle="1" w:styleId="SecHeading">
    <w:name w:val="SecHeading"/>
    <w:basedOn w:val="Normal"/>
    <w:next w:val="Paragraph"/>
    <w:link w:val="SecHeadingChar"/>
    <w:rsid w:val="00BA23C8"/>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A23C8"/>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clear" w:pos="5976"/>
        <w:tab w:val="num" w:pos="1872"/>
      </w:tabs>
      <w:ind w:left="1872"/>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3"/>
      </w:numPr>
      <w:tabs>
        <w:tab w:val="clear" w:pos="6480"/>
        <w:tab w:val="num" w:pos="2376"/>
      </w:tabs>
      <w:ind w:left="2376"/>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A23C8"/>
    <w:pPr>
      <w:numPr>
        <w:ilvl w:val="1"/>
        <w:numId w:val="1"/>
      </w:numPr>
      <w:spacing w:before="1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BA23C8"/>
    <w:pPr>
      <w:numPr>
        <w:ilvl w:val="2"/>
        <w:numId w:val="1"/>
      </w:numPr>
      <w:spacing w:before="120"/>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rsid w:val="00BA23C8"/>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BA23C8"/>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A23C8"/>
    <w:rPr>
      <w:rFonts w:ascii="Times New Roman" w:hAnsi="Times New Roman" w:cs="Times New Roman"/>
      <w:sz w:val="20"/>
    </w:rPr>
  </w:style>
  <w:style w:type="paragraph" w:customStyle="1" w:styleId="TableTitle">
    <w:name w:val="TableTitle"/>
    <w:basedOn w:val="Normal"/>
    <w:link w:val="TableTitleChar"/>
    <w:rsid w:val="00BA23C8"/>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A23C8"/>
    <w:rPr>
      <w:rFonts w:ascii="Times New Roman Bold" w:hAnsi="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A4C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A23C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BA23C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BA23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A23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A23C8"/>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rsid w:val="00EA4CF0"/>
    <w:rPr>
      <w:rFonts w:ascii="Times New Roman" w:hAnsi="Times New Roman" w:cs="Times New Roman"/>
      <w:sz w:val="24"/>
    </w:rPr>
  </w:style>
  <w:style w:type="paragraph" w:styleId="BodyTextIndent3">
    <w:name w:val="Body Text Indent 3"/>
    <w:basedOn w:val="Normal"/>
    <w:link w:val="BodyTextIndent3Char"/>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rsid w:val="00EA4CF0"/>
    <w:rPr>
      <w:rFonts w:ascii="Times New Roman" w:hAnsi="Times New Roman" w:cs="Times New Roman"/>
      <w:sz w:val="24"/>
      <w:szCs w:val="16"/>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qFormat/>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8C4F91"/>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rsid w:val="000B2B08"/>
    <w:pPr>
      <w:tabs>
        <w:tab w:val="center" w:pos="4680"/>
        <w:tab w:val="right" w:pos="9360"/>
      </w:tabs>
      <w:spacing w:after="0" w:line="240" w:lineRule="auto"/>
    </w:pPr>
  </w:style>
  <w:style w:type="character" w:customStyle="1" w:styleId="FooterChar">
    <w:name w:val="Footer Char"/>
    <w:basedOn w:val="DefaultParagraphFont"/>
    <w:link w:val="Footer"/>
    <w:rsid w:val="000B2B08"/>
  </w:style>
  <w:style w:type="paragraph" w:customStyle="1" w:styleId="Newpage">
    <w:name w:val="Newpage"/>
    <w:basedOn w:val="Chapter"/>
    <w:rsid w:val="00095F4F"/>
    <w:pPr>
      <w:numPr>
        <w:numId w:val="0"/>
      </w:numPr>
      <w:tabs>
        <w:tab w:val="clear" w:pos="1440"/>
        <w:tab w:val="left" w:pos="3060"/>
      </w:tabs>
      <w:spacing w:after="0"/>
    </w:pPr>
    <w:rPr>
      <w:rFonts w:eastAsia="Times New Roman"/>
      <w:szCs w:val="20"/>
      <w:lang w:val="es-ES"/>
    </w:rPr>
  </w:style>
  <w:style w:type="paragraph" w:customStyle="1" w:styleId="Default">
    <w:name w:val="Default"/>
    <w:rsid w:val="00095F4F"/>
    <w:pPr>
      <w:autoSpaceDE w:val="0"/>
      <w:autoSpaceDN w:val="0"/>
      <w:adjustRightInd w:val="0"/>
      <w:spacing w:after="0" w:line="240" w:lineRule="auto"/>
    </w:pPr>
    <w:rPr>
      <w:rFonts w:ascii="Times New Roman" w:hAnsi="Times New Roman" w:cs="Times New Roman"/>
      <w:color w:val="000000"/>
      <w:sz w:val="24"/>
      <w:szCs w:val="24"/>
    </w:r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qFormat/>
    <w:rsid w:val="00455162"/>
    <w:rPr>
      <w:vertAlign w:val="superscript"/>
    </w:rPr>
  </w:style>
  <w:style w:type="table" w:styleId="TableGrid">
    <w:name w:val="Table Grid"/>
    <w:basedOn w:val="TableNormal"/>
    <w:uiPriority w:val="59"/>
    <w:rsid w:val="00455162"/>
    <w:pPr>
      <w:spacing w:after="0" w:line="240" w:lineRule="auto"/>
    </w:pPr>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55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55162"/>
    <w:rPr>
      <w:rFonts w:ascii="Tahoma" w:hAnsi="Tahoma" w:cs="Tahoma"/>
      <w:sz w:val="16"/>
      <w:szCs w:val="16"/>
    </w:rPr>
  </w:style>
  <w:style w:type="character" w:styleId="FollowedHyperlink">
    <w:name w:val="FollowedHyperlink"/>
    <w:basedOn w:val="DefaultParagraphFont"/>
    <w:rsid w:val="0003466E"/>
    <w:rPr>
      <w:color w:val="800080" w:themeColor="followedHyperlink"/>
      <w:u w:val="single"/>
    </w:rPr>
  </w:style>
  <w:style w:type="character" w:styleId="CommentReference">
    <w:name w:val="annotation reference"/>
    <w:basedOn w:val="DefaultParagraphFont"/>
    <w:rsid w:val="00E2693E"/>
    <w:rPr>
      <w:sz w:val="16"/>
      <w:szCs w:val="16"/>
    </w:rPr>
  </w:style>
  <w:style w:type="paragraph" w:styleId="CommentText">
    <w:name w:val="annotation text"/>
    <w:basedOn w:val="Normal"/>
    <w:link w:val="CommentTextChar"/>
    <w:rsid w:val="00E2693E"/>
    <w:pPr>
      <w:spacing w:line="240" w:lineRule="auto"/>
    </w:pPr>
    <w:rPr>
      <w:sz w:val="20"/>
      <w:szCs w:val="20"/>
    </w:rPr>
  </w:style>
  <w:style w:type="character" w:customStyle="1" w:styleId="CommentTextChar">
    <w:name w:val="Comment Text Char"/>
    <w:basedOn w:val="DefaultParagraphFont"/>
    <w:link w:val="CommentText"/>
    <w:rsid w:val="00E2693E"/>
    <w:rPr>
      <w:sz w:val="20"/>
      <w:szCs w:val="20"/>
    </w:rPr>
  </w:style>
  <w:style w:type="paragraph" w:styleId="CommentSubject">
    <w:name w:val="annotation subject"/>
    <w:basedOn w:val="CommentText"/>
    <w:next w:val="CommentText"/>
    <w:link w:val="CommentSubjectChar"/>
    <w:rsid w:val="00E2693E"/>
    <w:rPr>
      <w:b/>
      <w:bCs/>
    </w:rPr>
  </w:style>
  <w:style w:type="character" w:customStyle="1" w:styleId="CommentSubjectChar">
    <w:name w:val="Comment Subject Char"/>
    <w:basedOn w:val="CommentTextChar"/>
    <w:link w:val="CommentSubject"/>
    <w:rsid w:val="00E2693E"/>
    <w:rPr>
      <w:b/>
      <w:bCs/>
      <w:sz w:val="20"/>
      <w:szCs w:val="20"/>
    </w:rPr>
  </w:style>
  <w:style w:type="paragraph" w:styleId="Revision">
    <w:name w:val="Revision"/>
    <w:hidden/>
    <w:rsid w:val="004B2DFE"/>
    <w:pPr>
      <w:spacing w:after="0" w:line="240" w:lineRule="auto"/>
    </w:pPr>
  </w:style>
  <w:style w:type="character" w:styleId="PlaceholderText">
    <w:name w:val="Placeholder Text"/>
    <w:basedOn w:val="DefaultParagraphFont"/>
    <w:rsid w:val="00F72EFC"/>
    <w:rPr>
      <w:color w:val="808080"/>
    </w:rPr>
  </w:style>
  <w:style w:type="character" w:customStyle="1" w:styleId="Heading1Char">
    <w:name w:val="Heading 1 Char"/>
    <w:basedOn w:val="DefaultParagraphFont"/>
    <w:link w:val="Heading1"/>
    <w:rsid w:val="00BA5393"/>
    <w:rPr>
      <w:rFonts w:ascii="Arial" w:eastAsia="Times New Roman" w:hAnsi="Arial" w:cs="Times New Roman"/>
      <w:b/>
      <w:kern w:val="28"/>
      <w:sz w:val="28"/>
      <w:szCs w:val="20"/>
    </w:rPr>
  </w:style>
  <w:style w:type="paragraph" w:customStyle="1" w:styleId="MasterSourceText">
    <w:name w:val="Master_SourceText"/>
    <w:basedOn w:val="Normal"/>
    <w:rsid w:val="00BA5393"/>
    <w:pPr>
      <w:tabs>
        <w:tab w:val="left" w:pos="1440"/>
      </w:tabs>
      <w:spacing w:after="0" w:line="240" w:lineRule="auto"/>
      <w:ind w:left="1440" w:hanging="720"/>
      <w:jc w:val="both"/>
    </w:pPr>
    <w:rPr>
      <w:rFonts w:ascii="Times New Roman" w:eastAsia="Times New Roman" w:hAnsi="Times New Roman" w:cs="Times New Roman"/>
      <w:sz w:val="20"/>
      <w:szCs w:val="20"/>
    </w:rPr>
  </w:style>
  <w:style w:type="paragraph" w:styleId="NormalWeb">
    <w:name w:val="Normal (Web)"/>
    <w:basedOn w:val="Normal"/>
    <w:uiPriority w:val="99"/>
    <w:unhideWhenUsed/>
    <w:rsid w:val="00211078"/>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320">
      <w:bodyDiv w:val="1"/>
      <w:marLeft w:val="0"/>
      <w:marRight w:val="0"/>
      <w:marTop w:val="0"/>
      <w:marBottom w:val="0"/>
      <w:divBdr>
        <w:top w:val="none" w:sz="0" w:space="0" w:color="auto"/>
        <w:left w:val="none" w:sz="0" w:space="0" w:color="auto"/>
        <w:bottom w:val="none" w:sz="0" w:space="0" w:color="auto"/>
        <w:right w:val="none" w:sz="0" w:space="0" w:color="auto"/>
      </w:divBdr>
    </w:div>
    <w:div w:id="26032446">
      <w:bodyDiv w:val="1"/>
      <w:marLeft w:val="0"/>
      <w:marRight w:val="0"/>
      <w:marTop w:val="0"/>
      <w:marBottom w:val="0"/>
      <w:divBdr>
        <w:top w:val="none" w:sz="0" w:space="0" w:color="auto"/>
        <w:left w:val="none" w:sz="0" w:space="0" w:color="auto"/>
        <w:bottom w:val="none" w:sz="0" w:space="0" w:color="auto"/>
        <w:right w:val="none" w:sz="0" w:space="0" w:color="auto"/>
      </w:divBdr>
    </w:div>
    <w:div w:id="28839459">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51925317">
      <w:bodyDiv w:val="1"/>
      <w:marLeft w:val="0"/>
      <w:marRight w:val="0"/>
      <w:marTop w:val="0"/>
      <w:marBottom w:val="0"/>
      <w:divBdr>
        <w:top w:val="none" w:sz="0" w:space="0" w:color="auto"/>
        <w:left w:val="none" w:sz="0" w:space="0" w:color="auto"/>
        <w:bottom w:val="none" w:sz="0" w:space="0" w:color="auto"/>
        <w:right w:val="none" w:sz="0" w:space="0" w:color="auto"/>
      </w:divBdr>
    </w:div>
    <w:div w:id="54859072">
      <w:bodyDiv w:val="1"/>
      <w:marLeft w:val="0"/>
      <w:marRight w:val="0"/>
      <w:marTop w:val="0"/>
      <w:marBottom w:val="0"/>
      <w:divBdr>
        <w:top w:val="none" w:sz="0" w:space="0" w:color="auto"/>
        <w:left w:val="none" w:sz="0" w:space="0" w:color="auto"/>
        <w:bottom w:val="none" w:sz="0" w:space="0" w:color="auto"/>
        <w:right w:val="none" w:sz="0" w:space="0" w:color="auto"/>
      </w:divBdr>
    </w:div>
    <w:div w:id="59253040">
      <w:bodyDiv w:val="1"/>
      <w:marLeft w:val="0"/>
      <w:marRight w:val="0"/>
      <w:marTop w:val="0"/>
      <w:marBottom w:val="0"/>
      <w:divBdr>
        <w:top w:val="none" w:sz="0" w:space="0" w:color="auto"/>
        <w:left w:val="none" w:sz="0" w:space="0" w:color="auto"/>
        <w:bottom w:val="none" w:sz="0" w:space="0" w:color="auto"/>
        <w:right w:val="none" w:sz="0" w:space="0" w:color="auto"/>
      </w:divBdr>
    </w:div>
    <w:div w:id="77874727">
      <w:bodyDiv w:val="1"/>
      <w:marLeft w:val="0"/>
      <w:marRight w:val="0"/>
      <w:marTop w:val="0"/>
      <w:marBottom w:val="0"/>
      <w:divBdr>
        <w:top w:val="none" w:sz="0" w:space="0" w:color="auto"/>
        <w:left w:val="none" w:sz="0" w:space="0" w:color="auto"/>
        <w:bottom w:val="none" w:sz="0" w:space="0" w:color="auto"/>
        <w:right w:val="none" w:sz="0" w:space="0" w:color="auto"/>
      </w:divBdr>
    </w:div>
    <w:div w:id="134028347">
      <w:bodyDiv w:val="1"/>
      <w:marLeft w:val="0"/>
      <w:marRight w:val="0"/>
      <w:marTop w:val="0"/>
      <w:marBottom w:val="0"/>
      <w:divBdr>
        <w:top w:val="none" w:sz="0" w:space="0" w:color="auto"/>
        <w:left w:val="none" w:sz="0" w:space="0" w:color="auto"/>
        <w:bottom w:val="none" w:sz="0" w:space="0" w:color="auto"/>
        <w:right w:val="none" w:sz="0" w:space="0" w:color="auto"/>
      </w:divBdr>
    </w:div>
    <w:div w:id="138429134">
      <w:bodyDiv w:val="1"/>
      <w:marLeft w:val="0"/>
      <w:marRight w:val="0"/>
      <w:marTop w:val="0"/>
      <w:marBottom w:val="0"/>
      <w:divBdr>
        <w:top w:val="none" w:sz="0" w:space="0" w:color="auto"/>
        <w:left w:val="none" w:sz="0" w:space="0" w:color="auto"/>
        <w:bottom w:val="none" w:sz="0" w:space="0" w:color="auto"/>
        <w:right w:val="none" w:sz="0" w:space="0" w:color="auto"/>
      </w:divBdr>
    </w:div>
    <w:div w:id="174422118">
      <w:bodyDiv w:val="1"/>
      <w:marLeft w:val="0"/>
      <w:marRight w:val="0"/>
      <w:marTop w:val="0"/>
      <w:marBottom w:val="0"/>
      <w:divBdr>
        <w:top w:val="none" w:sz="0" w:space="0" w:color="auto"/>
        <w:left w:val="none" w:sz="0" w:space="0" w:color="auto"/>
        <w:bottom w:val="none" w:sz="0" w:space="0" w:color="auto"/>
        <w:right w:val="none" w:sz="0" w:space="0" w:color="auto"/>
      </w:divBdr>
    </w:div>
    <w:div w:id="193932169">
      <w:bodyDiv w:val="1"/>
      <w:marLeft w:val="0"/>
      <w:marRight w:val="0"/>
      <w:marTop w:val="0"/>
      <w:marBottom w:val="0"/>
      <w:divBdr>
        <w:top w:val="none" w:sz="0" w:space="0" w:color="auto"/>
        <w:left w:val="none" w:sz="0" w:space="0" w:color="auto"/>
        <w:bottom w:val="none" w:sz="0" w:space="0" w:color="auto"/>
        <w:right w:val="none" w:sz="0" w:space="0" w:color="auto"/>
      </w:divBdr>
    </w:div>
    <w:div w:id="201552508">
      <w:bodyDiv w:val="1"/>
      <w:marLeft w:val="0"/>
      <w:marRight w:val="0"/>
      <w:marTop w:val="0"/>
      <w:marBottom w:val="0"/>
      <w:divBdr>
        <w:top w:val="none" w:sz="0" w:space="0" w:color="auto"/>
        <w:left w:val="none" w:sz="0" w:space="0" w:color="auto"/>
        <w:bottom w:val="none" w:sz="0" w:space="0" w:color="auto"/>
        <w:right w:val="none" w:sz="0" w:space="0" w:color="auto"/>
      </w:divBdr>
    </w:div>
    <w:div w:id="238249499">
      <w:bodyDiv w:val="1"/>
      <w:marLeft w:val="0"/>
      <w:marRight w:val="0"/>
      <w:marTop w:val="0"/>
      <w:marBottom w:val="0"/>
      <w:divBdr>
        <w:top w:val="none" w:sz="0" w:space="0" w:color="auto"/>
        <w:left w:val="none" w:sz="0" w:space="0" w:color="auto"/>
        <w:bottom w:val="none" w:sz="0" w:space="0" w:color="auto"/>
        <w:right w:val="none" w:sz="0" w:space="0" w:color="auto"/>
      </w:divBdr>
    </w:div>
    <w:div w:id="239410053">
      <w:bodyDiv w:val="1"/>
      <w:marLeft w:val="0"/>
      <w:marRight w:val="0"/>
      <w:marTop w:val="0"/>
      <w:marBottom w:val="0"/>
      <w:divBdr>
        <w:top w:val="none" w:sz="0" w:space="0" w:color="auto"/>
        <w:left w:val="none" w:sz="0" w:space="0" w:color="auto"/>
        <w:bottom w:val="none" w:sz="0" w:space="0" w:color="auto"/>
        <w:right w:val="none" w:sz="0" w:space="0" w:color="auto"/>
      </w:divBdr>
    </w:div>
    <w:div w:id="249774189">
      <w:bodyDiv w:val="1"/>
      <w:marLeft w:val="0"/>
      <w:marRight w:val="0"/>
      <w:marTop w:val="0"/>
      <w:marBottom w:val="0"/>
      <w:divBdr>
        <w:top w:val="none" w:sz="0" w:space="0" w:color="auto"/>
        <w:left w:val="none" w:sz="0" w:space="0" w:color="auto"/>
        <w:bottom w:val="none" w:sz="0" w:space="0" w:color="auto"/>
        <w:right w:val="none" w:sz="0" w:space="0" w:color="auto"/>
      </w:divBdr>
    </w:div>
    <w:div w:id="291443390">
      <w:bodyDiv w:val="1"/>
      <w:marLeft w:val="0"/>
      <w:marRight w:val="0"/>
      <w:marTop w:val="0"/>
      <w:marBottom w:val="0"/>
      <w:divBdr>
        <w:top w:val="none" w:sz="0" w:space="0" w:color="auto"/>
        <w:left w:val="none" w:sz="0" w:space="0" w:color="auto"/>
        <w:bottom w:val="none" w:sz="0" w:space="0" w:color="auto"/>
        <w:right w:val="none" w:sz="0" w:space="0" w:color="auto"/>
      </w:divBdr>
    </w:div>
    <w:div w:id="315648787">
      <w:bodyDiv w:val="1"/>
      <w:marLeft w:val="0"/>
      <w:marRight w:val="0"/>
      <w:marTop w:val="0"/>
      <w:marBottom w:val="0"/>
      <w:divBdr>
        <w:top w:val="none" w:sz="0" w:space="0" w:color="auto"/>
        <w:left w:val="none" w:sz="0" w:space="0" w:color="auto"/>
        <w:bottom w:val="none" w:sz="0" w:space="0" w:color="auto"/>
        <w:right w:val="none" w:sz="0" w:space="0" w:color="auto"/>
      </w:divBdr>
    </w:div>
    <w:div w:id="324435104">
      <w:bodyDiv w:val="1"/>
      <w:marLeft w:val="0"/>
      <w:marRight w:val="0"/>
      <w:marTop w:val="0"/>
      <w:marBottom w:val="0"/>
      <w:divBdr>
        <w:top w:val="none" w:sz="0" w:space="0" w:color="auto"/>
        <w:left w:val="none" w:sz="0" w:space="0" w:color="auto"/>
        <w:bottom w:val="none" w:sz="0" w:space="0" w:color="auto"/>
        <w:right w:val="none" w:sz="0" w:space="0" w:color="auto"/>
      </w:divBdr>
    </w:div>
    <w:div w:id="338970924">
      <w:bodyDiv w:val="1"/>
      <w:marLeft w:val="0"/>
      <w:marRight w:val="0"/>
      <w:marTop w:val="0"/>
      <w:marBottom w:val="0"/>
      <w:divBdr>
        <w:top w:val="none" w:sz="0" w:space="0" w:color="auto"/>
        <w:left w:val="none" w:sz="0" w:space="0" w:color="auto"/>
        <w:bottom w:val="none" w:sz="0" w:space="0" w:color="auto"/>
        <w:right w:val="none" w:sz="0" w:space="0" w:color="auto"/>
      </w:divBdr>
    </w:div>
    <w:div w:id="374889421">
      <w:bodyDiv w:val="1"/>
      <w:marLeft w:val="0"/>
      <w:marRight w:val="0"/>
      <w:marTop w:val="0"/>
      <w:marBottom w:val="0"/>
      <w:divBdr>
        <w:top w:val="none" w:sz="0" w:space="0" w:color="auto"/>
        <w:left w:val="none" w:sz="0" w:space="0" w:color="auto"/>
        <w:bottom w:val="none" w:sz="0" w:space="0" w:color="auto"/>
        <w:right w:val="none" w:sz="0" w:space="0" w:color="auto"/>
      </w:divBdr>
    </w:div>
    <w:div w:id="393505760">
      <w:bodyDiv w:val="1"/>
      <w:marLeft w:val="0"/>
      <w:marRight w:val="0"/>
      <w:marTop w:val="0"/>
      <w:marBottom w:val="0"/>
      <w:divBdr>
        <w:top w:val="none" w:sz="0" w:space="0" w:color="auto"/>
        <w:left w:val="none" w:sz="0" w:space="0" w:color="auto"/>
        <w:bottom w:val="none" w:sz="0" w:space="0" w:color="auto"/>
        <w:right w:val="none" w:sz="0" w:space="0" w:color="auto"/>
      </w:divBdr>
    </w:div>
    <w:div w:id="423192316">
      <w:bodyDiv w:val="1"/>
      <w:marLeft w:val="0"/>
      <w:marRight w:val="0"/>
      <w:marTop w:val="0"/>
      <w:marBottom w:val="0"/>
      <w:divBdr>
        <w:top w:val="none" w:sz="0" w:space="0" w:color="auto"/>
        <w:left w:val="none" w:sz="0" w:space="0" w:color="auto"/>
        <w:bottom w:val="none" w:sz="0" w:space="0" w:color="auto"/>
        <w:right w:val="none" w:sz="0" w:space="0" w:color="auto"/>
      </w:divBdr>
    </w:div>
    <w:div w:id="434598259">
      <w:bodyDiv w:val="1"/>
      <w:marLeft w:val="0"/>
      <w:marRight w:val="0"/>
      <w:marTop w:val="0"/>
      <w:marBottom w:val="0"/>
      <w:divBdr>
        <w:top w:val="none" w:sz="0" w:space="0" w:color="auto"/>
        <w:left w:val="none" w:sz="0" w:space="0" w:color="auto"/>
        <w:bottom w:val="none" w:sz="0" w:space="0" w:color="auto"/>
        <w:right w:val="none" w:sz="0" w:space="0" w:color="auto"/>
      </w:divBdr>
    </w:div>
    <w:div w:id="453906703">
      <w:bodyDiv w:val="1"/>
      <w:marLeft w:val="0"/>
      <w:marRight w:val="0"/>
      <w:marTop w:val="0"/>
      <w:marBottom w:val="0"/>
      <w:divBdr>
        <w:top w:val="none" w:sz="0" w:space="0" w:color="auto"/>
        <w:left w:val="none" w:sz="0" w:space="0" w:color="auto"/>
        <w:bottom w:val="none" w:sz="0" w:space="0" w:color="auto"/>
        <w:right w:val="none" w:sz="0" w:space="0" w:color="auto"/>
      </w:divBdr>
      <w:divsChild>
        <w:div w:id="1190945446">
          <w:marLeft w:val="0"/>
          <w:marRight w:val="0"/>
          <w:marTop w:val="0"/>
          <w:marBottom w:val="0"/>
          <w:divBdr>
            <w:top w:val="none" w:sz="0" w:space="0" w:color="auto"/>
            <w:left w:val="none" w:sz="0" w:space="0" w:color="auto"/>
            <w:bottom w:val="none" w:sz="0" w:space="0" w:color="auto"/>
            <w:right w:val="none" w:sz="0" w:space="0" w:color="auto"/>
          </w:divBdr>
        </w:div>
      </w:divsChild>
    </w:div>
    <w:div w:id="487136689">
      <w:bodyDiv w:val="1"/>
      <w:marLeft w:val="0"/>
      <w:marRight w:val="0"/>
      <w:marTop w:val="0"/>
      <w:marBottom w:val="0"/>
      <w:divBdr>
        <w:top w:val="none" w:sz="0" w:space="0" w:color="auto"/>
        <w:left w:val="none" w:sz="0" w:space="0" w:color="auto"/>
        <w:bottom w:val="none" w:sz="0" w:space="0" w:color="auto"/>
        <w:right w:val="none" w:sz="0" w:space="0" w:color="auto"/>
      </w:divBdr>
    </w:div>
    <w:div w:id="495804301">
      <w:bodyDiv w:val="1"/>
      <w:marLeft w:val="0"/>
      <w:marRight w:val="0"/>
      <w:marTop w:val="0"/>
      <w:marBottom w:val="0"/>
      <w:divBdr>
        <w:top w:val="none" w:sz="0" w:space="0" w:color="auto"/>
        <w:left w:val="none" w:sz="0" w:space="0" w:color="auto"/>
        <w:bottom w:val="none" w:sz="0" w:space="0" w:color="auto"/>
        <w:right w:val="none" w:sz="0" w:space="0" w:color="auto"/>
      </w:divBdr>
    </w:div>
    <w:div w:id="502667532">
      <w:bodyDiv w:val="1"/>
      <w:marLeft w:val="0"/>
      <w:marRight w:val="0"/>
      <w:marTop w:val="0"/>
      <w:marBottom w:val="0"/>
      <w:divBdr>
        <w:top w:val="none" w:sz="0" w:space="0" w:color="auto"/>
        <w:left w:val="none" w:sz="0" w:space="0" w:color="auto"/>
        <w:bottom w:val="none" w:sz="0" w:space="0" w:color="auto"/>
        <w:right w:val="none" w:sz="0" w:space="0" w:color="auto"/>
      </w:divBdr>
    </w:div>
    <w:div w:id="519398070">
      <w:bodyDiv w:val="1"/>
      <w:marLeft w:val="0"/>
      <w:marRight w:val="0"/>
      <w:marTop w:val="0"/>
      <w:marBottom w:val="0"/>
      <w:divBdr>
        <w:top w:val="none" w:sz="0" w:space="0" w:color="auto"/>
        <w:left w:val="none" w:sz="0" w:space="0" w:color="auto"/>
        <w:bottom w:val="none" w:sz="0" w:space="0" w:color="auto"/>
        <w:right w:val="none" w:sz="0" w:space="0" w:color="auto"/>
      </w:divBdr>
    </w:div>
    <w:div w:id="560019451">
      <w:bodyDiv w:val="1"/>
      <w:marLeft w:val="0"/>
      <w:marRight w:val="0"/>
      <w:marTop w:val="0"/>
      <w:marBottom w:val="0"/>
      <w:divBdr>
        <w:top w:val="none" w:sz="0" w:space="0" w:color="auto"/>
        <w:left w:val="none" w:sz="0" w:space="0" w:color="auto"/>
        <w:bottom w:val="none" w:sz="0" w:space="0" w:color="auto"/>
        <w:right w:val="none" w:sz="0" w:space="0" w:color="auto"/>
      </w:divBdr>
    </w:div>
    <w:div w:id="601761877">
      <w:bodyDiv w:val="1"/>
      <w:marLeft w:val="0"/>
      <w:marRight w:val="0"/>
      <w:marTop w:val="0"/>
      <w:marBottom w:val="0"/>
      <w:divBdr>
        <w:top w:val="none" w:sz="0" w:space="0" w:color="auto"/>
        <w:left w:val="none" w:sz="0" w:space="0" w:color="auto"/>
        <w:bottom w:val="none" w:sz="0" w:space="0" w:color="auto"/>
        <w:right w:val="none" w:sz="0" w:space="0" w:color="auto"/>
      </w:divBdr>
    </w:div>
    <w:div w:id="614825375">
      <w:bodyDiv w:val="1"/>
      <w:marLeft w:val="0"/>
      <w:marRight w:val="0"/>
      <w:marTop w:val="0"/>
      <w:marBottom w:val="0"/>
      <w:divBdr>
        <w:top w:val="none" w:sz="0" w:space="0" w:color="auto"/>
        <w:left w:val="none" w:sz="0" w:space="0" w:color="auto"/>
        <w:bottom w:val="none" w:sz="0" w:space="0" w:color="auto"/>
        <w:right w:val="none" w:sz="0" w:space="0" w:color="auto"/>
      </w:divBdr>
    </w:div>
    <w:div w:id="633172074">
      <w:bodyDiv w:val="1"/>
      <w:marLeft w:val="0"/>
      <w:marRight w:val="0"/>
      <w:marTop w:val="0"/>
      <w:marBottom w:val="0"/>
      <w:divBdr>
        <w:top w:val="none" w:sz="0" w:space="0" w:color="auto"/>
        <w:left w:val="none" w:sz="0" w:space="0" w:color="auto"/>
        <w:bottom w:val="none" w:sz="0" w:space="0" w:color="auto"/>
        <w:right w:val="none" w:sz="0" w:space="0" w:color="auto"/>
      </w:divBdr>
    </w:div>
    <w:div w:id="654843467">
      <w:bodyDiv w:val="1"/>
      <w:marLeft w:val="0"/>
      <w:marRight w:val="0"/>
      <w:marTop w:val="0"/>
      <w:marBottom w:val="0"/>
      <w:divBdr>
        <w:top w:val="none" w:sz="0" w:space="0" w:color="auto"/>
        <w:left w:val="none" w:sz="0" w:space="0" w:color="auto"/>
        <w:bottom w:val="none" w:sz="0" w:space="0" w:color="auto"/>
        <w:right w:val="none" w:sz="0" w:space="0" w:color="auto"/>
      </w:divBdr>
    </w:div>
    <w:div w:id="681662963">
      <w:bodyDiv w:val="1"/>
      <w:marLeft w:val="0"/>
      <w:marRight w:val="0"/>
      <w:marTop w:val="0"/>
      <w:marBottom w:val="0"/>
      <w:divBdr>
        <w:top w:val="none" w:sz="0" w:space="0" w:color="auto"/>
        <w:left w:val="none" w:sz="0" w:space="0" w:color="auto"/>
        <w:bottom w:val="none" w:sz="0" w:space="0" w:color="auto"/>
        <w:right w:val="none" w:sz="0" w:space="0" w:color="auto"/>
      </w:divBdr>
    </w:div>
    <w:div w:id="682897477">
      <w:bodyDiv w:val="1"/>
      <w:marLeft w:val="0"/>
      <w:marRight w:val="0"/>
      <w:marTop w:val="0"/>
      <w:marBottom w:val="0"/>
      <w:divBdr>
        <w:top w:val="none" w:sz="0" w:space="0" w:color="auto"/>
        <w:left w:val="none" w:sz="0" w:space="0" w:color="auto"/>
        <w:bottom w:val="none" w:sz="0" w:space="0" w:color="auto"/>
        <w:right w:val="none" w:sz="0" w:space="0" w:color="auto"/>
      </w:divBdr>
    </w:div>
    <w:div w:id="725028985">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88089396">
      <w:bodyDiv w:val="1"/>
      <w:marLeft w:val="0"/>
      <w:marRight w:val="0"/>
      <w:marTop w:val="0"/>
      <w:marBottom w:val="0"/>
      <w:divBdr>
        <w:top w:val="none" w:sz="0" w:space="0" w:color="auto"/>
        <w:left w:val="none" w:sz="0" w:space="0" w:color="auto"/>
        <w:bottom w:val="none" w:sz="0" w:space="0" w:color="auto"/>
        <w:right w:val="none" w:sz="0" w:space="0" w:color="auto"/>
      </w:divBdr>
    </w:div>
    <w:div w:id="791939353">
      <w:bodyDiv w:val="1"/>
      <w:marLeft w:val="0"/>
      <w:marRight w:val="0"/>
      <w:marTop w:val="0"/>
      <w:marBottom w:val="0"/>
      <w:divBdr>
        <w:top w:val="none" w:sz="0" w:space="0" w:color="auto"/>
        <w:left w:val="none" w:sz="0" w:space="0" w:color="auto"/>
        <w:bottom w:val="none" w:sz="0" w:space="0" w:color="auto"/>
        <w:right w:val="none" w:sz="0" w:space="0" w:color="auto"/>
      </w:divBdr>
    </w:div>
    <w:div w:id="810096733">
      <w:bodyDiv w:val="1"/>
      <w:marLeft w:val="0"/>
      <w:marRight w:val="0"/>
      <w:marTop w:val="0"/>
      <w:marBottom w:val="0"/>
      <w:divBdr>
        <w:top w:val="none" w:sz="0" w:space="0" w:color="auto"/>
        <w:left w:val="none" w:sz="0" w:space="0" w:color="auto"/>
        <w:bottom w:val="none" w:sz="0" w:space="0" w:color="auto"/>
        <w:right w:val="none" w:sz="0" w:space="0" w:color="auto"/>
      </w:divBdr>
    </w:div>
    <w:div w:id="826676925">
      <w:bodyDiv w:val="1"/>
      <w:marLeft w:val="0"/>
      <w:marRight w:val="0"/>
      <w:marTop w:val="0"/>
      <w:marBottom w:val="0"/>
      <w:divBdr>
        <w:top w:val="none" w:sz="0" w:space="0" w:color="auto"/>
        <w:left w:val="none" w:sz="0" w:space="0" w:color="auto"/>
        <w:bottom w:val="none" w:sz="0" w:space="0" w:color="auto"/>
        <w:right w:val="none" w:sz="0" w:space="0" w:color="auto"/>
      </w:divBdr>
    </w:div>
    <w:div w:id="860899955">
      <w:bodyDiv w:val="1"/>
      <w:marLeft w:val="0"/>
      <w:marRight w:val="0"/>
      <w:marTop w:val="0"/>
      <w:marBottom w:val="0"/>
      <w:divBdr>
        <w:top w:val="none" w:sz="0" w:space="0" w:color="auto"/>
        <w:left w:val="none" w:sz="0" w:space="0" w:color="auto"/>
        <w:bottom w:val="none" w:sz="0" w:space="0" w:color="auto"/>
        <w:right w:val="none" w:sz="0" w:space="0" w:color="auto"/>
      </w:divBdr>
    </w:div>
    <w:div w:id="950357773">
      <w:bodyDiv w:val="1"/>
      <w:marLeft w:val="0"/>
      <w:marRight w:val="0"/>
      <w:marTop w:val="0"/>
      <w:marBottom w:val="0"/>
      <w:divBdr>
        <w:top w:val="none" w:sz="0" w:space="0" w:color="auto"/>
        <w:left w:val="none" w:sz="0" w:space="0" w:color="auto"/>
        <w:bottom w:val="none" w:sz="0" w:space="0" w:color="auto"/>
        <w:right w:val="none" w:sz="0" w:space="0" w:color="auto"/>
      </w:divBdr>
      <w:divsChild>
        <w:div w:id="1724985209">
          <w:marLeft w:val="0"/>
          <w:marRight w:val="0"/>
          <w:marTop w:val="0"/>
          <w:marBottom w:val="0"/>
          <w:divBdr>
            <w:top w:val="none" w:sz="0" w:space="0" w:color="auto"/>
            <w:left w:val="none" w:sz="0" w:space="0" w:color="auto"/>
            <w:bottom w:val="none" w:sz="0" w:space="0" w:color="auto"/>
            <w:right w:val="none" w:sz="0" w:space="0" w:color="auto"/>
          </w:divBdr>
        </w:div>
      </w:divsChild>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983967114">
      <w:bodyDiv w:val="1"/>
      <w:marLeft w:val="0"/>
      <w:marRight w:val="0"/>
      <w:marTop w:val="0"/>
      <w:marBottom w:val="0"/>
      <w:divBdr>
        <w:top w:val="none" w:sz="0" w:space="0" w:color="auto"/>
        <w:left w:val="none" w:sz="0" w:space="0" w:color="auto"/>
        <w:bottom w:val="none" w:sz="0" w:space="0" w:color="auto"/>
        <w:right w:val="none" w:sz="0" w:space="0" w:color="auto"/>
      </w:divBdr>
    </w:div>
    <w:div w:id="1004161118">
      <w:bodyDiv w:val="1"/>
      <w:marLeft w:val="0"/>
      <w:marRight w:val="0"/>
      <w:marTop w:val="0"/>
      <w:marBottom w:val="0"/>
      <w:divBdr>
        <w:top w:val="none" w:sz="0" w:space="0" w:color="auto"/>
        <w:left w:val="none" w:sz="0" w:space="0" w:color="auto"/>
        <w:bottom w:val="none" w:sz="0" w:space="0" w:color="auto"/>
        <w:right w:val="none" w:sz="0" w:space="0" w:color="auto"/>
      </w:divBdr>
    </w:div>
    <w:div w:id="1012417910">
      <w:bodyDiv w:val="1"/>
      <w:marLeft w:val="0"/>
      <w:marRight w:val="0"/>
      <w:marTop w:val="0"/>
      <w:marBottom w:val="0"/>
      <w:divBdr>
        <w:top w:val="none" w:sz="0" w:space="0" w:color="auto"/>
        <w:left w:val="none" w:sz="0" w:space="0" w:color="auto"/>
        <w:bottom w:val="none" w:sz="0" w:space="0" w:color="auto"/>
        <w:right w:val="none" w:sz="0" w:space="0" w:color="auto"/>
      </w:divBdr>
    </w:div>
    <w:div w:id="1035276449">
      <w:bodyDiv w:val="1"/>
      <w:marLeft w:val="0"/>
      <w:marRight w:val="0"/>
      <w:marTop w:val="0"/>
      <w:marBottom w:val="0"/>
      <w:divBdr>
        <w:top w:val="none" w:sz="0" w:space="0" w:color="auto"/>
        <w:left w:val="none" w:sz="0" w:space="0" w:color="auto"/>
        <w:bottom w:val="none" w:sz="0" w:space="0" w:color="auto"/>
        <w:right w:val="none" w:sz="0" w:space="0" w:color="auto"/>
      </w:divBdr>
    </w:div>
    <w:div w:id="1053623453">
      <w:bodyDiv w:val="1"/>
      <w:marLeft w:val="0"/>
      <w:marRight w:val="0"/>
      <w:marTop w:val="0"/>
      <w:marBottom w:val="0"/>
      <w:divBdr>
        <w:top w:val="none" w:sz="0" w:space="0" w:color="auto"/>
        <w:left w:val="none" w:sz="0" w:space="0" w:color="auto"/>
        <w:bottom w:val="none" w:sz="0" w:space="0" w:color="auto"/>
        <w:right w:val="none" w:sz="0" w:space="0" w:color="auto"/>
      </w:divBdr>
    </w:div>
    <w:div w:id="1062406059">
      <w:bodyDiv w:val="1"/>
      <w:marLeft w:val="0"/>
      <w:marRight w:val="0"/>
      <w:marTop w:val="0"/>
      <w:marBottom w:val="0"/>
      <w:divBdr>
        <w:top w:val="none" w:sz="0" w:space="0" w:color="auto"/>
        <w:left w:val="none" w:sz="0" w:space="0" w:color="auto"/>
        <w:bottom w:val="none" w:sz="0" w:space="0" w:color="auto"/>
        <w:right w:val="none" w:sz="0" w:space="0" w:color="auto"/>
      </w:divBdr>
    </w:div>
    <w:div w:id="1063868207">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553112">
      <w:bodyDiv w:val="1"/>
      <w:marLeft w:val="0"/>
      <w:marRight w:val="0"/>
      <w:marTop w:val="0"/>
      <w:marBottom w:val="0"/>
      <w:divBdr>
        <w:top w:val="none" w:sz="0" w:space="0" w:color="auto"/>
        <w:left w:val="none" w:sz="0" w:space="0" w:color="auto"/>
        <w:bottom w:val="none" w:sz="0" w:space="0" w:color="auto"/>
        <w:right w:val="none" w:sz="0" w:space="0" w:color="auto"/>
      </w:divBdr>
    </w:div>
    <w:div w:id="1087309642">
      <w:bodyDiv w:val="1"/>
      <w:marLeft w:val="0"/>
      <w:marRight w:val="0"/>
      <w:marTop w:val="0"/>
      <w:marBottom w:val="0"/>
      <w:divBdr>
        <w:top w:val="none" w:sz="0" w:space="0" w:color="auto"/>
        <w:left w:val="none" w:sz="0" w:space="0" w:color="auto"/>
        <w:bottom w:val="none" w:sz="0" w:space="0" w:color="auto"/>
        <w:right w:val="none" w:sz="0" w:space="0" w:color="auto"/>
      </w:divBdr>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30900980">
      <w:bodyDiv w:val="1"/>
      <w:marLeft w:val="0"/>
      <w:marRight w:val="0"/>
      <w:marTop w:val="0"/>
      <w:marBottom w:val="0"/>
      <w:divBdr>
        <w:top w:val="none" w:sz="0" w:space="0" w:color="auto"/>
        <w:left w:val="none" w:sz="0" w:space="0" w:color="auto"/>
        <w:bottom w:val="none" w:sz="0" w:space="0" w:color="auto"/>
        <w:right w:val="none" w:sz="0" w:space="0" w:color="auto"/>
      </w:divBdr>
    </w:div>
    <w:div w:id="1223323436">
      <w:bodyDiv w:val="1"/>
      <w:marLeft w:val="0"/>
      <w:marRight w:val="0"/>
      <w:marTop w:val="0"/>
      <w:marBottom w:val="0"/>
      <w:divBdr>
        <w:top w:val="none" w:sz="0" w:space="0" w:color="auto"/>
        <w:left w:val="none" w:sz="0" w:space="0" w:color="auto"/>
        <w:bottom w:val="none" w:sz="0" w:space="0" w:color="auto"/>
        <w:right w:val="none" w:sz="0" w:space="0" w:color="auto"/>
      </w:divBdr>
    </w:div>
    <w:div w:id="1281063131">
      <w:bodyDiv w:val="1"/>
      <w:marLeft w:val="0"/>
      <w:marRight w:val="0"/>
      <w:marTop w:val="0"/>
      <w:marBottom w:val="0"/>
      <w:divBdr>
        <w:top w:val="none" w:sz="0" w:space="0" w:color="auto"/>
        <w:left w:val="none" w:sz="0" w:space="0" w:color="auto"/>
        <w:bottom w:val="none" w:sz="0" w:space="0" w:color="auto"/>
        <w:right w:val="none" w:sz="0" w:space="0" w:color="auto"/>
      </w:divBdr>
    </w:div>
    <w:div w:id="1294942969">
      <w:bodyDiv w:val="1"/>
      <w:marLeft w:val="0"/>
      <w:marRight w:val="0"/>
      <w:marTop w:val="0"/>
      <w:marBottom w:val="0"/>
      <w:divBdr>
        <w:top w:val="none" w:sz="0" w:space="0" w:color="auto"/>
        <w:left w:val="none" w:sz="0" w:space="0" w:color="auto"/>
        <w:bottom w:val="none" w:sz="0" w:space="0" w:color="auto"/>
        <w:right w:val="none" w:sz="0" w:space="0" w:color="auto"/>
      </w:divBdr>
    </w:div>
    <w:div w:id="1316300816">
      <w:bodyDiv w:val="1"/>
      <w:marLeft w:val="0"/>
      <w:marRight w:val="0"/>
      <w:marTop w:val="0"/>
      <w:marBottom w:val="0"/>
      <w:divBdr>
        <w:top w:val="none" w:sz="0" w:space="0" w:color="auto"/>
        <w:left w:val="none" w:sz="0" w:space="0" w:color="auto"/>
        <w:bottom w:val="none" w:sz="0" w:space="0" w:color="auto"/>
        <w:right w:val="none" w:sz="0" w:space="0" w:color="auto"/>
      </w:divBdr>
    </w:div>
    <w:div w:id="1353454520">
      <w:bodyDiv w:val="1"/>
      <w:marLeft w:val="0"/>
      <w:marRight w:val="0"/>
      <w:marTop w:val="0"/>
      <w:marBottom w:val="0"/>
      <w:divBdr>
        <w:top w:val="none" w:sz="0" w:space="0" w:color="auto"/>
        <w:left w:val="none" w:sz="0" w:space="0" w:color="auto"/>
        <w:bottom w:val="none" w:sz="0" w:space="0" w:color="auto"/>
        <w:right w:val="none" w:sz="0" w:space="0" w:color="auto"/>
      </w:divBdr>
    </w:div>
    <w:div w:id="1361972230">
      <w:bodyDiv w:val="1"/>
      <w:marLeft w:val="0"/>
      <w:marRight w:val="0"/>
      <w:marTop w:val="0"/>
      <w:marBottom w:val="0"/>
      <w:divBdr>
        <w:top w:val="none" w:sz="0" w:space="0" w:color="auto"/>
        <w:left w:val="none" w:sz="0" w:space="0" w:color="auto"/>
        <w:bottom w:val="none" w:sz="0" w:space="0" w:color="auto"/>
        <w:right w:val="none" w:sz="0" w:space="0" w:color="auto"/>
      </w:divBdr>
    </w:div>
    <w:div w:id="1371150205">
      <w:bodyDiv w:val="1"/>
      <w:marLeft w:val="0"/>
      <w:marRight w:val="0"/>
      <w:marTop w:val="0"/>
      <w:marBottom w:val="0"/>
      <w:divBdr>
        <w:top w:val="none" w:sz="0" w:space="0" w:color="auto"/>
        <w:left w:val="none" w:sz="0" w:space="0" w:color="auto"/>
        <w:bottom w:val="none" w:sz="0" w:space="0" w:color="auto"/>
        <w:right w:val="none" w:sz="0" w:space="0" w:color="auto"/>
      </w:divBdr>
    </w:div>
    <w:div w:id="1423840758">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73447446">
      <w:bodyDiv w:val="1"/>
      <w:marLeft w:val="0"/>
      <w:marRight w:val="0"/>
      <w:marTop w:val="0"/>
      <w:marBottom w:val="0"/>
      <w:divBdr>
        <w:top w:val="none" w:sz="0" w:space="0" w:color="auto"/>
        <w:left w:val="none" w:sz="0" w:space="0" w:color="auto"/>
        <w:bottom w:val="none" w:sz="0" w:space="0" w:color="auto"/>
        <w:right w:val="none" w:sz="0" w:space="0" w:color="auto"/>
      </w:divBdr>
    </w:div>
    <w:div w:id="1482236645">
      <w:bodyDiv w:val="1"/>
      <w:marLeft w:val="0"/>
      <w:marRight w:val="0"/>
      <w:marTop w:val="0"/>
      <w:marBottom w:val="0"/>
      <w:divBdr>
        <w:top w:val="none" w:sz="0" w:space="0" w:color="auto"/>
        <w:left w:val="none" w:sz="0" w:space="0" w:color="auto"/>
        <w:bottom w:val="none" w:sz="0" w:space="0" w:color="auto"/>
        <w:right w:val="none" w:sz="0" w:space="0" w:color="auto"/>
      </w:divBdr>
    </w:div>
    <w:div w:id="1498500667">
      <w:bodyDiv w:val="1"/>
      <w:marLeft w:val="0"/>
      <w:marRight w:val="0"/>
      <w:marTop w:val="0"/>
      <w:marBottom w:val="0"/>
      <w:divBdr>
        <w:top w:val="none" w:sz="0" w:space="0" w:color="auto"/>
        <w:left w:val="none" w:sz="0" w:space="0" w:color="auto"/>
        <w:bottom w:val="none" w:sz="0" w:space="0" w:color="auto"/>
        <w:right w:val="none" w:sz="0" w:space="0" w:color="auto"/>
      </w:divBdr>
    </w:div>
    <w:div w:id="1507137692">
      <w:bodyDiv w:val="1"/>
      <w:marLeft w:val="0"/>
      <w:marRight w:val="0"/>
      <w:marTop w:val="0"/>
      <w:marBottom w:val="0"/>
      <w:divBdr>
        <w:top w:val="none" w:sz="0" w:space="0" w:color="auto"/>
        <w:left w:val="none" w:sz="0" w:space="0" w:color="auto"/>
        <w:bottom w:val="none" w:sz="0" w:space="0" w:color="auto"/>
        <w:right w:val="none" w:sz="0" w:space="0" w:color="auto"/>
      </w:divBdr>
    </w:div>
    <w:div w:id="1561405310">
      <w:bodyDiv w:val="1"/>
      <w:marLeft w:val="0"/>
      <w:marRight w:val="0"/>
      <w:marTop w:val="0"/>
      <w:marBottom w:val="0"/>
      <w:divBdr>
        <w:top w:val="none" w:sz="0" w:space="0" w:color="auto"/>
        <w:left w:val="none" w:sz="0" w:space="0" w:color="auto"/>
        <w:bottom w:val="none" w:sz="0" w:space="0" w:color="auto"/>
        <w:right w:val="none" w:sz="0" w:space="0" w:color="auto"/>
      </w:divBdr>
    </w:div>
    <w:div w:id="1569801895">
      <w:bodyDiv w:val="1"/>
      <w:marLeft w:val="0"/>
      <w:marRight w:val="0"/>
      <w:marTop w:val="0"/>
      <w:marBottom w:val="0"/>
      <w:divBdr>
        <w:top w:val="none" w:sz="0" w:space="0" w:color="auto"/>
        <w:left w:val="none" w:sz="0" w:space="0" w:color="auto"/>
        <w:bottom w:val="none" w:sz="0" w:space="0" w:color="auto"/>
        <w:right w:val="none" w:sz="0" w:space="0" w:color="auto"/>
      </w:divBdr>
    </w:div>
    <w:div w:id="1617638328">
      <w:bodyDiv w:val="1"/>
      <w:marLeft w:val="0"/>
      <w:marRight w:val="0"/>
      <w:marTop w:val="0"/>
      <w:marBottom w:val="0"/>
      <w:divBdr>
        <w:top w:val="none" w:sz="0" w:space="0" w:color="auto"/>
        <w:left w:val="none" w:sz="0" w:space="0" w:color="auto"/>
        <w:bottom w:val="none" w:sz="0" w:space="0" w:color="auto"/>
        <w:right w:val="none" w:sz="0" w:space="0" w:color="auto"/>
      </w:divBdr>
    </w:div>
    <w:div w:id="1626813734">
      <w:bodyDiv w:val="1"/>
      <w:marLeft w:val="0"/>
      <w:marRight w:val="0"/>
      <w:marTop w:val="0"/>
      <w:marBottom w:val="0"/>
      <w:divBdr>
        <w:top w:val="none" w:sz="0" w:space="0" w:color="auto"/>
        <w:left w:val="none" w:sz="0" w:space="0" w:color="auto"/>
        <w:bottom w:val="none" w:sz="0" w:space="0" w:color="auto"/>
        <w:right w:val="none" w:sz="0" w:space="0" w:color="auto"/>
      </w:divBdr>
    </w:div>
    <w:div w:id="1664317617">
      <w:bodyDiv w:val="1"/>
      <w:marLeft w:val="0"/>
      <w:marRight w:val="0"/>
      <w:marTop w:val="0"/>
      <w:marBottom w:val="0"/>
      <w:divBdr>
        <w:top w:val="none" w:sz="0" w:space="0" w:color="auto"/>
        <w:left w:val="none" w:sz="0" w:space="0" w:color="auto"/>
        <w:bottom w:val="none" w:sz="0" w:space="0" w:color="auto"/>
        <w:right w:val="none" w:sz="0" w:space="0" w:color="auto"/>
      </w:divBdr>
    </w:div>
    <w:div w:id="1678658489">
      <w:bodyDiv w:val="1"/>
      <w:marLeft w:val="0"/>
      <w:marRight w:val="0"/>
      <w:marTop w:val="0"/>
      <w:marBottom w:val="0"/>
      <w:divBdr>
        <w:top w:val="none" w:sz="0" w:space="0" w:color="auto"/>
        <w:left w:val="none" w:sz="0" w:space="0" w:color="auto"/>
        <w:bottom w:val="none" w:sz="0" w:space="0" w:color="auto"/>
        <w:right w:val="none" w:sz="0" w:space="0" w:color="auto"/>
      </w:divBdr>
    </w:div>
    <w:div w:id="1691491967">
      <w:bodyDiv w:val="1"/>
      <w:marLeft w:val="0"/>
      <w:marRight w:val="0"/>
      <w:marTop w:val="0"/>
      <w:marBottom w:val="0"/>
      <w:divBdr>
        <w:top w:val="none" w:sz="0" w:space="0" w:color="auto"/>
        <w:left w:val="none" w:sz="0" w:space="0" w:color="auto"/>
        <w:bottom w:val="none" w:sz="0" w:space="0" w:color="auto"/>
        <w:right w:val="none" w:sz="0" w:space="0" w:color="auto"/>
      </w:divBdr>
      <w:divsChild>
        <w:div w:id="1197816932">
          <w:marLeft w:val="0"/>
          <w:marRight w:val="0"/>
          <w:marTop w:val="0"/>
          <w:marBottom w:val="0"/>
          <w:divBdr>
            <w:top w:val="none" w:sz="0" w:space="0" w:color="auto"/>
            <w:left w:val="none" w:sz="0" w:space="0" w:color="auto"/>
            <w:bottom w:val="none" w:sz="0" w:space="0" w:color="auto"/>
            <w:right w:val="none" w:sz="0" w:space="0" w:color="auto"/>
          </w:divBdr>
        </w:div>
      </w:divsChild>
    </w:div>
    <w:div w:id="1710102976">
      <w:bodyDiv w:val="1"/>
      <w:marLeft w:val="0"/>
      <w:marRight w:val="0"/>
      <w:marTop w:val="0"/>
      <w:marBottom w:val="0"/>
      <w:divBdr>
        <w:top w:val="none" w:sz="0" w:space="0" w:color="auto"/>
        <w:left w:val="none" w:sz="0" w:space="0" w:color="auto"/>
        <w:bottom w:val="none" w:sz="0" w:space="0" w:color="auto"/>
        <w:right w:val="none" w:sz="0" w:space="0" w:color="auto"/>
      </w:divBdr>
    </w:div>
    <w:div w:id="1752697974">
      <w:bodyDiv w:val="1"/>
      <w:marLeft w:val="0"/>
      <w:marRight w:val="0"/>
      <w:marTop w:val="0"/>
      <w:marBottom w:val="0"/>
      <w:divBdr>
        <w:top w:val="none" w:sz="0" w:space="0" w:color="auto"/>
        <w:left w:val="none" w:sz="0" w:space="0" w:color="auto"/>
        <w:bottom w:val="none" w:sz="0" w:space="0" w:color="auto"/>
        <w:right w:val="none" w:sz="0" w:space="0" w:color="auto"/>
      </w:divBdr>
    </w:div>
    <w:div w:id="1784419174">
      <w:bodyDiv w:val="1"/>
      <w:marLeft w:val="0"/>
      <w:marRight w:val="0"/>
      <w:marTop w:val="0"/>
      <w:marBottom w:val="0"/>
      <w:divBdr>
        <w:top w:val="none" w:sz="0" w:space="0" w:color="auto"/>
        <w:left w:val="none" w:sz="0" w:space="0" w:color="auto"/>
        <w:bottom w:val="none" w:sz="0" w:space="0" w:color="auto"/>
        <w:right w:val="none" w:sz="0" w:space="0" w:color="auto"/>
      </w:divBdr>
    </w:div>
    <w:div w:id="1798522028">
      <w:bodyDiv w:val="1"/>
      <w:marLeft w:val="0"/>
      <w:marRight w:val="0"/>
      <w:marTop w:val="0"/>
      <w:marBottom w:val="0"/>
      <w:divBdr>
        <w:top w:val="none" w:sz="0" w:space="0" w:color="auto"/>
        <w:left w:val="none" w:sz="0" w:space="0" w:color="auto"/>
        <w:bottom w:val="none" w:sz="0" w:space="0" w:color="auto"/>
        <w:right w:val="none" w:sz="0" w:space="0" w:color="auto"/>
      </w:divBdr>
    </w:div>
    <w:div w:id="1818838628">
      <w:bodyDiv w:val="1"/>
      <w:marLeft w:val="0"/>
      <w:marRight w:val="0"/>
      <w:marTop w:val="0"/>
      <w:marBottom w:val="0"/>
      <w:divBdr>
        <w:top w:val="none" w:sz="0" w:space="0" w:color="auto"/>
        <w:left w:val="none" w:sz="0" w:space="0" w:color="auto"/>
        <w:bottom w:val="none" w:sz="0" w:space="0" w:color="auto"/>
        <w:right w:val="none" w:sz="0" w:space="0" w:color="auto"/>
      </w:divBdr>
    </w:div>
    <w:div w:id="1881504305">
      <w:bodyDiv w:val="1"/>
      <w:marLeft w:val="0"/>
      <w:marRight w:val="0"/>
      <w:marTop w:val="0"/>
      <w:marBottom w:val="0"/>
      <w:divBdr>
        <w:top w:val="none" w:sz="0" w:space="0" w:color="auto"/>
        <w:left w:val="none" w:sz="0" w:space="0" w:color="auto"/>
        <w:bottom w:val="none" w:sz="0" w:space="0" w:color="auto"/>
        <w:right w:val="none" w:sz="0" w:space="0" w:color="auto"/>
      </w:divBdr>
    </w:div>
    <w:div w:id="1886944091">
      <w:bodyDiv w:val="1"/>
      <w:marLeft w:val="0"/>
      <w:marRight w:val="0"/>
      <w:marTop w:val="0"/>
      <w:marBottom w:val="0"/>
      <w:divBdr>
        <w:top w:val="none" w:sz="0" w:space="0" w:color="auto"/>
        <w:left w:val="none" w:sz="0" w:space="0" w:color="auto"/>
        <w:bottom w:val="none" w:sz="0" w:space="0" w:color="auto"/>
        <w:right w:val="none" w:sz="0" w:space="0" w:color="auto"/>
      </w:divBdr>
      <w:divsChild>
        <w:div w:id="1011953767">
          <w:marLeft w:val="0"/>
          <w:marRight w:val="0"/>
          <w:marTop w:val="0"/>
          <w:marBottom w:val="0"/>
          <w:divBdr>
            <w:top w:val="none" w:sz="0" w:space="0" w:color="auto"/>
            <w:left w:val="none" w:sz="0" w:space="0" w:color="auto"/>
            <w:bottom w:val="none" w:sz="0" w:space="0" w:color="auto"/>
            <w:right w:val="none" w:sz="0" w:space="0" w:color="auto"/>
          </w:divBdr>
        </w:div>
      </w:divsChild>
    </w:div>
    <w:div w:id="1925719685">
      <w:bodyDiv w:val="1"/>
      <w:marLeft w:val="0"/>
      <w:marRight w:val="0"/>
      <w:marTop w:val="0"/>
      <w:marBottom w:val="0"/>
      <w:divBdr>
        <w:top w:val="none" w:sz="0" w:space="0" w:color="auto"/>
        <w:left w:val="none" w:sz="0" w:space="0" w:color="auto"/>
        <w:bottom w:val="none" w:sz="0" w:space="0" w:color="auto"/>
        <w:right w:val="none" w:sz="0" w:space="0" w:color="auto"/>
      </w:divBdr>
    </w:div>
    <w:div w:id="1957445053">
      <w:bodyDiv w:val="1"/>
      <w:marLeft w:val="0"/>
      <w:marRight w:val="0"/>
      <w:marTop w:val="0"/>
      <w:marBottom w:val="0"/>
      <w:divBdr>
        <w:top w:val="none" w:sz="0" w:space="0" w:color="auto"/>
        <w:left w:val="none" w:sz="0" w:space="0" w:color="auto"/>
        <w:bottom w:val="none" w:sz="0" w:space="0" w:color="auto"/>
        <w:right w:val="none" w:sz="0" w:space="0" w:color="auto"/>
      </w:divBdr>
      <w:divsChild>
        <w:div w:id="580984820">
          <w:marLeft w:val="0"/>
          <w:marRight w:val="0"/>
          <w:marTop w:val="0"/>
          <w:marBottom w:val="0"/>
          <w:divBdr>
            <w:top w:val="none" w:sz="0" w:space="0" w:color="auto"/>
            <w:left w:val="none" w:sz="0" w:space="0" w:color="auto"/>
            <w:bottom w:val="none" w:sz="0" w:space="0" w:color="auto"/>
            <w:right w:val="none" w:sz="0" w:space="0" w:color="auto"/>
          </w:divBdr>
        </w:div>
      </w:divsChild>
    </w:div>
    <w:div w:id="1990134206">
      <w:bodyDiv w:val="1"/>
      <w:marLeft w:val="0"/>
      <w:marRight w:val="0"/>
      <w:marTop w:val="0"/>
      <w:marBottom w:val="0"/>
      <w:divBdr>
        <w:top w:val="none" w:sz="0" w:space="0" w:color="auto"/>
        <w:left w:val="none" w:sz="0" w:space="0" w:color="auto"/>
        <w:bottom w:val="none" w:sz="0" w:space="0" w:color="auto"/>
        <w:right w:val="none" w:sz="0" w:space="0" w:color="auto"/>
      </w:divBdr>
    </w:div>
    <w:div w:id="1999185359">
      <w:bodyDiv w:val="1"/>
      <w:marLeft w:val="0"/>
      <w:marRight w:val="0"/>
      <w:marTop w:val="0"/>
      <w:marBottom w:val="0"/>
      <w:divBdr>
        <w:top w:val="none" w:sz="0" w:space="0" w:color="auto"/>
        <w:left w:val="none" w:sz="0" w:space="0" w:color="auto"/>
        <w:bottom w:val="none" w:sz="0" w:space="0" w:color="auto"/>
        <w:right w:val="none" w:sz="0" w:space="0" w:color="auto"/>
      </w:divBdr>
    </w:div>
    <w:div w:id="2060590590">
      <w:bodyDiv w:val="1"/>
      <w:marLeft w:val="0"/>
      <w:marRight w:val="0"/>
      <w:marTop w:val="0"/>
      <w:marBottom w:val="0"/>
      <w:divBdr>
        <w:top w:val="none" w:sz="0" w:space="0" w:color="auto"/>
        <w:left w:val="none" w:sz="0" w:space="0" w:color="auto"/>
        <w:bottom w:val="none" w:sz="0" w:space="0" w:color="auto"/>
        <w:right w:val="none" w:sz="0" w:space="0" w:color="auto"/>
      </w:divBdr>
    </w:div>
    <w:div w:id="2093234231">
      <w:bodyDiv w:val="1"/>
      <w:marLeft w:val="0"/>
      <w:marRight w:val="0"/>
      <w:marTop w:val="0"/>
      <w:marBottom w:val="0"/>
      <w:divBdr>
        <w:top w:val="none" w:sz="0" w:space="0" w:color="auto"/>
        <w:left w:val="none" w:sz="0" w:space="0" w:color="auto"/>
        <w:bottom w:val="none" w:sz="0" w:space="0" w:color="auto"/>
        <w:right w:val="none" w:sz="0" w:space="0" w:color="auto"/>
      </w:divBdr>
    </w:div>
    <w:div w:id="2094081761">
      <w:bodyDiv w:val="1"/>
      <w:marLeft w:val="0"/>
      <w:marRight w:val="0"/>
      <w:marTop w:val="0"/>
      <w:marBottom w:val="0"/>
      <w:divBdr>
        <w:top w:val="none" w:sz="0" w:space="0" w:color="auto"/>
        <w:left w:val="none" w:sz="0" w:space="0" w:color="auto"/>
        <w:bottom w:val="none" w:sz="0" w:space="0" w:color="auto"/>
        <w:right w:val="none" w:sz="0" w:space="0" w:color="auto"/>
      </w:divBdr>
    </w:div>
    <w:div w:id="214056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3.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2" Type="http://schemas.openxmlformats.org/officeDocument/2006/relationships/hyperlink" Target="http://www.enterprisesurveys.org/Data/ExploreEconomies/2010/dominican-republic" TargetMode="External"/><Relationship Id="rId1" Type="http://schemas.openxmlformats.org/officeDocument/2006/relationships/hyperlink" Target="http://www.imf.org/external/pubs/ft/wp/2013/wp1314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79C4E-2C6A-4579-9624-5D4F68CF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23</Pages>
  <Words>7122</Words>
  <Characters>39173</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Torrico Duran, Blanca Paola</cp:lastModifiedBy>
  <cp:revision>31</cp:revision>
  <cp:lastPrinted>2014-09-12T14:41:00Z</cp:lastPrinted>
  <dcterms:created xsi:type="dcterms:W3CDTF">2017-06-15T16:13:00Z</dcterms:created>
  <dcterms:modified xsi:type="dcterms:W3CDTF">2017-10-07T19:00:00Z</dcterms:modified>
</cp:coreProperties>
</file>