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5CAB" w:rsidRDefault="00055CAB" w:rsidP="0095711B">
      <w:pPr>
        <w:spacing w:after="0" w:line="240" w:lineRule="auto"/>
        <w:jc w:val="center"/>
        <w:rPr>
          <w:b/>
        </w:rPr>
      </w:pPr>
      <w:bookmarkStart w:id="0" w:name="_GoBack"/>
      <w:bookmarkEnd w:id="0"/>
    </w:p>
    <w:p w:rsidR="00F57249" w:rsidRDefault="00F57249" w:rsidP="0095711B">
      <w:pPr>
        <w:spacing w:after="0" w:line="240" w:lineRule="auto"/>
        <w:jc w:val="center"/>
        <w:rPr>
          <w:b/>
        </w:rPr>
      </w:pPr>
      <w:r>
        <w:rPr>
          <w:b/>
        </w:rPr>
        <w:t>RG-T2365</w:t>
      </w:r>
    </w:p>
    <w:p w:rsidR="0095711B" w:rsidRPr="00D2491C" w:rsidRDefault="00703F77" w:rsidP="0095711B">
      <w:pPr>
        <w:spacing w:after="0" w:line="240" w:lineRule="auto"/>
        <w:jc w:val="center"/>
        <w:rPr>
          <w:b/>
        </w:rPr>
      </w:pPr>
      <w:r>
        <w:rPr>
          <w:b/>
        </w:rPr>
        <w:t>SUPPORT CAPACITY BUILDING AND KNOWLEDGE EXCHANGE FOR CLIMATE CHANGE</w:t>
      </w:r>
      <w:r w:rsidRPr="00F81D7B">
        <w:rPr>
          <w:b/>
        </w:rPr>
        <w:t xml:space="preserve"> AND SUSTAINABILITY</w:t>
      </w:r>
    </w:p>
    <w:p w:rsidR="0095711B" w:rsidRPr="008E50DB" w:rsidRDefault="0095711B" w:rsidP="0095711B">
      <w:pPr>
        <w:pStyle w:val="ListParagraph"/>
        <w:numPr>
          <w:ilvl w:val="0"/>
          <w:numId w:val="5"/>
        </w:numPr>
        <w:rPr>
          <w:b/>
          <w:sz w:val="20"/>
          <w:szCs w:val="20"/>
        </w:rPr>
      </w:pPr>
      <w:r w:rsidRPr="008E50DB">
        <w:rPr>
          <w:b/>
          <w:sz w:val="20"/>
          <w:szCs w:val="20"/>
        </w:rPr>
        <w:t xml:space="preserve">Basic </w:t>
      </w:r>
      <w:r w:rsidR="00596B8A">
        <w:rPr>
          <w:b/>
          <w:sz w:val="20"/>
          <w:szCs w:val="20"/>
        </w:rPr>
        <w:t>P</w:t>
      </w:r>
      <w:r w:rsidRPr="008E50DB">
        <w:rPr>
          <w:b/>
          <w:sz w:val="20"/>
          <w:szCs w:val="20"/>
        </w:rPr>
        <w:t xml:space="preserve">roject </w:t>
      </w:r>
      <w:r w:rsidR="00596B8A">
        <w:rPr>
          <w:b/>
          <w:sz w:val="20"/>
          <w:szCs w:val="20"/>
        </w:rPr>
        <w:t>D</w:t>
      </w:r>
      <w:r w:rsidRPr="008E50DB">
        <w:rPr>
          <w:b/>
          <w:sz w:val="20"/>
          <w:szCs w:val="20"/>
        </w:rPr>
        <w:t>ata</w:t>
      </w:r>
    </w:p>
    <w:tbl>
      <w:tblPr>
        <w:tblStyle w:val="TableGrid"/>
        <w:tblW w:w="0" w:type="auto"/>
        <w:tblInd w:w="46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050"/>
        <w:gridCol w:w="5058"/>
      </w:tblGrid>
      <w:tr w:rsidR="00F2521F" w:rsidRPr="008E50DB" w:rsidTr="00F2521F">
        <w:tc>
          <w:tcPr>
            <w:tcW w:w="4050" w:type="dxa"/>
          </w:tcPr>
          <w:p w:rsidR="00F2521F" w:rsidRPr="008E50DB" w:rsidRDefault="00F2521F" w:rsidP="00F2521F">
            <w:pPr>
              <w:pStyle w:val="ListParagraph"/>
              <w:numPr>
                <w:ilvl w:val="0"/>
                <w:numId w:val="2"/>
              </w:numPr>
              <w:ind w:left="162" w:hanging="162"/>
              <w:rPr>
                <w:sz w:val="20"/>
                <w:szCs w:val="20"/>
              </w:rPr>
            </w:pPr>
            <w:r w:rsidRPr="008E50DB">
              <w:rPr>
                <w:sz w:val="20"/>
                <w:szCs w:val="20"/>
              </w:rPr>
              <w:t>Country/Region:</w:t>
            </w:r>
          </w:p>
        </w:tc>
        <w:tc>
          <w:tcPr>
            <w:tcW w:w="5058" w:type="dxa"/>
          </w:tcPr>
          <w:p w:rsidR="00F2521F" w:rsidRPr="008E50DB" w:rsidRDefault="00B52D02" w:rsidP="008978B9">
            <w:pPr>
              <w:rPr>
                <w:sz w:val="20"/>
                <w:szCs w:val="20"/>
              </w:rPr>
            </w:pPr>
            <w:r w:rsidRPr="008E50DB">
              <w:rPr>
                <w:rFonts w:ascii="Calibri" w:hAnsi="Calibri" w:cs="Calibri"/>
                <w:sz w:val="20"/>
                <w:szCs w:val="20"/>
              </w:rPr>
              <w:t>Regional Project</w:t>
            </w:r>
          </w:p>
        </w:tc>
      </w:tr>
      <w:tr w:rsidR="00F2521F" w:rsidRPr="008E50DB" w:rsidTr="00F2521F">
        <w:tc>
          <w:tcPr>
            <w:tcW w:w="4050" w:type="dxa"/>
          </w:tcPr>
          <w:p w:rsidR="00F2521F" w:rsidRPr="008E50DB" w:rsidRDefault="00F2521F" w:rsidP="00F2521F">
            <w:pPr>
              <w:pStyle w:val="ListParagraph"/>
              <w:numPr>
                <w:ilvl w:val="0"/>
                <w:numId w:val="2"/>
              </w:numPr>
              <w:ind w:left="162" w:hanging="162"/>
              <w:rPr>
                <w:sz w:val="20"/>
                <w:szCs w:val="20"/>
              </w:rPr>
            </w:pPr>
            <w:r w:rsidRPr="008E50DB">
              <w:rPr>
                <w:sz w:val="20"/>
                <w:szCs w:val="20"/>
              </w:rPr>
              <w:t>TC Name:</w:t>
            </w:r>
          </w:p>
        </w:tc>
        <w:tc>
          <w:tcPr>
            <w:tcW w:w="5058" w:type="dxa"/>
          </w:tcPr>
          <w:p w:rsidR="00F2521F" w:rsidRPr="008E50DB" w:rsidRDefault="00B52D02" w:rsidP="00763850">
            <w:pPr>
              <w:autoSpaceDE w:val="0"/>
              <w:autoSpaceDN w:val="0"/>
              <w:adjustRightInd w:val="0"/>
              <w:rPr>
                <w:sz w:val="20"/>
                <w:szCs w:val="20"/>
              </w:rPr>
            </w:pPr>
            <w:r w:rsidRPr="008E50DB">
              <w:rPr>
                <w:rFonts w:ascii="Calibri" w:hAnsi="Calibri" w:cs="Calibri"/>
                <w:sz w:val="20"/>
                <w:szCs w:val="20"/>
              </w:rPr>
              <w:t>“</w:t>
            </w:r>
            <w:r w:rsidR="004C5131" w:rsidRPr="008E50DB">
              <w:rPr>
                <w:rFonts w:ascii="Calibri" w:hAnsi="Calibri" w:cs="Calibri"/>
                <w:sz w:val="20"/>
                <w:szCs w:val="20"/>
              </w:rPr>
              <w:t>Support Capacity Building and Knowledge Exchange for Climate Change and Sustainability</w:t>
            </w:r>
            <w:r w:rsidR="00C84ABB" w:rsidRPr="008E50DB">
              <w:rPr>
                <w:rFonts w:ascii="Calibri" w:hAnsi="Calibri" w:cs="Calibri"/>
                <w:sz w:val="20"/>
                <w:szCs w:val="20"/>
              </w:rPr>
              <w:t>”</w:t>
            </w:r>
          </w:p>
        </w:tc>
      </w:tr>
      <w:tr w:rsidR="00F2521F" w:rsidRPr="008E50DB" w:rsidTr="00F2521F">
        <w:tc>
          <w:tcPr>
            <w:tcW w:w="4050" w:type="dxa"/>
          </w:tcPr>
          <w:p w:rsidR="00F2521F" w:rsidRPr="008E50DB" w:rsidRDefault="00F2521F" w:rsidP="00F2521F">
            <w:pPr>
              <w:pStyle w:val="ListParagraph"/>
              <w:numPr>
                <w:ilvl w:val="0"/>
                <w:numId w:val="2"/>
              </w:numPr>
              <w:ind w:left="162" w:hanging="162"/>
              <w:rPr>
                <w:sz w:val="20"/>
                <w:szCs w:val="20"/>
              </w:rPr>
            </w:pPr>
            <w:r w:rsidRPr="008E50DB">
              <w:rPr>
                <w:sz w:val="20"/>
                <w:szCs w:val="20"/>
              </w:rPr>
              <w:t>TC Number:</w:t>
            </w:r>
          </w:p>
        </w:tc>
        <w:tc>
          <w:tcPr>
            <w:tcW w:w="5058" w:type="dxa"/>
          </w:tcPr>
          <w:p w:rsidR="00F2521F" w:rsidRPr="008E50DB" w:rsidRDefault="00F2521F" w:rsidP="00F2521F">
            <w:pPr>
              <w:ind w:left="360"/>
              <w:rPr>
                <w:sz w:val="20"/>
                <w:szCs w:val="20"/>
              </w:rPr>
            </w:pPr>
          </w:p>
        </w:tc>
      </w:tr>
      <w:tr w:rsidR="00F2521F" w:rsidRPr="008E50DB" w:rsidTr="00F2521F">
        <w:tc>
          <w:tcPr>
            <w:tcW w:w="4050" w:type="dxa"/>
          </w:tcPr>
          <w:p w:rsidR="00F2521F" w:rsidRPr="008E50DB" w:rsidRDefault="00F2521F" w:rsidP="00F2521F">
            <w:pPr>
              <w:pStyle w:val="ListParagraph"/>
              <w:numPr>
                <w:ilvl w:val="0"/>
                <w:numId w:val="2"/>
              </w:numPr>
              <w:ind w:left="162" w:hanging="162"/>
              <w:rPr>
                <w:sz w:val="20"/>
                <w:szCs w:val="20"/>
              </w:rPr>
            </w:pPr>
            <w:r w:rsidRPr="008E50DB">
              <w:rPr>
                <w:sz w:val="20"/>
                <w:szCs w:val="20"/>
              </w:rPr>
              <w:t>Team Leader/Members:</w:t>
            </w:r>
          </w:p>
        </w:tc>
        <w:tc>
          <w:tcPr>
            <w:tcW w:w="5058" w:type="dxa"/>
          </w:tcPr>
          <w:p w:rsidR="00F2521F" w:rsidRPr="008E50DB" w:rsidRDefault="00B52D02" w:rsidP="00944C89">
            <w:pPr>
              <w:rPr>
                <w:sz w:val="20"/>
                <w:szCs w:val="20"/>
              </w:rPr>
            </w:pPr>
            <w:r w:rsidRPr="008E50DB">
              <w:rPr>
                <w:sz w:val="20"/>
                <w:szCs w:val="20"/>
              </w:rPr>
              <w:t xml:space="preserve">Lorena Rodríguez </w:t>
            </w:r>
            <w:r w:rsidR="001558B7" w:rsidRPr="008E50DB">
              <w:rPr>
                <w:sz w:val="20"/>
                <w:szCs w:val="20"/>
              </w:rPr>
              <w:t>(Team Leader)</w:t>
            </w:r>
            <w:r w:rsidR="002F47ED" w:rsidRPr="008E50DB">
              <w:rPr>
                <w:sz w:val="20"/>
                <w:szCs w:val="20"/>
              </w:rPr>
              <w:t>,</w:t>
            </w:r>
            <w:r w:rsidR="008978B9" w:rsidRPr="008E50DB">
              <w:rPr>
                <w:sz w:val="20"/>
                <w:szCs w:val="20"/>
              </w:rPr>
              <w:t xml:space="preserve"> </w:t>
            </w:r>
            <w:r w:rsidR="002F47ED" w:rsidRPr="008E50DB">
              <w:rPr>
                <w:sz w:val="20"/>
                <w:szCs w:val="20"/>
              </w:rPr>
              <w:t xml:space="preserve">Alejandra Maruri and Antonio </w:t>
            </w:r>
            <w:proofErr w:type="spellStart"/>
            <w:proofErr w:type="gramStart"/>
            <w:r w:rsidR="002F47ED" w:rsidRPr="008E50DB">
              <w:rPr>
                <w:sz w:val="20"/>
                <w:szCs w:val="20"/>
              </w:rPr>
              <w:t>Moneo</w:t>
            </w:r>
            <w:proofErr w:type="spellEnd"/>
            <w:r w:rsidR="002F47ED" w:rsidRPr="008E50DB">
              <w:rPr>
                <w:sz w:val="20"/>
                <w:szCs w:val="20"/>
              </w:rPr>
              <w:t xml:space="preserve"> </w:t>
            </w:r>
            <w:r w:rsidR="008978B9" w:rsidRPr="008E50DB">
              <w:rPr>
                <w:sz w:val="20"/>
                <w:szCs w:val="20"/>
              </w:rPr>
              <w:t xml:space="preserve"> </w:t>
            </w:r>
            <w:r w:rsidRPr="008E50DB">
              <w:rPr>
                <w:sz w:val="20"/>
                <w:szCs w:val="20"/>
              </w:rPr>
              <w:t>(</w:t>
            </w:r>
            <w:proofErr w:type="gramEnd"/>
            <w:r w:rsidRPr="008E50DB">
              <w:rPr>
                <w:sz w:val="20"/>
                <w:szCs w:val="20"/>
              </w:rPr>
              <w:t xml:space="preserve">KNL/KNM); </w:t>
            </w:r>
            <w:r w:rsidR="00662F0F" w:rsidRPr="008E50DB">
              <w:rPr>
                <w:sz w:val="20"/>
                <w:szCs w:val="20"/>
              </w:rPr>
              <w:t xml:space="preserve"> </w:t>
            </w:r>
            <w:r w:rsidR="00345EA4" w:rsidRPr="008E50DB">
              <w:rPr>
                <w:sz w:val="20"/>
                <w:szCs w:val="20"/>
              </w:rPr>
              <w:t>Alfred Grunwaldt (</w:t>
            </w:r>
            <w:r w:rsidR="001558B7" w:rsidRPr="008E50DB">
              <w:rPr>
                <w:sz w:val="20"/>
                <w:szCs w:val="20"/>
              </w:rPr>
              <w:t>Co-Team Leader</w:t>
            </w:r>
            <w:r w:rsidR="00345EA4" w:rsidRPr="008E50DB">
              <w:rPr>
                <w:sz w:val="20"/>
                <w:szCs w:val="20"/>
              </w:rPr>
              <w:t xml:space="preserve">); </w:t>
            </w:r>
            <w:r w:rsidR="001558B7" w:rsidRPr="008E50DB">
              <w:rPr>
                <w:sz w:val="20"/>
                <w:szCs w:val="20"/>
              </w:rPr>
              <w:t xml:space="preserve"> </w:t>
            </w:r>
            <w:r w:rsidR="00345EA4" w:rsidRPr="008E50DB">
              <w:rPr>
                <w:sz w:val="20"/>
                <w:szCs w:val="20"/>
              </w:rPr>
              <w:t xml:space="preserve"> and</w:t>
            </w:r>
            <w:r w:rsidR="00662F0F" w:rsidRPr="008E50DB">
              <w:rPr>
                <w:sz w:val="20"/>
                <w:szCs w:val="20"/>
              </w:rPr>
              <w:t xml:space="preserve"> </w:t>
            </w:r>
            <w:r w:rsidR="00C149AF" w:rsidRPr="008E50DB">
              <w:rPr>
                <w:sz w:val="20"/>
                <w:szCs w:val="20"/>
              </w:rPr>
              <w:t>Ana Iju Fukushima (INE/CCS)</w:t>
            </w:r>
            <w:r w:rsidR="00763850" w:rsidRPr="008E50DB">
              <w:rPr>
                <w:sz w:val="20"/>
                <w:szCs w:val="20"/>
              </w:rPr>
              <w:t>.</w:t>
            </w:r>
          </w:p>
        </w:tc>
      </w:tr>
      <w:tr w:rsidR="00F2521F" w:rsidRPr="008E50DB" w:rsidTr="00F2521F">
        <w:tc>
          <w:tcPr>
            <w:tcW w:w="4050" w:type="dxa"/>
          </w:tcPr>
          <w:p w:rsidR="00F2521F" w:rsidRPr="008E50DB" w:rsidRDefault="00F2521F" w:rsidP="00F2521F">
            <w:pPr>
              <w:pStyle w:val="ListParagraph"/>
              <w:numPr>
                <w:ilvl w:val="0"/>
                <w:numId w:val="2"/>
              </w:numPr>
              <w:ind w:left="162" w:hanging="162"/>
              <w:rPr>
                <w:sz w:val="20"/>
                <w:szCs w:val="20"/>
              </w:rPr>
            </w:pPr>
            <w:r w:rsidRPr="008E50DB">
              <w:rPr>
                <w:sz w:val="20"/>
                <w:szCs w:val="20"/>
              </w:rPr>
              <w:t>Indicate if: Operational Support, Client Support, or Research &amp; Dissemination.</w:t>
            </w:r>
          </w:p>
        </w:tc>
        <w:tc>
          <w:tcPr>
            <w:tcW w:w="5058" w:type="dxa"/>
          </w:tcPr>
          <w:p w:rsidR="00F2521F" w:rsidRPr="008E50DB" w:rsidRDefault="00B52D02" w:rsidP="008978B9">
            <w:pPr>
              <w:rPr>
                <w:sz w:val="20"/>
                <w:szCs w:val="20"/>
              </w:rPr>
            </w:pPr>
            <w:r w:rsidRPr="008E50DB">
              <w:rPr>
                <w:sz w:val="20"/>
                <w:szCs w:val="20"/>
              </w:rPr>
              <w:t>Research &amp; Dissemination</w:t>
            </w:r>
          </w:p>
        </w:tc>
      </w:tr>
      <w:tr w:rsidR="00F2521F" w:rsidRPr="008E50DB" w:rsidTr="00F2521F">
        <w:tc>
          <w:tcPr>
            <w:tcW w:w="4050" w:type="dxa"/>
          </w:tcPr>
          <w:p w:rsidR="00F2521F" w:rsidRPr="008E50DB" w:rsidRDefault="00F2521F" w:rsidP="00F2521F">
            <w:pPr>
              <w:pStyle w:val="ListParagraph"/>
              <w:numPr>
                <w:ilvl w:val="0"/>
                <w:numId w:val="2"/>
              </w:numPr>
              <w:ind w:left="162" w:hanging="162"/>
              <w:rPr>
                <w:sz w:val="20"/>
                <w:szCs w:val="20"/>
              </w:rPr>
            </w:pPr>
            <w:r w:rsidRPr="008E50DB">
              <w:rPr>
                <w:sz w:val="20"/>
                <w:szCs w:val="20"/>
              </w:rPr>
              <w:t>If Operational Support TC, give number and name of Operation Supported by the TC:</w:t>
            </w:r>
          </w:p>
        </w:tc>
        <w:tc>
          <w:tcPr>
            <w:tcW w:w="5058" w:type="dxa"/>
          </w:tcPr>
          <w:p w:rsidR="00F2521F" w:rsidRPr="008E50DB" w:rsidRDefault="00B52D02" w:rsidP="008978B9">
            <w:pPr>
              <w:rPr>
                <w:sz w:val="20"/>
                <w:szCs w:val="20"/>
              </w:rPr>
            </w:pPr>
            <w:r w:rsidRPr="008E50DB">
              <w:rPr>
                <w:sz w:val="20"/>
                <w:szCs w:val="20"/>
              </w:rPr>
              <w:t>n/a</w:t>
            </w:r>
          </w:p>
        </w:tc>
      </w:tr>
      <w:tr w:rsidR="00F2521F" w:rsidRPr="008E50DB" w:rsidTr="00F2521F">
        <w:tc>
          <w:tcPr>
            <w:tcW w:w="4050" w:type="dxa"/>
          </w:tcPr>
          <w:p w:rsidR="00F2521F" w:rsidRPr="008E50DB" w:rsidRDefault="00F2521F" w:rsidP="00F2521F">
            <w:pPr>
              <w:pStyle w:val="ListParagraph"/>
              <w:numPr>
                <w:ilvl w:val="0"/>
                <w:numId w:val="2"/>
              </w:numPr>
              <w:ind w:left="162" w:hanging="162"/>
              <w:rPr>
                <w:sz w:val="20"/>
                <w:szCs w:val="20"/>
              </w:rPr>
            </w:pPr>
            <w:r w:rsidRPr="008E50DB">
              <w:rPr>
                <w:sz w:val="20"/>
                <w:szCs w:val="20"/>
              </w:rPr>
              <w:t>Reference to Request</w:t>
            </w:r>
            <w:r w:rsidRPr="008E50DB">
              <w:rPr>
                <w:rStyle w:val="FootnoteReference"/>
                <w:sz w:val="20"/>
                <w:szCs w:val="20"/>
              </w:rPr>
              <w:footnoteReference w:id="1"/>
            </w:r>
            <w:r w:rsidRPr="008E50DB">
              <w:rPr>
                <w:sz w:val="20"/>
                <w:szCs w:val="20"/>
              </w:rPr>
              <w:t>: (IDB docs #)</w:t>
            </w:r>
          </w:p>
        </w:tc>
        <w:tc>
          <w:tcPr>
            <w:tcW w:w="5058" w:type="dxa"/>
          </w:tcPr>
          <w:p w:rsidR="00F2521F" w:rsidRPr="008E50DB" w:rsidRDefault="00B52D02" w:rsidP="008978B9">
            <w:pPr>
              <w:rPr>
                <w:sz w:val="20"/>
                <w:szCs w:val="20"/>
              </w:rPr>
            </w:pPr>
            <w:r w:rsidRPr="008E50DB">
              <w:rPr>
                <w:sz w:val="20"/>
                <w:szCs w:val="20"/>
              </w:rPr>
              <w:t>n/a</w:t>
            </w:r>
          </w:p>
        </w:tc>
      </w:tr>
      <w:tr w:rsidR="00F2521F" w:rsidRPr="008E50DB" w:rsidTr="00F2521F">
        <w:tc>
          <w:tcPr>
            <w:tcW w:w="4050" w:type="dxa"/>
          </w:tcPr>
          <w:p w:rsidR="00F2521F" w:rsidRPr="008E50DB" w:rsidRDefault="00F2521F" w:rsidP="00F2521F">
            <w:pPr>
              <w:pStyle w:val="ListParagraph"/>
              <w:numPr>
                <w:ilvl w:val="0"/>
                <w:numId w:val="2"/>
              </w:numPr>
              <w:ind w:left="162" w:hanging="162"/>
              <w:rPr>
                <w:sz w:val="20"/>
                <w:szCs w:val="20"/>
              </w:rPr>
            </w:pPr>
            <w:r w:rsidRPr="008E50DB">
              <w:rPr>
                <w:sz w:val="20"/>
                <w:szCs w:val="20"/>
              </w:rPr>
              <w:t>Date of TC Abstract:</w:t>
            </w:r>
          </w:p>
        </w:tc>
        <w:tc>
          <w:tcPr>
            <w:tcW w:w="5058" w:type="dxa"/>
          </w:tcPr>
          <w:p w:rsidR="00F2521F" w:rsidRPr="008E50DB" w:rsidRDefault="00975BC3" w:rsidP="00975BC3">
            <w:pPr>
              <w:rPr>
                <w:sz w:val="20"/>
                <w:szCs w:val="20"/>
              </w:rPr>
            </w:pPr>
            <w:r>
              <w:rPr>
                <w:sz w:val="20"/>
                <w:szCs w:val="20"/>
              </w:rPr>
              <w:t>June</w:t>
            </w:r>
            <w:r w:rsidR="009E10E9" w:rsidRPr="008E50DB">
              <w:rPr>
                <w:sz w:val="20"/>
                <w:szCs w:val="20"/>
              </w:rPr>
              <w:t>, 2013</w:t>
            </w:r>
          </w:p>
        </w:tc>
      </w:tr>
      <w:tr w:rsidR="00F2521F" w:rsidRPr="008E50DB" w:rsidTr="00F2521F">
        <w:tc>
          <w:tcPr>
            <w:tcW w:w="4050" w:type="dxa"/>
          </w:tcPr>
          <w:p w:rsidR="00F2521F" w:rsidRPr="008E50DB" w:rsidRDefault="00F2521F" w:rsidP="00F2521F">
            <w:pPr>
              <w:pStyle w:val="ListParagraph"/>
              <w:numPr>
                <w:ilvl w:val="0"/>
                <w:numId w:val="2"/>
              </w:numPr>
              <w:ind w:left="162" w:hanging="162"/>
              <w:rPr>
                <w:sz w:val="20"/>
                <w:szCs w:val="20"/>
              </w:rPr>
            </w:pPr>
            <w:r w:rsidRPr="008E50DB">
              <w:rPr>
                <w:sz w:val="20"/>
                <w:szCs w:val="20"/>
              </w:rPr>
              <w:t>Beneficiary (countries or entities which are the recipient of the technical assistance):</w:t>
            </w:r>
          </w:p>
        </w:tc>
        <w:tc>
          <w:tcPr>
            <w:tcW w:w="5058" w:type="dxa"/>
          </w:tcPr>
          <w:p w:rsidR="00F2521F" w:rsidRPr="008E50DB" w:rsidRDefault="00B52D02" w:rsidP="008978B9">
            <w:pPr>
              <w:rPr>
                <w:sz w:val="20"/>
                <w:szCs w:val="20"/>
              </w:rPr>
            </w:pPr>
            <w:r w:rsidRPr="008E50DB">
              <w:rPr>
                <w:sz w:val="20"/>
                <w:szCs w:val="20"/>
              </w:rPr>
              <w:t>Latin America and the Caribbean Region</w:t>
            </w:r>
          </w:p>
        </w:tc>
      </w:tr>
      <w:tr w:rsidR="00F2521F" w:rsidRPr="008E50DB" w:rsidTr="00F2521F">
        <w:tc>
          <w:tcPr>
            <w:tcW w:w="4050" w:type="dxa"/>
          </w:tcPr>
          <w:p w:rsidR="00F2521F" w:rsidRPr="008E50DB" w:rsidRDefault="00F2521F" w:rsidP="00F2521F">
            <w:pPr>
              <w:pStyle w:val="ListParagraph"/>
              <w:numPr>
                <w:ilvl w:val="0"/>
                <w:numId w:val="2"/>
              </w:numPr>
              <w:ind w:left="162" w:hanging="162"/>
              <w:rPr>
                <w:sz w:val="20"/>
                <w:szCs w:val="20"/>
              </w:rPr>
            </w:pPr>
            <w:r w:rsidRPr="008E50DB">
              <w:rPr>
                <w:sz w:val="20"/>
                <w:szCs w:val="20"/>
              </w:rPr>
              <w:t>Executing Agency and contact name (Organization or entity responsible for executing the TC Program) {If Bank: Contracting entity} {If the same as Beneficiary, please indicate}</w:t>
            </w:r>
          </w:p>
        </w:tc>
        <w:tc>
          <w:tcPr>
            <w:tcW w:w="5058" w:type="dxa"/>
          </w:tcPr>
          <w:p w:rsidR="00F2521F" w:rsidRPr="008E50DB" w:rsidRDefault="008978B9" w:rsidP="008978B9">
            <w:pPr>
              <w:rPr>
                <w:sz w:val="20"/>
                <w:szCs w:val="20"/>
              </w:rPr>
            </w:pPr>
            <w:r w:rsidRPr="008E50DB">
              <w:rPr>
                <w:sz w:val="20"/>
                <w:szCs w:val="20"/>
              </w:rPr>
              <w:t xml:space="preserve">Inter-American Development Bank (IDB). </w:t>
            </w:r>
          </w:p>
          <w:p w:rsidR="008978B9" w:rsidRPr="008E50DB" w:rsidRDefault="008978B9" w:rsidP="008978B9">
            <w:pPr>
              <w:rPr>
                <w:sz w:val="20"/>
                <w:szCs w:val="20"/>
              </w:rPr>
            </w:pPr>
            <w:r w:rsidRPr="008E50DB">
              <w:rPr>
                <w:sz w:val="20"/>
                <w:szCs w:val="20"/>
              </w:rPr>
              <w:t>Knowledge and Learning Sector (KNL/KNM)</w:t>
            </w:r>
          </w:p>
        </w:tc>
      </w:tr>
      <w:tr w:rsidR="00F2521F" w:rsidRPr="008E50DB" w:rsidTr="00F2521F">
        <w:tc>
          <w:tcPr>
            <w:tcW w:w="4050" w:type="dxa"/>
          </w:tcPr>
          <w:p w:rsidR="00F2521F" w:rsidRPr="008E50DB" w:rsidRDefault="00F2521F" w:rsidP="00F2521F">
            <w:pPr>
              <w:pStyle w:val="ListParagraph"/>
              <w:numPr>
                <w:ilvl w:val="0"/>
                <w:numId w:val="2"/>
              </w:numPr>
              <w:ind w:left="162" w:hanging="162"/>
              <w:rPr>
                <w:sz w:val="20"/>
                <w:szCs w:val="20"/>
              </w:rPr>
            </w:pPr>
            <w:r w:rsidRPr="008E50DB">
              <w:rPr>
                <w:sz w:val="20"/>
                <w:szCs w:val="20"/>
              </w:rPr>
              <w:t>IDB Funding Requested:</w:t>
            </w:r>
          </w:p>
        </w:tc>
        <w:tc>
          <w:tcPr>
            <w:tcW w:w="5058" w:type="dxa"/>
          </w:tcPr>
          <w:p w:rsidR="00F2521F" w:rsidRPr="008E50DB" w:rsidRDefault="008978B9" w:rsidP="002F47ED">
            <w:pPr>
              <w:autoSpaceDE w:val="0"/>
              <w:autoSpaceDN w:val="0"/>
              <w:adjustRightInd w:val="0"/>
              <w:rPr>
                <w:sz w:val="20"/>
                <w:szCs w:val="20"/>
              </w:rPr>
            </w:pPr>
            <w:r w:rsidRPr="008E50DB">
              <w:rPr>
                <w:rFonts w:ascii="Calibri" w:hAnsi="Calibri" w:cs="Calibri"/>
                <w:sz w:val="20"/>
                <w:szCs w:val="20"/>
              </w:rPr>
              <w:t xml:space="preserve">USD 500,000 </w:t>
            </w:r>
          </w:p>
        </w:tc>
      </w:tr>
      <w:tr w:rsidR="00F2521F" w:rsidRPr="008E50DB" w:rsidTr="00F2521F">
        <w:tc>
          <w:tcPr>
            <w:tcW w:w="4050" w:type="dxa"/>
          </w:tcPr>
          <w:p w:rsidR="00F2521F" w:rsidRPr="008E50DB" w:rsidRDefault="00F2521F" w:rsidP="00F2521F">
            <w:pPr>
              <w:pStyle w:val="ListParagraph"/>
              <w:numPr>
                <w:ilvl w:val="0"/>
                <w:numId w:val="2"/>
              </w:numPr>
              <w:ind w:left="162" w:hanging="162"/>
              <w:rPr>
                <w:sz w:val="20"/>
                <w:szCs w:val="20"/>
              </w:rPr>
            </w:pPr>
            <w:r w:rsidRPr="008E50DB">
              <w:rPr>
                <w:sz w:val="20"/>
                <w:szCs w:val="20"/>
              </w:rPr>
              <w:t>Local counterpart funding, if any:</w:t>
            </w:r>
          </w:p>
        </w:tc>
        <w:tc>
          <w:tcPr>
            <w:tcW w:w="5058" w:type="dxa"/>
          </w:tcPr>
          <w:p w:rsidR="00F2521F" w:rsidRPr="008E50DB" w:rsidRDefault="00DE64CC" w:rsidP="00DE64CC">
            <w:pPr>
              <w:rPr>
                <w:sz w:val="20"/>
                <w:szCs w:val="20"/>
              </w:rPr>
            </w:pPr>
            <w:r w:rsidRPr="008E50DB">
              <w:rPr>
                <w:sz w:val="20"/>
                <w:szCs w:val="20"/>
              </w:rPr>
              <w:t>n/a</w:t>
            </w:r>
          </w:p>
        </w:tc>
      </w:tr>
      <w:tr w:rsidR="00F2521F" w:rsidRPr="008E50DB" w:rsidTr="00F2521F">
        <w:tc>
          <w:tcPr>
            <w:tcW w:w="4050" w:type="dxa"/>
          </w:tcPr>
          <w:p w:rsidR="00F2521F" w:rsidRPr="008E50DB" w:rsidRDefault="00F2521F" w:rsidP="00F2521F">
            <w:pPr>
              <w:pStyle w:val="ListParagraph"/>
              <w:numPr>
                <w:ilvl w:val="0"/>
                <w:numId w:val="2"/>
              </w:numPr>
              <w:ind w:left="162" w:hanging="162"/>
              <w:rPr>
                <w:sz w:val="20"/>
                <w:szCs w:val="20"/>
              </w:rPr>
            </w:pPr>
            <w:r w:rsidRPr="008E50DB">
              <w:rPr>
                <w:sz w:val="20"/>
                <w:szCs w:val="20"/>
              </w:rPr>
              <w:t>Disbursement period (which includes execution period):</w:t>
            </w:r>
          </w:p>
        </w:tc>
        <w:tc>
          <w:tcPr>
            <w:tcW w:w="5058" w:type="dxa"/>
          </w:tcPr>
          <w:p w:rsidR="00F2521F" w:rsidRPr="008E50DB" w:rsidRDefault="00977A7A" w:rsidP="003A6B68">
            <w:pPr>
              <w:rPr>
                <w:sz w:val="20"/>
                <w:szCs w:val="20"/>
              </w:rPr>
            </w:pPr>
            <w:r w:rsidRPr="008E50DB">
              <w:rPr>
                <w:sz w:val="20"/>
                <w:szCs w:val="20"/>
              </w:rPr>
              <w:t>3 years disbursement (2.8 years execution)</w:t>
            </w:r>
          </w:p>
        </w:tc>
      </w:tr>
      <w:tr w:rsidR="00F2521F" w:rsidRPr="008E50DB" w:rsidTr="00F2521F">
        <w:tc>
          <w:tcPr>
            <w:tcW w:w="4050" w:type="dxa"/>
          </w:tcPr>
          <w:p w:rsidR="00F2521F" w:rsidRPr="008E50DB" w:rsidRDefault="00F2521F" w:rsidP="00F2521F">
            <w:pPr>
              <w:pStyle w:val="ListParagraph"/>
              <w:numPr>
                <w:ilvl w:val="0"/>
                <w:numId w:val="2"/>
              </w:numPr>
              <w:ind w:left="162" w:hanging="162"/>
              <w:rPr>
                <w:sz w:val="20"/>
                <w:szCs w:val="20"/>
              </w:rPr>
            </w:pPr>
            <w:r w:rsidRPr="008E50DB">
              <w:rPr>
                <w:sz w:val="20"/>
                <w:szCs w:val="20"/>
              </w:rPr>
              <w:t>Required start date:</w:t>
            </w:r>
          </w:p>
        </w:tc>
        <w:tc>
          <w:tcPr>
            <w:tcW w:w="5058" w:type="dxa"/>
          </w:tcPr>
          <w:p w:rsidR="00F2521F" w:rsidRPr="008E50DB" w:rsidRDefault="009E10E9" w:rsidP="004C5131">
            <w:pPr>
              <w:rPr>
                <w:sz w:val="20"/>
                <w:szCs w:val="20"/>
              </w:rPr>
            </w:pPr>
            <w:r w:rsidRPr="008E50DB">
              <w:rPr>
                <w:sz w:val="20"/>
                <w:szCs w:val="20"/>
              </w:rPr>
              <w:t>July, 2013</w:t>
            </w:r>
          </w:p>
        </w:tc>
      </w:tr>
      <w:tr w:rsidR="00F2521F" w:rsidRPr="008E50DB" w:rsidTr="00F2521F">
        <w:tc>
          <w:tcPr>
            <w:tcW w:w="4050" w:type="dxa"/>
          </w:tcPr>
          <w:p w:rsidR="00F2521F" w:rsidRPr="008E50DB" w:rsidRDefault="00F2521F" w:rsidP="00F2521F">
            <w:pPr>
              <w:pStyle w:val="ListParagraph"/>
              <w:numPr>
                <w:ilvl w:val="0"/>
                <w:numId w:val="2"/>
              </w:numPr>
              <w:ind w:left="162" w:hanging="162"/>
              <w:rPr>
                <w:sz w:val="20"/>
                <w:szCs w:val="20"/>
              </w:rPr>
            </w:pPr>
            <w:r w:rsidRPr="008E50DB">
              <w:rPr>
                <w:sz w:val="20"/>
                <w:szCs w:val="20"/>
              </w:rPr>
              <w:t>Types of consultants (firm or individual consultants):</w:t>
            </w:r>
          </w:p>
        </w:tc>
        <w:tc>
          <w:tcPr>
            <w:tcW w:w="5058" w:type="dxa"/>
          </w:tcPr>
          <w:p w:rsidR="00F2521F" w:rsidRPr="008E50DB" w:rsidRDefault="003A6B68" w:rsidP="003A6B68">
            <w:pPr>
              <w:rPr>
                <w:sz w:val="20"/>
                <w:szCs w:val="20"/>
              </w:rPr>
            </w:pPr>
            <w:r w:rsidRPr="008E50DB">
              <w:rPr>
                <w:sz w:val="20"/>
                <w:szCs w:val="20"/>
              </w:rPr>
              <w:t>Firm and individuals</w:t>
            </w:r>
          </w:p>
        </w:tc>
      </w:tr>
      <w:tr w:rsidR="00F2521F" w:rsidRPr="008E50DB" w:rsidTr="00F2521F">
        <w:tc>
          <w:tcPr>
            <w:tcW w:w="4050" w:type="dxa"/>
          </w:tcPr>
          <w:p w:rsidR="00F2521F" w:rsidRPr="008E50DB" w:rsidRDefault="00F2521F" w:rsidP="00F2521F">
            <w:pPr>
              <w:pStyle w:val="ListParagraph"/>
              <w:numPr>
                <w:ilvl w:val="0"/>
                <w:numId w:val="2"/>
              </w:numPr>
              <w:ind w:left="162" w:hanging="162"/>
              <w:rPr>
                <w:sz w:val="20"/>
                <w:szCs w:val="20"/>
              </w:rPr>
            </w:pPr>
            <w:r w:rsidRPr="008E50DB">
              <w:rPr>
                <w:sz w:val="20"/>
                <w:szCs w:val="20"/>
              </w:rPr>
              <w:t>Prepared by Unit:</w:t>
            </w:r>
          </w:p>
        </w:tc>
        <w:tc>
          <w:tcPr>
            <w:tcW w:w="5058" w:type="dxa"/>
          </w:tcPr>
          <w:p w:rsidR="00F2521F" w:rsidRPr="008E50DB" w:rsidRDefault="003A6B68" w:rsidP="003A6B68">
            <w:pPr>
              <w:rPr>
                <w:sz w:val="20"/>
                <w:szCs w:val="20"/>
              </w:rPr>
            </w:pPr>
            <w:r w:rsidRPr="008E50DB">
              <w:rPr>
                <w:sz w:val="20"/>
                <w:szCs w:val="20"/>
              </w:rPr>
              <w:t>KNL/KNM</w:t>
            </w:r>
          </w:p>
        </w:tc>
      </w:tr>
      <w:tr w:rsidR="00F2521F" w:rsidRPr="008E50DB" w:rsidTr="00F2521F">
        <w:tc>
          <w:tcPr>
            <w:tcW w:w="4050" w:type="dxa"/>
          </w:tcPr>
          <w:p w:rsidR="00F2521F" w:rsidRPr="008E50DB" w:rsidRDefault="00F2521F" w:rsidP="00F2521F">
            <w:pPr>
              <w:pStyle w:val="ListParagraph"/>
              <w:numPr>
                <w:ilvl w:val="0"/>
                <w:numId w:val="2"/>
              </w:numPr>
              <w:ind w:left="162" w:hanging="162"/>
              <w:rPr>
                <w:sz w:val="20"/>
                <w:szCs w:val="20"/>
              </w:rPr>
            </w:pPr>
            <w:r w:rsidRPr="008E50DB">
              <w:rPr>
                <w:sz w:val="20"/>
                <w:szCs w:val="20"/>
              </w:rPr>
              <w:t>Unit of Disbursement Responsibility:</w:t>
            </w:r>
          </w:p>
        </w:tc>
        <w:tc>
          <w:tcPr>
            <w:tcW w:w="5058" w:type="dxa"/>
          </w:tcPr>
          <w:p w:rsidR="00F2521F" w:rsidRPr="008E50DB" w:rsidRDefault="003A6B68" w:rsidP="003A6B68">
            <w:pPr>
              <w:rPr>
                <w:sz w:val="20"/>
                <w:szCs w:val="20"/>
              </w:rPr>
            </w:pPr>
            <w:r w:rsidRPr="008E50DB">
              <w:rPr>
                <w:sz w:val="20"/>
                <w:szCs w:val="20"/>
              </w:rPr>
              <w:t>KNL/KNM</w:t>
            </w:r>
          </w:p>
        </w:tc>
      </w:tr>
      <w:tr w:rsidR="00F2521F" w:rsidRPr="008E50DB" w:rsidTr="00F2521F">
        <w:tc>
          <w:tcPr>
            <w:tcW w:w="4050" w:type="dxa"/>
          </w:tcPr>
          <w:p w:rsidR="00F2521F" w:rsidRPr="008E50DB" w:rsidRDefault="00F2521F" w:rsidP="00F2521F">
            <w:pPr>
              <w:pStyle w:val="ListParagraph"/>
              <w:numPr>
                <w:ilvl w:val="0"/>
                <w:numId w:val="2"/>
              </w:numPr>
              <w:ind w:left="162" w:hanging="162"/>
              <w:rPr>
                <w:sz w:val="20"/>
                <w:szCs w:val="20"/>
              </w:rPr>
            </w:pPr>
            <w:r w:rsidRPr="008E50DB">
              <w:rPr>
                <w:sz w:val="20"/>
                <w:szCs w:val="20"/>
              </w:rPr>
              <w:t>Included in Country Strategy (y/n);</w:t>
            </w:r>
          </w:p>
          <w:p w:rsidR="00F2521F" w:rsidRPr="008E50DB" w:rsidRDefault="00F2521F" w:rsidP="00F2521F">
            <w:pPr>
              <w:pStyle w:val="ListParagraph"/>
              <w:numPr>
                <w:ilvl w:val="0"/>
                <w:numId w:val="2"/>
              </w:numPr>
              <w:ind w:left="162" w:hanging="162"/>
              <w:rPr>
                <w:sz w:val="20"/>
                <w:szCs w:val="20"/>
              </w:rPr>
            </w:pPr>
            <w:r w:rsidRPr="008E50DB">
              <w:rPr>
                <w:sz w:val="20"/>
                <w:szCs w:val="20"/>
              </w:rPr>
              <w:t>TC included in CPD (y/n):</w:t>
            </w:r>
          </w:p>
        </w:tc>
        <w:tc>
          <w:tcPr>
            <w:tcW w:w="5058" w:type="dxa"/>
          </w:tcPr>
          <w:p w:rsidR="00F2521F" w:rsidRPr="008E50DB" w:rsidRDefault="004171B5" w:rsidP="004171B5">
            <w:pPr>
              <w:rPr>
                <w:sz w:val="20"/>
                <w:szCs w:val="20"/>
              </w:rPr>
            </w:pPr>
            <w:r w:rsidRPr="008E50DB">
              <w:rPr>
                <w:sz w:val="20"/>
                <w:szCs w:val="20"/>
              </w:rPr>
              <w:t>n/a</w:t>
            </w:r>
          </w:p>
          <w:p w:rsidR="004171B5" w:rsidRPr="008E50DB" w:rsidRDefault="004171B5" w:rsidP="004171B5">
            <w:pPr>
              <w:rPr>
                <w:sz w:val="20"/>
                <w:szCs w:val="20"/>
              </w:rPr>
            </w:pPr>
            <w:r w:rsidRPr="008E50DB">
              <w:rPr>
                <w:sz w:val="20"/>
                <w:szCs w:val="20"/>
              </w:rPr>
              <w:t>n/a</w:t>
            </w:r>
          </w:p>
        </w:tc>
      </w:tr>
      <w:tr w:rsidR="00F2521F" w:rsidRPr="008E50DB" w:rsidTr="00F2521F">
        <w:tc>
          <w:tcPr>
            <w:tcW w:w="4050" w:type="dxa"/>
          </w:tcPr>
          <w:p w:rsidR="00F2521F" w:rsidRPr="008E50DB" w:rsidRDefault="00F2521F" w:rsidP="00F2521F">
            <w:pPr>
              <w:pStyle w:val="ListParagraph"/>
              <w:numPr>
                <w:ilvl w:val="0"/>
                <w:numId w:val="2"/>
              </w:numPr>
              <w:ind w:left="162" w:hanging="162"/>
              <w:rPr>
                <w:sz w:val="20"/>
                <w:szCs w:val="20"/>
              </w:rPr>
            </w:pPr>
            <w:r w:rsidRPr="008E50DB">
              <w:rPr>
                <w:sz w:val="20"/>
                <w:szCs w:val="20"/>
              </w:rPr>
              <w:t>GCI-9 Sector Priority:</w:t>
            </w:r>
          </w:p>
        </w:tc>
        <w:tc>
          <w:tcPr>
            <w:tcW w:w="5058" w:type="dxa"/>
          </w:tcPr>
          <w:p w:rsidR="00F2521F" w:rsidRPr="008E50DB" w:rsidRDefault="004171B5" w:rsidP="004C4BDD">
            <w:pPr>
              <w:autoSpaceDE w:val="0"/>
              <w:autoSpaceDN w:val="0"/>
              <w:adjustRightInd w:val="0"/>
              <w:jc w:val="both"/>
              <w:rPr>
                <w:sz w:val="20"/>
                <w:szCs w:val="20"/>
              </w:rPr>
            </w:pPr>
            <w:r w:rsidRPr="008E50DB">
              <w:rPr>
                <w:rFonts w:ascii="Calibri" w:hAnsi="Calibri" w:cs="Calibri"/>
                <w:sz w:val="20"/>
                <w:szCs w:val="20"/>
              </w:rPr>
              <w:t>The proposed TC is closely related to two institutional priorities of the IDB under the GCI-9. They are: (i) institutions for growth / social welfare, and (ii) protecting the Environment and responding to Climate Change</w:t>
            </w:r>
            <w:r w:rsidR="004C4BDD" w:rsidRPr="008E50DB">
              <w:rPr>
                <w:rFonts w:ascii="Calibri" w:hAnsi="Calibri" w:cs="Calibri"/>
                <w:sz w:val="20"/>
                <w:szCs w:val="20"/>
              </w:rPr>
              <w:t>, promoting renewable ene</w:t>
            </w:r>
            <w:r w:rsidR="00662F0F" w:rsidRPr="008E50DB">
              <w:rPr>
                <w:rFonts w:ascii="Calibri" w:hAnsi="Calibri" w:cs="Calibri"/>
                <w:sz w:val="20"/>
                <w:szCs w:val="20"/>
              </w:rPr>
              <w:t>rgy, and ensuring food security</w:t>
            </w:r>
            <w:r w:rsidR="004C4BDD" w:rsidRPr="008E50DB">
              <w:rPr>
                <w:rFonts w:ascii="Calibri" w:hAnsi="Calibri" w:cs="Calibri"/>
                <w:sz w:val="20"/>
                <w:szCs w:val="20"/>
              </w:rPr>
              <w:t>.</w:t>
            </w:r>
          </w:p>
        </w:tc>
      </w:tr>
    </w:tbl>
    <w:p w:rsidR="00F455F8" w:rsidRPr="008E50DB" w:rsidRDefault="00F455F8" w:rsidP="00746260">
      <w:pPr>
        <w:spacing w:after="0"/>
        <w:rPr>
          <w:sz w:val="20"/>
          <w:szCs w:val="20"/>
        </w:rPr>
      </w:pPr>
    </w:p>
    <w:p w:rsidR="0095711B" w:rsidRPr="008E50DB" w:rsidRDefault="00C43E24" w:rsidP="0095711B">
      <w:pPr>
        <w:pStyle w:val="ListParagraph"/>
        <w:numPr>
          <w:ilvl w:val="0"/>
          <w:numId w:val="5"/>
        </w:numPr>
        <w:spacing w:after="0"/>
        <w:rPr>
          <w:b/>
          <w:sz w:val="20"/>
          <w:szCs w:val="20"/>
        </w:rPr>
      </w:pPr>
      <w:r w:rsidRPr="008E50DB">
        <w:rPr>
          <w:b/>
          <w:sz w:val="20"/>
          <w:szCs w:val="20"/>
        </w:rPr>
        <w:t>Objective and Justification</w:t>
      </w:r>
      <w:r w:rsidR="00CA272D" w:rsidRPr="008E50DB">
        <w:rPr>
          <w:b/>
          <w:sz w:val="20"/>
          <w:szCs w:val="20"/>
        </w:rPr>
        <w:t xml:space="preserve"> (estimated length: </w:t>
      </w:r>
      <w:r w:rsidR="00F41DD5" w:rsidRPr="008E50DB">
        <w:rPr>
          <w:rFonts w:ascii="Arial" w:hAnsi="Arial" w:cs="Arial"/>
          <w:b/>
          <w:sz w:val="20"/>
          <w:szCs w:val="20"/>
        </w:rPr>
        <w:t xml:space="preserve">¼ </w:t>
      </w:r>
      <w:r w:rsidR="0095711B" w:rsidRPr="008E50DB">
        <w:rPr>
          <w:b/>
          <w:sz w:val="20"/>
          <w:szCs w:val="20"/>
        </w:rPr>
        <w:t>page)</w:t>
      </w:r>
      <w:r w:rsidR="00A12C27" w:rsidRPr="008E50DB">
        <w:rPr>
          <w:sz w:val="20"/>
          <w:szCs w:val="20"/>
          <w:highlight w:val="yellow"/>
        </w:rPr>
        <w:t xml:space="preserve"> </w:t>
      </w:r>
    </w:p>
    <w:p w:rsidR="00E60C80" w:rsidRPr="008E50DB" w:rsidRDefault="00ED18C1" w:rsidP="009816F0">
      <w:pPr>
        <w:pStyle w:val="Default"/>
        <w:jc w:val="both"/>
        <w:rPr>
          <w:sz w:val="20"/>
          <w:szCs w:val="20"/>
        </w:rPr>
      </w:pPr>
      <w:r w:rsidRPr="008E50DB">
        <w:rPr>
          <w:sz w:val="20"/>
          <w:szCs w:val="20"/>
        </w:rPr>
        <w:t>The Latin America and Caribbean Region (LAC) is highly vulnerable to the damaging effects of climate change and must rapidly invest in effective adaptation and mitigation strategies</w:t>
      </w:r>
      <w:r w:rsidR="00977A7A" w:rsidRPr="008E50DB">
        <w:rPr>
          <w:sz w:val="20"/>
          <w:szCs w:val="20"/>
        </w:rPr>
        <w:t>, in</w:t>
      </w:r>
      <w:r w:rsidRPr="008E50DB">
        <w:rPr>
          <w:sz w:val="20"/>
          <w:szCs w:val="20"/>
        </w:rPr>
        <w:t xml:space="preserve"> order to address the challenges that this phenomenon brings. According to the Intergovernmental Panel on Climate Change (IPPC), the effects of what is now seen as unavoidable changes in climate are expected to have significant negative effects </w:t>
      </w:r>
      <w:r w:rsidR="00570DA4">
        <w:rPr>
          <w:sz w:val="20"/>
          <w:szCs w:val="20"/>
        </w:rPr>
        <w:t>on</w:t>
      </w:r>
      <w:r w:rsidR="00570DA4" w:rsidRPr="008E50DB">
        <w:rPr>
          <w:sz w:val="20"/>
          <w:szCs w:val="20"/>
        </w:rPr>
        <w:t xml:space="preserve"> </w:t>
      </w:r>
      <w:r w:rsidRPr="008E50DB">
        <w:rPr>
          <w:sz w:val="20"/>
          <w:szCs w:val="20"/>
        </w:rPr>
        <w:t>economic activities</w:t>
      </w:r>
      <w:r w:rsidR="00977A7A" w:rsidRPr="008E50DB">
        <w:rPr>
          <w:sz w:val="20"/>
          <w:szCs w:val="20"/>
        </w:rPr>
        <w:t xml:space="preserve"> and</w:t>
      </w:r>
      <w:r w:rsidRPr="008E50DB">
        <w:rPr>
          <w:sz w:val="20"/>
          <w:szCs w:val="20"/>
        </w:rPr>
        <w:t xml:space="preserve"> social conditions.     </w:t>
      </w:r>
    </w:p>
    <w:p w:rsidR="009816F0" w:rsidRPr="008E50DB" w:rsidRDefault="009816F0" w:rsidP="009816F0">
      <w:pPr>
        <w:pStyle w:val="Default"/>
        <w:jc w:val="both"/>
        <w:rPr>
          <w:sz w:val="20"/>
          <w:szCs w:val="20"/>
        </w:rPr>
      </w:pPr>
    </w:p>
    <w:p w:rsidR="00095618" w:rsidRPr="008E50DB" w:rsidRDefault="002B21DA" w:rsidP="009816F0">
      <w:pPr>
        <w:pStyle w:val="Default"/>
        <w:jc w:val="both"/>
        <w:rPr>
          <w:sz w:val="20"/>
          <w:szCs w:val="20"/>
        </w:rPr>
      </w:pPr>
      <w:r w:rsidRPr="008E50DB">
        <w:rPr>
          <w:sz w:val="20"/>
          <w:szCs w:val="20"/>
        </w:rPr>
        <w:lastRenderedPageBreak/>
        <w:t>The Inter-American Development Bank</w:t>
      </w:r>
      <w:r w:rsidR="00977A7A" w:rsidRPr="008E50DB">
        <w:rPr>
          <w:sz w:val="20"/>
          <w:szCs w:val="20"/>
        </w:rPr>
        <w:t xml:space="preserve"> (IDB)</w:t>
      </w:r>
      <w:r w:rsidRPr="008E50DB">
        <w:rPr>
          <w:sz w:val="20"/>
          <w:szCs w:val="20"/>
        </w:rPr>
        <w:t xml:space="preserve"> is well</w:t>
      </w:r>
      <w:r w:rsidR="003F18CB" w:rsidRPr="008E50DB">
        <w:rPr>
          <w:sz w:val="20"/>
          <w:szCs w:val="20"/>
        </w:rPr>
        <w:t>-</w:t>
      </w:r>
      <w:r w:rsidRPr="008E50DB">
        <w:rPr>
          <w:sz w:val="20"/>
          <w:szCs w:val="20"/>
        </w:rPr>
        <w:t>positioned to leverage opportunities and build upon LAC’s strengths for bringing about development in a sustainable way, and to transform the traditional model of development into a new paradigm that recognizes the</w:t>
      </w:r>
      <w:r w:rsidR="00095618" w:rsidRPr="008E50DB">
        <w:rPr>
          <w:sz w:val="20"/>
          <w:szCs w:val="20"/>
        </w:rPr>
        <w:t xml:space="preserve"> importance of mitigat</w:t>
      </w:r>
      <w:r w:rsidR="00B125D4" w:rsidRPr="008E50DB">
        <w:rPr>
          <w:sz w:val="20"/>
          <w:szCs w:val="20"/>
        </w:rPr>
        <w:t>ion</w:t>
      </w:r>
      <w:r w:rsidR="00095618" w:rsidRPr="008E50DB">
        <w:rPr>
          <w:sz w:val="20"/>
          <w:szCs w:val="20"/>
        </w:rPr>
        <w:t xml:space="preserve"> and adapt</w:t>
      </w:r>
      <w:r w:rsidR="00B125D4" w:rsidRPr="008E50DB">
        <w:rPr>
          <w:sz w:val="20"/>
          <w:szCs w:val="20"/>
        </w:rPr>
        <w:t>ation</w:t>
      </w:r>
      <w:r w:rsidR="00095618" w:rsidRPr="008E50DB">
        <w:rPr>
          <w:sz w:val="20"/>
          <w:szCs w:val="20"/>
        </w:rPr>
        <w:t xml:space="preserve"> to the effects of climate change, achieving global environmental sustainability</w:t>
      </w:r>
      <w:r w:rsidRPr="008E50DB">
        <w:rPr>
          <w:sz w:val="20"/>
          <w:szCs w:val="20"/>
        </w:rPr>
        <w:t xml:space="preserve">.  </w:t>
      </w:r>
      <w:r w:rsidR="00977A7A" w:rsidRPr="008E50DB">
        <w:rPr>
          <w:sz w:val="20"/>
          <w:szCs w:val="20"/>
        </w:rPr>
        <w:t xml:space="preserve">The </w:t>
      </w:r>
      <w:r w:rsidRPr="008E50DB">
        <w:rPr>
          <w:sz w:val="20"/>
          <w:szCs w:val="20"/>
        </w:rPr>
        <w:t xml:space="preserve">IDB has a competitive advantage as a result of its exclusive focus and specialized knowledge of the LAC Region, </w:t>
      </w:r>
      <w:r w:rsidR="00570DA4">
        <w:rPr>
          <w:sz w:val="20"/>
          <w:szCs w:val="20"/>
        </w:rPr>
        <w:t>as well as its</w:t>
      </w:r>
      <w:r w:rsidRPr="008E50DB">
        <w:rPr>
          <w:sz w:val="20"/>
          <w:szCs w:val="20"/>
        </w:rPr>
        <w:t xml:space="preserve"> direct relatio</w:t>
      </w:r>
      <w:r w:rsidR="00095618" w:rsidRPr="008E50DB">
        <w:rPr>
          <w:sz w:val="20"/>
          <w:szCs w:val="20"/>
        </w:rPr>
        <w:t>nship</w:t>
      </w:r>
      <w:r w:rsidR="00570DA4">
        <w:rPr>
          <w:sz w:val="20"/>
          <w:szCs w:val="20"/>
        </w:rPr>
        <w:t>s</w:t>
      </w:r>
      <w:r w:rsidR="00095618" w:rsidRPr="008E50DB">
        <w:rPr>
          <w:sz w:val="20"/>
          <w:szCs w:val="20"/>
        </w:rPr>
        <w:t xml:space="preserve"> with governments</w:t>
      </w:r>
      <w:r w:rsidRPr="008E50DB">
        <w:rPr>
          <w:sz w:val="20"/>
          <w:szCs w:val="20"/>
        </w:rPr>
        <w:t xml:space="preserve">, wide recognition by the private sector, and extensive network of strategic partners.  </w:t>
      </w:r>
    </w:p>
    <w:p w:rsidR="002112F0" w:rsidRPr="008E50DB" w:rsidRDefault="001558B7" w:rsidP="009816F0">
      <w:pPr>
        <w:pStyle w:val="Default"/>
        <w:jc w:val="both"/>
        <w:rPr>
          <w:sz w:val="20"/>
          <w:szCs w:val="20"/>
        </w:rPr>
      </w:pPr>
      <w:r w:rsidRPr="008E50DB">
        <w:rPr>
          <w:sz w:val="20"/>
          <w:szCs w:val="20"/>
        </w:rPr>
        <w:t>The Bank</w:t>
      </w:r>
      <w:r w:rsidR="00B125D4" w:rsidRPr="008E50DB">
        <w:rPr>
          <w:sz w:val="20"/>
          <w:szCs w:val="20"/>
        </w:rPr>
        <w:t xml:space="preserve">’s effective intervention in development in the </w:t>
      </w:r>
      <w:r w:rsidR="002F47ED" w:rsidRPr="008E50DB">
        <w:rPr>
          <w:sz w:val="20"/>
          <w:szCs w:val="20"/>
        </w:rPr>
        <w:t>R</w:t>
      </w:r>
      <w:r w:rsidR="00B125D4" w:rsidRPr="008E50DB">
        <w:rPr>
          <w:sz w:val="20"/>
          <w:szCs w:val="20"/>
        </w:rPr>
        <w:t>egion depends critically on the provision</w:t>
      </w:r>
      <w:r w:rsidR="008A7F92">
        <w:rPr>
          <w:sz w:val="20"/>
          <w:szCs w:val="20"/>
        </w:rPr>
        <w:t xml:space="preserve"> and application</w:t>
      </w:r>
      <w:r w:rsidR="00B125D4" w:rsidRPr="008E50DB">
        <w:rPr>
          <w:sz w:val="20"/>
          <w:szCs w:val="20"/>
        </w:rPr>
        <w:t xml:space="preserve"> of </w:t>
      </w:r>
      <w:r w:rsidRPr="008E50DB">
        <w:rPr>
          <w:sz w:val="20"/>
          <w:szCs w:val="20"/>
        </w:rPr>
        <w:t xml:space="preserve">broad-based knowledge and expertise </w:t>
      </w:r>
      <w:r w:rsidR="00B125D4" w:rsidRPr="008E50DB">
        <w:rPr>
          <w:sz w:val="20"/>
          <w:szCs w:val="20"/>
        </w:rPr>
        <w:t>in key sectors</w:t>
      </w:r>
      <w:r w:rsidRPr="008E50DB">
        <w:rPr>
          <w:sz w:val="20"/>
          <w:szCs w:val="20"/>
        </w:rPr>
        <w:t xml:space="preserve">. Under the guidance of </w:t>
      </w:r>
      <w:r w:rsidR="0007129C">
        <w:rPr>
          <w:sz w:val="20"/>
          <w:szCs w:val="20"/>
        </w:rPr>
        <w:t>its</w:t>
      </w:r>
      <w:r w:rsidRPr="008E50DB">
        <w:rPr>
          <w:sz w:val="20"/>
          <w:szCs w:val="20"/>
        </w:rPr>
        <w:t xml:space="preserve"> Sustainability Action Plan, </w:t>
      </w:r>
      <w:r w:rsidR="0007129C">
        <w:rPr>
          <w:sz w:val="20"/>
          <w:szCs w:val="20"/>
        </w:rPr>
        <w:t>the Bank</w:t>
      </w:r>
      <w:r w:rsidR="0093696A">
        <w:rPr>
          <w:sz w:val="20"/>
          <w:szCs w:val="20"/>
        </w:rPr>
        <w:t xml:space="preserve"> </w:t>
      </w:r>
      <w:r w:rsidR="0007129C">
        <w:rPr>
          <w:sz w:val="20"/>
          <w:szCs w:val="20"/>
        </w:rPr>
        <w:t>is</w:t>
      </w:r>
      <w:r w:rsidRPr="008E50DB">
        <w:rPr>
          <w:sz w:val="20"/>
          <w:szCs w:val="20"/>
        </w:rPr>
        <w:t xml:space="preserve"> implementing a knowledge and learning agenda, managing the knowledge emerging from studies and operational experience and </w:t>
      </w:r>
      <w:r w:rsidR="008A7F92">
        <w:rPr>
          <w:sz w:val="20"/>
          <w:szCs w:val="20"/>
        </w:rPr>
        <w:t>strengthening regional</w:t>
      </w:r>
      <w:r w:rsidR="008A7F92" w:rsidRPr="008E50DB">
        <w:rPr>
          <w:sz w:val="20"/>
          <w:szCs w:val="20"/>
        </w:rPr>
        <w:t xml:space="preserve"> </w:t>
      </w:r>
      <w:r w:rsidRPr="008E50DB">
        <w:rPr>
          <w:sz w:val="20"/>
          <w:szCs w:val="20"/>
        </w:rPr>
        <w:t>capacity</w:t>
      </w:r>
      <w:r w:rsidR="008A7F92">
        <w:rPr>
          <w:sz w:val="20"/>
          <w:szCs w:val="20"/>
        </w:rPr>
        <w:t>, by helping</w:t>
      </w:r>
      <w:r w:rsidR="0093696A">
        <w:rPr>
          <w:sz w:val="20"/>
          <w:szCs w:val="20"/>
        </w:rPr>
        <w:t xml:space="preserve"> </w:t>
      </w:r>
      <w:r w:rsidRPr="008E50DB">
        <w:rPr>
          <w:sz w:val="20"/>
          <w:szCs w:val="20"/>
        </w:rPr>
        <w:t xml:space="preserve">countries </w:t>
      </w:r>
      <w:r w:rsidR="008A7F92">
        <w:rPr>
          <w:sz w:val="20"/>
          <w:szCs w:val="20"/>
        </w:rPr>
        <w:t xml:space="preserve">to </w:t>
      </w:r>
      <w:r w:rsidRPr="008E50DB">
        <w:rPr>
          <w:sz w:val="20"/>
          <w:szCs w:val="20"/>
        </w:rPr>
        <w:t xml:space="preserve">gain full understanding of these issues; adopting more effective policies and investments; </w:t>
      </w:r>
      <w:r w:rsidR="002F47ED" w:rsidRPr="008E50DB">
        <w:rPr>
          <w:sz w:val="20"/>
          <w:szCs w:val="20"/>
        </w:rPr>
        <w:t xml:space="preserve">and </w:t>
      </w:r>
      <w:r w:rsidRPr="008E50DB">
        <w:rPr>
          <w:sz w:val="20"/>
          <w:szCs w:val="20"/>
        </w:rPr>
        <w:t xml:space="preserve">creating new economic, financial, and business opportunities for LAC’s </w:t>
      </w:r>
      <w:r w:rsidR="008A7F92">
        <w:rPr>
          <w:sz w:val="20"/>
          <w:szCs w:val="20"/>
        </w:rPr>
        <w:t xml:space="preserve">sustainable </w:t>
      </w:r>
      <w:r w:rsidRPr="008E50DB">
        <w:rPr>
          <w:sz w:val="20"/>
          <w:szCs w:val="20"/>
        </w:rPr>
        <w:t xml:space="preserve">development. Accordingly, </w:t>
      </w:r>
      <w:r w:rsidRPr="008E50DB">
        <w:rPr>
          <w:b/>
          <w:sz w:val="20"/>
          <w:szCs w:val="20"/>
        </w:rPr>
        <w:t xml:space="preserve">the objective of the proposed </w:t>
      </w:r>
      <w:r w:rsidR="0015781F">
        <w:rPr>
          <w:b/>
          <w:sz w:val="20"/>
          <w:szCs w:val="20"/>
        </w:rPr>
        <w:t>T</w:t>
      </w:r>
      <w:r w:rsidRPr="008E50DB">
        <w:rPr>
          <w:b/>
          <w:sz w:val="20"/>
          <w:szCs w:val="20"/>
        </w:rPr>
        <w:t xml:space="preserve">echnical </w:t>
      </w:r>
      <w:r w:rsidR="0015781F">
        <w:rPr>
          <w:b/>
          <w:sz w:val="20"/>
          <w:szCs w:val="20"/>
        </w:rPr>
        <w:t>C</w:t>
      </w:r>
      <w:r w:rsidRPr="008E50DB">
        <w:rPr>
          <w:b/>
          <w:sz w:val="20"/>
          <w:szCs w:val="20"/>
        </w:rPr>
        <w:t xml:space="preserve">ooperation is to generate and disseminate key knowledge and facilitate exchanges of </w:t>
      </w:r>
      <w:r w:rsidR="003F18CB" w:rsidRPr="008E50DB">
        <w:rPr>
          <w:b/>
          <w:sz w:val="20"/>
          <w:szCs w:val="20"/>
        </w:rPr>
        <w:t xml:space="preserve">knowledge and </w:t>
      </w:r>
      <w:r w:rsidRPr="008E50DB">
        <w:rPr>
          <w:b/>
          <w:sz w:val="20"/>
          <w:szCs w:val="20"/>
        </w:rPr>
        <w:t xml:space="preserve">experiences </w:t>
      </w:r>
      <w:r w:rsidR="003F18CB" w:rsidRPr="008E50DB">
        <w:rPr>
          <w:b/>
          <w:sz w:val="20"/>
          <w:szCs w:val="20"/>
        </w:rPr>
        <w:t xml:space="preserve">related to </w:t>
      </w:r>
      <w:r w:rsidRPr="008E50DB">
        <w:rPr>
          <w:b/>
          <w:sz w:val="20"/>
          <w:szCs w:val="20"/>
        </w:rPr>
        <w:t>climate change</w:t>
      </w:r>
      <w:r w:rsidR="00763850" w:rsidRPr="008E50DB">
        <w:rPr>
          <w:b/>
          <w:sz w:val="20"/>
          <w:szCs w:val="20"/>
        </w:rPr>
        <w:t xml:space="preserve"> and</w:t>
      </w:r>
      <w:r w:rsidRPr="008E50DB">
        <w:rPr>
          <w:b/>
          <w:sz w:val="20"/>
          <w:szCs w:val="20"/>
        </w:rPr>
        <w:t xml:space="preserve"> </w:t>
      </w:r>
      <w:r w:rsidR="00B358B9" w:rsidRPr="008E50DB">
        <w:rPr>
          <w:b/>
          <w:sz w:val="20"/>
          <w:szCs w:val="20"/>
        </w:rPr>
        <w:t>sustainability among</w:t>
      </w:r>
      <w:r w:rsidRPr="008E50DB">
        <w:rPr>
          <w:b/>
          <w:sz w:val="20"/>
          <w:szCs w:val="20"/>
        </w:rPr>
        <w:t xml:space="preserve"> key players and institutions in Latin America and the Caribbean, in order to strengthen </w:t>
      </w:r>
      <w:r w:rsidR="00397999" w:rsidRPr="008E50DB">
        <w:rPr>
          <w:b/>
          <w:sz w:val="20"/>
          <w:szCs w:val="20"/>
        </w:rPr>
        <w:t xml:space="preserve">their </w:t>
      </w:r>
      <w:r w:rsidRPr="008E50DB">
        <w:rPr>
          <w:b/>
          <w:sz w:val="20"/>
          <w:szCs w:val="20"/>
        </w:rPr>
        <w:t xml:space="preserve">capacities to </w:t>
      </w:r>
      <w:r w:rsidR="00397999" w:rsidRPr="008E50DB">
        <w:rPr>
          <w:b/>
          <w:sz w:val="20"/>
          <w:szCs w:val="20"/>
        </w:rPr>
        <w:t>face</w:t>
      </w:r>
      <w:r w:rsidRPr="008E50DB">
        <w:rPr>
          <w:b/>
          <w:sz w:val="20"/>
          <w:szCs w:val="20"/>
        </w:rPr>
        <w:t xml:space="preserve"> the challenges </w:t>
      </w:r>
      <w:r w:rsidR="00397999" w:rsidRPr="008E50DB">
        <w:rPr>
          <w:b/>
          <w:sz w:val="20"/>
          <w:szCs w:val="20"/>
        </w:rPr>
        <w:t>raised by</w:t>
      </w:r>
      <w:r w:rsidRPr="008E50DB">
        <w:rPr>
          <w:b/>
          <w:sz w:val="20"/>
          <w:szCs w:val="20"/>
        </w:rPr>
        <w:t xml:space="preserve"> the promotion of sustainable and inclusive development and the management of climate change and sustainability.  </w:t>
      </w:r>
      <w:r w:rsidR="001C38EC" w:rsidRPr="008E50DB">
        <w:rPr>
          <w:sz w:val="20"/>
          <w:szCs w:val="20"/>
        </w:rPr>
        <w:t>In order to do so, t</w:t>
      </w:r>
      <w:r w:rsidRPr="008E50DB">
        <w:rPr>
          <w:sz w:val="20"/>
          <w:szCs w:val="20"/>
        </w:rPr>
        <w:t xml:space="preserve">his TC will </w:t>
      </w:r>
      <w:r w:rsidR="001C38EC" w:rsidRPr="008E50DB">
        <w:rPr>
          <w:sz w:val="20"/>
          <w:szCs w:val="20"/>
        </w:rPr>
        <w:t xml:space="preserve">be closely aligned and support the implementation of the </w:t>
      </w:r>
      <w:r w:rsidRPr="008E50DB">
        <w:rPr>
          <w:sz w:val="20"/>
          <w:szCs w:val="20"/>
        </w:rPr>
        <w:t xml:space="preserve">Sustainability Framework, </w:t>
      </w:r>
      <w:r w:rsidR="00763850" w:rsidRPr="008E50DB">
        <w:rPr>
          <w:sz w:val="20"/>
          <w:szCs w:val="20"/>
        </w:rPr>
        <w:t xml:space="preserve">and </w:t>
      </w:r>
      <w:r w:rsidRPr="008E50DB">
        <w:rPr>
          <w:sz w:val="20"/>
          <w:szCs w:val="20"/>
        </w:rPr>
        <w:t>the</w:t>
      </w:r>
      <w:r w:rsidR="001C38EC" w:rsidRPr="008E50DB">
        <w:rPr>
          <w:sz w:val="20"/>
          <w:szCs w:val="20"/>
        </w:rPr>
        <w:t xml:space="preserve"> </w:t>
      </w:r>
      <w:r w:rsidRPr="008E50DB">
        <w:rPr>
          <w:sz w:val="20"/>
          <w:szCs w:val="20"/>
        </w:rPr>
        <w:t xml:space="preserve">Climate Change Strategy Action Plan (CCSAP). </w:t>
      </w:r>
      <w:r w:rsidR="0015781F">
        <w:rPr>
          <w:sz w:val="20"/>
          <w:szCs w:val="20"/>
        </w:rPr>
        <w:t>It</w:t>
      </w:r>
      <w:r w:rsidR="004C5131" w:rsidRPr="008E50DB">
        <w:rPr>
          <w:sz w:val="20"/>
          <w:szCs w:val="20"/>
        </w:rPr>
        <w:t xml:space="preserve"> is also aligned with the IDB’s Knowledge and Learning Strategy 2012-2015</w:t>
      </w:r>
      <w:r w:rsidR="002F47ED" w:rsidRPr="008E50DB">
        <w:rPr>
          <w:sz w:val="20"/>
          <w:szCs w:val="20"/>
        </w:rPr>
        <w:t xml:space="preserve"> (Document GN-2479-2)</w:t>
      </w:r>
      <w:r w:rsidR="004C5131" w:rsidRPr="008E50DB">
        <w:rPr>
          <w:sz w:val="20"/>
          <w:szCs w:val="20"/>
        </w:rPr>
        <w:t>.</w:t>
      </w:r>
    </w:p>
    <w:p w:rsidR="003D7A0F" w:rsidRPr="008E50DB" w:rsidRDefault="002112F0" w:rsidP="009816F0">
      <w:pPr>
        <w:pStyle w:val="Default"/>
        <w:jc w:val="both"/>
        <w:rPr>
          <w:sz w:val="20"/>
          <w:szCs w:val="20"/>
        </w:rPr>
      </w:pPr>
      <w:r w:rsidRPr="008E50DB">
        <w:rPr>
          <w:b/>
          <w:sz w:val="20"/>
          <w:szCs w:val="20"/>
        </w:rPr>
        <w:t xml:space="preserve">The proposed TC </w:t>
      </w:r>
      <w:r w:rsidR="00977A7A" w:rsidRPr="008E50DB">
        <w:rPr>
          <w:b/>
          <w:sz w:val="20"/>
          <w:szCs w:val="20"/>
        </w:rPr>
        <w:t>will</w:t>
      </w:r>
      <w:r w:rsidR="00F81D7B" w:rsidRPr="008E50DB">
        <w:rPr>
          <w:b/>
          <w:sz w:val="20"/>
          <w:szCs w:val="20"/>
        </w:rPr>
        <w:t xml:space="preserve"> add value by:</w:t>
      </w:r>
      <w:r w:rsidR="00754EFD" w:rsidRPr="008E50DB">
        <w:rPr>
          <w:sz w:val="20"/>
          <w:szCs w:val="20"/>
        </w:rPr>
        <w:t xml:space="preserve"> </w:t>
      </w:r>
      <w:r w:rsidR="002A05A6" w:rsidRPr="008E50DB">
        <w:rPr>
          <w:sz w:val="20"/>
          <w:szCs w:val="20"/>
        </w:rPr>
        <w:t>p</w:t>
      </w:r>
      <w:r w:rsidR="00F81D7B" w:rsidRPr="008E50DB">
        <w:rPr>
          <w:sz w:val="20"/>
          <w:szCs w:val="20"/>
        </w:rPr>
        <w:t xml:space="preserve">roviding </w:t>
      </w:r>
      <w:r w:rsidR="003F18CB" w:rsidRPr="008E50DB">
        <w:rPr>
          <w:sz w:val="20"/>
          <w:szCs w:val="20"/>
        </w:rPr>
        <w:t xml:space="preserve">appropriate actors in the region </w:t>
      </w:r>
      <w:r w:rsidR="00F81D7B" w:rsidRPr="008E50DB">
        <w:rPr>
          <w:sz w:val="20"/>
          <w:szCs w:val="20"/>
        </w:rPr>
        <w:t xml:space="preserve">with </w:t>
      </w:r>
      <w:proofErr w:type="gramStart"/>
      <w:r w:rsidR="00F81D7B" w:rsidRPr="008E50DB">
        <w:rPr>
          <w:sz w:val="20"/>
          <w:szCs w:val="20"/>
        </w:rPr>
        <w:t>r</w:t>
      </w:r>
      <w:r w:rsidR="003F18CB" w:rsidRPr="008E50DB">
        <w:rPr>
          <w:sz w:val="20"/>
          <w:szCs w:val="20"/>
        </w:rPr>
        <w:t>elevant</w:t>
      </w:r>
      <w:r w:rsidR="00F81D7B" w:rsidRPr="008E50DB">
        <w:rPr>
          <w:sz w:val="20"/>
          <w:szCs w:val="20"/>
        </w:rPr>
        <w:t xml:space="preserve"> </w:t>
      </w:r>
      <w:r w:rsidR="000D21E6" w:rsidRPr="008E50DB">
        <w:rPr>
          <w:sz w:val="20"/>
          <w:szCs w:val="20"/>
        </w:rPr>
        <w:t xml:space="preserve"> and</w:t>
      </w:r>
      <w:proofErr w:type="gramEnd"/>
      <w:r w:rsidR="000D21E6" w:rsidRPr="008E50DB">
        <w:rPr>
          <w:sz w:val="20"/>
          <w:szCs w:val="20"/>
        </w:rPr>
        <w:t xml:space="preserve"> timely </w:t>
      </w:r>
      <w:r w:rsidR="00F81D7B" w:rsidRPr="008E50DB">
        <w:rPr>
          <w:sz w:val="20"/>
          <w:szCs w:val="20"/>
        </w:rPr>
        <w:t>information/knowledge on ways to address climate change</w:t>
      </w:r>
      <w:r w:rsidR="00763850" w:rsidRPr="008E50DB">
        <w:rPr>
          <w:sz w:val="20"/>
          <w:szCs w:val="20"/>
        </w:rPr>
        <w:t xml:space="preserve"> and</w:t>
      </w:r>
      <w:r w:rsidR="00F81D7B" w:rsidRPr="008E50DB">
        <w:rPr>
          <w:sz w:val="20"/>
          <w:szCs w:val="20"/>
        </w:rPr>
        <w:t xml:space="preserve"> </w:t>
      </w:r>
      <w:r w:rsidR="00977A7A" w:rsidRPr="008E50DB">
        <w:rPr>
          <w:sz w:val="20"/>
          <w:szCs w:val="20"/>
        </w:rPr>
        <w:t xml:space="preserve">sustainability </w:t>
      </w:r>
      <w:r w:rsidR="00F81D7B" w:rsidRPr="008E50DB">
        <w:rPr>
          <w:sz w:val="20"/>
          <w:szCs w:val="20"/>
        </w:rPr>
        <w:t xml:space="preserve">issues; </w:t>
      </w:r>
      <w:r w:rsidR="002A05A6" w:rsidRPr="008E50DB">
        <w:rPr>
          <w:sz w:val="20"/>
          <w:szCs w:val="20"/>
        </w:rPr>
        <w:t>c</w:t>
      </w:r>
      <w:r w:rsidR="00F81D7B" w:rsidRPr="008E50DB">
        <w:rPr>
          <w:sz w:val="20"/>
          <w:szCs w:val="20"/>
        </w:rPr>
        <w:t>ollecting</w:t>
      </w:r>
      <w:r w:rsidR="008A7F92">
        <w:rPr>
          <w:sz w:val="20"/>
          <w:szCs w:val="20"/>
        </w:rPr>
        <w:t>, systematizing</w:t>
      </w:r>
      <w:r w:rsidR="00F81D7B" w:rsidRPr="008E50DB">
        <w:rPr>
          <w:sz w:val="20"/>
          <w:szCs w:val="20"/>
        </w:rPr>
        <w:t xml:space="preserve"> and sharing </w:t>
      </w:r>
      <w:r w:rsidR="008A7F92">
        <w:rPr>
          <w:sz w:val="20"/>
          <w:szCs w:val="20"/>
        </w:rPr>
        <w:t>knowledge, data</w:t>
      </w:r>
      <w:r w:rsidR="00DC0022" w:rsidRPr="008E50DB">
        <w:rPr>
          <w:sz w:val="20"/>
          <w:szCs w:val="20"/>
        </w:rPr>
        <w:t xml:space="preserve">, </w:t>
      </w:r>
      <w:r w:rsidR="00F81D7B" w:rsidRPr="008E50DB">
        <w:rPr>
          <w:sz w:val="20"/>
          <w:szCs w:val="20"/>
        </w:rPr>
        <w:t xml:space="preserve">good practices and tools; </w:t>
      </w:r>
      <w:r w:rsidR="002A05A6" w:rsidRPr="008E50DB">
        <w:rPr>
          <w:sz w:val="20"/>
          <w:szCs w:val="20"/>
        </w:rPr>
        <w:t>l</w:t>
      </w:r>
      <w:r w:rsidR="00F81D7B" w:rsidRPr="008E50DB">
        <w:rPr>
          <w:sz w:val="20"/>
          <w:szCs w:val="20"/>
        </w:rPr>
        <w:t xml:space="preserve">earning from </w:t>
      </w:r>
      <w:r w:rsidR="008A7F92">
        <w:rPr>
          <w:sz w:val="20"/>
          <w:szCs w:val="20"/>
        </w:rPr>
        <w:t xml:space="preserve">the </w:t>
      </w:r>
      <w:r w:rsidR="00F81D7B" w:rsidRPr="008E50DB">
        <w:rPr>
          <w:sz w:val="20"/>
          <w:szCs w:val="20"/>
        </w:rPr>
        <w:t>successes/failures</w:t>
      </w:r>
      <w:r w:rsidR="008A7F92">
        <w:rPr>
          <w:sz w:val="20"/>
          <w:szCs w:val="20"/>
        </w:rPr>
        <w:t xml:space="preserve"> of projects and programs, in order</w:t>
      </w:r>
      <w:r w:rsidR="00F81D7B" w:rsidRPr="008E50DB">
        <w:rPr>
          <w:sz w:val="20"/>
          <w:szCs w:val="20"/>
        </w:rPr>
        <w:t xml:space="preserve"> to design/innovate and improve </w:t>
      </w:r>
      <w:r w:rsidR="008A7F92">
        <w:rPr>
          <w:sz w:val="20"/>
          <w:szCs w:val="20"/>
        </w:rPr>
        <w:t>future initiatives</w:t>
      </w:r>
      <w:r w:rsidR="00F81D7B" w:rsidRPr="008E50DB">
        <w:rPr>
          <w:sz w:val="20"/>
          <w:szCs w:val="20"/>
        </w:rPr>
        <w:t>;</w:t>
      </w:r>
      <w:r w:rsidR="002A05A6" w:rsidRPr="008E50DB">
        <w:rPr>
          <w:sz w:val="20"/>
          <w:szCs w:val="20"/>
        </w:rPr>
        <w:t xml:space="preserve"> </w:t>
      </w:r>
      <w:r w:rsidR="00B358B9" w:rsidRPr="008E50DB">
        <w:rPr>
          <w:sz w:val="20"/>
          <w:szCs w:val="20"/>
        </w:rPr>
        <w:t xml:space="preserve">and </w:t>
      </w:r>
      <w:r w:rsidR="002A05A6" w:rsidRPr="008E50DB">
        <w:rPr>
          <w:sz w:val="20"/>
          <w:szCs w:val="20"/>
        </w:rPr>
        <w:t>f</w:t>
      </w:r>
      <w:r w:rsidR="00F81D7B" w:rsidRPr="008E50DB">
        <w:rPr>
          <w:sz w:val="20"/>
          <w:szCs w:val="20"/>
        </w:rPr>
        <w:t>acilitating cross-project learning among countries</w:t>
      </w:r>
      <w:r w:rsidR="00B358B9" w:rsidRPr="008E50DB">
        <w:rPr>
          <w:sz w:val="20"/>
          <w:szCs w:val="20"/>
        </w:rPr>
        <w:t>.</w:t>
      </w:r>
    </w:p>
    <w:p w:rsidR="009816F0" w:rsidRPr="008E50DB" w:rsidRDefault="009816F0" w:rsidP="009816F0">
      <w:pPr>
        <w:pStyle w:val="Default"/>
        <w:jc w:val="both"/>
        <w:rPr>
          <w:sz w:val="20"/>
          <w:szCs w:val="20"/>
        </w:rPr>
      </w:pPr>
    </w:p>
    <w:p w:rsidR="0095711B" w:rsidRPr="008E50DB" w:rsidRDefault="00D95606" w:rsidP="00977A7A">
      <w:pPr>
        <w:pStyle w:val="ListParagraph"/>
        <w:numPr>
          <w:ilvl w:val="0"/>
          <w:numId w:val="5"/>
        </w:numPr>
        <w:spacing w:after="0"/>
        <w:jc w:val="both"/>
        <w:rPr>
          <w:b/>
          <w:sz w:val="20"/>
          <w:szCs w:val="20"/>
        </w:rPr>
      </w:pPr>
      <w:r w:rsidRPr="008E50DB">
        <w:rPr>
          <w:b/>
          <w:sz w:val="20"/>
          <w:szCs w:val="20"/>
        </w:rPr>
        <w:t>D</w:t>
      </w:r>
      <w:r w:rsidR="0095711B" w:rsidRPr="008E50DB">
        <w:rPr>
          <w:b/>
          <w:sz w:val="20"/>
          <w:szCs w:val="20"/>
        </w:rPr>
        <w:t xml:space="preserve">escription </w:t>
      </w:r>
      <w:r w:rsidR="00A12C27" w:rsidRPr="008E50DB">
        <w:rPr>
          <w:b/>
          <w:sz w:val="20"/>
          <w:szCs w:val="20"/>
        </w:rPr>
        <w:t xml:space="preserve">of </w:t>
      </w:r>
      <w:r w:rsidR="00596B8A">
        <w:rPr>
          <w:b/>
          <w:sz w:val="20"/>
          <w:szCs w:val="20"/>
        </w:rPr>
        <w:t>A</w:t>
      </w:r>
      <w:r w:rsidR="00A12C27" w:rsidRPr="008E50DB">
        <w:rPr>
          <w:b/>
          <w:sz w:val="20"/>
          <w:szCs w:val="20"/>
        </w:rPr>
        <w:t>ctivities</w:t>
      </w:r>
      <w:r w:rsidR="00F2521F" w:rsidRPr="008E50DB">
        <w:rPr>
          <w:b/>
          <w:sz w:val="20"/>
          <w:szCs w:val="20"/>
        </w:rPr>
        <w:t xml:space="preserve"> and </w:t>
      </w:r>
      <w:r w:rsidR="00596B8A">
        <w:rPr>
          <w:b/>
          <w:sz w:val="20"/>
          <w:szCs w:val="20"/>
        </w:rPr>
        <w:t>O</w:t>
      </w:r>
      <w:r w:rsidR="00F2521F" w:rsidRPr="008E50DB">
        <w:rPr>
          <w:b/>
          <w:sz w:val="20"/>
          <w:szCs w:val="20"/>
        </w:rPr>
        <w:t xml:space="preserve">utputs </w:t>
      </w:r>
      <w:r w:rsidR="0095711B" w:rsidRPr="008E50DB">
        <w:rPr>
          <w:b/>
          <w:sz w:val="20"/>
          <w:szCs w:val="20"/>
        </w:rPr>
        <w:t xml:space="preserve">(estimated length: </w:t>
      </w:r>
      <w:r w:rsidRPr="008E50DB">
        <w:rPr>
          <w:b/>
          <w:sz w:val="20"/>
          <w:szCs w:val="20"/>
        </w:rPr>
        <w:t>½</w:t>
      </w:r>
      <w:r w:rsidR="00CA272D" w:rsidRPr="008E50DB">
        <w:rPr>
          <w:b/>
          <w:sz w:val="20"/>
          <w:szCs w:val="20"/>
        </w:rPr>
        <w:t xml:space="preserve"> </w:t>
      </w:r>
      <w:r w:rsidR="0095711B" w:rsidRPr="008E50DB">
        <w:rPr>
          <w:b/>
          <w:sz w:val="20"/>
          <w:szCs w:val="20"/>
        </w:rPr>
        <w:t>page)</w:t>
      </w:r>
    </w:p>
    <w:p w:rsidR="005F132F" w:rsidRDefault="005F132F" w:rsidP="009816F0">
      <w:pPr>
        <w:pStyle w:val="Default"/>
        <w:jc w:val="both"/>
        <w:rPr>
          <w:sz w:val="20"/>
          <w:szCs w:val="20"/>
        </w:rPr>
      </w:pPr>
      <w:r w:rsidRPr="008E50DB">
        <w:rPr>
          <w:sz w:val="20"/>
          <w:szCs w:val="20"/>
        </w:rPr>
        <w:t>Th</w:t>
      </w:r>
      <w:r w:rsidR="00754EFD" w:rsidRPr="008E50DB">
        <w:rPr>
          <w:sz w:val="20"/>
          <w:szCs w:val="20"/>
        </w:rPr>
        <w:t>is</w:t>
      </w:r>
      <w:r w:rsidRPr="008E50DB">
        <w:rPr>
          <w:sz w:val="20"/>
          <w:szCs w:val="20"/>
        </w:rPr>
        <w:t xml:space="preserve"> TC proposes to support knowledge sharing and development between main players of climate change</w:t>
      </w:r>
      <w:r w:rsidR="00763850" w:rsidRPr="008E50DB">
        <w:rPr>
          <w:sz w:val="20"/>
          <w:szCs w:val="20"/>
        </w:rPr>
        <w:t xml:space="preserve"> and</w:t>
      </w:r>
      <w:r w:rsidR="00754EFD" w:rsidRPr="008E50DB">
        <w:rPr>
          <w:sz w:val="20"/>
          <w:szCs w:val="20"/>
        </w:rPr>
        <w:t xml:space="preserve"> </w:t>
      </w:r>
      <w:r w:rsidR="0015781F" w:rsidRPr="008E50DB">
        <w:rPr>
          <w:sz w:val="20"/>
          <w:szCs w:val="20"/>
        </w:rPr>
        <w:t>sustainability through</w:t>
      </w:r>
      <w:r w:rsidRPr="008E50DB">
        <w:rPr>
          <w:sz w:val="20"/>
          <w:szCs w:val="20"/>
        </w:rPr>
        <w:t xml:space="preserve"> </w:t>
      </w:r>
      <w:r w:rsidR="004766A9" w:rsidRPr="008E50DB">
        <w:rPr>
          <w:sz w:val="20"/>
          <w:szCs w:val="20"/>
        </w:rPr>
        <w:t>t</w:t>
      </w:r>
      <w:r w:rsidR="0015781F">
        <w:rPr>
          <w:sz w:val="20"/>
          <w:szCs w:val="20"/>
        </w:rPr>
        <w:t xml:space="preserve">wo </w:t>
      </w:r>
      <w:r w:rsidRPr="008E50DB">
        <w:rPr>
          <w:sz w:val="20"/>
          <w:szCs w:val="20"/>
        </w:rPr>
        <w:t>main components:</w:t>
      </w:r>
    </w:p>
    <w:p w:rsidR="00AD082C" w:rsidRPr="008E50DB" w:rsidRDefault="00AD082C" w:rsidP="009816F0">
      <w:pPr>
        <w:pStyle w:val="Default"/>
        <w:jc w:val="both"/>
        <w:rPr>
          <w:sz w:val="20"/>
          <w:szCs w:val="20"/>
        </w:rPr>
      </w:pPr>
    </w:p>
    <w:p w:rsidR="005F132F" w:rsidRPr="008E50DB" w:rsidRDefault="00977A7A" w:rsidP="009816F0">
      <w:pPr>
        <w:pStyle w:val="Default"/>
        <w:jc w:val="both"/>
        <w:rPr>
          <w:b/>
          <w:i/>
          <w:sz w:val="20"/>
          <w:szCs w:val="20"/>
          <w:u w:val="single"/>
        </w:rPr>
      </w:pPr>
      <w:r w:rsidRPr="008E50DB">
        <w:rPr>
          <w:b/>
          <w:i/>
          <w:sz w:val="20"/>
          <w:szCs w:val="20"/>
          <w:u w:val="single"/>
        </w:rPr>
        <w:t xml:space="preserve">Component </w:t>
      </w:r>
      <w:r w:rsidR="00B358B9" w:rsidRPr="008E50DB">
        <w:rPr>
          <w:b/>
          <w:i/>
          <w:sz w:val="20"/>
          <w:szCs w:val="20"/>
          <w:u w:val="single"/>
        </w:rPr>
        <w:t>1</w:t>
      </w:r>
      <w:r w:rsidRPr="008E50DB">
        <w:rPr>
          <w:b/>
          <w:i/>
          <w:sz w:val="20"/>
          <w:szCs w:val="20"/>
          <w:u w:val="single"/>
        </w:rPr>
        <w:t xml:space="preserve">: </w:t>
      </w:r>
      <w:r w:rsidR="00631F81" w:rsidRPr="008E50DB">
        <w:rPr>
          <w:b/>
          <w:i/>
          <w:sz w:val="20"/>
          <w:szCs w:val="20"/>
          <w:u w:val="single"/>
        </w:rPr>
        <w:t>Promote</w:t>
      </w:r>
      <w:r w:rsidR="00F1780A" w:rsidRPr="008E50DB">
        <w:rPr>
          <w:b/>
          <w:i/>
          <w:sz w:val="20"/>
          <w:szCs w:val="20"/>
          <w:u w:val="single"/>
        </w:rPr>
        <w:t xml:space="preserve"> knowledge management </w:t>
      </w:r>
      <w:r w:rsidR="0015781F">
        <w:rPr>
          <w:b/>
          <w:i/>
          <w:sz w:val="20"/>
          <w:szCs w:val="20"/>
          <w:u w:val="single"/>
        </w:rPr>
        <w:t>approaches</w:t>
      </w:r>
      <w:r w:rsidR="00F1780A" w:rsidRPr="008E50DB">
        <w:rPr>
          <w:b/>
          <w:i/>
          <w:sz w:val="20"/>
          <w:szCs w:val="20"/>
          <w:u w:val="single"/>
        </w:rPr>
        <w:t xml:space="preserve"> to increase capacities in the region in climate change</w:t>
      </w:r>
      <w:r w:rsidR="00763850" w:rsidRPr="008E50DB">
        <w:rPr>
          <w:b/>
          <w:i/>
          <w:sz w:val="20"/>
          <w:szCs w:val="20"/>
          <w:u w:val="single"/>
        </w:rPr>
        <w:t xml:space="preserve"> and</w:t>
      </w:r>
      <w:r w:rsidR="00631F81" w:rsidRPr="008E50DB">
        <w:rPr>
          <w:b/>
          <w:i/>
          <w:sz w:val="20"/>
          <w:szCs w:val="20"/>
          <w:u w:val="single"/>
        </w:rPr>
        <w:t xml:space="preserve"> sustainability</w:t>
      </w:r>
      <w:r w:rsidR="00F1780A" w:rsidRPr="008E50DB">
        <w:rPr>
          <w:b/>
          <w:i/>
          <w:sz w:val="20"/>
          <w:szCs w:val="20"/>
          <w:u w:val="single"/>
        </w:rPr>
        <w:t xml:space="preserve"> </w:t>
      </w:r>
    </w:p>
    <w:p w:rsidR="002F47ED" w:rsidRPr="008E50DB" w:rsidRDefault="00E53FB6" w:rsidP="00754EFD">
      <w:pPr>
        <w:pStyle w:val="Default"/>
        <w:jc w:val="both"/>
        <w:rPr>
          <w:sz w:val="20"/>
          <w:szCs w:val="20"/>
        </w:rPr>
      </w:pPr>
      <w:r w:rsidRPr="008E50DB">
        <w:rPr>
          <w:sz w:val="20"/>
          <w:szCs w:val="20"/>
        </w:rPr>
        <w:t xml:space="preserve">This component proposes to manage a cycle of learning and knowledge that is derived from analytical work and </w:t>
      </w:r>
      <w:r w:rsidR="00B358B9" w:rsidRPr="008E50DB">
        <w:rPr>
          <w:sz w:val="20"/>
          <w:szCs w:val="20"/>
        </w:rPr>
        <w:t xml:space="preserve">operational </w:t>
      </w:r>
      <w:r w:rsidRPr="008E50DB">
        <w:rPr>
          <w:sz w:val="20"/>
          <w:szCs w:val="20"/>
        </w:rPr>
        <w:t xml:space="preserve"> practices alike. This requires making explicit the knowledge that arises from </w:t>
      </w:r>
      <w:r w:rsidR="00B358B9" w:rsidRPr="008E50DB">
        <w:rPr>
          <w:sz w:val="20"/>
          <w:szCs w:val="20"/>
        </w:rPr>
        <w:t xml:space="preserve">operational </w:t>
      </w:r>
      <w:r w:rsidRPr="008E50DB">
        <w:rPr>
          <w:sz w:val="20"/>
          <w:szCs w:val="20"/>
        </w:rPr>
        <w:t xml:space="preserve">experience and complementing it with analytical work on development problems and </w:t>
      </w:r>
      <w:r w:rsidR="00B358B9" w:rsidRPr="008E50DB">
        <w:rPr>
          <w:sz w:val="20"/>
          <w:szCs w:val="20"/>
        </w:rPr>
        <w:t>challenges</w:t>
      </w:r>
      <w:r w:rsidRPr="008E50DB">
        <w:rPr>
          <w:sz w:val="20"/>
          <w:szCs w:val="20"/>
        </w:rPr>
        <w:t xml:space="preserve">. </w:t>
      </w:r>
      <w:r w:rsidR="00754EFD" w:rsidRPr="008E50DB">
        <w:rPr>
          <w:sz w:val="20"/>
          <w:szCs w:val="20"/>
        </w:rPr>
        <w:t xml:space="preserve"> </w:t>
      </w:r>
      <w:r w:rsidR="004766A9" w:rsidRPr="008E50DB">
        <w:rPr>
          <w:sz w:val="20"/>
          <w:szCs w:val="20"/>
        </w:rPr>
        <w:t xml:space="preserve">This component will support the extraction, interpretation, and mainstreaming of the knowledge of </w:t>
      </w:r>
      <w:r w:rsidR="00B358B9" w:rsidRPr="008E50DB">
        <w:rPr>
          <w:sz w:val="20"/>
          <w:szCs w:val="20"/>
        </w:rPr>
        <w:t xml:space="preserve"> IDB</w:t>
      </w:r>
      <w:r w:rsidR="004766A9" w:rsidRPr="008E50DB">
        <w:rPr>
          <w:sz w:val="20"/>
          <w:szCs w:val="20"/>
        </w:rPr>
        <w:t xml:space="preserve"> specialists, and counterparts</w:t>
      </w:r>
      <w:r w:rsidR="00DC0022" w:rsidRPr="008E50DB">
        <w:rPr>
          <w:sz w:val="20"/>
          <w:szCs w:val="20"/>
        </w:rPr>
        <w:t xml:space="preserve"> in the Region (including government officials and executing agencies)</w:t>
      </w:r>
      <w:r w:rsidR="004766A9" w:rsidRPr="008E50DB">
        <w:rPr>
          <w:sz w:val="20"/>
          <w:szCs w:val="20"/>
        </w:rPr>
        <w:t xml:space="preserve">, whose know-how, based on particular experiences with </w:t>
      </w:r>
      <w:r w:rsidR="00DC0022" w:rsidRPr="008E50DB">
        <w:rPr>
          <w:sz w:val="20"/>
          <w:szCs w:val="20"/>
        </w:rPr>
        <w:t xml:space="preserve">project </w:t>
      </w:r>
      <w:r w:rsidR="004766A9" w:rsidRPr="008E50DB">
        <w:rPr>
          <w:sz w:val="20"/>
          <w:szCs w:val="20"/>
        </w:rPr>
        <w:t xml:space="preserve">preparation, execution, and supervision, is the prime source of learning. </w:t>
      </w:r>
    </w:p>
    <w:p w:rsidR="004766A9" w:rsidRPr="008E50DB" w:rsidRDefault="002F47ED" w:rsidP="00754EFD">
      <w:pPr>
        <w:pStyle w:val="Default"/>
        <w:jc w:val="both"/>
        <w:rPr>
          <w:sz w:val="20"/>
          <w:szCs w:val="20"/>
        </w:rPr>
      </w:pPr>
      <w:r w:rsidRPr="008E50DB">
        <w:rPr>
          <w:b/>
          <w:sz w:val="20"/>
          <w:szCs w:val="20"/>
        </w:rPr>
        <w:t xml:space="preserve">Outputs: </w:t>
      </w:r>
      <w:r w:rsidR="005813C7">
        <w:rPr>
          <w:sz w:val="20"/>
          <w:szCs w:val="20"/>
        </w:rPr>
        <w:t xml:space="preserve">Publication and dissemination of a systematized, searchable set of </w:t>
      </w:r>
      <w:r w:rsidR="00F63EA0">
        <w:rPr>
          <w:sz w:val="20"/>
          <w:szCs w:val="20"/>
        </w:rPr>
        <w:t>k</w:t>
      </w:r>
      <w:r w:rsidR="000A2F60" w:rsidRPr="008E50DB">
        <w:rPr>
          <w:sz w:val="20"/>
          <w:szCs w:val="20"/>
        </w:rPr>
        <w:t xml:space="preserve">ey </w:t>
      </w:r>
      <w:proofErr w:type="spellStart"/>
      <w:r w:rsidR="000A2F60" w:rsidRPr="008E50DB">
        <w:rPr>
          <w:sz w:val="20"/>
          <w:szCs w:val="20"/>
        </w:rPr>
        <w:t>learnings</w:t>
      </w:r>
      <w:proofErr w:type="spellEnd"/>
      <w:r w:rsidR="000A2F60" w:rsidRPr="008E50DB">
        <w:rPr>
          <w:sz w:val="20"/>
          <w:szCs w:val="20"/>
        </w:rPr>
        <w:t xml:space="preserve"> and recommendations</w:t>
      </w:r>
      <w:r w:rsidR="00F63EA0">
        <w:rPr>
          <w:sz w:val="20"/>
          <w:szCs w:val="20"/>
        </w:rPr>
        <w:t xml:space="preserve">, derived </w:t>
      </w:r>
      <w:r w:rsidR="00AD082C">
        <w:rPr>
          <w:sz w:val="20"/>
          <w:szCs w:val="20"/>
        </w:rPr>
        <w:t xml:space="preserve">from </w:t>
      </w:r>
      <w:r w:rsidR="005813C7">
        <w:rPr>
          <w:sz w:val="20"/>
          <w:szCs w:val="20"/>
        </w:rPr>
        <w:t>an in-depth analysis of the</w:t>
      </w:r>
      <w:r w:rsidR="00F63EA0">
        <w:rPr>
          <w:sz w:val="20"/>
          <w:szCs w:val="20"/>
        </w:rPr>
        <w:t xml:space="preserve"> experience of a set of programs and projects related to climate change</w:t>
      </w:r>
      <w:r w:rsidR="005813C7">
        <w:rPr>
          <w:sz w:val="20"/>
          <w:szCs w:val="20"/>
        </w:rPr>
        <w:t xml:space="preserve"> </w:t>
      </w:r>
      <w:r w:rsidR="00F63EA0">
        <w:rPr>
          <w:sz w:val="20"/>
          <w:szCs w:val="20"/>
        </w:rPr>
        <w:t>(</w:t>
      </w:r>
      <w:r w:rsidR="005813C7">
        <w:rPr>
          <w:sz w:val="20"/>
          <w:szCs w:val="20"/>
        </w:rPr>
        <w:t>“Learning from Operational Experience”</w:t>
      </w:r>
      <w:r w:rsidR="00F63EA0">
        <w:rPr>
          <w:sz w:val="20"/>
          <w:szCs w:val="20"/>
        </w:rPr>
        <w:t xml:space="preserve">) </w:t>
      </w:r>
      <w:r w:rsidR="00DC0022" w:rsidRPr="008E50DB">
        <w:rPr>
          <w:sz w:val="20"/>
          <w:szCs w:val="20"/>
        </w:rPr>
        <w:t xml:space="preserve">and </w:t>
      </w:r>
      <w:r w:rsidR="005813C7">
        <w:rPr>
          <w:sz w:val="20"/>
          <w:szCs w:val="20"/>
        </w:rPr>
        <w:t xml:space="preserve">from at least </w:t>
      </w:r>
      <w:r w:rsidR="00DC0022" w:rsidRPr="008E50DB">
        <w:rPr>
          <w:sz w:val="20"/>
          <w:szCs w:val="20"/>
        </w:rPr>
        <w:t>ten knowledge capture interviews</w:t>
      </w:r>
      <w:r w:rsidR="00EE2EB7">
        <w:rPr>
          <w:sz w:val="20"/>
          <w:szCs w:val="20"/>
        </w:rPr>
        <w:t>.  The focus of this body of knowledge will be on “what works”</w:t>
      </w:r>
      <w:r w:rsidR="000C7DC1">
        <w:rPr>
          <w:sz w:val="20"/>
          <w:szCs w:val="20"/>
        </w:rPr>
        <w:t xml:space="preserve"> and “what does not work”</w:t>
      </w:r>
      <w:r w:rsidR="00EE2EB7">
        <w:rPr>
          <w:sz w:val="20"/>
          <w:szCs w:val="20"/>
        </w:rPr>
        <w:t xml:space="preserve"> in projects and programs related to climate change and </w:t>
      </w:r>
      <w:r w:rsidR="00F63EA0">
        <w:rPr>
          <w:sz w:val="20"/>
          <w:szCs w:val="20"/>
        </w:rPr>
        <w:t>sustainability</w:t>
      </w:r>
      <w:r w:rsidR="00754EFD" w:rsidRPr="008E50DB">
        <w:rPr>
          <w:sz w:val="20"/>
          <w:szCs w:val="20"/>
        </w:rPr>
        <w:t>.</w:t>
      </w:r>
    </w:p>
    <w:p w:rsidR="009816F0" w:rsidRPr="008E50DB" w:rsidRDefault="009816F0" w:rsidP="009816F0">
      <w:pPr>
        <w:pStyle w:val="Default"/>
        <w:jc w:val="both"/>
        <w:rPr>
          <w:b/>
          <w:i/>
          <w:sz w:val="20"/>
          <w:szCs w:val="20"/>
          <w:u w:val="single"/>
        </w:rPr>
      </w:pPr>
    </w:p>
    <w:p w:rsidR="0051606F" w:rsidRPr="008E50DB" w:rsidRDefault="00507412" w:rsidP="009816F0">
      <w:pPr>
        <w:pStyle w:val="Default"/>
        <w:jc w:val="both"/>
        <w:rPr>
          <w:b/>
          <w:i/>
          <w:sz w:val="20"/>
          <w:szCs w:val="20"/>
          <w:u w:val="single"/>
        </w:rPr>
      </w:pPr>
      <w:r w:rsidRPr="008E50DB">
        <w:rPr>
          <w:b/>
          <w:i/>
          <w:sz w:val="20"/>
          <w:szCs w:val="20"/>
          <w:u w:val="single"/>
        </w:rPr>
        <w:t xml:space="preserve">Component </w:t>
      </w:r>
      <w:r w:rsidR="00AB55B0" w:rsidRPr="008E50DB">
        <w:rPr>
          <w:b/>
          <w:i/>
          <w:sz w:val="20"/>
          <w:szCs w:val="20"/>
          <w:u w:val="single"/>
        </w:rPr>
        <w:t>2</w:t>
      </w:r>
      <w:r w:rsidRPr="008E50DB">
        <w:rPr>
          <w:b/>
          <w:i/>
          <w:sz w:val="20"/>
          <w:szCs w:val="20"/>
          <w:u w:val="single"/>
        </w:rPr>
        <w:t xml:space="preserve">: </w:t>
      </w:r>
      <w:r w:rsidR="00D87E6A" w:rsidRPr="008E50DB">
        <w:rPr>
          <w:b/>
          <w:i/>
          <w:sz w:val="20"/>
          <w:szCs w:val="20"/>
          <w:u w:val="single"/>
        </w:rPr>
        <w:t>Dissemination</w:t>
      </w:r>
      <w:r w:rsidRPr="008E50DB">
        <w:rPr>
          <w:b/>
          <w:i/>
          <w:sz w:val="20"/>
          <w:szCs w:val="20"/>
          <w:u w:val="single"/>
        </w:rPr>
        <w:t xml:space="preserve"> and Communication of Knowledge</w:t>
      </w:r>
      <w:r w:rsidR="0063780D" w:rsidRPr="008E50DB">
        <w:rPr>
          <w:b/>
          <w:i/>
          <w:sz w:val="20"/>
          <w:szCs w:val="20"/>
          <w:u w:val="single"/>
        </w:rPr>
        <w:t xml:space="preserve"> and Research</w:t>
      </w:r>
      <w:r w:rsidRPr="008E50DB">
        <w:rPr>
          <w:b/>
          <w:i/>
          <w:sz w:val="20"/>
          <w:szCs w:val="20"/>
          <w:u w:val="single"/>
        </w:rPr>
        <w:t xml:space="preserve"> on </w:t>
      </w:r>
      <w:r w:rsidR="00BE67C4" w:rsidRPr="008E50DB">
        <w:rPr>
          <w:b/>
          <w:i/>
          <w:sz w:val="20"/>
          <w:szCs w:val="20"/>
          <w:u w:val="single"/>
        </w:rPr>
        <w:t>climate c</w:t>
      </w:r>
      <w:r w:rsidRPr="008E50DB">
        <w:rPr>
          <w:b/>
          <w:i/>
          <w:sz w:val="20"/>
          <w:szCs w:val="20"/>
          <w:u w:val="single"/>
        </w:rPr>
        <w:t>hange</w:t>
      </w:r>
      <w:r w:rsidR="005F2030" w:rsidRPr="008E50DB">
        <w:rPr>
          <w:b/>
          <w:i/>
          <w:sz w:val="20"/>
          <w:szCs w:val="20"/>
          <w:u w:val="single"/>
        </w:rPr>
        <w:t xml:space="preserve"> and</w:t>
      </w:r>
      <w:r w:rsidR="00BE67C4" w:rsidRPr="008E50DB">
        <w:rPr>
          <w:b/>
          <w:i/>
          <w:sz w:val="20"/>
          <w:szCs w:val="20"/>
          <w:u w:val="single"/>
        </w:rPr>
        <w:t xml:space="preserve"> sustainability </w:t>
      </w:r>
      <w:r w:rsidRPr="008E50DB">
        <w:rPr>
          <w:b/>
          <w:i/>
          <w:sz w:val="20"/>
          <w:szCs w:val="20"/>
          <w:u w:val="single"/>
        </w:rPr>
        <w:t xml:space="preserve"> </w:t>
      </w:r>
    </w:p>
    <w:p w:rsidR="00E53FB6" w:rsidRDefault="00E53FB6" w:rsidP="00754EFD">
      <w:pPr>
        <w:pStyle w:val="Default"/>
        <w:jc w:val="both"/>
        <w:rPr>
          <w:sz w:val="20"/>
          <w:szCs w:val="20"/>
        </w:rPr>
      </w:pPr>
      <w:r w:rsidRPr="008E50DB">
        <w:rPr>
          <w:sz w:val="20"/>
          <w:szCs w:val="20"/>
        </w:rPr>
        <w:t>The activities of this component are intended to place</w:t>
      </w:r>
      <w:r w:rsidR="00F63EA0">
        <w:rPr>
          <w:sz w:val="20"/>
          <w:szCs w:val="20"/>
        </w:rPr>
        <w:t xml:space="preserve"> relevant and up-to-date </w:t>
      </w:r>
      <w:r w:rsidR="00197313">
        <w:rPr>
          <w:sz w:val="20"/>
          <w:szCs w:val="20"/>
        </w:rPr>
        <w:t xml:space="preserve">data, information and </w:t>
      </w:r>
      <w:r w:rsidR="00F63EA0">
        <w:rPr>
          <w:sz w:val="20"/>
          <w:szCs w:val="20"/>
        </w:rPr>
        <w:t xml:space="preserve">knowledge related to climate change and sustainability </w:t>
      </w:r>
      <w:r w:rsidRPr="008E50DB">
        <w:rPr>
          <w:sz w:val="20"/>
          <w:szCs w:val="20"/>
        </w:rPr>
        <w:t xml:space="preserve"> at the disposal of different audiences</w:t>
      </w:r>
      <w:r w:rsidR="00AB55B0" w:rsidRPr="008E50DB">
        <w:rPr>
          <w:sz w:val="20"/>
          <w:szCs w:val="20"/>
        </w:rPr>
        <w:t xml:space="preserve"> (</w:t>
      </w:r>
      <w:r w:rsidRPr="008E50DB">
        <w:rPr>
          <w:sz w:val="20"/>
          <w:szCs w:val="20"/>
        </w:rPr>
        <w:t xml:space="preserve">governments, </w:t>
      </w:r>
      <w:r w:rsidR="00AB55B0" w:rsidRPr="008E50DB">
        <w:rPr>
          <w:sz w:val="20"/>
          <w:szCs w:val="20"/>
        </w:rPr>
        <w:t>executing agencies</w:t>
      </w:r>
      <w:r w:rsidRPr="008E50DB">
        <w:rPr>
          <w:sz w:val="20"/>
          <w:szCs w:val="20"/>
        </w:rPr>
        <w:t>, and the academic and development communities</w:t>
      </w:r>
      <w:r w:rsidR="00AB55B0" w:rsidRPr="008E50DB">
        <w:rPr>
          <w:sz w:val="20"/>
          <w:szCs w:val="20"/>
        </w:rPr>
        <w:t>)</w:t>
      </w:r>
      <w:r w:rsidR="00197313">
        <w:rPr>
          <w:sz w:val="20"/>
          <w:szCs w:val="20"/>
        </w:rPr>
        <w:t>, in diverse formats and media</w:t>
      </w:r>
      <w:r w:rsidR="005936D6">
        <w:rPr>
          <w:sz w:val="20"/>
          <w:szCs w:val="20"/>
        </w:rPr>
        <w:t>.</w:t>
      </w:r>
      <w:r w:rsidR="00197313">
        <w:rPr>
          <w:sz w:val="20"/>
          <w:szCs w:val="20"/>
        </w:rPr>
        <w:t xml:space="preserve">  This will include knowledge produced by and/or acquired by the Bank, as well as r</w:t>
      </w:r>
      <w:r w:rsidRPr="008E50DB">
        <w:rPr>
          <w:sz w:val="20"/>
          <w:szCs w:val="20"/>
        </w:rPr>
        <w:t>elevant information and knowledge from sources outside the Bank, in the region and in the rest of the world</w:t>
      </w:r>
      <w:r w:rsidR="0015781F">
        <w:rPr>
          <w:sz w:val="20"/>
          <w:szCs w:val="20"/>
        </w:rPr>
        <w:t xml:space="preserve"> (</w:t>
      </w:r>
      <w:r w:rsidRPr="008E50DB">
        <w:rPr>
          <w:sz w:val="20"/>
          <w:szCs w:val="20"/>
        </w:rPr>
        <w:t>other development organizations, academic and research centers, think tanks, etc.</w:t>
      </w:r>
      <w:r w:rsidR="0015781F">
        <w:rPr>
          <w:sz w:val="20"/>
          <w:szCs w:val="20"/>
        </w:rPr>
        <w:t>).</w:t>
      </w:r>
      <w:r w:rsidRPr="008E50DB">
        <w:rPr>
          <w:sz w:val="20"/>
          <w:szCs w:val="20"/>
        </w:rPr>
        <w:t xml:space="preserve"> </w:t>
      </w:r>
    </w:p>
    <w:p w:rsidR="00197313" w:rsidRPr="008E50DB" w:rsidRDefault="00197313" w:rsidP="00754EFD">
      <w:pPr>
        <w:pStyle w:val="Default"/>
        <w:jc w:val="both"/>
        <w:rPr>
          <w:sz w:val="20"/>
          <w:szCs w:val="20"/>
        </w:rPr>
      </w:pPr>
    </w:p>
    <w:p w:rsidR="00052DAC" w:rsidRPr="008E50DB" w:rsidRDefault="00E53FB6" w:rsidP="00D771D2">
      <w:pPr>
        <w:pStyle w:val="Default"/>
        <w:jc w:val="both"/>
        <w:rPr>
          <w:sz w:val="20"/>
          <w:szCs w:val="20"/>
        </w:rPr>
      </w:pPr>
      <w:r w:rsidRPr="008E50DB">
        <w:rPr>
          <w:sz w:val="20"/>
          <w:szCs w:val="20"/>
        </w:rPr>
        <w:t>Th</w:t>
      </w:r>
      <w:r w:rsidR="00B40FD8" w:rsidRPr="008E50DB">
        <w:rPr>
          <w:sz w:val="20"/>
          <w:szCs w:val="20"/>
        </w:rPr>
        <w:t xml:space="preserve">is </w:t>
      </w:r>
      <w:r w:rsidR="00AB55B0" w:rsidRPr="008E50DB">
        <w:rPr>
          <w:sz w:val="20"/>
          <w:szCs w:val="20"/>
        </w:rPr>
        <w:t>component</w:t>
      </w:r>
      <w:r w:rsidR="00B40FD8" w:rsidRPr="008E50DB">
        <w:rPr>
          <w:sz w:val="20"/>
          <w:szCs w:val="20"/>
        </w:rPr>
        <w:t xml:space="preserve"> will support the </w:t>
      </w:r>
      <w:r w:rsidR="00197313">
        <w:rPr>
          <w:sz w:val="20"/>
          <w:szCs w:val="20"/>
        </w:rPr>
        <w:t>enhancement and expansion</w:t>
      </w:r>
      <w:r w:rsidR="00197313" w:rsidRPr="008E50DB">
        <w:rPr>
          <w:sz w:val="20"/>
          <w:szCs w:val="20"/>
        </w:rPr>
        <w:t xml:space="preserve"> </w:t>
      </w:r>
      <w:r w:rsidR="00B40FD8" w:rsidRPr="008E50DB">
        <w:rPr>
          <w:sz w:val="20"/>
          <w:szCs w:val="20"/>
        </w:rPr>
        <w:t xml:space="preserve">of </w:t>
      </w:r>
      <w:r w:rsidR="00052DAC" w:rsidRPr="008E50DB">
        <w:rPr>
          <w:sz w:val="20"/>
          <w:szCs w:val="20"/>
        </w:rPr>
        <w:t xml:space="preserve">two </w:t>
      </w:r>
      <w:r w:rsidR="00B40FD8" w:rsidRPr="008E50DB">
        <w:rPr>
          <w:sz w:val="20"/>
          <w:szCs w:val="20"/>
        </w:rPr>
        <w:t xml:space="preserve">Knowledge </w:t>
      </w:r>
      <w:r w:rsidRPr="008E50DB">
        <w:rPr>
          <w:sz w:val="20"/>
          <w:szCs w:val="20"/>
        </w:rPr>
        <w:t xml:space="preserve">Portals </w:t>
      </w:r>
      <w:r w:rsidR="00052DAC" w:rsidRPr="008E50DB">
        <w:rPr>
          <w:sz w:val="20"/>
          <w:szCs w:val="20"/>
        </w:rPr>
        <w:t xml:space="preserve">in </w:t>
      </w:r>
      <w:r w:rsidR="00197313">
        <w:rPr>
          <w:sz w:val="20"/>
          <w:szCs w:val="20"/>
        </w:rPr>
        <w:t xml:space="preserve">the </w:t>
      </w:r>
      <w:r w:rsidR="00052DAC" w:rsidRPr="008E50DB">
        <w:rPr>
          <w:sz w:val="20"/>
          <w:szCs w:val="20"/>
        </w:rPr>
        <w:t>Spanish language that already exist (</w:t>
      </w:r>
      <w:proofErr w:type="spellStart"/>
      <w:r w:rsidR="00052DAC" w:rsidRPr="008E50DB">
        <w:rPr>
          <w:sz w:val="20"/>
          <w:szCs w:val="20"/>
        </w:rPr>
        <w:t>Finanzas</w:t>
      </w:r>
      <w:proofErr w:type="spellEnd"/>
      <w:r w:rsidR="00052DAC" w:rsidRPr="008E50DB">
        <w:rPr>
          <w:sz w:val="20"/>
          <w:szCs w:val="20"/>
        </w:rPr>
        <w:t xml:space="preserve"> </w:t>
      </w:r>
      <w:proofErr w:type="spellStart"/>
      <w:r w:rsidR="00052DAC" w:rsidRPr="008E50DB">
        <w:rPr>
          <w:sz w:val="20"/>
          <w:szCs w:val="20"/>
        </w:rPr>
        <w:t>Carbono</w:t>
      </w:r>
      <w:proofErr w:type="spellEnd"/>
      <w:r w:rsidR="00052DAC" w:rsidRPr="008E50DB">
        <w:rPr>
          <w:sz w:val="20"/>
          <w:szCs w:val="20"/>
        </w:rPr>
        <w:t xml:space="preserve"> and </w:t>
      </w:r>
      <w:proofErr w:type="spellStart"/>
      <w:r w:rsidR="00052DAC" w:rsidRPr="008E50DB">
        <w:rPr>
          <w:sz w:val="20"/>
          <w:szCs w:val="20"/>
        </w:rPr>
        <w:t>Plataforma</w:t>
      </w:r>
      <w:proofErr w:type="spellEnd"/>
      <w:r w:rsidR="00052DAC" w:rsidRPr="008E50DB">
        <w:rPr>
          <w:sz w:val="20"/>
          <w:szCs w:val="20"/>
        </w:rPr>
        <w:t xml:space="preserve"> de </w:t>
      </w:r>
      <w:proofErr w:type="spellStart"/>
      <w:r w:rsidR="00052DAC" w:rsidRPr="008E50DB">
        <w:rPr>
          <w:sz w:val="20"/>
          <w:szCs w:val="20"/>
        </w:rPr>
        <w:t>Adaptación</w:t>
      </w:r>
      <w:proofErr w:type="spellEnd"/>
      <w:r w:rsidR="00052DAC" w:rsidRPr="008E50DB">
        <w:rPr>
          <w:sz w:val="20"/>
          <w:szCs w:val="20"/>
        </w:rPr>
        <w:t>)</w:t>
      </w:r>
      <w:r w:rsidR="00197313">
        <w:rPr>
          <w:sz w:val="20"/>
          <w:szCs w:val="20"/>
        </w:rPr>
        <w:t xml:space="preserve">, in order to increase their capacity </w:t>
      </w:r>
      <w:r w:rsidRPr="008E50DB">
        <w:rPr>
          <w:sz w:val="20"/>
          <w:szCs w:val="20"/>
        </w:rPr>
        <w:t xml:space="preserve">to facilitate the access, analysis, discussion, use and </w:t>
      </w:r>
      <w:r w:rsidR="00B40FD8" w:rsidRPr="008E50DB">
        <w:rPr>
          <w:sz w:val="20"/>
          <w:szCs w:val="20"/>
        </w:rPr>
        <w:t>exchange</w:t>
      </w:r>
      <w:r w:rsidRPr="008E50DB">
        <w:rPr>
          <w:sz w:val="20"/>
          <w:szCs w:val="20"/>
        </w:rPr>
        <w:t xml:space="preserve"> of critical, innovative and up</w:t>
      </w:r>
      <w:r w:rsidR="00197313">
        <w:rPr>
          <w:sz w:val="20"/>
          <w:szCs w:val="20"/>
        </w:rPr>
        <w:t>-</w:t>
      </w:r>
      <w:r w:rsidRPr="008E50DB">
        <w:rPr>
          <w:sz w:val="20"/>
          <w:szCs w:val="20"/>
        </w:rPr>
        <w:t>to</w:t>
      </w:r>
      <w:r w:rsidR="00197313">
        <w:rPr>
          <w:sz w:val="20"/>
          <w:szCs w:val="20"/>
        </w:rPr>
        <w:t>-</w:t>
      </w:r>
      <w:r w:rsidRPr="008E50DB">
        <w:rPr>
          <w:sz w:val="20"/>
          <w:szCs w:val="20"/>
        </w:rPr>
        <w:t>date knowledge on climate change adaptation</w:t>
      </w:r>
      <w:r w:rsidR="006A65B6" w:rsidRPr="008E50DB">
        <w:rPr>
          <w:sz w:val="20"/>
          <w:szCs w:val="20"/>
        </w:rPr>
        <w:t>, and</w:t>
      </w:r>
      <w:r w:rsidR="00763850" w:rsidRPr="008E50DB">
        <w:rPr>
          <w:sz w:val="20"/>
          <w:szCs w:val="20"/>
        </w:rPr>
        <w:t xml:space="preserve"> mitigation</w:t>
      </w:r>
      <w:r w:rsidRPr="008E50DB">
        <w:rPr>
          <w:sz w:val="20"/>
          <w:szCs w:val="20"/>
        </w:rPr>
        <w:t xml:space="preserve">. </w:t>
      </w:r>
    </w:p>
    <w:p w:rsidR="00B40FD8" w:rsidRDefault="002A05A6" w:rsidP="00D771D2">
      <w:pPr>
        <w:pStyle w:val="Default"/>
        <w:jc w:val="both"/>
        <w:rPr>
          <w:sz w:val="20"/>
          <w:szCs w:val="20"/>
        </w:rPr>
      </w:pPr>
      <w:r w:rsidRPr="008E50DB">
        <w:rPr>
          <w:sz w:val="20"/>
          <w:szCs w:val="20"/>
        </w:rPr>
        <w:lastRenderedPageBreak/>
        <w:t xml:space="preserve">This </w:t>
      </w:r>
      <w:r w:rsidR="00052DAC" w:rsidRPr="008E50DB">
        <w:rPr>
          <w:sz w:val="20"/>
          <w:szCs w:val="20"/>
        </w:rPr>
        <w:t>component</w:t>
      </w:r>
      <w:r w:rsidR="000A0C5B" w:rsidRPr="008E50DB">
        <w:rPr>
          <w:sz w:val="20"/>
          <w:szCs w:val="20"/>
        </w:rPr>
        <w:t xml:space="preserve"> also</w:t>
      </w:r>
      <w:r w:rsidRPr="008E50DB">
        <w:rPr>
          <w:sz w:val="20"/>
          <w:szCs w:val="20"/>
        </w:rPr>
        <w:t xml:space="preserve"> aims </w:t>
      </w:r>
      <w:r w:rsidR="00D771D2" w:rsidRPr="008E50DB">
        <w:rPr>
          <w:sz w:val="20"/>
          <w:szCs w:val="20"/>
        </w:rPr>
        <w:t>to</w:t>
      </w:r>
      <w:r w:rsidR="009816F0" w:rsidRPr="008E50DB">
        <w:rPr>
          <w:sz w:val="20"/>
          <w:szCs w:val="20"/>
        </w:rPr>
        <w:t xml:space="preserve"> </w:t>
      </w:r>
      <w:r w:rsidR="000256E4">
        <w:rPr>
          <w:sz w:val="20"/>
          <w:szCs w:val="20"/>
        </w:rPr>
        <w:t>strengthen and expand the use of</w:t>
      </w:r>
      <w:r w:rsidR="00D771D2" w:rsidRPr="008E50DB">
        <w:rPr>
          <w:sz w:val="20"/>
          <w:szCs w:val="20"/>
        </w:rPr>
        <w:t xml:space="preserve"> </w:t>
      </w:r>
      <w:r w:rsidRPr="008E50DB">
        <w:rPr>
          <w:sz w:val="20"/>
          <w:szCs w:val="20"/>
        </w:rPr>
        <w:t xml:space="preserve">Communities of Practice </w:t>
      </w:r>
      <w:r w:rsidR="00D771D2" w:rsidRPr="008E50DB">
        <w:rPr>
          <w:sz w:val="20"/>
          <w:szCs w:val="20"/>
        </w:rPr>
        <w:t>(</w:t>
      </w:r>
      <w:proofErr w:type="spellStart"/>
      <w:r w:rsidR="00D771D2" w:rsidRPr="008E50DB">
        <w:rPr>
          <w:sz w:val="20"/>
          <w:szCs w:val="20"/>
        </w:rPr>
        <w:t>CoPs</w:t>
      </w:r>
      <w:proofErr w:type="spellEnd"/>
      <w:r w:rsidR="00D771D2" w:rsidRPr="008E50DB">
        <w:rPr>
          <w:sz w:val="20"/>
          <w:szCs w:val="20"/>
        </w:rPr>
        <w:t>)</w:t>
      </w:r>
      <w:r w:rsidR="000256E4">
        <w:rPr>
          <w:sz w:val="20"/>
          <w:szCs w:val="20"/>
        </w:rPr>
        <w:t xml:space="preserve"> as a cost-effective </w:t>
      </w:r>
      <w:r w:rsidR="00596B8A">
        <w:rPr>
          <w:sz w:val="20"/>
          <w:szCs w:val="20"/>
        </w:rPr>
        <w:t xml:space="preserve">tool for </w:t>
      </w:r>
      <w:r w:rsidR="000256E4">
        <w:rPr>
          <w:sz w:val="20"/>
          <w:szCs w:val="20"/>
        </w:rPr>
        <w:t>knowledge-sharing</w:t>
      </w:r>
      <w:r w:rsidR="00596B8A">
        <w:rPr>
          <w:sz w:val="20"/>
          <w:szCs w:val="20"/>
        </w:rPr>
        <w:t xml:space="preserve"> and capacity-building</w:t>
      </w:r>
      <w:r w:rsidR="00B40FD8" w:rsidRPr="008E50DB">
        <w:rPr>
          <w:sz w:val="20"/>
          <w:szCs w:val="20"/>
        </w:rPr>
        <w:t xml:space="preserve">. </w:t>
      </w:r>
      <w:r w:rsidR="000256E4">
        <w:rPr>
          <w:sz w:val="20"/>
          <w:szCs w:val="20"/>
        </w:rPr>
        <w:t>The project will include the management of</w:t>
      </w:r>
      <w:r w:rsidR="00B40FD8" w:rsidRPr="008E50DB">
        <w:rPr>
          <w:sz w:val="20"/>
          <w:szCs w:val="20"/>
        </w:rPr>
        <w:t xml:space="preserve"> </w:t>
      </w:r>
      <w:proofErr w:type="spellStart"/>
      <w:r w:rsidR="00B40FD8" w:rsidRPr="008E50DB">
        <w:rPr>
          <w:sz w:val="20"/>
          <w:szCs w:val="20"/>
        </w:rPr>
        <w:t>CoPs</w:t>
      </w:r>
      <w:proofErr w:type="spellEnd"/>
      <w:r w:rsidR="000256E4">
        <w:rPr>
          <w:sz w:val="20"/>
          <w:szCs w:val="20"/>
        </w:rPr>
        <w:t xml:space="preserve"> to</w:t>
      </w:r>
      <w:r w:rsidR="00B40FD8" w:rsidRPr="008E50DB">
        <w:rPr>
          <w:sz w:val="20"/>
          <w:szCs w:val="20"/>
        </w:rPr>
        <w:t xml:space="preserve"> be moderated and updated by centers of excellence, NGOs, universities, or experts from the Region selected together with partnering organizations</w:t>
      </w:r>
      <w:r w:rsidR="000256E4">
        <w:rPr>
          <w:sz w:val="20"/>
          <w:szCs w:val="20"/>
        </w:rPr>
        <w:t xml:space="preserve">.  The </w:t>
      </w:r>
      <w:proofErr w:type="spellStart"/>
      <w:r w:rsidR="000256E4">
        <w:rPr>
          <w:sz w:val="20"/>
          <w:szCs w:val="20"/>
        </w:rPr>
        <w:t>CoPs</w:t>
      </w:r>
      <w:proofErr w:type="spellEnd"/>
      <w:r w:rsidR="00B40FD8" w:rsidRPr="008E50DB">
        <w:rPr>
          <w:sz w:val="20"/>
          <w:szCs w:val="20"/>
        </w:rPr>
        <w:t xml:space="preserve"> will allow not only for an exchange of knowledge and information between the different interested actors, but also for learning from practical experience (such as projects, initiatives or programs) and for dissemination of relevant knowledge on emerging cross-</w:t>
      </w:r>
      <w:proofErr w:type="spellStart"/>
      <w:r w:rsidR="00B40FD8" w:rsidRPr="008E50DB">
        <w:rPr>
          <w:sz w:val="20"/>
          <w:szCs w:val="20"/>
        </w:rPr>
        <w:t>sectoral</w:t>
      </w:r>
      <w:proofErr w:type="spellEnd"/>
      <w:r w:rsidR="00B40FD8" w:rsidRPr="008E50DB">
        <w:rPr>
          <w:sz w:val="20"/>
          <w:szCs w:val="20"/>
        </w:rPr>
        <w:t xml:space="preserve"> topics.</w:t>
      </w:r>
    </w:p>
    <w:p w:rsidR="00052DAC" w:rsidRPr="008E50DB" w:rsidRDefault="00B40FD8" w:rsidP="00596B8A">
      <w:pPr>
        <w:pStyle w:val="Default"/>
        <w:jc w:val="both"/>
        <w:rPr>
          <w:sz w:val="20"/>
          <w:szCs w:val="20"/>
        </w:rPr>
      </w:pPr>
      <w:r w:rsidRPr="008E50DB">
        <w:rPr>
          <w:b/>
          <w:sz w:val="20"/>
          <w:szCs w:val="20"/>
        </w:rPr>
        <w:t>Outputs:</w:t>
      </w:r>
      <w:r w:rsidRPr="008E50DB">
        <w:rPr>
          <w:sz w:val="20"/>
          <w:szCs w:val="20"/>
        </w:rPr>
        <w:t xml:space="preserve"> </w:t>
      </w:r>
      <w:r w:rsidR="000256E4">
        <w:rPr>
          <w:sz w:val="20"/>
          <w:szCs w:val="20"/>
        </w:rPr>
        <w:t xml:space="preserve">Expansion and enhancement </w:t>
      </w:r>
      <w:r w:rsidRPr="008E50DB">
        <w:rPr>
          <w:sz w:val="20"/>
          <w:szCs w:val="20"/>
        </w:rPr>
        <w:t xml:space="preserve">of two Knowledge Portals: </w:t>
      </w:r>
      <w:proofErr w:type="spellStart"/>
      <w:r w:rsidRPr="008E50DB">
        <w:rPr>
          <w:sz w:val="20"/>
          <w:szCs w:val="20"/>
        </w:rPr>
        <w:t>Finanzas</w:t>
      </w:r>
      <w:proofErr w:type="spellEnd"/>
      <w:r w:rsidRPr="008E50DB">
        <w:rPr>
          <w:sz w:val="20"/>
          <w:szCs w:val="20"/>
        </w:rPr>
        <w:t xml:space="preserve"> </w:t>
      </w:r>
      <w:proofErr w:type="spellStart"/>
      <w:r w:rsidRPr="008E50DB">
        <w:rPr>
          <w:sz w:val="20"/>
          <w:szCs w:val="20"/>
        </w:rPr>
        <w:t>Carbono</w:t>
      </w:r>
      <w:proofErr w:type="spellEnd"/>
      <w:r w:rsidRPr="008E50DB">
        <w:rPr>
          <w:sz w:val="20"/>
          <w:szCs w:val="20"/>
        </w:rPr>
        <w:t xml:space="preserve"> </w:t>
      </w:r>
      <w:r w:rsidR="00D771D2" w:rsidRPr="008E50DB">
        <w:rPr>
          <w:sz w:val="20"/>
          <w:szCs w:val="20"/>
        </w:rPr>
        <w:t>and</w:t>
      </w:r>
      <w:r w:rsidRPr="008E50DB">
        <w:rPr>
          <w:sz w:val="20"/>
          <w:szCs w:val="20"/>
        </w:rPr>
        <w:t xml:space="preserve"> </w:t>
      </w:r>
      <w:proofErr w:type="spellStart"/>
      <w:r w:rsidRPr="008E50DB">
        <w:rPr>
          <w:sz w:val="20"/>
          <w:szCs w:val="20"/>
        </w:rPr>
        <w:t>Plataforma</w:t>
      </w:r>
      <w:proofErr w:type="spellEnd"/>
      <w:r w:rsidRPr="008E50DB">
        <w:rPr>
          <w:sz w:val="20"/>
          <w:szCs w:val="20"/>
        </w:rPr>
        <w:t xml:space="preserve"> de </w:t>
      </w:r>
      <w:proofErr w:type="spellStart"/>
      <w:r w:rsidRPr="008E50DB">
        <w:rPr>
          <w:sz w:val="20"/>
          <w:szCs w:val="20"/>
        </w:rPr>
        <w:t>Adaptaci</w:t>
      </w:r>
      <w:r w:rsidR="00F14E43" w:rsidRPr="008E50DB">
        <w:rPr>
          <w:sz w:val="20"/>
          <w:szCs w:val="20"/>
        </w:rPr>
        <w:t>ón</w:t>
      </w:r>
      <w:proofErr w:type="spellEnd"/>
      <w:r w:rsidR="00F14E43" w:rsidRPr="008E50DB">
        <w:rPr>
          <w:sz w:val="20"/>
          <w:szCs w:val="20"/>
        </w:rPr>
        <w:t xml:space="preserve"> through </w:t>
      </w:r>
      <w:r w:rsidR="00052DAC" w:rsidRPr="008E50DB">
        <w:rPr>
          <w:sz w:val="20"/>
          <w:szCs w:val="20"/>
        </w:rPr>
        <w:t xml:space="preserve">the following activities: </w:t>
      </w:r>
      <w:r w:rsidR="00F14E43" w:rsidRPr="008E50DB">
        <w:rPr>
          <w:sz w:val="20"/>
          <w:szCs w:val="20"/>
        </w:rPr>
        <w:t xml:space="preserve">hiring experts to update </w:t>
      </w:r>
      <w:r w:rsidR="00052DAC" w:rsidRPr="008E50DB">
        <w:rPr>
          <w:sz w:val="20"/>
          <w:szCs w:val="20"/>
        </w:rPr>
        <w:t xml:space="preserve">and translate </w:t>
      </w:r>
      <w:r w:rsidR="00F14E43" w:rsidRPr="008E50DB">
        <w:rPr>
          <w:sz w:val="20"/>
          <w:szCs w:val="20"/>
        </w:rPr>
        <w:t>content, promote interaction, populate the knowledge center, make improvements to its functionalities as required by the Bank, develop and implement an outreach and dissemination plan.</w:t>
      </w:r>
      <w:r w:rsidR="00596B8A">
        <w:rPr>
          <w:sz w:val="20"/>
          <w:szCs w:val="20"/>
        </w:rPr>
        <w:t xml:space="preserve">  Successful knowledge sharing through </w:t>
      </w:r>
      <w:r w:rsidR="006A65B6" w:rsidRPr="008E50DB">
        <w:rPr>
          <w:sz w:val="20"/>
          <w:szCs w:val="20"/>
        </w:rPr>
        <w:t xml:space="preserve">at least four </w:t>
      </w:r>
      <w:proofErr w:type="spellStart"/>
      <w:r w:rsidR="006A65B6" w:rsidRPr="008E50DB">
        <w:rPr>
          <w:sz w:val="20"/>
          <w:szCs w:val="20"/>
        </w:rPr>
        <w:t>CoPs</w:t>
      </w:r>
      <w:proofErr w:type="spellEnd"/>
      <w:r w:rsidR="00052DAC" w:rsidRPr="008E50DB">
        <w:rPr>
          <w:sz w:val="20"/>
          <w:szCs w:val="20"/>
        </w:rPr>
        <w:t xml:space="preserve"> through the following activities: hiring experts to moderate the </w:t>
      </w:r>
      <w:proofErr w:type="spellStart"/>
      <w:r w:rsidR="00052DAC" w:rsidRPr="008E50DB">
        <w:rPr>
          <w:sz w:val="20"/>
          <w:szCs w:val="20"/>
        </w:rPr>
        <w:t>CoPs</w:t>
      </w:r>
      <w:proofErr w:type="spellEnd"/>
      <w:r w:rsidR="0015781F">
        <w:rPr>
          <w:sz w:val="20"/>
          <w:szCs w:val="20"/>
        </w:rPr>
        <w:t>,</w:t>
      </w:r>
      <w:r w:rsidR="00052DAC" w:rsidRPr="008E50DB">
        <w:rPr>
          <w:sz w:val="20"/>
          <w:szCs w:val="20"/>
        </w:rPr>
        <w:t xml:space="preserve"> develop and implement an outreach and dissemination plan for each </w:t>
      </w:r>
      <w:proofErr w:type="spellStart"/>
      <w:r w:rsidR="00052DAC" w:rsidRPr="008E50DB">
        <w:rPr>
          <w:sz w:val="20"/>
          <w:szCs w:val="20"/>
        </w:rPr>
        <w:t>CoP.</w:t>
      </w:r>
      <w:proofErr w:type="spellEnd"/>
    </w:p>
    <w:p w:rsidR="009816F0" w:rsidRPr="008E50DB" w:rsidRDefault="009816F0" w:rsidP="009816F0">
      <w:pPr>
        <w:pStyle w:val="Default"/>
        <w:jc w:val="both"/>
        <w:rPr>
          <w:sz w:val="20"/>
          <w:szCs w:val="20"/>
        </w:rPr>
      </w:pPr>
    </w:p>
    <w:p w:rsidR="00DC1E68" w:rsidRPr="008E50DB" w:rsidRDefault="0095711B" w:rsidP="00F41DD5">
      <w:pPr>
        <w:pStyle w:val="ListParagraph"/>
        <w:numPr>
          <w:ilvl w:val="0"/>
          <w:numId w:val="5"/>
        </w:numPr>
        <w:spacing w:after="0"/>
        <w:rPr>
          <w:b/>
          <w:sz w:val="20"/>
          <w:szCs w:val="20"/>
        </w:rPr>
      </w:pPr>
      <w:r w:rsidRPr="008E50DB">
        <w:rPr>
          <w:b/>
          <w:sz w:val="20"/>
          <w:szCs w:val="20"/>
        </w:rPr>
        <w:t xml:space="preserve">Budget </w:t>
      </w:r>
      <w:r w:rsidR="00A12C27" w:rsidRPr="008E50DB">
        <w:rPr>
          <w:b/>
          <w:sz w:val="20"/>
          <w:szCs w:val="20"/>
        </w:rPr>
        <w:t xml:space="preserve"> </w:t>
      </w:r>
      <w:r w:rsidR="00F41DD5" w:rsidRPr="008E50DB">
        <w:rPr>
          <w:b/>
          <w:sz w:val="20"/>
          <w:szCs w:val="20"/>
        </w:rPr>
        <w:t xml:space="preserve">(estimated length: </w:t>
      </w:r>
      <w:r w:rsidR="00F41DD5" w:rsidRPr="008E50DB">
        <w:rPr>
          <w:rFonts w:ascii="Arial" w:hAnsi="Arial" w:cs="Arial"/>
          <w:b/>
          <w:sz w:val="20"/>
          <w:szCs w:val="20"/>
        </w:rPr>
        <w:t>¼</w:t>
      </w:r>
      <w:r w:rsidR="00F41DD5" w:rsidRPr="008E50DB">
        <w:rPr>
          <w:b/>
          <w:sz w:val="20"/>
          <w:szCs w:val="20"/>
        </w:rPr>
        <w:t xml:space="preserve"> page)</w:t>
      </w:r>
    </w:p>
    <w:p w:rsidR="00682716" w:rsidRPr="008E50DB" w:rsidRDefault="00682716" w:rsidP="00682716">
      <w:pPr>
        <w:pStyle w:val="ListParagraph"/>
        <w:spacing w:after="0" w:line="240" w:lineRule="auto"/>
        <w:ind w:left="360"/>
        <w:contextualSpacing w:val="0"/>
        <w:jc w:val="center"/>
        <w:rPr>
          <w:sz w:val="20"/>
          <w:szCs w:val="20"/>
        </w:rPr>
      </w:pPr>
    </w:p>
    <w:tbl>
      <w:tblPr>
        <w:tblStyle w:val="TableGrid"/>
        <w:tblW w:w="0" w:type="auto"/>
        <w:tblInd w:w="360" w:type="dxa"/>
        <w:tblLook w:val="04A0" w:firstRow="1" w:lastRow="0" w:firstColumn="1" w:lastColumn="0" w:noHBand="0" w:noVBand="1"/>
      </w:tblPr>
      <w:tblGrid>
        <w:gridCol w:w="1638"/>
        <w:gridCol w:w="3060"/>
        <w:gridCol w:w="1800"/>
        <w:gridCol w:w="1440"/>
        <w:gridCol w:w="1278"/>
      </w:tblGrid>
      <w:tr w:rsidR="00682716" w:rsidRPr="008E50DB" w:rsidTr="004170B6">
        <w:tc>
          <w:tcPr>
            <w:tcW w:w="1638" w:type="dxa"/>
          </w:tcPr>
          <w:p w:rsidR="004170B6" w:rsidRPr="008E50DB" w:rsidRDefault="00682716" w:rsidP="009D0E1D">
            <w:pPr>
              <w:pStyle w:val="ListParagraph"/>
              <w:ind w:left="0"/>
              <w:contextualSpacing w:val="0"/>
              <w:jc w:val="center"/>
              <w:rPr>
                <w:b/>
                <w:sz w:val="20"/>
                <w:szCs w:val="20"/>
              </w:rPr>
            </w:pPr>
            <w:r w:rsidRPr="008E50DB">
              <w:rPr>
                <w:b/>
                <w:sz w:val="20"/>
                <w:szCs w:val="20"/>
              </w:rPr>
              <w:t>Activity/</w:t>
            </w:r>
          </w:p>
          <w:p w:rsidR="00682716" w:rsidRPr="008E50DB" w:rsidRDefault="00682716" w:rsidP="009D0E1D">
            <w:pPr>
              <w:pStyle w:val="ListParagraph"/>
              <w:ind w:left="0"/>
              <w:contextualSpacing w:val="0"/>
              <w:jc w:val="center"/>
              <w:rPr>
                <w:b/>
                <w:sz w:val="20"/>
                <w:szCs w:val="20"/>
              </w:rPr>
            </w:pPr>
            <w:r w:rsidRPr="008E50DB">
              <w:rPr>
                <w:b/>
                <w:sz w:val="20"/>
                <w:szCs w:val="20"/>
              </w:rPr>
              <w:t>Component</w:t>
            </w:r>
          </w:p>
        </w:tc>
        <w:tc>
          <w:tcPr>
            <w:tcW w:w="3060" w:type="dxa"/>
          </w:tcPr>
          <w:p w:rsidR="00682716" w:rsidRPr="008E50DB" w:rsidRDefault="00682716" w:rsidP="009D0E1D">
            <w:pPr>
              <w:pStyle w:val="ListParagraph"/>
              <w:ind w:left="0"/>
              <w:contextualSpacing w:val="0"/>
              <w:jc w:val="center"/>
              <w:rPr>
                <w:b/>
                <w:sz w:val="20"/>
                <w:szCs w:val="20"/>
              </w:rPr>
            </w:pPr>
            <w:r w:rsidRPr="008E50DB">
              <w:rPr>
                <w:b/>
                <w:sz w:val="20"/>
                <w:szCs w:val="20"/>
              </w:rPr>
              <w:t>Description</w:t>
            </w:r>
          </w:p>
        </w:tc>
        <w:tc>
          <w:tcPr>
            <w:tcW w:w="1800" w:type="dxa"/>
          </w:tcPr>
          <w:p w:rsidR="00682716" w:rsidRPr="008E50DB" w:rsidRDefault="00682716" w:rsidP="009D0E1D">
            <w:pPr>
              <w:pStyle w:val="ListParagraph"/>
              <w:ind w:left="0"/>
              <w:contextualSpacing w:val="0"/>
              <w:jc w:val="center"/>
              <w:rPr>
                <w:b/>
                <w:sz w:val="20"/>
                <w:szCs w:val="20"/>
              </w:rPr>
            </w:pPr>
            <w:r w:rsidRPr="008E50DB">
              <w:rPr>
                <w:b/>
                <w:sz w:val="20"/>
                <w:szCs w:val="20"/>
              </w:rPr>
              <w:t>IDB/Fund Funding</w:t>
            </w:r>
          </w:p>
        </w:tc>
        <w:tc>
          <w:tcPr>
            <w:tcW w:w="1440" w:type="dxa"/>
          </w:tcPr>
          <w:p w:rsidR="00682716" w:rsidRPr="008E50DB" w:rsidRDefault="00682716" w:rsidP="009D0E1D">
            <w:pPr>
              <w:pStyle w:val="ListParagraph"/>
              <w:ind w:left="0"/>
              <w:contextualSpacing w:val="0"/>
              <w:jc w:val="center"/>
              <w:rPr>
                <w:b/>
                <w:sz w:val="20"/>
                <w:szCs w:val="20"/>
              </w:rPr>
            </w:pPr>
            <w:r w:rsidRPr="008E50DB">
              <w:rPr>
                <w:b/>
                <w:sz w:val="20"/>
                <w:szCs w:val="20"/>
              </w:rPr>
              <w:t>Counterpart Funding</w:t>
            </w:r>
          </w:p>
        </w:tc>
        <w:tc>
          <w:tcPr>
            <w:tcW w:w="1278" w:type="dxa"/>
          </w:tcPr>
          <w:p w:rsidR="00682716" w:rsidRPr="008E50DB" w:rsidRDefault="00682716" w:rsidP="009D0E1D">
            <w:pPr>
              <w:pStyle w:val="ListParagraph"/>
              <w:ind w:left="0"/>
              <w:contextualSpacing w:val="0"/>
              <w:jc w:val="center"/>
              <w:rPr>
                <w:b/>
                <w:sz w:val="20"/>
                <w:szCs w:val="20"/>
              </w:rPr>
            </w:pPr>
            <w:r w:rsidRPr="008E50DB">
              <w:rPr>
                <w:b/>
                <w:sz w:val="20"/>
                <w:szCs w:val="20"/>
              </w:rPr>
              <w:t>Total Funding</w:t>
            </w:r>
          </w:p>
        </w:tc>
      </w:tr>
      <w:tr w:rsidR="00703BFF" w:rsidRPr="008E50DB" w:rsidTr="004170B6">
        <w:tc>
          <w:tcPr>
            <w:tcW w:w="1638" w:type="dxa"/>
          </w:tcPr>
          <w:p w:rsidR="00703BFF" w:rsidRPr="008E50DB" w:rsidRDefault="00703BFF" w:rsidP="00A87C15">
            <w:pPr>
              <w:pStyle w:val="ListParagraph"/>
              <w:ind w:left="0"/>
              <w:contextualSpacing w:val="0"/>
              <w:jc w:val="center"/>
              <w:rPr>
                <w:sz w:val="20"/>
                <w:szCs w:val="20"/>
              </w:rPr>
            </w:pPr>
          </w:p>
        </w:tc>
        <w:tc>
          <w:tcPr>
            <w:tcW w:w="3060" w:type="dxa"/>
          </w:tcPr>
          <w:p w:rsidR="00703BFF" w:rsidRPr="008E50DB" w:rsidRDefault="00703BFF" w:rsidP="009D0E1D">
            <w:pPr>
              <w:pStyle w:val="ListParagraph"/>
              <w:ind w:left="0"/>
              <w:contextualSpacing w:val="0"/>
              <w:jc w:val="center"/>
              <w:rPr>
                <w:b/>
                <w:sz w:val="20"/>
                <w:szCs w:val="20"/>
              </w:rPr>
            </w:pPr>
          </w:p>
        </w:tc>
        <w:tc>
          <w:tcPr>
            <w:tcW w:w="1800" w:type="dxa"/>
          </w:tcPr>
          <w:p w:rsidR="00703BFF" w:rsidRPr="008E50DB" w:rsidRDefault="00703BFF" w:rsidP="009D0E1D">
            <w:pPr>
              <w:pStyle w:val="ListParagraph"/>
              <w:ind w:left="0"/>
              <w:contextualSpacing w:val="0"/>
              <w:jc w:val="center"/>
              <w:rPr>
                <w:b/>
                <w:sz w:val="20"/>
                <w:szCs w:val="20"/>
              </w:rPr>
            </w:pPr>
          </w:p>
        </w:tc>
        <w:tc>
          <w:tcPr>
            <w:tcW w:w="1440" w:type="dxa"/>
          </w:tcPr>
          <w:p w:rsidR="00703BFF" w:rsidRPr="008E50DB" w:rsidRDefault="00703BFF" w:rsidP="009D0E1D">
            <w:pPr>
              <w:pStyle w:val="ListParagraph"/>
              <w:ind w:left="0"/>
              <w:contextualSpacing w:val="0"/>
              <w:jc w:val="center"/>
              <w:rPr>
                <w:b/>
                <w:sz w:val="20"/>
                <w:szCs w:val="20"/>
              </w:rPr>
            </w:pPr>
          </w:p>
        </w:tc>
        <w:tc>
          <w:tcPr>
            <w:tcW w:w="1278" w:type="dxa"/>
          </w:tcPr>
          <w:p w:rsidR="00703BFF" w:rsidRPr="008E50DB" w:rsidRDefault="00703BFF" w:rsidP="00BA4F44">
            <w:pPr>
              <w:pStyle w:val="ListParagraph"/>
              <w:ind w:left="0"/>
              <w:contextualSpacing w:val="0"/>
              <w:jc w:val="center"/>
              <w:rPr>
                <w:b/>
                <w:sz w:val="20"/>
                <w:szCs w:val="20"/>
              </w:rPr>
            </w:pPr>
          </w:p>
        </w:tc>
      </w:tr>
      <w:tr w:rsidR="00682716" w:rsidRPr="008E50DB" w:rsidTr="004170B6">
        <w:tc>
          <w:tcPr>
            <w:tcW w:w="1638" w:type="dxa"/>
          </w:tcPr>
          <w:p w:rsidR="00A87C15" w:rsidRPr="008E50DB" w:rsidRDefault="00703BFF" w:rsidP="00052DAC">
            <w:pPr>
              <w:pStyle w:val="ListParagraph"/>
              <w:ind w:left="0"/>
              <w:contextualSpacing w:val="0"/>
              <w:jc w:val="both"/>
              <w:rPr>
                <w:sz w:val="20"/>
                <w:szCs w:val="20"/>
              </w:rPr>
            </w:pPr>
            <w:r w:rsidRPr="008E50DB">
              <w:rPr>
                <w:sz w:val="20"/>
                <w:szCs w:val="20"/>
              </w:rPr>
              <w:t xml:space="preserve">Component </w:t>
            </w:r>
            <w:r w:rsidR="00052DAC" w:rsidRPr="008E50DB">
              <w:rPr>
                <w:sz w:val="20"/>
                <w:szCs w:val="20"/>
              </w:rPr>
              <w:t>1</w:t>
            </w:r>
            <w:r w:rsidRPr="008E50DB">
              <w:rPr>
                <w:sz w:val="20"/>
                <w:szCs w:val="20"/>
              </w:rPr>
              <w:t xml:space="preserve"> </w:t>
            </w:r>
          </w:p>
        </w:tc>
        <w:tc>
          <w:tcPr>
            <w:tcW w:w="3060" w:type="dxa"/>
          </w:tcPr>
          <w:p w:rsidR="00682716" w:rsidRPr="008E50DB" w:rsidRDefault="00BA4F44" w:rsidP="00763850">
            <w:pPr>
              <w:pStyle w:val="ListParagraph"/>
              <w:ind w:left="0"/>
              <w:contextualSpacing w:val="0"/>
              <w:jc w:val="center"/>
              <w:rPr>
                <w:b/>
                <w:sz w:val="20"/>
                <w:szCs w:val="20"/>
              </w:rPr>
            </w:pPr>
            <w:r w:rsidRPr="008E50DB">
              <w:rPr>
                <w:sz w:val="20"/>
                <w:szCs w:val="20"/>
              </w:rPr>
              <w:t>Promote knowledge management strategies to increase capacities in the region in climate change</w:t>
            </w:r>
            <w:r w:rsidR="00763850" w:rsidRPr="008E50DB">
              <w:rPr>
                <w:sz w:val="20"/>
                <w:szCs w:val="20"/>
              </w:rPr>
              <w:t xml:space="preserve"> and</w:t>
            </w:r>
            <w:r w:rsidRPr="008E50DB">
              <w:rPr>
                <w:sz w:val="20"/>
                <w:szCs w:val="20"/>
              </w:rPr>
              <w:t xml:space="preserve"> sustainability </w:t>
            </w:r>
          </w:p>
        </w:tc>
        <w:tc>
          <w:tcPr>
            <w:tcW w:w="1800" w:type="dxa"/>
          </w:tcPr>
          <w:p w:rsidR="00A87C15" w:rsidRPr="008E50DB" w:rsidRDefault="001155EE" w:rsidP="009D0E1D">
            <w:pPr>
              <w:pStyle w:val="ListParagraph"/>
              <w:ind w:left="0"/>
              <w:contextualSpacing w:val="0"/>
              <w:jc w:val="center"/>
              <w:rPr>
                <w:b/>
                <w:sz w:val="20"/>
                <w:szCs w:val="20"/>
              </w:rPr>
            </w:pPr>
            <w:r w:rsidRPr="008E50DB">
              <w:rPr>
                <w:b/>
                <w:sz w:val="20"/>
                <w:szCs w:val="20"/>
              </w:rPr>
              <w:t>US</w:t>
            </w:r>
            <w:r w:rsidR="00BA4F44" w:rsidRPr="008E50DB">
              <w:rPr>
                <w:b/>
                <w:sz w:val="20"/>
                <w:szCs w:val="20"/>
              </w:rPr>
              <w:t>$1</w:t>
            </w:r>
            <w:r w:rsidR="00596B8A">
              <w:rPr>
                <w:b/>
                <w:sz w:val="20"/>
                <w:szCs w:val="20"/>
              </w:rPr>
              <w:t>8</w:t>
            </w:r>
            <w:r w:rsidR="00BA4F44" w:rsidRPr="008E50DB">
              <w:rPr>
                <w:b/>
                <w:sz w:val="20"/>
                <w:szCs w:val="20"/>
              </w:rPr>
              <w:t>0,000</w:t>
            </w:r>
          </w:p>
          <w:p w:rsidR="00A87C15" w:rsidRPr="008E50DB" w:rsidRDefault="00A87C15" w:rsidP="009D0E1D">
            <w:pPr>
              <w:pStyle w:val="ListParagraph"/>
              <w:ind w:left="0"/>
              <w:contextualSpacing w:val="0"/>
              <w:jc w:val="center"/>
              <w:rPr>
                <w:b/>
                <w:sz w:val="20"/>
                <w:szCs w:val="20"/>
              </w:rPr>
            </w:pPr>
          </w:p>
          <w:p w:rsidR="00A87C15" w:rsidRPr="008E50DB" w:rsidRDefault="00A87C15" w:rsidP="009D0E1D">
            <w:pPr>
              <w:pStyle w:val="ListParagraph"/>
              <w:ind w:left="0"/>
              <w:contextualSpacing w:val="0"/>
              <w:jc w:val="center"/>
              <w:rPr>
                <w:b/>
                <w:sz w:val="20"/>
                <w:szCs w:val="20"/>
              </w:rPr>
            </w:pPr>
          </w:p>
          <w:p w:rsidR="00A87C15" w:rsidRPr="008E50DB" w:rsidRDefault="00A87C15" w:rsidP="00A87C15">
            <w:pPr>
              <w:pStyle w:val="ListParagraph"/>
              <w:ind w:left="0"/>
              <w:contextualSpacing w:val="0"/>
              <w:rPr>
                <w:b/>
                <w:sz w:val="20"/>
                <w:szCs w:val="20"/>
              </w:rPr>
            </w:pPr>
          </w:p>
        </w:tc>
        <w:tc>
          <w:tcPr>
            <w:tcW w:w="1440" w:type="dxa"/>
          </w:tcPr>
          <w:p w:rsidR="00682716" w:rsidRPr="008E50DB" w:rsidRDefault="001155EE" w:rsidP="009D0E1D">
            <w:pPr>
              <w:pStyle w:val="ListParagraph"/>
              <w:ind w:left="0"/>
              <w:contextualSpacing w:val="0"/>
              <w:jc w:val="center"/>
              <w:rPr>
                <w:b/>
                <w:sz w:val="20"/>
                <w:szCs w:val="20"/>
              </w:rPr>
            </w:pPr>
            <w:r w:rsidRPr="008E50DB">
              <w:rPr>
                <w:b/>
                <w:sz w:val="20"/>
                <w:szCs w:val="20"/>
              </w:rPr>
              <w:t>US$0</w:t>
            </w:r>
          </w:p>
        </w:tc>
        <w:tc>
          <w:tcPr>
            <w:tcW w:w="1278" w:type="dxa"/>
          </w:tcPr>
          <w:p w:rsidR="00682716" w:rsidRPr="008E50DB" w:rsidRDefault="001155EE" w:rsidP="00596B8A">
            <w:pPr>
              <w:pStyle w:val="ListParagraph"/>
              <w:ind w:left="0"/>
              <w:contextualSpacing w:val="0"/>
              <w:jc w:val="center"/>
              <w:rPr>
                <w:b/>
                <w:sz w:val="20"/>
                <w:szCs w:val="20"/>
              </w:rPr>
            </w:pPr>
            <w:r w:rsidRPr="008E50DB">
              <w:rPr>
                <w:b/>
                <w:sz w:val="20"/>
                <w:szCs w:val="20"/>
              </w:rPr>
              <w:t>US</w:t>
            </w:r>
            <w:r w:rsidR="00703BFF" w:rsidRPr="008E50DB">
              <w:rPr>
                <w:b/>
                <w:sz w:val="20"/>
                <w:szCs w:val="20"/>
              </w:rPr>
              <w:t>$</w:t>
            </w:r>
            <w:r w:rsidR="00596B8A" w:rsidRPr="008E50DB">
              <w:rPr>
                <w:b/>
                <w:sz w:val="20"/>
                <w:szCs w:val="20"/>
              </w:rPr>
              <w:t>1</w:t>
            </w:r>
            <w:r w:rsidR="00596B8A">
              <w:rPr>
                <w:b/>
                <w:sz w:val="20"/>
                <w:szCs w:val="20"/>
              </w:rPr>
              <w:t>8</w:t>
            </w:r>
            <w:r w:rsidR="00596B8A" w:rsidRPr="008E50DB">
              <w:rPr>
                <w:b/>
                <w:sz w:val="20"/>
                <w:szCs w:val="20"/>
              </w:rPr>
              <w:t>0</w:t>
            </w:r>
            <w:r w:rsidR="00703BFF" w:rsidRPr="008E50DB">
              <w:rPr>
                <w:b/>
                <w:sz w:val="20"/>
                <w:szCs w:val="20"/>
              </w:rPr>
              <w:t>,000</w:t>
            </w:r>
          </w:p>
        </w:tc>
      </w:tr>
      <w:tr w:rsidR="00682716" w:rsidRPr="008E50DB" w:rsidTr="004170B6">
        <w:tc>
          <w:tcPr>
            <w:tcW w:w="1638" w:type="dxa"/>
          </w:tcPr>
          <w:p w:rsidR="00A87C15" w:rsidRPr="008E50DB" w:rsidRDefault="00BA4F44" w:rsidP="00052DAC">
            <w:pPr>
              <w:jc w:val="both"/>
              <w:rPr>
                <w:sz w:val="20"/>
                <w:szCs w:val="20"/>
              </w:rPr>
            </w:pPr>
            <w:r w:rsidRPr="008E50DB">
              <w:rPr>
                <w:sz w:val="20"/>
                <w:szCs w:val="20"/>
              </w:rPr>
              <w:t xml:space="preserve">Component </w:t>
            </w:r>
            <w:r w:rsidR="00052DAC" w:rsidRPr="008E50DB">
              <w:rPr>
                <w:sz w:val="20"/>
                <w:szCs w:val="20"/>
              </w:rPr>
              <w:t>2</w:t>
            </w:r>
            <w:r w:rsidR="00703BFF" w:rsidRPr="008E50DB">
              <w:rPr>
                <w:sz w:val="20"/>
                <w:szCs w:val="20"/>
              </w:rPr>
              <w:t xml:space="preserve"> </w:t>
            </w:r>
          </w:p>
        </w:tc>
        <w:tc>
          <w:tcPr>
            <w:tcW w:w="3060" w:type="dxa"/>
          </w:tcPr>
          <w:p w:rsidR="00682716" w:rsidRPr="008E50DB" w:rsidRDefault="00BA4F44" w:rsidP="005F2030">
            <w:pPr>
              <w:pStyle w:val="ListParagraph"/>
              <w:ind w:left="0"/>
              <w:contextualSpacing w:val="0"/>
              <w:jc w:val="center"/>
              <w:rPr>
                <w:b/>
                <w:sz w:val="20"/>
                <w:szCs w:val="20"/>
              </w:rPr>
            </w:pPr>
            <w:r w:rsidRPr="008E50DB">
              <w:rPr>
                <w:sz w:val="20"/>
                <w:szCs w:val="20"/>
              </w:rPr>
              <w:t xml:space="preserve">Dissemination and Communication of Knowledge and Research on Climate Change and </w:t>
            </w:r>
            <w:r w:rsidR="005F2030" w:rsidRPr="008E50DB">
              <w:rPr>
                <w:sz w:val="20"/>
                <w:szCs w:val="20"/>
              </w:rPr>
              <w:t>Sustainability</w:t>
            </w:r>
          </w:p>
        </w:tc>
        <w:tc>
          <w:tcPr>
            <w:tcW w:w="1800" w:type="dxa"/>
          </w:tcPr>
          <w:p w:rsidR="00A87C15" w:rsidRPr="008E50DB" w:rsidRDefault="001155EE" w:rsidP="00052DAC">
            <w:pPr>
              <w:pStyle w:val="ListParagraph"/>
              <w:ind w:left="0"/>
              <w:contextualSpacing w:val="0"/>
              <w:jc w:val="center"/>
              <w:rPr>
                <w:b/>
                <w:sz w:val="20"/>
                <w:szCs w:val="20"/>
              </w:rPr>
            </w:pPr>
            <w:r w:rsidRPr="008E50DB">
              <w:rPr>
                <w:b/>
                <w:sz w:val="20"/>
                <w:szCs w:val="20"/>
              </w:rPr>
              <w:t>US</w:t>
            </w:r>
            <w:r w:rsidR="00BA4F44" w:rsidRPr="008E50DB">
              <w:rPr>
                <w:b/>
                <w:sz w:val="20"/>
                <w:szCs w:val="20"/>
              </w:rPr>
              <w:t>$</w:t>
            </w:r>
            <w:r w:rsidR="00052DAC" w:rsidRPr="008E50DB">
              <w:rPr>
                <w:b/>
                <w:sz w:val="20"/>
                <w:szCs w:val="20"/>
              </w:rPr>
              <w:t>3</w:t>
            </w:r>
            <w:r w:rsidR="00596B8A">
              <w:rPr>
                <w:b/>
                <w:sz w:val="20"/>
                <w:szCs w:val="20"/>
              </w:rPr>
              <w:t>0</w:t>
            </w:r>
            <w:r w:rsidR="00BA4F44" w:rsidRPr="008E50DB">
              <w:rPr>
                <w:b/>
                <w:sz w:val="20"/>
                <w:szCs w:val="20"/>
              </w:rPr>
              <w:t>0,000</w:t>
            </w:r>
          </w:p>
        </w:tc>
        <w:tc>
          <w:tcPr>
            <w:tcW w:w="1440" w:type="dxa"/>
          </w:tcPr>
          <w:p w:rsidR="00682716" w:rsidRPr="008E50DB" w:rsidRDefault="001155EE" w:rsidP="009D0E1D">
            <w:pPr>
              <w:pStyle w:val="ListParagraph"/>
              <w:ind w:left="0"/>
              <w:contextualSpacing w:val="0"/>
              <w:jc w:val="center"/>
              <w:rPr>
                <w:b/>
                <w:sz w:val="20"/>
                <w:szCs w:val="20"/>
              </w:rPr>
            </w:pPr>
            <w:r w:rsidRPr="008E50DB">
              <w:rPr>
                <w:b/>
                <w:sz w:val="20"/>
                <w:szCs w:val="20"/>
              </w:rPr>
              <w:t>US$0</w:t>
            </w:r>
          </w:p>
        </w:tc>
        <w:tc>
          <w:tcPr>
            <w:tcW w:w="1278" w:type="dxa"/>
          </w:tcPr>
          <w:p w:rsidR="00682716" w:rsidRPr="008E50DB" w:rsidRDefault="001155EE" w:rsidP="00052DAC">
            <w:pPr>
              <w:pStyle w:val="ListParagraph"/>
              <w:ind w:left="0"/>
              <w:contextualSpacing w:val="0"/>
              <w:jc w:val="center"/>
              <w:rPr>
                <w:b/>
                <w:sz w:val="20"/>
                <w:szCs w:val="20"/>
              </w:rPr>
            </w:pPr>
            <w:r w:rsidRPr="008E50DB">
              <w:rPr>
                <w:b/>
                <w:sz w:val="20"/>
                <w:szCs w:val="20"/>
              </w:rPr>
              <w:t>US</w:t>
            </w:r>
            <w:r w:rsidR="00BA4F44" w:rsidRPr="008E50DB">
              <w:rPr>
                <w:b/>
                <w:sz w:val="20"/>
                <w:szCs w:val="20"/>
              </w:rPr>
              <w:t>$</w:t>
            </w:r>
            <w:r w:rsidR="00052DAC" w:rsidRPr="008E50DB">
              <w:rPr>
                <w:b/>
                <w:sz w:val="20"/>
                <w:szCs w:val="20"/>
              </w:rPr>
              <w:t>3</w:t>
            </w:r>
            <w:r w:rsidR="00596B8A">
              <w:rPr>
                <w:b/>
                <w:sz w:val="20"/>
                <w:szCs w:val="20"/>
              </w:rPr>
              <w:t>0</w:t>
            </w:r>
            <w:r w:rsidR="00BA4F44" w:rsidRPr="008E50DB">
              <w:rPr>
                <w:b/>
                <w:sz w:val="20"/>
                <w:szCs w:val="20"/>
              </w:rPr>
              <w:t>0,000</w:t>
            </w:r>
          </w:p>
        </w:tc>
      </w:tr>
      <w:tr w:rsidR="00A87C15" w:rsidRPr="008E50DB" w:rsidTr="004170B6">
        <w:tc>
          <w:tcPr>
            <w:tcW w:w="1638" w:type="dxa"/>
          </w:tcPr>
          <w:p w:rsidR="00A87C15" w:rsidRPr="008E50DB" w:rsidRDefault="00A87C15" w:rsidP="00086643">
            <w:pPr>
              <w:jc w:val="both"/>
              <w:rPr>
                <w:sz w:val="20"/>
                <w:szCs w:val="20"/>
              </w:rPr>
            </w:pPr>
            <w:r w:rsidRPr="008E50DB">
              <w:rPr>
                <w:sz w:val="20"/>
                <w:szCs w:val="20"/>
              </w:rPr>
              <w:t>Evaluation</w:t>
            </w:r>
          </w:p>
        </w:tc>
        <w:tc>
          <w:tcPr>
            <w:tcW w:w="3060" w:type="dxa"/>
          </w:tcPr>
          <w:p w:rsidR="00A87C15" w:rsidRPr="008E50DB" w:rsidRDefault="00A87C15" w:rsidP="009D0E1D">
            <w:pPr>
              <w:pStyle w:val="ListParagraph"/>
              <w:ind w:left="0"/>
              <w:contextualSpacing w:val="0"/>
              <w:jc w:val="center"/>
              <w:rPr>
                <w:b/>
                <w:sz w:val="20"/>
                <w:szCs w:val="20"/>
              </w:rPr>
            </w:pPr>
          </w:p>
        </w:tc>
        <w:tc>
          <w:tcPr>
            <w:tcW w:w="1800" w:type="dxa"/>
          </w:tcPr>
          <w:p w:rsidR="00A87C15" w:rsidRPr="008E50DB" w:rsidRDefault="001155EE" w:rsidP="009D0E1D">
            <w:pPr>
              <w:pStyle w:val="ListParagraph"/>
              <w:ind w:left="0"/>
              <w:contextualSpacing w:val="0"/>
              <w:jc w:val="center"/>
              <w:rPr>
                <w:b/>
                <w:sz w:val="20"/>
                <w:szCs w:val="20"/>
              </w:rPr>
            </w:pPr>
            <w:r w:rsidRPr="008E50DB">
              <w:rPr>
                <w:b/>
                <w:sz w:val="20"/>
                <w:szCs w:val="20"/>
              </w:rPr>
              <w:t>US$</w:t>
            </w:r>
            <w:r w:rsidR="00A87C15" w:rsidRPr="008E50DB">
              <w:rPr>
                <w:b/>
                <w:sz w:val="20"/>
                <w:szCs w:val="20"/>
              </w:rPr>
              <w:t>20,000</w:t>
            </w:r>
          </w:p>
        </w:tc>
        <w:tc>
          <w:tcPr>
            <w:tcW w:w="1440" w:type="dxa"/>
          </w:tcPr>
          <w:p w:rsidR="00A87C15" w:rsidRPr="008E50DB" w:rsidRDefault="001155EE" w:rsidP="009D0E1D">
            <w:pPr>
              <w:pStyle w:val="ListParagraph"/>
              <w:ind w:left="0"/>
              <w:contextualSpacing w:val="0"/>
              <w:jc w:val="center"/>
              <w:rPr>
                <w:b/>
                <w:sz w:val="20"/>
                <w:szCs w:val="20"/>
              </w:rPr>
            </w:pPr>
            <w:r w:rsidRPr="008E50DB">
              <w:rPr>
                <w:b/>
                <w:sz w:val="20"/>
                <w:szCs w:val="20"/>
              </w:rPr>
              <w:t>US$0</w:t>
            </w:r>
          </w:p>
        </w:tc>
        <w:tc>
          <w:tcPr>
            <w:tcW w:w="1278" w:type="dxa"/>
          </w:tcPr>
          <w:p w:rsidR="00A87C15" w:rsidRPr="008E50DB" w:rsidRDefault="001155EE" w:rsidP="001155EE">
            <w:pPr>
              <w:pStyle w:val="ListParagraph"/>
              <w:ind w:left="0"/>
              <w:contextualSpacing w:val="0"/>
              <w:jc w:val="center"/>
              <w:rPr>
                <w:b/>
                <w:sz w:val="20"/>
                <w:szCs w:val="20"/>
              </w:rPr>
            </w:pPr>
            <w:r w:rsidRPr="008E50DB">
              <w:rPr>
                <w:b/>
                <w:sz w:val="20"/>
                <w:szCs w:val="20"/>
              </w:rPr>
              <w:t>US</w:t>
            </w:r>
            <w:r w:rsidR="004170B6" w:rsidRPr="008E50DB">
              <w:rPr>
                <w:b/>
                <w:sz w:val="20"/>
                <w:szCs w:val="20"/>
              </w:rPr>
              <w:t>$</w:t>
            </w:r>
            <w:r w:rsidRPr="008E50DB">
              <w:rPr>
                <w:b/>
                <w:sz w:val="20"/>
                <w:szCs w:val="20"/>
              </w:rPr>
              <w:t>2</w:t>
            </w:r>
            <w:r w:rsidR="004170B6" w:rsidRPr="008E50DB">
              <w:rPr>
                <w:b/>
                <w:sz w:val="20"/>
                <w:szCs w:val="20"/>
              </w:rPr>
              <w:t>0,000</w:t>
            </w:r>
          </w:p>
        </w:tc>
      </w:tr>
      <w:tr w:rsidR="001155EE" w:rsidRPr="008E50DB" w:rsidTr="004170B6">
        <w:tc>
          <w:tcPr>
            <w:tcW w:w="1638" w:type="dxa"/>
          </w:tcPr>
          <w:p w:rsidR="001155EE" w:rsidRPr="008E50DB" w:rsidRDefault="001155EE" w:rsidP="00086643">
            <w:pPr>
              <w:jc w:val="both"/>
              <w:rPr>
                <w:sz w:val="20"/>
                <w:szCs w:val="20"/>
              </w:rPr>
            </w:pPr>
            <w:r w:rsidRPr="008E50DB">
              <w:rPr>
                <w:sz w:val="20"/>
                <w:szCs w:val="20"/>
              </w:rPr>
              <w:t xml:space="preserve">Total </w:t>
            </w:r>
          </w:p>
        </w:tc>
        <w:tc>
          <w:tcPr>
            <w:tcW w:w="3060" w:type="dxa"/>
          </w:tcPr>
          <w:p w:rsidR="001155EE" w:rsidRPr="008E50DB" w:rsidRDefault="001155EE" w:rsidP="009D0E1D">
            <w:pPr>
              <w:pStyle w:val="ListParagraph"/>
              <w:ind w:left="0"/>
              <w:contextualSpacing w:val="0"/>
              <w:jc w:val="center"/>
              <w:rPr>
                <w:b/>
                <w:sz w:val="20"/>
                <w:szCs w:val="20"/>
              </w:rPr>
            </w:pPr>
          </w:p>
        </w:tc>
        <w:tc>
          <w:tcPr>
            <w:tcW w:w="1800" w:type="dxa"/>
          </w:tcPr>
          <w:p w:rsidR="001155EE" w:rsidRPr="008E50DB" w:rsidRDefault="001155EE" w:rsidP="009D0E1D">
            <w:pPr>
              <w:pStyle w:val="ListParagraph"/>
              <w:ind w:left="0"/>
              <w:contextualSpacing w:val="0"/>
              <w:jc w:val="center"/>
              <w:rPr>
                <w:b/>
                <w:sz w:val="20"/>
                <w:szCs w:val="20"/>
              </w:rPr>
            </w:pPr>
            <w:r w:rsidRPr="008E50DB">
              <w:rPr>
                <w:b/>
                <w:sz w:val="20"/>
                <w:szCs w:val="20"/>
              </w:rPr>
              <w:t>US$500,000</w:t>
            </w:r>
          </w:p>
        </w:tc>
        <w:tc>
          <w:tcPr>
            <w:tcW w:w="1440" w:type="dxa"/>
          </w:tcPr>
          <w:p w:rsidR="001155EE" w:rsidRPr="008E50DB" w:rsidRDefault="001155EE" w:rsidP="009D0E1D">
            <w:pPr>
              <w:pStyle w:val="ListParagraph"/>
              <w:ind w:left="0"/>
              <w:contextualSpacing w:val="0"/>
              <w:jc w:val="center"/>
              <w:rPr>
                <w:b/>
                <w:sz w:val="20"/>
                <w:szCs w:val="20"/>
              </w:rPr>
            </w:pPr>
            <w:r w:rsidRPr="008E50DB">
              <w:rPr>
                <w:b/>
                <w:sz w:val="20"/>
                <w:szCs w:val="20"/>
              </w:rPr>
              <w:t>US$0</w:t>
            </w:r>
          </w:p>
        </w:tc>
        <w:tc>
          <w:tcPr>
            <w:tcW w:w="1278" w:type="dxa"/>
          </w:tcPr>
          <w:p w:rsidR="001155EE" w:rsidRPr="008E50DB" w:rsidRDefault="001155EE" w:rsidP="001155EE">
            <w:pPr>
              <w:pStyle w:val="ListParagraph"/>
              <w:ind w:left="0"/>
              <w:contextualSpacing w:val="0"/>
              <w:jc w:val="center"/>
              <w:rPr>
                <w:b/>
                <w:sz w:val="20"/>
                <w:szCs w:val="20"/>
              </w:rPr>
            </w:pPr>
            <w:r w:rsidRPr="008E50DB">
              <w:rPr>
                <w:b/>
                <w:sz w:val="20"/>
                <w:szCs w:val="20"/>
              </w:rPr>
              <w:t>US$500,000</w:t>
            </w:r>
          </w:p>
        </w:tc>
      </w:tr>
    </w:tbl>
    <w:p w:rsidR="001C18FD" w:rsidRPr="008E50DB" w:rsidRDefault="001C18FD" w:rsidP="0095711B">
      <w:pPr>
        <w:rPr>
          <w:sz w:val="20"/>
          <w:szCs w:val="20"/>
        </w:rPr>
      </w:pPr>
    </w:p>
    <w:p w:rsidR="0095711B" w:rsidRPr="008E50DB" w:rsidRDefault="0095711B" w:rsidP="0095711B">
      <w:pPr>
        <w:pStyle w:val="ListParagraph"/>
        <w:numPr>
          <w:ilvl w:val="0"/>
          <w:numId w:val="5"/>
        </w:numPr>
        <w:spacing w:after="0"/>
        <w:rPr>
          <w:b/>
          <w:sz w:val="20"/>
          <w:szCs w:val="20"/>
        </w:rPr>
      </w:pPr>
      <w:r w:rsidRPr="008E50DB">
        <w:rPr>
          <w:b/>
          <w:sz w:val="20"/>
          <w:szCs w:val="20"/>
        </w:rPr>
        <w:t xml:space="preserve">Executing </w:t>
      </w:r>
      <w:r w:rsidR="00596B8A">
        <w:rPr>
          <w:b/>
          <w:sz w:val="20"/>
          <w:szCs w:val="20"/>
        </w:rPr>
        <w:t>A</w:t>
      </w:r>
      <w:r w:rsidRPr="008E50DB">
        <w:rPr>
          <w:b/>
          <w:sz w:val="20"/>
          <w:szCs w:val="20"/>
        </w:rPr>
        <w:t xml:space="preserve">gency and </w:t>
      </w:r>
      <w:r w:rsidR="00596B8A">
        <w:rPr>
          <w:b/>
          <w:sz w:val="20"/>
          <w:szCs w:val="20"/>
        </w:rPr>
        <w:t>E</w:t>
      </w:r>
      <w:r w:rsidRPr="008E50DB">
        <w:rPr>
          <w:b/>
          <w:sz w:val="20"/>
          <w:szCs w:val="20"/>
        </w:rPr>
        <w:t xml:space="preserve">xecution </w:t>
      </w:r>
      <w:r w:rsidR="00596B8A">
        <w:rPr>
          <w:b/>
          <w:sz w:val="20"/>
          <w:szCs w:val="20"/>
        </w:rPr>
        <w:t>S</w:t>
      </w:r>
      <w:r w:rsidRPr="008E50DB">
        <w:rPr>
          <w:b/>
          <w:sz w:val="20"/>
          <w:szCs w:val="20"/>
        </w:rPr>
        <w:t>tructure (estimated length:</w:t>
      </w:r>
      <w:r w:rsidR="00531E51" w:rsidRPr="008E50DB">
        <w:rPr>
          <w:b/>
          <w:sz w:val="20"/>
          <w:szCs w:val="20"/>
        </w:rPr>
        <w:t xml:space="preserve"> </w:t>
      </w:r>
      <w:r w:rsidRPr="008E50DB">
        <w:rPr>
          <w:b/>
          <w:sz w:val="20"/>
          <w:szCs w:val="20"/>
        </w:rPr>
        <w:t>about ½ page)</w:t>
      </w:r>
    </w:p>
    <w:p w:rsidR="00E70E01" w:rsidRPr="008E50DB" w:rsidRDefault="00E70E01" w:rsidP="00E70E01">
      <w:pPr>
        <w:autoSpaceDE w:val="0"/>
        <w:autoSpaceDN w:val="0"/>
        <w:adjustRightInd w:val="0"/>
        <w:spacing w:after="0" w:line="240" w:lineRule="auto"/>
        <w:jc w:val="both"/>
        <w:rPr>
          <w:rFonts w:ascii="Times New Roman" w:hAnsi="Times New Roman" w:cs="Times New Roman"/>
          <w:color w:val="000000"/>
          <w:sz w:val="20"/>
          <w:szCs w:val="20"/>
        </w:rPr>
      </w:pPr>
      <w:r w:rsidRPr="008E50DB">
        <w:rPr>
          <w:rFonts w:ascii="Times New Roman" w:hAnsi="Times New Roman" w:cs="Times New Roman"/>
          <w:color w:val="000000"/>
          <w:sz w:val="20"/>
          <w:szCs w:val="20"/>
        </w:rPr>
        <w:t xml:space="preserve">Due </w:t>
      </w:r>
      <w:r w:rsidR="0015781F">
        <w:rPr>
          <w:rFonts w:ascii="Times New Roman" w:hAnsi="Times New Roman" w:cs="Times New Roman"/>
          <w:color w:val="000000"/>
          <w:sz w:val="20"/>
          <w:szCs w:val="20"/>
        </w:rPr>
        <w:t xml:space="preserve">to </w:t>
      </w:r>
      <w:r w:rsidRPr="008E50DB">
        <w:rPr>
          <w:rFonts w:ascii="Times New Roman" w:hAnsi="Times New Roman" w:cs="Times New Roman"/>
          <w:color w:val="000000"/>
          <w:sz w:val="20"/>
          <w:szCs w:val="20"/>
        </w:rPr>
        <w:t xml:space="preserve">the regional scope of the project, </w:t>
      </w:r>
      <w:r w:rsidR="00564C0A">
        <w:rPr>
          <w:rFonts w:ascii="Times New Roman" w:hAnsi="Times New Roman" w:cs="Times New Roman"/>
          <w:color w:val="000000"/>
          <w:sz w:val="20"/>
          <w:szCs w:val="20"/>
        </w:rPr>
        <w:t>its</w:t>
      </w:r>
      <w:r w:rsidR="00564C0A" w:rsidRPr="008E50DB">
        <w:rPr>
          <w:rFonts w:ascii="Times New Roman" w:hAnsi="Times New Roman" w:cs="Times New Roman"/>
          <w:color w:val="000000"/>
          <w:sz w:val="20"/>
          <w:szCs w:val="20"/>
        </w:rPr>
        <w:t xml:space="preserve"> </w:t>
      </w:r>
      <w:r w:rsidRPr="008E50DB">
        <w:rPr>
          <w:rFonts w:ascii="Times New Roman" w:hAnsi="Times New Roman" w:cs="Times New Roman"/>
          <w:color w:val="000000"/>
          <w:sz w:val="20"/>
          <w:szCs w:val="20"/>
        </w:rPr>
        <w:t xml:space="preserve">multiple beneficiaries, and the </w:t>
      </w:r>
      <w:r w:rsidR="00564C0A">
        <w:rPr>
          <w:rFonts w:ascii="Times New Roman" w:hAnsi="Times New Roman" w:cs="Times New Roman"/>
          <w:color w:val="000000"/>
          <w:sz w:val="20"/>
          <w:szCs w:val="20"/>
        </w:rPr>
        <w:t>opportunities for</w:t>
      </w:r>
      <w:r w:rsidRPr="008E50DB">
        <w:rPr>
          <w:rFonts w:ascii="Times New Roman" w:hAnsi="Times New Roman" w:cs="Times New Roman"/>
          <w:color w:val="000000"/>
          <w:sz w:val="20"/>
          <w:szCs w:val="20"/>
        </w:rPr>
        <w:t xml:space="preserve"> economies of scale, the Bank though the Knowledge and Learning Sector (KNL/KNM) will directly execute it in order to provide a centralized coordination of the various activities and ensure their dissemination to all countries in the region. </w:t>
      </w:r>
    </w:p>
    <w:p w:rsidR="0095711B" w:rsidRPr="008E50DB" w:rsidRDefault="0095711B" w:rsidP="0095711B">
      <w:pPr>
        <w:spacing w:after="0"/>
        <w:rPr>
          <w:rFonts w:ascii="Times New Roman" w:hAnsi="Times New Roman" w:cs="Times New Roman"/>
          <w:color w:val="000000"/>
          <w:sz w:val="20"/>
          <w:szCs w:val="20"/>
        </w:rPr>
      </w:pPr>
    </w:p>
    <w:p w:rsidR="000F7906" w:rsidRPr="008E50DB" w:rsidRDefault="000F7906" w:rsidP="00B347ED">
      <w:pPr>
        <w:pStyle w:val="ListParagraph"/>
        <w:numPr>
          <w:ilvl w:val="0"/>
          <w:numId w:val="5"/>
        </w:numPr>
        <w:spacing w:after="0"/>
        <w:jc w:val="both"/>
        <w:rPr>
          <w:b/>
          <w:sz w:val="20"/>
          <w:szCs w:val="20"/>
        </w:rPr>
      </w:pPr>
      <w:r w:rsidRPr="008E50DB">
        <w:rPr>
          <w:b/>
          <w:sz w:val="20"/>
          <w:szCs w:val="20"/>
        </w:rPr>
        <w:t xml:space="preserve">Project Risks and </w:t>
      </w:r>
      <w:r w:rsidR="0095711B" w:rsidRPr="008E50DB">
        <w:rPr>
          <w:b/>
          <w:sz w:val="20"/>
          <w:szCs w:val="20"/>
        </w:rPr>
        <w:t xml:space="preserve"> </w:t>
      </w:r>
      <w:r w:rsidR="00596B8A">
        <w:rPr>
          <w:b/>
          <w:sz w:val="20"/>
          <w:szCs w:val="20"/>
        </w:rPr>
        <w:t>I</w:t>
      </w:r>
      <w:r w:rsidR="0095711B" w:rsidRPr="008E50DB">
        <w:rPr>
          <w:b/>
          <w:sz w:val="20"/>
          <w:szCs w:val="20"/>
        </w:rPr>
        <w:t>ssues (estimated length: about ½ page)</w:t>
      </w:r>
      <w:r w:rsidR="00086CFF" w:rsidRPr="008E50DB">
        <w:rPr>
          <w:b/>
          <w:sz w:val="20"/>
          <w:szCs w:val="20"/>
        </w:rPr>
        <w:t xml:space="preserve"> </w:t>
      </w:r>
    </w:p>
    <w:p w:rsidR="008E1F17" w:rsidRPr="008E50DB" w:rsidRDefault="003B016A" w:rsidP="008E1F17">
      <w:pPr>
        <w:spacing w:after="0"/>
        <w:jc w:val="both"/>
        <w:rPr>
          <w:rFonts w:ascii="Times New Roman" w:hAnsi="Times New Roman" w:cs="Times New Roman"/>
          <w:color w:val="000000"/>
          <w:sz w:val="20"/>
          <w:szCs w:val="20"/>
        </w:rPr>
      </w:pPr>
      <w:r w:rsidRPr="008E50DB">
        <w:rPr>
          <w:rFonts w:ascii="Times New Roman" w:hAnsi="Times New Roman" w:cs="Times New Roman"/>
          <w:color w:val="000000"/>
          <w:sz w:val="20"/>
          <w:szCs w:val="20"/>
        </w:rPr>
        <w:t xml:space="preserve">There </w:t>
      </w:r>
      <w:proofErr w:type="gramStart"/>
      <w:r w:rsidRPr="008E50DB">
        <w:rPr>
          <w:rFonts w:ascii="Times New Roman" w:hAnsi="Times New Roman" w:cs="Times New Roman"/>
          <w:color w:val="000000"/>
          <w:sz w:val="20"/>
          <w:szCs w:val="20"/>
        </w:rPr>
        <w:t>are  low</w:t>
      </w:r>
      <w:proofErr w:type="gramEnd"/>
      <w:r w:rsidRPr="008E50DB">
        <w:rPr>
          <w:rFonts w:ascii="Times New Roman" w:hAnsi="Times New Roman" w:cs="Times New Roman"/>
          <w:color w:val="000000"/>
          <w:sz w:val="20"/>
          <w:szCs w:val="20"/>
        </w:rPr>
        <w:t xml:space="preserve"> risks associated with the execution of this TC referring to: the quality of its contents and materials, the duplication of activities and/or knowledge products, and the development and late delivery of these activities and products. In order to avoid these risks, KNL </w:t>
      </w:r>
      <w:r w:rsidR="0015781F">
        <w:rPr>
          <w:rFonts w:ascii="Times New Roman" w:hAnsi="Times New Roman" w:cs="Times New Roman"/>
          <w:color w:val="000000"/>
          <w:sz w:val="20"/>
          <w:szCs w:val="20"/>
        </w:rPr>
        <w:t xml:space="preserve">will </w:t>
      </w:r>
      <w:r w:rsidR="00BE7260" w:rsidRPr="008E50DB">
        <w:rPr>
          <w:rFonts w:ascii="Times New Roman" w:hAnsi="Times New Roman" w:cs="Times New Roman"/>
          <w:color w:val="000000"/>
          <w:sz w:val="20"/>
          <w:szCs w:val="20"/>
        </w:rPr>
        <w:t>closely coordinate with</w:t>
      </w:r>
      <w:r w:rsidRPr="008E50DB">
        <w:rPr>
          <w:rFonts w:ascii="Times New Roman" w:hAnsi="Times New Roman" w:cs="Times New Roman"/>
          <w:color w:val="000000"/>
          <w:sz w:val="20"/>
          <w:szCs w:val="20"/>
        </w:rPr>
        <w:t xml:space="preserve"> the different units of the Bank </w:t>
      </w:r>
      <w:r w:rsidR="00E70E01" w:rsidRPr="008E50DB">
        <w:rPr>
          <w:rFonts w:ascii="Times New Roman" w:hAnsi="Times New Roman" w:cs="Times New Roman"/>
          <w:color w:val="000000"/>
          <w:sz w:val="20"/>
          <w:szCs w:val="20"/>
        </w:rPr>
        <w:t>working on climate change</w:t>
      </w:r>
      <w:r w:rsidR="005F2030" w:rsidRPr="008E50DB">
        <w:rPr>
          <w:rFonts w:ascii="Times New Roman" w:hAnsi="Times New Roman" w:cs="Times New Roman"/>
          <w:color w:val="000000"/>
          <w:sz w:val="20"/>
          <w:szCs w:val="20"/>
        </w:rPr>
        <w:t xml:space="preserve"> and</w:t>
      </w:r>
      <w:r w:rsidR="00E70E01" w:rsidRPr="008E50DB">
        <w:rPr>
          <w:rFonts w:ascii="Times New Roman" w:hAnsi="Times New Roman" w:cs="Times New Roman"/>
          <w:color w:val="000000"/>
          <w:sz w:val="20"/>
          <w:szCs w:val="20"/>
        </w:rPr>
        <w:t xml:space="preserve"> sustainability issues</w:t>
      </w:r>
      <w:r w:rsidRPr="008E50DB">
        <w:rPr>
          <w:rFonts w:ascii="Times New Roman" w:hAnsi="Times New Roman" w:cs="Times New Roman"/>
          <w:color w:val="000000"/>
          <w:sz w:val="20"/>
          <w:szCs w:val="20"/>
        </w:rPr>
        <w:t>. The components are designed in such a way to provide support to the activities of these departments or to develop new activities having as a basis already existing knowledge</w:t>
      </w:r>
      <w:r w:rsidR="00E70E01" w:rsidRPr="008E50DB">
        <w:rPr>
          <w:rFonts w:ascii="Times New Roman" w:hAnsi="Times New Roman" w:cs="Times New Roman"/>
          <w:color w:val="000000"/>
          <w:sz w:val="20"/>
          <w:szCs w:val="20"/>
        </w:rPr>
        <w:t xml:space="preserve"> and</w:t>
      </w:r>
      <w:r w:rsidRPr="008E50DB">
        <w:rPr>
          <w:rFonts w:ascii="Times New Roman" w:hAnsi="Times New Roman" w:cs="Times New Roman"/>
          <w:color w:val="000000"/>
          <w:sz w:val="20"/>
          <w:szCs w:val="20"/>
        </w:rPr>
        <w:t xml:space="preserve"> </w:t>
      </w:r>
      <w:r w:rsidR="00E70E01" w:rsidRPr="008E50DB">
        <w:rPr>
          <w:rFonts w:ascii="Times New Roman" w:hAnsi="Times New Roman" w:cs="Times New Roman"/>
          <w:color w:val="000000"/>
          <w:sz w:val="20"/>
          <w:szCs w:val="20"/>
        </w:rPr>
        <w:t xml:space="preserve">products, </w:t>
      </w:r>
      <w:r w:rsidRPr="008E50DB">
        <w:rPr>
          <w:rFonts w:ascii="Times New Roman" w:hAnsi="Times New Roman" w:cs="Times New Roman"/>
          <w:color w:val="000000"/>
          <w:sz w:val="20"/>
          <w:szCs w:val="20"/>
        </w:rPr>
        <w:t xml:space="preserve">avoiding duplication, guaranteeing the relevance of the content and the opportunity to take this knowledge to the region at the right moment. </w:t>
      </w:r>
      <w:r w:rsidR="00324F81" w:rsidRPr="008E50DB">
        <w:rPr>
          <w:rFonts w:ascii="Times New Roman" w:hAnsi="Times New Roman" w:cs="Times New Roman"/>
          <w:color w:val="000000"/>
          <w:sz w:val="20"/>
          <w:szCs w:val="20"/>
        </w:rPr>
        <w:t>Adding to this will be the experience of KNL in the desi</w:t>
      </w:r>
      <w:r w:rsidR="003D66D9" w:rsidRPr="008E50DB">
        <w:rPr>
          <w:rFonts w:ascii="Times New Roman" w:hAnsi="Times New Roman" w:cs="Times New Roman"/>
          <w:color w:val="000000"/>
          <w:sz w:val="20"/>
          <w:szCs w:val="20"/>
        </w:rPr>
        <w:t xml:space="preserve">gn and development of learning </w:t>
      </w:r>
      <w:r w:rsidR="00324F81" w:rsidRPr="008E50DB">
        <w:rPr>
          <w:rFonts w:ascii="Times New Roman" w:hAnsi="Times New Roman" w:cs="Times New Roman"/>
          <w:color w:val="000000"/>
          <w:sz w:val="20"/>
          <w:szCs w:val="20"/>
        </w:rPr>
        <w:t xml:space="preserve">methodologies and </w:t>
      </w:r>
      <w:r w:rsidR="00E70E01" w:rsidRPr="008E50DB">
        <w:rPr>
          <w:rFonts w:ascii="Times New Roman" w:hAnsi="Times New Roman" w:cs="Times New Roman"/>
          <w:color w:val="000000"/>
          <w:sz w:val="20"/>
          <w:szCs w:val="20"/>
        </w:rPr>
        <w:t>knowledge</w:t>
      </w:r>
      <w:r w:rsidR="00324F81" w:rsidRPr="008E50DB">
        <w:rPr>
          <w:rFonts w:ascii="Times New Roman" w:hAnsi="Times New Roman" w:cs="Times New Roman"/>
          <w:color w:val="000000"/>
          <w:sz w:val="20"/>
          <w:szCs w:val="20"/>
        </w:rPr>
        <w:t xml:space="preserve"> products. </w:t>
      </w:r>
      <w:r w:rsidR="00EA0E35" w:rsidRPr="008E50DB">
        <w:rPr>
          <w:rFonts w:ascii="Times New Roman" w:hAnsi="Times New Roman" w:cs="Times New Roman"/>
          <w:color w:val="000000"/>
          <w:sz w:val="20"/>
          <w:szCs w:val="20"/>
        </w:rPr>
        <w:t xml:space="preserve"> Partnerships with</w:t>
      </w:r>
      <w:r w:rsidR="008E1F17" w:rsidRPr="008E50DB">
        <w:rPr>
          <w:rFonts w:ascii="Times New Roman" w:hAnsi="Times New Roman" w:cs="Times New Roman"/>
          <w:color w:val="000000"/>
          <w:sz w:val="20"/>
          <w:szCs w:val="20"/>
        </w:rPr>
        <w:t xml:space="preserve"> </w:t>
      </w:r>
      <w:r w:rsidR="00EA0E35" w:rsidRPr="008E50DB">
        <w:rPr>
          <w:rFonts w:ascii="Times New Roman" w:hAnsi="Times New Roman" w:cs="Times New Roman"/>
          <w:color w:val="000000"/>
          <w:sz w:val="20"/>
          <w:szCs w:val="20"/>
        </w:rPr>
        <w:t>public and private organizations</w:t>
      </w:r>
      <w:r w:rsidR="008E1F17" w:rsidRPr="008E50DB">
        <w:rPr>
          <w:rFonts w:ascii="Times New Roman" w:hAnsi="Times New Roman" w:cs="Times New Roman"/>
          <w:color w:val="000000"/>
          <w:sz w:val="20"/>
          <w:szCs w:val="20"/>
        </w:rPr>
        <w:t xml:space="preserve"> playing a key role in the </w:t>
      </w:r>
      <w:r w:rsidR="00EA0E35" w:rsidRPr="008E50DB">
        <w:rPr>
          <w:rFonts w:ascii="Times New Roman" w:hAnsi="Times New Roman" w:cs="Times New Roman"/>
          <w:color w:val="000000"/>
          <w:sz w:val="20"/>
          <w:szCs w:val="20"/>
        </w:rPr>
        <w:t>R</w:t>
      </w:r>
      <w:r w:rsidR="008E1F17" w:rsidRPr="008E50DB">
        <w:rPr>
          <w:rFonts w:ascii="Times New Roman" w:hAnsi="Times New Roman" w:cs="Times New Roman"/>
          <w:color w:val="000000"/>
          <w:sz w:val="20"/>
          <w:szCs w:val="20"/>
        </w:rPr>
        <w:t>egion will also</w:t>
      </w:r>
      <w:r w:rsidR="00711C4F">
        <w:rPr>
          <w:rFonts w:ascii="Times New Roman" w:hAnsi="Times New Roman" w:cs="Times New Roman"/>
          <w:color w:val="000000"/>
          <w:sz w:val="20"/>
          <w:szCs w:val="20"/>
        </w:rPr>
        <w:t xml:space="preserve"> support the sustainability of the proposed activities and products and </w:t>
      </w:r>
      <w:r w:rsidR="00052DAC" w:rsidRPr="008E50DB">
        <w:rPr>
          <w:rFonts w:ascii="Times New Roman" w:hAnsi="Times New Roman" w:cs="Times New Roman"/>
          <w:color w:val="000000"/>
          <w:sz w:val="20"/>
          <w:szCs w:val="20"/>
        </w:rPr>
        <w:t>mitigate</w:t>
      </w:r>
      <w:r w:rsidR="008E1F17" w:rsidRPr="008E50DB">
        <w:rPr>
          <w:rFonts w:ascii="Times New Roman" w:hAnsi="Times New Roman" w:cs="Times New Roman"/>
          <w:color w:val="000000"/>
          <w:sz w:val="20"/>
          <w:szCs w:val="20"/>
        </w:rPr>
        <w:t xml:space="preserve"> the risk of duplicating content or activities and will generate economies of scale. </w:t>
      </w:r>
    </w:p>
    <w:p w:rsidR="008E1F17" w:rsidRPr="008E50DB" w:rsidRDefault="008E1F17" w:rsidP="008E1F17">
      <w:pPr>
        <w:spacing w:after="0"/>
        <w:jc w:val="both"/>
        <w:rPr>
          <w:sz w:val="20"/>
          <w:szCs w:val="20"/>
        </w:rPr>
      </w:pPr>
    </w:p>
    <w:p w:rsidR="00CA272D" w:rsidRPr="008E50DB" w:rsidRDefault="0095711B" w:rsidP="000F7906">
      <w:pPr>
        <w:pStyle w:val="ListParagraph"/>
        <w:numPr>
          <w:ilvl w:val="0"/>
          <w:numId w:val="5"/>
        </w:numPr>
        <w:spacing w:after="0" w:line="240" w:lineRule="auto"/>
        <w:contextualSpacing w:val="0"/>
        <w:jc w:val="both"/>
        <w:rPr>
          <w:b/>
          <w:sz w:val="20"/>
          <w:szCs w:val="20"/>
        </w:rPr>
      </w:pPr>
      <w:r w:rsidRPr="008E50DB">
        <w:rPr>
          <w:b/>
          <w:sz w:val="20"/>
          <w:szCs w:val="20"/>
        </w:rPr>
        <w:t xml:space="preserve">Environmental and Social </w:t>
      </w:r>
      <w:r w:rsidR="00CA272D" w:rsidRPr="008E50DB">
        <w:rPr>
          <w:b/>
          <w:sz w:val="20"/>
          <w:szCs w:val="20"/>
        </w:rPr>
        <w:t>Classification</w:t>
      </w:r>
      <w:r w:rsidR="00F41DD5" w:rsidRPr="008E50DB">
        <w:rPr>
          <w:b/>
          <w:sz w:val="20"/>
          <w:szCs w:val="20"/>
        </w:rPr>
        <w:t xml:space="preserve"> (estimated length: </w:t>
      </w:r>
      <w:r w:rsidR="00F41DD5" w:rsidRPr="008E50DB">
        <w:rPr>
          <w:rFonts w:ascii="Arial" w:hAnsi="Arial" w:cs="Arial"/>
          <w:b/>
          <w:sz w:val="20"/>
          <w:szCs w:val="20"/>
        </w:rPr>
        <w:t>¼</w:t>
      </w:r>
      <w:r w:rsidR="00F41DD5" w:rsidRPr="008E50DB">
        <w:rPr>
          <w:b/>
          <w:sz w:val="20"/>
          <w:szCs w:val="20"/>
        </w:rPr>
        <w:t xml:space="preserve"> page)</w:t>
      </w:r>
    </w:p>
    <w:p w:rsidR="0095711B" w:rsidRPr="008E50DB" w:rsidRDefault="0095711B" w:rsidP="00C854FE">
      <w:pPr>
        <w:pStyle w:val="ListParagraph"/>
        <w:spacing w:after="0" w:line="240" w:lineRule="auto"/>
        <w:ind w:left="360"/>
        <w:contextualSpacing w:val="0"/>
        <w:jc w:val="both"/>
        <w:rPr>
          <w:sz w:val="20"/>
          <w:szCs w:val="20"/>
        </w:rPr>
      </w:pPr>
    </w:p>
    <w:p w:rsidR="00C854FE" w:rsidRPr="002A05A6" w:rsidRDefault="008E1F17" w:rsidP="008E50DB">
      <w:pPr>
        <w:spacing w:after="0"/>
        <w:jc w:val="both"/>
        <w:rPr>
          <w:sz w:val="18"/>
          <w:szCs w:val="18"/>
        </w:rPr>
      </w:pPr>
      <w:r w:rsidRPr="008E50DB">
        <w:rPr>
          <w:rFonts w:ascii="Times New Roman" w:hAnsi="Times New Roman" w:cs="Times New Roman"/>
          <w:color w:val="000000"/>
          <w:sz w:val="20"/>
          <w:szCs w:val="20"/>
        </w:rPr>
        <w:t>Based on the Environmental and Social Safeguard Filter, the proposed technical assistance has been</w:t>
      </w:r>
      <w:r w:rsidR="00A50B45" w:rsidRPr="008E50DB">
        <w:rPr>
          <w:rFonts w:ascii="Times New Roman" w:hAnsi="Times New Roman" w:cs="Times New Roman"/>
          <w:color w:val="000000"/>
          <w:sz w:val="20"/>
          <w:szCs w:val="20"/>
        </w:rPr>
        <w:t xml:space="preserve"> </w:t>
      </w:r>
      <w:r w:rsidRPr="008E50DB">
        <w:rPr>
          <w:rFonts w:ascii="Times New Roman" w:hAnsi="Times New Roman" w:cs="Times New Roman"/>
          <w:color w:val="000000"/>
          <w:sz w:val="20"/>
          <w:szCs w:val="20"/>
        </w:rPr>
        <w:t>classified as category C. No potential negative environmental and/or social impacts of the TC were</w:t>
      </w:r>
      <w:r w:rsidR="00A50B45" w:rsidRPr="008E50DB">
        <w:rPr>
          <w:rFonts w:ascii="Times New Roman" w:hAnsi="Times New Roman" w:cs="Times New Roman"/>
          <w:color w:val="000000"/>
          <w:sz w:val="20"/>
          <w:szCs w:val="20"/>
        </w:rPr>
        <w:t xml:space="preserve"> </w:t>
      </w:r>
      <w:r w:rsidRPr="008E50DB">
        <w:rPr>
          <w:rFonts w:ascii="Times New Roman" w:hAnsi="Times New Roman" w:cs="Times New Roman"/>
          <w:color w:val="000000"/>
          <w:sz w:val="20"/>
          <w:szCs w:val="20"/>
        </w:rPr>
        <w:t>identified and therefore no mitigation strategy is required to address any impact.</w:t>
      </w:r>
    </w:p>
    <w:sectPr w:rsidR="00C854FE" w:rsidRPr="002A05A6" w:rsidSect="00CD109E">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0941" w:rsidRDefault="00DE0941" w:rsidP="0095711B">
      <w:pPr>
        <w:spacing w:after="0" w:line="240" w:lineRule="auto"/>
      </w:pPr>
      <w:r>
        <w:separator/>
      </w:r>
    </w:p>
  </w:endnote>
  <w:endnote w:type="continuationSeparator" w:id="0">
    <w:p w:rsidR="00DE0941" w:rsidRDefault="00DE0941" w:rsidP="009571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3875126"/>
      <w:docPartObj>
        <w:docPartGallery w:val="Page Numbers (Bottom of Page)"/>
        <w:docPartUnique/>
      </w:docPartObj>
    </w:sdtPr>
    <w:sdtEndPr/>
    <w:sdtContent>
      <w:p w:rsidR="00A87C15" w:rsidRDefault="007B7C6A">
        <w:pPr>
          <w:pStyle w:val="Footer"/>
          <w:jc w:val="center"/>
        </w:pPr>
        <w:r>
          <w:fldChar w:fldCharType="begin"/>
        </w:r>
        <w:r>
          <w:instrText xml:space="preserve"> PAGE   \* MERGEFORMAT </w:instrText>
        </w:r>
        <w:r>
          <w:fldChar w:fldCharType="separate"/>
        </w:r>
        <w:r w:rsidR="007574D3">
          <w:rPr>
            <w:noProof/>
          </w:rPr>
          <w:t>3</w:t>
        </w:r>
        <w:r>
          <w:rPr>
            <w:noProof/>
          </w:rPr>
          <w:fldChar w:fldCharType="end"/>
        </w:r>
      </w:p>
    </w:sdtContent>
  </w:sdt>
  <w:p w:rsidR="00A87C15" w:rsidRDefault="00A87C1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0941" w:rsidRDefault="00DE0941" w:rsidP="0095711B">
      <w:pPr>
        <w:spacing w:after="0" w:line="240" w:lineRule="auto"/>
      </w:pPr>
      <w:r>
        <w:separator/>
      </w:r>
    </w:p>
  </w:footnote>
  <w:footnote w:type="continuationSeparator" w:id="0">
    <w:p w:rsidR="00DE0941" w:rsidRDefault="00DE0941" w:rsidP="0095711B">
      <w:pPr>
        <w:spacing w:after="0" w:line="240" w:lineRule="auto"/>
      </w:pPr>
      <w:r>
        <w:continuationSeparator/>
      </w:r>
    </w:p>
  </w:footnote>
  <w:footnote w:id="1">
    <w:p w:rsidR="00A87C15" w:rsidRPr="00754EFD" w:rsidRDefault="00A87C15" w:rsidP="00754EFD">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06693F"/>
    <w:multiLevelType w:val="hybridMultilevel"/>
    <w:tmpl w:val="E160BC3C"/>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C2D45B5"/>
    <w:multiLevelType w:val="hybridMultilevel"/>
    <w:tmpl w:val="D3804D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81E5C11"/>
    <w:multiLevelType w:val="hybridMultilevel"/>
    <w:tmpl w:val="6762B64A"/>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nsid w:val="27354963"/>
    <w:multiLevelType w:val="hybridMultilevel"/>
    <w:tmpl w:val="95EAD726"/>
    <w:lvl w:ilvl="0" w:tplc="AC6C38CE">
      <w:numFmt w:val="bullet"/>
      <w:lvlText w:val=""/>
      <w:lvlJc w:val="left"/>
      <w:pPr>
        <w:ind w:left="390" w:hanging="360"/>
      </w:pPr>
      <w:rPr>
        <w:rFonts w:ascii="Symbol" w:eastAsiaTheme="minorHAnsi" w:hAnsi="Symbol" w:cstheme="minorBidi"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4">
    <w:nsid w:val="292E025C"/>
    <w:multiLevelType w:val="hybridMultilevel"/>
    <w:tmpl w:val="B2248766"/>
    <w:lvl w:ilvl="0" w:tplc="C700CC4A">
      <w:numFmt w:val="bullet"/>
      <w:lvlText w:val=""/>
      <w:lvlJc w:val="left"/>
      <w:pPr>
        <w:ind w:left="750" w:hanging="360"/>
      </w:pPr>
      <w:rPr>
        <w:rFonts w:ascii="Symbol" w:eastAsiaTheme="minorHAnsi" w:hAnsi="Symbol" w:cstheme="minorBidi"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5">
    <w:nsid w:val="2CBD0B9B"/>
    <w:multiLevelType w:val="hybridMultilevel"/>
    <w:tmpl w:val="D51891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AE816B4"/>
    <w:multiLevelType w:val="hybridMultilevel"/>
    <w:tmpl w:val="40E29826"/>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nsid w:val="3CC10A8F"/>
    <w:multiLevelType w:val="hybridMultilevel"/>
    <w:tmpl w:val="92400A9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1F94135"/>
    <w:multiLevelType w:val="hybridMultilevel"/>
    <w:tmpl w:val="A0FEA2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44C62659"/>
    <w:multiLevelType w:val="multilevel"/>
    <w:tmpl w:val="78BA1AC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4ACB180A"/>
    <w:multiLevelType w:val="hybridMultilevel"/>
    <w:tmpl w:val="CAD25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E183EB3"/>
    <w:multiLevelType w:val="hybridMultilevel"/>
    <w:tmpl w:val="59BC09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3DA472B"/>
    <w:multiLevelType w:val="hybridMultilevel"/>
    <w:tmpl w:val="A596F61A"/>
    <w:lvl w:ilvl="0" w:tplc="04090013">
      <w:start w:val="1"/>
      <w:numFmt w:val="upp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7F5C51C3"/>
    <w:multiLevelType w:val="hybridMultilevel"/>
    <w:tmpl w:val="7C0C5914"/>
    <w:lvl w:ilvl="0" w:tplc="E2FC76B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7"/>
  </w:num>
  <w:num w:numId="3">
    <w:abstractNumId w:val="11"/>
  </w:num>
  <w:num w:numId="4">
    <w:abstractNumId w:val="13"/>
  </w:num>
  <w:num w:numId="5">
    <w:abstractNumId w:val="12"/>
  </w:num>
  <w:num w:numId="6">
    <w:abstractNumId w:val="3"/>
  </w:num>
  <w:num w:numId="7">
    <w:abstractNumId w:val="4"/>
  </w:num>
  <w:num w:numId="8">
    <w:abstractNumId w:val="5"/>
  </w:num>
  <w:num w:numId="9">
    <w:abstractNumId w:val="8"/>
  </w:num>
  <w:num w:numId="10">
    <w:abstractNumId w:val="0"/>
  </w:num>
  <w:num w:numId="11">
    <w:abstractNumId w:val="9"/>
  </w:num>
  <w:num w:numId="12">
    <w:abstractNumId w:val="1"/>
  </w:num>
  <w:num w:numId="13">
    <w:abstractNumId w:val="6"/>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oNotTrackFormatting/>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711B"/>
    <w:rsid w:val="00000FFD"/>
    <w:rsid w:val="00006959"/>
    <w:rsid w:val="000239A6"/>
    <w:rsid w:val="000256E4"/>
    <w:rsid w:val="000269F9"/>
    <w:rsid w:val="00052DAC"/>
    <w:rsid w:val="00055CAB"/>
    <w:rsid w:val="0007129C"/>
    <w:rsid w:val="000725A9"/>
    <w:rsid w:val="00086643"/>
    <w:rsid w:val="00086CFF"/>
    <w:rsid w:val="00095618"/>
    <w:rsid w:val="000A0C5B"/>
    <w:rsid w:val="000A2F60"/>
    <w:rsid w:val="000A5A0D"/>
    <w:rsid w:val="000C7DC1"/>
    <w:rsid w:val="000D21E6"/>
    <w:rsid w:val="000F39D2"/>
    <w:rsid w:val="000F7906"/>
    <w:rsid w:val="00102DAE"/>
    <w:rsid w:val="001155EE"/>
    <w:rsid w:val="00124040"/>
    <w:rsid w:val="001316E2"/>
    <w:rsid w:val="00144399"/>
    <w:rsid w:val="00145DED"/>
    <w:rsid w:val="001558B7"/>
    <w:rsid w:val="0015781F"/>
    <w:rsid w:val="0017216B"/>
    <w:rsid w:val="00197313"/>
    <w:rsid w:val="001B0ACE"/>
    <w:rsid w:val="001B37E0"/>
    <w:rsid w:val="001C18FD"/>
    <w:rsid w:val="001C38EC"/>
    <w:rsid w:val="001D5B4A"/>
    <w:rsid w:val="001F7044"/>
    <w:rsid w:val="001F7559"/>
    <w:rsid w:val="00210317"/>
    <w:rsid w:val="002112F0"/>
    <w:rsid w:val="00225B5A"/>
    <w:rsid w:val="00236249"/>
    <w:rsid w:val="00244A9D"/>
    <w:rsid w:val="0024636A"/>
    <w:rsid w:val="00261316"/>
    <w:rsid w:val="002649F0"/>
    <w:rsid w:val="0028127C"/>
    <w:rsid w:val="002A05A6"/>
    <w:rsid w:val="002B21DA"/>
    <w:rsid w:val="002F47ED"/>
    <w:rsid w:val="0030659D"/>
    <w:rsid w:val="00324F81"/>
    <w:rsid w:val="00335B4C"/>
    <w:rsid w:val="00340BC1"/>
    <w:rsid w:val="00345EA4"/>
    <w:rsid w:val="00346E79"/>
    <w:rsid w:val="003622D9"/>
    <w:rsid w:val="0037186A"/>
    <w:rsid w:val="00397999"/>
    <w:rsid w:val="003A6B68"/>
    <w:rsid w:val="003B016A"/>
    <w:rsid w:val="003B3FC6"/>
    <w:rsid w:val="003C4A1D"/>
    <w:rsid w:val="003D2892"/>
    <w:rsid w:val="003D609D"/>
    <w:rsid w:val="003D66D9"/>
    <w:rsid w:val="003D6ECA"/>
    <w:rsid w:val="003D7A0F"/>
    <w:rsid w:val="003E62BC"/>
    <w:rsid w:val="003F18CB"/>
    <w:rsid w:val="00416432"/>
    <w:rsid w:val="004170B6"/>
    <w:rsid w:val="004171B5"/>
    <w:rsid w:val="00423119"/>
    <w:rsid w:val="004311D4"/>
    <w:rsid w:val="004458CC"/>
    <w:rsid w:val="004766A9"/>
    <w:rsid w:val="00482240"/>
    <w:rsid w:val="004A77BE"/>
    <w:rsid w:val="004C1F63"/>
    <w:rsid w:val="004C35A0"/>
    <w:rsid w:val="004C4BDD"/>
    <w:rsid w:val="004C5131"/>
    <w:rsid w:val="004E7BA5"/>
    <w:rsid w:val="004F386F"/>
    <w:rsid w:val="0050104A"/>
    <w:rsid w:val="00507412"/>
    <w:rsid w:val="0051606F"/>
    <w:rsid w:val="00520F58"/>
    <w:rsid w:val="005274B5"/>
    <w:rsid w:val="00531E51"/>
    <w:rsid w:val="005364CE"/>
    <w:rsid w:val="00564C0A"/>
    <w:rsid w:val="00570DA4"/>
    <w:rsid w:val="0058137A"/>
    <w:rsid w:val="005813C7"/>
    <w:rsid w:val="005936D6"/>
    <w:rsid w:val="00596B8A"/>
    <w:rsid w:val="005A1056"/>
    <w:rsid w:val="005A3A6C"/>
    <w:rsid w:val="005B6644"/>
    <w:rsid w:val="005C4F05"/>
    <w:rsid w:val="005C50A9"/>
    <w:rsid w:val="005D5D18"/>
    <w:rsid w:val="005F132F"/>
    <w:rsid w:val="005F2030"/>
    <w:rsid w:val="006055D5"/>
    <w:rsid w:val="00631F81"/>
    <w:rsid w:val="0063780D"/>
    <w:rsid w:val="00641ED4"/>
    <w:rsid w:val="00662F0F"/>
    <w:rsid w:val="00675E7A"/>
    <w:rsid w:val="00676920"/>
    <w:rsid w:val="00682716"/>
    <w:rsid w:val="00690B3F"/>
    <w:rsid w:val="00697C48"/>
    <w:rsid w:val="006A65B6"/>
    <w:rsid w:val="00702A56"/>
    <w:rsid w:val="00703BFF"/>
    <w:rsid w:val="00703F77"/>
    <w:rsid w:val="00711C4F"/>
    <w:rsid w:val="00746260"/>
    <w:rsid w:val="00754EFD"/>
    <w:rsid w:val="007574D3"/>
    <w:rsid w:val="00763850"/>
    <w:rsid w:val="007918FB"/>
    <w:rsid w:val="007B6B61"/>
    <w:rsid w:val="007B7C6A"/>
    <w:rsid w:val="007C0A4A"/>
    <w:rsid w:val="00801D9C"/>
    <w:rsid w:val="008052A0"/>
    <w:rsid w:val="00807C07"/>
    <w:rsid w:val="00826511"/>
    <w:rsid w:val="00851BFF"/>
    <w:rsid w:val="00865A6F"/>
    <w:rsid w:val="008813B9"/>
    <w:rsid w:val="008902BA"/>
    <w:rsid w:val="008978B9"/>
    <w:rsid w:val="008A7F92"/>
    <w:rsid w:val="008E1F17"/>
    <w:rsid w:val="008E50DB"/>
    <w:rsid w:val="008E7C26"/>
    <w:rsid w:val="00933A84"/>
    <w:rsid w:val="0093696A"/>
    <w:rsid w:val="00944C89"/>
    <w:rsid w:val="0095122E"/>
    <w:rsid w:val="0095711B"/>
    <w:rsid w:val="00967F24"/>
    <w:rsid w:val="00975595"/>
    <w:rsid w:val="00975BC3"/>
    <w:rsid w:val="00977A7A"/>
    <w:rsid w:val="009816F0"/>
    <w:rsid w:val="00994AF3"/>
    <w:rsid w:val="00995DEA"/>
    <w:rsid w:val="009B5184"/>
    <w:rsid w:val="009D0E1D"/>
    <w:rsid w:val="009E10E9"/>
    <w:rsid w:val="009E1187"/>
    <w:rsid w:val="009E2230"/>
    <w:rsid w:val="009F3492"/>
    <w:rsid w:val="00A10CD5"/>
    <w:rsid w:val="00A12C27"/>
    <w:rsid w:val="00A13EE1"/>
    <w:rsid w:val="00A20379"/>
    <w:rsid w:val="00A24698"/>
    <w:rsid w:val="00A2474F"/>
    <w:rsid w:val="00A3059F"/>
    <w:rsid w:val="00A368DF"/>
    <w:rsid w:val="00A37C9C"/>
    <w:rsid w:val="00A432E5"/>
    <w:rsid w:val="00A50B45"/>
    <w:rsid w:val="00A57185"/>
    <w:rsid w:val="00A57541"/>
    <w:rsid w:val="00A842A6"/>
    <w:rsid w:val="00A876E7"/>
    <w:rsid w:val="00A87C15"/>
    <w:rsid w:val="00AB55B0"/>
    <w:rsid w:val="00AD082C"/>
    <w:rsid w:val="00AD3653"/>
    <w:rsid w:val="00AE2E9E"/>
    <w:rsid w:val="00AF2F55"/>
    <w:rsid w:val="00AF4CF0"/>
    <w:rsid w:val="00B125D4"/>
    <w:rsid w:val="00B13125"/>
    <w:rsid w:val="00B27BCB"/>
    <w:rsid w:val="00B307EC"/>
    <w:rsid w:val="00B347ED"/>
    <w:rsid w:val="00B358B9"/>
    <w:rsid w:val="00B40FD8"/>
    <w:rsid w:val="00B52D02"/>
    <w:rsid w:val="00BA4F44"/>
    <w:rsid w:val="00BB2778"/>
    <w:rsid w:val="00BB612A"/>
    <w:rsid w:val="00BE67C4"/>
    <w:rsid w:val="00BE7260"/>
    <w:rsid w:val="00C149AF"/>
    <w:rsid w:val="00C170F7"/>
    <w:rsid w:val="00C20B77"/>
    <w:rsid w:val="00C43E24"/>
    <w:rsid w:val="00C457AE"/>
    <w:rsid w:val="00C5730B"/>
    <w:rsid w:val="00C84ABB"/>
    <w:rsid w:val="00C854FE"/>
    <w:rsid w:val="00C923F2"/>
    <w:rsid w:val="00CA272D"/>
    <w:rsid w:val="00CA2B89"/>
    <w:rsid w:val="00CA3650"/>
    <w:rsid w:val="00CD109E"/>
    <w:rsid w:val="00CD6CB6"/>
    <w:rsid w:val="00CF14FB"/>
    <w:rsid w:val="00CF1F5A"/>
    <w:rsid w:val="00D2491C"/>
    <w:rsid w:val="00D327DC"/>
    <w:rsid w:val="00D511B7"/>
    <w:rsid w:val="00D60D3F"/>
    <w:rsid w:val="00D62024"/>
    <w:rsid w:val="00D771D2"/>
    <w:rsid w:val="00D800CE"/>
    <w:rsid w:val="00D87E6A"/>
    <w:rsid w:val="00D95606"/>
    <w:rsid w:val="00DB2AC7"/>
    <w:rsid w:val="00DC0022"/>
    <w:rsid w:val="00DC1E68"/>
    <w:rsid w:val="00DE0941"/>
    <w:rsid w:val="00DE64CC"/>
    <w:rsid w:val="00DF232C"/>
    <w:rsid w:val="00DF475D"/>
    <w:rsid w:val="00DF5AAD"/>
    <w:rsid w:val="00E10494"/>
    <w:rsid w:val="00E1073B"/>
    <w:rsid w:val="00E44DC0"/>
    <w:rsid w:val="00E5259A"/>
    <w:rsid w:val="00E53FB6"/>
    <w:rsid w:val="00E60C80"/>
    <w:rsid w:val="00E65098"/>
    <w:rsid w:val="00E6675A"/>
    <w:rsid w:val="00E70E01"/>
    <w:rsid w:val="00EA0E35"/>
    <w:rsid w:val="00EA22F7"/>
    <w:rsid w:val="00EA3919"/>
    <w:rsid w:val="00EA3ECE"/>
    <w:rsid w:val="00EB0836"/>
    <w:rsid w:val="00EB435F"/>
    <w:rsid w:val="00ED18C1"/>
    <w:rsid w:val="00ED6651"/>
    <w:rsid w:val="00ED70D1"/>
    <w:rsid w:val="00EE2EB7"/>
    <w:rsid w:val="00EE69F2"/>
    <w:rsid w:val="00EF41CE"/>
    <w:rsid w:val="00F14E43"/>
    <w:rsid w:val="00F1780A"/>
    <w:rsid w:val="00F2521F"/>
    <w:rsid w:val="00F41DD5"/>
    <w:rsid w:val="00F455F8"/>
    <w:rsid w:val="00F57249"/>
    <w:rsid w:val="00F576D2"/>
    <w:rsid w:val="00F60016"/>
    <w:rsid w:val="00F625C6"/>
    <w:rsid w:val="00F63EA0"/>
    <w:rsid w:val="00F81D7B"/>
    <w:rsid w:val="00FE14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711B"/>
    <w:pPr>
      <w:ind w:left="720"/>
      <w:contextualSpacing/>
    </w:pPr>
  </w:style>
  <w:style w:type="paragraph" w:styleId="Header">
    <w:name w:val="header"/>
    <w:basedOn w:val="Normal"/>
    <w:link w:val="HeaderChar"/>
    <w:uiPriority w:val="99"/>
    <w:semiHidden/>
    <w:unhideWhenUsed/>
    <w:rsid w:val="0095711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5711B"/>
  </w:style>
  <w:style w:type="paragraph" w:styleId="Footer">
    <w:name w:val="footer"/>
    <w:basedOn w:val="Normal"/>
    <w:link w:val="FooterChar"/>
    <w:uiPriority w:val="99"/>
    <w:unhideWhenUsed/>
    <w:rsid w:val="009571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711B"/>
  </w:style>
  <w:style w:type="paragraph" w:styleId="BalloonText">
    <w:name w:val="Balloon Text"/>
    <w:basedOn w:val="Normal"/>
    <w:link w:val="BalloonTextChar"/>
    <w:uiPriority w:val="99"/>
    <w:semiHidden/>
    <w:unhideWhenUsed/>
    <w:rsid w:val="00A10C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0CD5"/>
    <w:rPr>
      <w:rFonts w:ascii="Tahoma" w:hAnsi="Tahoma" w:cs="Tahoma"/>
      <w:sz w:val="16"/>
      <w:szCs w:val="16"/>
    </w:rPr>
  </w:style>
  <w:style w:type="character" w:styleId="CommentReference">
    <w:name w:val="annotation reference"/>
    <w:basedOn w:val="DefaultParagraphFont"/>
    <w:uiPriority w:val="99"/>
    <w:semiHidden/>
    <w:unhideWhenUsed/>
    <w:rsid w:val="00A13EE1"/>
    <w:rPr>
      <w:sz w:val="16"/>
      <w:szCs w:val="16"/>
    </w:rPr>
  </w:style>
  <w:style w:type="paragraph" w:styleId="CommentText">
    <w:name w:val="annotation text"/>
    <w:basedOn w:val="Normal"/>
    <w:link w:val="CommentTextChar"/>
    <w:uiPriority w:val="99"/>
    <w:semiHidden/>
    <w:unhideWhenUsed/>
    <w:rsid w:val="00A13EE1"/>
    <w:pPr>
      <w:spacing w:line="240" w:lineRule="auto"/>
    </w:pPr>
    <w:rPr>
      <w:sz w:val="20"/>
      <w:szCs w:val="20"/>
    </w:rPr>
  </w:style>
  <w:style w:type="character" w:customStyle="1" w:styleId="CommentTextChar">
    <w:name w:val="Comment Text Char"/>
    <w:basedOn w:val="DefaultParagraphFont"/>
    <w:link w:val="CommentText"/>
    <w:uiPriority w:val="99"/>
    <w:semiHidden/>
    <w:rsid w:val="00A13EE1"/>
    <w:rPr>
      <w:sz w:val="20"/>
      <w:szCs w:val="20"/>
    </w:rPr>
  </w:style>
  <w:style w:type="paragraph" w:styleId="CommentSubject">
    <w:name w:val="annotation subject"/>
    <w:basedOn w:val="CommentText"/>
    <w:next w:val="CommentText"/>
    <w:link w:val="CommentSubjectChar"/>
    <w:uiPriority w:val="99"/>
    <w:semiHidden/>
    <w:unhideWhenUsed/>
    <w:rsid w:val="00A13EE1"/>
    <w:rPr>
      <w:b/>
      <w:bCs/>
    </w:rPr>
  </w:style>
  <w:style w:type="character" w:customStyle="1" w:styleId="CommentSubjectChar">
    <w:name w:val="Comment Subject Char"/>
    <w:basedOn w:val="CommentTextChar"/>
    <w:link w:val="CommentSubject"/>
    <w:uiPriority w:val="99"/>
    <w:semiHidden/>
    <w:rsid w:val="00A13EE1"/>
    <w:rPr>
      <w:b/>
      <w:bCs/>
      <w:sz w:val="20"/>
      <w:szCs w:val="20"/>
    </w:rPr>
  </w:style>
  <w:style w:type="paragraph" w:styleId="Revision">
    <w:name w:val="Revision"/>
    <w:hidden/>
    <w:uiPriority w:val="99"/>
    <w:semiHidden/>
    <w:rsid w:val="00A13EE1"/>
    <w:pPr>
      <w:spacing w:after="0" w:line="240" w:lineRule="auto"/>
    </w:pPr>
  </w:style>
  <w:style w:type="table" w:styleId="TableGrid">
    <w:name w:val="Table Grid"/>
    <w:basedOn w:val="TableNormal"/>
    <w:uiPriority w:val="59"/>
    <w:rsid w:val="006827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F41DD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41DD5"/>
    <w:rPr>
      <w:sz w:val="20"/>
      <w:szCs w:val="20"/>
    </w:rPr>
  </w:style>
  <w:style w:type="character" w:styleId="EndnoteReference">
    <w:name w:val="endnote reference"/>
    <w:basedOn w:val="DefaultParagraphFont"/>
    <w:uiPriority w:val="99"/>
    <w:semiHidden/>
    <w:unhideWhenUsed/>
    <w:rsid w:val="00F41DD5"/>
    <w:rPr>
      <w:vertAlign w:val="superscript"/>
    </w:rPr>
  </w:style>
  <w:style w:type="paragraph" w:styleId="FootnoteText">
    <w:name w:val="footnote text"/>
    <w:aliases w:val="Car1,Car,Geneva 9,Font: Geneva 9,Boston 10,f,Footnote Text Char2 Char,Footnote Text Char1 Char1 Char,Footnote Text Char Char Char1 Char,Footnote Text Char1 Char Char Char,Footnote Text Char Char Char Char Char,footnote,fn, Car1, Car"/>
    <w:basedOn w:val="Normal"/>
    <w:link w:val="FootnoteTextChar"/>
    <w:uiPriority w:val="99"/>
    <w:unhideWhenUsed/>
    <w:rsid w:val="00C854FE"/>
    <w:pPr>
      <w:spacing w:after="0" w:line="240" w:lineRule="auto"/>
    </w:pPr>
    <w:rPr>
      <w:sz w:val="20"/>
      <w:szCs w:val="20"/>
    </w:rPr>
  </w:style>
  <w:style w:type="character" w:customStyle="1" w:styleId="FootnoteTextChar">
    <w:name w:val="Footnote Text Char"/>
    <w:aliases w:val="Car1 Char,Car Char,Geneva 9 Char,Font: Geneva 9 Char,Boston 10 Char,f Char,Footnote Text Char2 Char Char,Footnote Text Char1 Char1 Char Char,Footnote Text Char Char Char1 Char Char,Footnote Text Char1 Char Char Char Char,footnote Char"/>
    <w:basedOn w:val="DefaultParagraphFont"/>
    <w:link w:val="FootnoteText"/>
    <w:uiPriority w:val="99"/>
    <w:rsid w:val="00C854FE"/>
    <w:rPr>
      <w:sz w:val="20"/>
      <w:szCs w:val="20"/>
    </w:rPr>
  </w:style>
  <w:style w:type="character" w:styleId="FootnoteReference">
    <w:name w:val="footnote reference"/>
    <w:aliases w:val="16 Point,Superscript 6 Point,Ref,de nota al pie,(Ref. de nota al pie)"/>
    <w:basedOn w:val="DefaultParagraphFont"/>
    <w:unhideWhenUsed/>
    <w:rsid w:val="00C854FE"/>
    <w:rPr>
      <w:vertAlign w:val="superscript"/>
    </w:rPr>
  </w:style>
  <w:style w:type="paragraph" w:customStyle="1" w:styleId="Default">
    <w:name w:val="Default"/>
    <w:rsid w:val="00631F81"/>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711B"/>
    <w:pPr>
      <w:ind w:left="720"/>
      <w:contextualSpacing/>
    </w:pPr>
  </w:style>
  <w:style w:type="paragraph" w:styleId="Header">
    <w:name w:val="header"/>
    <w:basedOn w:val="Normal"/>
    <w:link w:val="HeaderChar"/>
    <w:uiPriority w:val="99"/>
    <w:semiHidden/>
    <w:unhideWhenUsed/>
    <w:rsid w:val="0095711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5711B"/>
  </w:style>
  <w:style w:type="paragraph" w:styleId="Footer">
    <w:name w:val="footer"/>
    <w:basedOn w:val="Normal"/>
    <w:link w:val="FooterChar"/>
    <w:uiPriority w:val="99"/>
    <w:unhideWhenUsed/>
    <w:rsid w:val="009571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711B"/>
  </w:style>
  <w:style w:type="paragraph" w:styleId="BalloonText">
    <w:name w:val="Balloon Text"/>
    <w:basedOn w:val="Normal"/>
    <w:link w:val="BalloonTextChar"/>
    <w:uiPriority w:val="99"/>
    <w:semiHidden/>
    <w:unhideWhenUsed/>
    <w:rsid w:val="00A10C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0CD5"/>
    <w:rPr>
      <w:rFonts w:ascii="Tahoma" w:hAnsi="Tahoma" w:cs="Tahoma"/>
      <w:sz w:val="16"/>
      <w:szCs w:val="16"/>
    </w:rPr>
  </w:style>
  <w:style w:type="character" w:styleId="CommentReference">
    <w:name w:val="annotation reference"/>
    <w:basedOn w:val="DefaultParagraphFont"/>
    <w:uiPriority w:val="99"/>
    <w:semiHidden/>
    <w:unhideWhenUsed/>
    <w:rsid w:val="00A13EE1"/>
    <w:rPr>
      <w:sz w:val="16"/>
      <w:szCs w:val="16"/>
    </w:rPr>
  </w:style>
  <w:style w:type="paragraph" w:styleId="CommentText">
    <w:name w:val="annotation text"/>
    <w:basedOn w:val="Normal"/>
    <w:link w:val="CommentTextChar"/>
    <w:uiPriority w:val="99"/>
    <w:semiHidden/>
    <w:unhideWhenUsed/>
    <w:rsid w:val="00A13EE1"/>
    <w:pPr>
      <w:spacing w:line="240" w:lineRule="auto"/>
    </w:pPr>
    <w:rPr>
      <w:sz w:val="20"/>
      <w:szCs w:val="20"/>
    </w:rPr>
  </w:style>
  <w:style w:type="character" w:customStyle="1" w:styleId="CommentTextChar">
    <w:name w:val="Comment Text Char"/>
    <w:basedOn w:val="DefaultParagraphFont"/>
    <w:link w:val="CommentText"/>
    <w:uiPriority w:val="99"/>
    <w:semiHidden/>
    <w:rsid w:val="00A13EE1"/>
    <w:rPr>
      <w:sz w:val="20"/>
      <w:szCs w:val="20"/>
    </w:rPr>
  </w:style>
  <w:style w:type="paragraph" w:styleId="CommentSubject">
    <w:name w:val="annotation subject"/>
    <w:basedOn w:val="CommentText"/>
    <w:next w:val="CommentText"/>
    <w:link w:val="CommentSubjectChar"/>
    <w:uiPriority w:val="99"/>
    <w:semiHidden/>
    <w:unhideWhenUsed/>
    <w:rsid w:val="00A13EE1"/>
    <w:rPr>
      <w:b/>
      <w:bCs/>
    </w:rPr>
  </w:style>
  <w:style w:type="character" w:customStyle="1" w:styleId="CommentSubjectChar">
    <w:name w:val="Comment Subject Char"/>
    <w:basedOn w:val="CommentTextChar"/>
    <w:link w:val="CommentSubject"/>
    <w:uiPriority w:val="99"/>
    <w:semiHidden/>
    <w:rsid w:val="00A13EE1"/>
    <w:rPr>
      <w:b/>
      <w:bCs/>
      <w:sz w:val="20"/>
      <w:szCs w:val="20"/>
    </w:rPr>
  </w:style>
  <w:style w:type="paragraph" w:styleId="Revision">
    <w:name w:val="Revision"/>
    <w:hidden/>
    <w:uiPriority w:val="99"/>
    <w:semiHidden/>
    <w:rsid w:val="00A13EE1"/>
    <w:pPr>
      <w:spacing w:after="0" w:line="240" w:lineRule="auto"/>
    </w:pPr>
  </w:style>
  <w:style w:type="table" w:styleId="TableGrid">
    <w:name w:val="Table Grid"/>
    <w:basedOn w:val="TableNormal"/>
    <w:uiPriority w:val="59"/>
    <w:rsid w:val="006827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F41DD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41DD5"/>
    <w:rPr>
      <w:sz w:val="20"/>
      <w:szCs w:val="20"/>
    </w:rPr>
  </w:style>
  <w:style w:type="character" w:styleId="EndnoteReference">
    <w:name w:val="endnote reference"/>
    <w:basedOn w:val="DefaultParagraphFont"/>
    <w:uiPriority w:val="99"/>
    <w:semiHidden/>
    <w:unhideWhenUsed/>
    <w:rsid w:val="00F41DD5"/>
    <w:rPr>
      <w:vertAlign w:val="superscript"/>
    </w:rPr>
  </w:style>
  <w:style w:type="paragraph" w:styleId="FootnoteText">
    <w:name w:val="footnote text"/>
    <w:aliases w:val="Car1,Car,Geneva 9,Font: Geneva 9,Boston 10,f,Footnote Text Char2 Char,Footnote Text Char1 Char1 Char,Footnote Text Char Char Char1 Char,Footnote Text Char1 Char Char Char,Footnote Text Char Char Char Char Char,footnote,fn, Car1, Car"/>
    <w:basedOn w:val="Normal"/>
    <w:link w:val="FootnoteTextChar"/>
    <w:uiPriority w:val="99"/>
    <w:unhideWhenUsed/>
    <w:rsid w:val="00C854FE"/>
    <w:pPr>
      <w:spacing w:after="0" w:line="240" w:lineRule="auto"/>
    </w:pPr>
    <w:rPr>
      <w:sz w:val="20"/>
      <w:szCs w:val="20"/>
    </w:rPr>
  </w:style>
  <w:style w:type="character" w:customStyle="1" w:styleId="FootnoteTextChar">
    <w:name w:val="Footnote Text Char"/>
    <w:aliases w:val="Car1 Char,Car Char,Geneva 9 Char,Font: Geneva 9 Char,Boston 10 Char,f Char,Footnote Text Char2 Char Char,Footnote Text Char1 Char1 Char Char,Footnote Text Char Char Char1 Char Char,Footnote Text Char1 Char Char Char Char,footnote Char"/>
    <w:basedOn w:val="DefaultParagraphFont"/>
    <w:link w:val="FootnoteText"/>
    <w:uiPriority w:val="99"/>
    <w:rsid w:val="00C854FE"/>
    <w:rPr>
      <w:sz w:val="20"/>
      <w:szCs w:val="20"/>
    </w:rPr>
  </w:style>
  <w:style w:type="character" w:styleId="FootnoteReference">
    <w:name w:val="footnote reference"/>
    <w:aliases w:val="16 Point,Superscript 6 Point,Ref,de nota al pie,(Ref. de nota al pie)"/>
    <w:basedOn w:val="DefaultParagraphFont"/>
    <w:unhideWhenUsed/>
    <w:rsid w:val="00C854FE"/>
    <w:rPr>
      <w:vertAlign w:val="superscript"/>
    </w:rPr>
  </w:style>
  <w:style w:type="paragraph" w:customStyle="1" w:styleId="Default">
    <w:name w:val="Default"/>
    <w:rsid w:val="00631F81"/>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0627084">
      <w:bodyDiv w:val="1"/>
      <w:marLeft w:val="0"/>
      <w:marRight w:val="0"/>
      <w:marTop w:val="0"/>
      <w:marBottom w:val="0"/>
      <w:divBdr>
        <w:top w:val="none" w:sz="0" w:space="0" w:color="auto"/>
        <w:left w:val="none" w:sz="0" w:space="0" w:color="auto"/>
        <w:bottom w:val="none" w:sz="0" w:space="0" w:color="auto"/>
        <w:right w:val="none" w:sz="0" w:space="0" w:color="auto"/>
      </w:divBdr>
    </w:div>
    <w:div w:id="590699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ustomXml" Target="../customXml/item5.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37819876</IDBDocs_x0020_Number>
    <TaxCatchAll xmlns="9c571b2f-e523-4ab2-ba2e-09e151a03ef4">
      <Value>2</Value>
      <Value>3</Value>
    </TaxCatchAll>
    <Phase xmlns="9c571b2f-e523-4ab2-ba2e-09e151a03ef4" xsi:nil="true"/>
    <SISCOR_x0020_Number xmlns="9c571b2f-e523-4ab2-ba2e-09e151a03ef4" xsi:nil="true"/>
    <Division_x0020_or_x0020_Unit xmlns="9c571b2f-e523-4ab2-ba2e-09e151a03ef4">KNL/KNM</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Rodriguez Bu, Lorena</Document_x0020_Author>
    <e559ffcc31d34167856647188be35015 xmlns="9c571b2f-e523-4ab2-ba2e-09e151a03ef4">
      <Terms xmlns="http://schemas.microsoft.com/office/infopath/2007/PartnerControls"/>
    </e559ffcc31d34167856647188be35015>
    <Fiscal_x0020_Year_x0020_IDB xmlns="9c571b2f-e523-4ab2-ba2e-09e151a03ef4">2013</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RG-T2365</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 TC Abstract&lt;/USER_STAGE&gt;&lt;PD_OBJ_TYPE&gt;0&lt;/PD_OBJ_TYPE&gt;&lt;MAKERECORD&gt;N&lt;/MAKERECORD&gt;&lt;/Data&gt;</Migration_x0020_Info>
    <Operation_x0020_Type xmlns="9c571b2f-e523-4ab2-ba2e-09e151a03ef4" xsi:nil="true"/>
    <Document_x0020_Language_x0020_IDB xmlns="9c571b2f-e523-4ab2-ba2e-09e151a03ef4">English</Document_x0020_Language_x0020_IDB>
    <Identifier xmlns="9c571b2f-e523-4ab2-ba2e-09e151a03ef4"> </Identifier>
    <Disclosure_x0020_Activity xmlns="9c571b2f-e523-4ab2-ba2e-09e151a03ef4"> TC Abstract</Disclosure_x0020_Activity>
    <Webtopic xmlns="9c571b2f-e523-4ab2-ba2e-09e151a03ef4">SY-SUS</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C78D4196E6B45B44819E7EEF150C9FE5" ma:contentTypeVersion="0" ma:contentTypeDescription="A content type to manage public (operations) IDB documents" ma:contentTypeScope="" ma:versionID="8b09ea7268c2e64250a0d291cd27d9ca">
  <xsd:schema xmlns:xsd="http://www.w3.org/2001/XMLSchema" xmlns:xs="http://www.w3.org/2001/XMLSchema" xmlns:p="http://schemas.microsoft.com/office/2006/metadata/properties" xmlns:ns2="9c571b2f-e523-4ab2-ba2e-09e151a03ef4" targetNamespace="http://schemas.microsoft.com/office/2006/metadata/properties" ma:root="true" ma:fieldsID="a472df5bebbbf6f21bee7075c016415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7b9f53c-cd6a-4d49-961c-a9d04affd81a}" ma:internalName="TaxCatchAll" ma:showField="CatchAllData"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7b9f53c-cd6a-4d49-961c-a9d04affd81a}" ma:internalName="TaxCatchAllLabel" ma:readOnly="true" ma:showField="CatchAllDataLabel"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file>

<file path=customXml/itemProps1.xml><?xml version="1.0" encoding="utf-8"?>
<ds:datastoreItem xmlns:ds="http://schemas.openxmlformats.org/officeDocument/2006/customXml" ds:itemID="{EA0EF204-96C1-4FAE-A805-B66CFDB71458}"/>
</file>

<file path=customXml/itemProps2.xml><?xml version="1.0" encoding="utf-8"?>
<ds:datastoreItem xmlns:ds="http://schemas.openxmlformats.org/officeDocument/2006/customXml" ds:itemID="{AFB23FC4-BFAA-4E50-9F8D-6537A67DFB6F}"/>
</file>

<file path=customXml/itemProps3.xml><?xml version="1.0" encoding="utf-8"?>
<ds:datastoreItem xmlns:ds="http://schemas.openxmlformats.org/officeDocument/2006/customXml" ds:itemID="{B42ACC54-2ADD-4473-8702-B0726F7CEC38}"/>
</file>

<file path=customXml/itemProps4.xml><?xml version="1.0" encoding="utf-8"?>
<ds:datastoreItem xmlns:ds="http://schemas.openxmlformats.org/officeDocument/2006/customXml" ds:itemID="{80FCEB63-54B8-423B-8CCB-8C30F56EEA25}"/>
</file>

<file path=customXml/itemProps5.xml><?xml version="1.0" encoding="utf-8"?>
<ds:datastoreItem xmlns:ds="http://schemas.openxmlformats.org/officeDocument/2006/customXml" ds:itemID="{184D1D7E-6956-4654-BB71-C29CDAD61396}"/>
</file>

<file path=customXml/itemProps6.xml><?xml version="1.0" encoding="utf-8"?>
<ds:datastoreItem xmlns:ds="http://schemas.openxmlformats.org/officeDocument/2006/customXml" ds:itemID="{F2A76163-BC2E-4987-B11F-39D2C9429842}"/>
</file>

<file path=docProps/app.xml><?xml version="1.0" encoding="utf-8"?>
<Properties xmlns="http://schemas.openxmlformats.org/officeDocument/2006/extended-properties" xmlns:vt="http://schemas.openxmlformats.org/officeDocument/2006/docPropsVTypes">
  <Template>Normal.dotm</Template>
  <TotalTime>3</TotalTime>
  <Pages>3</Pages>
  <Words>1635</Words>
  <Characters>9324</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10938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Support Capacity Building and Knowledge Exchange for Climate Change and Sustainability</dc:title>
  <dc:creator>Yolanda Strachan</dc:creator>
  <cp:lastModifiedBy>Inter-American Development Bank</cp:lastModifiedBy>
  <cp:revision>2</cp:revision>
  <cp:lastPrinted>2013-06-03T13:11:00Z</cp:lastPrinted>
  <dcterms:created xsi:type="dcterms:W3CDTF">2013-06-07T21:20:00Z</dcterms:created>
  <dcterms:modified xsi:type="dcterms:W3CDTF">2013-06-07T21:20:00Z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0x01010046CF21643EE8D14686A648AA6DAD089200C78D4196E6B45B44819E7EEF150C9FE5</vt:lpwstr>
  </property>
  <property fmtid="{D5CDD505-2E9C-101B-9397-08002B2CF9AE}" pid="3" name="TaxKeyword">
    <vt:lpwstr/>
  </property>
  <property fmtid="{D5CDD505-2E9C-101B-9397-08002B2CF9AE}" pid="4" name="Function Operations IDB">
    <vt:lpwstr>3;#IDBDocs|cca77002-e150-4b2d-ab1f-1d7a7cdcae16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2;#Unclassified|a6dff32e-d477-44cd-a56b-85efe9e0a56c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2;#Unclassified|a6dff32e-d477-44cd-a56b-85efe9e0a56c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