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28C" w:rsidRPr="00BD1509" w:rsidRDefault="00B13628" w:rsidP="00B13628">
      <w:pPr>
        <w:jc w:val="center"/>
        <w:rPr>
          <w:rFonts w:ascii="Arial" w:hAnsi="Arial" w:cs="Arial"/>
          <w:b/>
          <w:lang w:val="es-ES_tradnl"/>
        </w:rPr>
      </w:pPr>
      <w:r w:rsidRPr="00BD1509">
        <w:rPr>
          <w:rFonts w:ascii="Arial" w:hAnsi="Arial" w:cs="Arial"/>
          <w:b/>
          <w:lang w:val="es-ES_tradnl"/>
        </w:rPr>
        <w:t xml:space="preserve">La </w:t>
      </w:r>
      <w:bookmarkStart w:id="0" w:name="_GoBack"/>
      <w:bookmarkEnd w:id="0"/>
      <w:r w:rsidRPr="00BD1509">
        <w:rPr>
          <w:rFonts w:ascii="Arial" w:hAnsi="Arial" w:cs="Arial"/>
          <w:b/>
          <w:lang w:val="es-ES_tradnl"/>
        </w:rPr>
        <w:t>Educación en Panamá</w:t>
      </w:r>
    </w:p>
    <w:p w:rsidR="00671224" w:rsidRPr="00BD1509" w:rsidRDefault="00671224" w:rsidP="00F02005">
      <w:pPr>
        <w:pStyle w:val="ListParagraph"/>
        <w:numPr>
          <w:ilvl w:val="0"/>
          <w:numId w:val="2"/>
        </w:numPr>
        <w:rPr>
          <w:rFonts w:ascii="Arial" w:hAnsi="Arial" w:cs="Arial"/>
          <w:b/>
          <w:lang w:val="es-ES_tradnl"/>
        </w:rPr>
      </w:pPr>
      <w:r w:rsidRPr="00BD1509">
        <w:rPr>
          <w:rFonts w:ascii="Arial" w:hAnsi="Arial" w:cs="Arial"/>
          <w:b/>
          <w:lang w:val="es-ES_tradnl"/>
        </w:rPr>
        <w:t>Marco constitucional y legal</w:t>
      </w:r>
    </w:p>
    <w:p w:rsidR="00671224" w:rsidRPr="00BD1509" w:rsidRDefault="00671224" w:rsidP="00671224">
      <w:pPr>
        <w:jc w:val="both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lang w:val="es-ES_tradnl"/>
        </w:rPr>
        <w:t xml:space="preserve">Panamá cuenta con instrumentos legales de obligatorio cumplimiento en el sector educativo que establecen el marco de acción del Derecho a la Educación. Entre los anteriores se encuentran: </w:t>
      </w:r>
    </w:p>
    <w:p w:rsidR="00671224" w:rsidRPr="00BD1509" w:rsidRDefault="00671224" w:rsidP="0067122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lang w:val="es-ES_tradnl"/>
        </w:rPr>
        <w:t xml:space="preserve">La Constitución Política de la República de Panamá en su Título III, Capitulo </w:t>
      </w:r>
      <w:proofErr w:type="spellStart"/>
      <w:r w:rsidRPr="00BD1509">
        <w:rPr>
          <w:rFonts w:ascii="Arial" w:hAnsi="Arial" w:cs="Arial"/>
          <w:lang w:val="es-ES_tradnl"/>
        </w:rPr>
        <w:t>Vº</w:t>
      </w:r>
      <w:proofErr w:type="spellEnd"/>
      <w:r w:rsidRPr="00BD1509">
        <w:rPr>
          <w:rFonts w:ascii="Arial" w:hAnsi="Arial" w:cs="Arial"/>
          <w:lang w:val="es-ES_tradnl"/>
        </w:rPr>
        <w:t xml:space="preserve"> Educación</w:t>
      </w:r>
    </w:p>
    <w:p w:rsidR="00671224" w:rsidRPr="00BD1509" w:rsidRDefault="00671224" w:rsidP="0067122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lang w:val="es-ES_tradnl"/>
        </w:rPr>
        <w:t>Texto único de la Ley 47 de 1946 Orgánica de Educación, Leyes, Decretos Ejecutivos y Resueltos relativos a la Educación Panameña</w:t>
      </w:r>
    </w:p>
    <w:p w:rsidR="00F02005" w:rsidRPr="00BD1509" w:rsidRDefault="00F02005" w:rsidP="00F02005">
      <w:pPr>
        <w:pStyle w:val="ListParagraph"/>
        <w:jc w:val="both"/>
        <w:rPr>
          <w:rFonts w:ascii="Arial" w:hAnsi="Arial" w:cs="Arial"/>
          <w:lang w:val="es-ES_tradnl"/>
        </w:rPr>
      </w:pPr>
    </w:p>
    <w:p w:rsidR="008F05CA" w:rsidRPr="00BD1509" w:rsidRDefault="008F05CA" w:rsidP="00F02005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lang w:val="es-ES_tradnl"/>
        </w:rPr>
      </w:pPr>
      <w:r w:rsidRPr="00BD1509">
        <w:rPr>
          <w:rFonts w:ascii="Arial" w:hAnsi="Arial" w:cs="Arial"/>
          <w:b/>
          <w:lang w:val="es-ES_tradnl"/>
        </w:rPr>
        <w:t xml:space="preserve">Estructura </w:t>
      </w:r>
      <w:r w:rsidR="0013109E" w:rsidRPr="00BD1509">
        <w:rPr>
          <w:rFonts w:ascii="Arial" w:hAnsi="Arial" w:cs="Arial"/>
          <w:b/>
          <w:lang w:val="es-ES_tradnl"/>
        </w:rPr>
        <w:t>académica del sistema educativo</w:t>
      </w:r>
      <w:r w:rsidR="00A516F8" w:rsidRPr="00BD1509">
        <w:rPr>
          <w:rStyle w:val="FootnoteReference"/>
          <w:rFonts w:ascii="Arial" w:hAnsi="Arial" w:cs="Arial"/>
          <w:b/>
          <w:lang w:val="es-ES_tradnl"/>
        </w:rPr>
        <w:footnoteReference w:id="1"/>
      </w:r>
    </w:p>
    <w:p w:rsidR="00B13628" w:rsidRPr="00BD1509" w:rsidRDefault="00B13628" w:rsidP="00B13628">
      <w:pPr>
        <w:jc w:val="both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lang w:val="es-ES_tradnl"/>
        </w:rPr>
        <w:t>El sistema educativo panameño está conformado por dos subsistemas: el regular que comprende la educación formal y sistemática y el no regular que contempla modalidades formales y no formales.</w:t>
      </w:r>
      <w:r w:rsidR="002815C1" w:rsidRPr="00BD1509">
        <w:rPr>
          <w:rFonts w:ascii="Arial" w:hAnsi="Arial" w:cs="Arial"/>
          <w:lang w:val="es-ES_tradnl"/>
        </w:rPr>
        <w:t xml:space="preserve"> El primero se organiza </w:t>
      </w:r>
      <w:r w:rsidRPr="00BD1509">
        <w:rPr>
          <w:rFonts w:ascii="Arial" w:hAnsi="Arial" w:cs="Arial"/>
          <w:lang w:val="es-ES_tradnl"/>
        </w:rPr>
        <w:t xml:space="preserve">en tres niveles: educación básica general (etapas de preescolar, primaria y </w:t>
      </w:r>
      <w:proofErr w:type="spellStart"/>
      <w:r w:rsidRPr="00BD1509">
        <w:rPr>
          <w:rFonts w:ascii="Arial" w:hAnsi="Arial" w:cs="Arial"/>
          <w:lang w:val="es-ES_tradnl"/>
        </w:rPr>
        <w:t>premedia</w:t>
      </w:r>
      <w:proofErr w:type="spellEnd"/>
      <w:r w:rsidRPr="00BD1509">
        <w:rPr>
          <w:rFonts w:ascii="Arial" w:hAnsi="Arial" w:cs="Arial"/>
          <w:lang w:val="es-ES_tradnl"/>
        </w:rPr>
        <w:t>), educación media y educación superior.</w:t>
      </w:r>
    </w:p>
    <w:p w:rsidR="00FF0D1F" w:rsidRPr="00BD1509" w:rsidRDefault="008774AD" w:rsidP="006C2EC5">
      <w:pPr>
        <w:jc w:val="both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lang w:val="es-ES_tradnl"/>
        </w:rPr>
        <w:t xml:space="preserve">La </w:t>
      </w:r>
      <w:r w:rsidRPr="00BD1509">
        <w:rPr>
          <w:rFonts w:ascii="Arial" w:hAnsi="Arial" w:cs="Arial"/>
          <w:i/>
          <w:lang w:val="es-ES_tradnl"/>
        </w:rPr>
        <w:t>educación básica general</w:t>
      </w:r>
      <w:r w:rsidRPr="00BD1509">
        <w:rPr>
          <w:rFonts w:ascii="Arial" w:hAnsi="Arial" w:cs="Arial"/>
          <w:lang w:val="es-ES_tradnl"/>
        </w:rPr>
        <w:t xml:space="preserve"> es obligatoria y gratuita. Constituye una estructura académica de once a</w:t>
      </w:r>
      <w:r w:rsidR="001F55E8" w:rsidRPr="00BD1509">
        <w:rPr>
          <w:rFonts w:ascii="Arial" w:hAnsi="Arial" w:cs="Arial"/>
          <w:lang w:val="es-ES_tradnl"/>
        </w:rPr>
        <w:t>ños distribuidos en tres etapas:</w:t>
      </w:r>
      <w:r w:rsidRPr="00BD1509">
        <w:rPr>
          <w:rFonts w:ascii="Arial" w:hAnsi="Arial" w:cs="Arial"/>
          <w:lang w:val="es-ES_tradnl"/>
        </w:rPr>
        <w:t xml:space="preserve"> preescolar </w:t>
      </w:r>
      <w:r w:rsidR="001F55E8" w:rsidRPr="00BD1509">
        <w:rPr>
          <w:rFonts w:ascii="Arial" w:hAnsi="Arial" w:cs="Arial"/>
          <w:lang w:val="es-ES_tradnl"/>
        </w:rPr>
        <w:t>(</w:t>
      </w:r>
      <w:r w:rsidRPr="00BD1509">
        <w:rPr>
          <w:rFonts w:ascii="Arial" w:hAnsi="Arial" w:cs="Arial"/>
          <w:lang w:val="es-ES_tradnl"/>
        </w:rPr>
        <w:t>2 años</w:t>
      </w:r>
      <w:r w:rsidR="001F55E8" w:rsidRPr="00BD1509">
        <w:rPr>
          <w:rFonts w:ascii="Arial" w:hAnsi="Arial" w:cs="Arial"/>
          <w:lang w:val="es-ES_tradnl"/>
        </w:rPr>
        <w:t>)</w:t>
      </w:r>
      <w:r w:rsidRPr="00BD1509">
        <w:rPr>
          <w:rFonts w:ascii="Arial" w:hAnsi="Arial" w:cs="Arial"/>
          <w:lang w:val="es-ES_tradnl"/>
        </w:rPr>
        <w:t xml:space="preserve">, primaria </w:t>
      </w:r>
      <w:r w:rsidR="001F55E8" w:rsidRPr="00BD1509">
        <w:rPr>
          <w:rFonts w:ascii="Arial" w:hAnsi="Arial" w:cs="Arial"/>
          <w:lang w:val="es-ES_tradnl"/>
        </w:rPr>
        <w:t>(</w:t>
      </w:r>
      <w:r w:rsidRPr="00BD1509">
        <w:rPr>
          <w:rFonts w:ascii="Arial" w:hAnsi="Arial" w:cs="Arial"/>
          <w:lang w:val="es-ES_tradnl"/>
        </w:rPr>
        <w:t>6 años</w:t>
      </w:r>
      <w:r w:rsidR="001F55E8" w:rsidRPr="00BD1509">
        <w:rPr>
          <w:rFonts w:ascii="Arial" w:hAnsi="Arial" w:cs="Arial"/>
          <w:lang w:val="es-ES_tradnl"/>
        </w:rPr>
        <w:t>)</w:t>
      </w:r>
      <w:r w:rsidRPr="00BD1509">
        <w:rPr>
          <w:rFonts w:ascii="Arial" w:hAnsi="Arial" w:cs="Arial"/>
          <w:lang w:val="es-ES_tradnl"/>
        </w:rPr>
        <w:t xml:space="preserve"> y </w:t>
      </w:r>
      <w:proofErr w:type="spellStart"/>
      <w:r w:rsidRPr="00BD1509">
        <w:rPr>
          <w:rFonts w:ascii="Arial" w:hAnsi="Arial" w:cs="Arial"/>
          <w:lang w:val="es-ES_tradnl"/>
        </w:rPr>
        <w:t>premedia</w:t>
      </w:r>
      <w:proofErr w:type="spellEnd"/>
      <w:r w:rsidRPr="00BD1509">
        <w:rPr>
          <w:rFonts w:ascii="Arial" w:hAnsi="Arial" w:cs="Arial"/>
          <w:lang w:val="es-ES_tradnl"/>
        </w:rPr>
        <w:t xml:space="preserve"> </w:t>
      </w:r>
      <w:r w:rsidR="001F55E8" w:rsidRPr="00BD1509">
        <w:rPr>
          <w:rFonts w:ascii="Arial" w:hAnsi="Arial" w:cs="Arial"/>
          <w:lang w:val="es-ES_tradnl"/>
        </w:rPr>
        <w:t>(</w:t>
      </w:r>
      <w:r w:rsidRPr="00BD1509">
        <w:rPr>
          <w:rFonts w:ascii="Arial" w:hAnsi="Arial" w:cs="Arial"/>
          <w:lang w:val="es-ES_tradnl"/>
        </w:rPr>
        <w:t>3 años</w:t>
      </w:r>
      <w:r w:rsidR="001F55E8" w:rsidRPr="00BD1509">
        <w:rPr>
          <w:rFonts w:ascii="Arial" w:hAnsi="Arial" w:cs="Arial"/>
          <w:lang w:val="es-ES_tradnl"/>
        </w:rPr>
        <w:t>)</w:t>
      </w:r>
      <w:r w:rsidRPr="00BD1509">
        <w:rPr>
          <w:rFonts w:ascii="Arial" w:hAnsi="Arial" w:cs="Arial"/>
          <w:lang w:val="es-ES_tradnl"/>
        </w:rPr>
        <w:t>.</w:t>
      </w:r>
      <w:r w:rsidR="006C2EC5" w:rsidRPr="00BD1509">
        <w:rPr>
          <w:rFonts w:ascii="Arial" w:hAnsi="Arial" w:cs="Arial"/>
          <w:lang w:val="es-ES_tradnl"/>
        </w:rPr>
        <w:t xml:space="preserve"> La educación preescolar se i</w:t>
      </w:r>
      <w:r w:rsidR="001F55E8" w:rsidRPr="00BD1509">
        <w:rPr>
          <w:rFonts w:ascii="Arial" w:hAnsi="Arial" w:cs="Arial"/>
          <w:lang w:val="es-ES_tradnl"/>
        </w:rPr>
        <w:t xml:space="preserve">mparte a niños menores de </w:t>
      </w:r>
      <w:r w:rsidR="006C2EC5" w:rsidRPr="00BD1509">
        <w:rPr>
          <w:rFonts w:ascii="Arial" w:hAnsi="Arial" w:cs="Arial"/>
          <w:lang w:val="es-ES_tradnl"/>
        </w:rPr>
        <w:t xml:space="preserve">6 años de edad. La educación primaria </w:t>
      </w:r>
      <w:r w:rsidR="001F55E8" w:rsidRPr="00BD1509">
        <w:rPr>
          <w:rFonts w:ascii="Arial" w:hAnsi="Arial" w:cs="Arial"/>
          <w:lang w:val="es-ES_tradnl"/>
        </w:rPr>
        <w:t>se imparte</w:t>
      </w:r>
      <w:r w:rsidR="006C2EC5" w:rsidRPr="00BD1509">
        <w:rPr>
          <w:rFonts w:ascii="Arial" w:hAnsi="Arial" w:cs="Arial"/>
          <w:lang w:val="es-ES_tradnl"/>
        </w:rPr>
        <w:t xml:space="preserve"> entre</w:t>
      </w:r>
      <w:r w:rsidR="001F55E8" w:rsidRPr="00BD1509">
        <w:rPr>
          <w:rFonts w:ascii="Arial" w:hAnsi="Arial" w:cs="Arial"/>
          <w:lang w:val="es-ES_tradnl"/>
        </w:rPr>
        <w:t xml:space="preserve"> los</w:t>
      </w:r>
      <w:r w:rsidR="006C2EC5" w:rsidRPr="00BD1509">
        <w:rPr>
          <w:rFonts w:ascii="Arial" w:hAnsi="Arial" w:cs="Arial"/>
          <w:lang w:val="es-ES_tradnl"/>
        </w:rPr>
        <w:t xml:space="preserve"> 6 y </w:t>
      </w:r>
      <w:r w:rsidR="001F55E8" w:rsidRPr="00BD1509">
        <w:rPr>
          <w:rFonts w:ascii="Arial" w:hAnsi="Arial" w:cs="Arial"/>
          <w:lang w:val="es-ES_tradnl"/>
        </w:rPr>
        <w:t>11</w:t>
      </w:r>
      <w:r w:rsidR="006C2EC5" w:rsidRPr="00BD1509">
        <w:rPr>
          <w:rFonts w:ascii="Arial" w:hAnsi="Arial" w:cs="Arial"/>
          <w:lang w:val="es-ES_tradnl"/>
        </w:rPr>
        <w:t xml:space="preserve"> años. La educación </w:t>
      </w:r>
      <w:proofErr w:type="spellStart"/>
      <w:r w:rsidR="006C2EC5" w:rsidRPr="00BD1509">
        <w:rPr>
          <w:rFonts w:ascii="Arial" w:hAnsi="Arial" w:cs="Arial"/>
          <w:lang w:val="es-ES_tradnl"/>
        </w:rPr>
        <w:t>premedia</w:t>
      </w:r>
      <w:proofErr w:type="spellEnd"/>
      <w:r w:rsidR="006C2EC5" w:rsidRPr="00BD1509">
        <w:rPr>
          <w:rFonts w:ascii="Arial" w:hAnsi="Arial" w:cs="Arial"/>
          <w:lang w:val="es-ES_tradnl"/>
        </w:rPr>
        <w:t xml:space="preserve"> </w:t>
      </w:r>
      <w:r w:rsidR="001F55E8" w:rsidRPr="00BD1509">
        <w:rPr>
          <w:rFonts w:ascii="Arial" w:hAnsi="Arial" w:cs="Arial"/>
          <w:lang w:val="es-ES_tradnl"/>
        </w:rPr>
        <w:t xml:space="preserve">se </w:t>
      </w:r>
      <w:r w:rsidR="00725E83" w:rsidRPr="00BD1509">
        <w:rPr>
          <w:rFonts w:ascii="Arial" w:hAnsi="Arial" w:cs="Arial"/>
          <w:lang w:val="es-ES_tradnl"/>
        </w:rPr>
        <w:t xml:space="preserve">destina a </w:t>
      </w:r>
      <w:r w:rsidR="006C2EC5" w:rsidRPr="00BD1509">
        <w:rPr>
          <w:rFonts w:ascii="Arial" w:hAnsi="Arial" w:cs="Arial"/>
          <w:lang w:val="es-ES_tradnl"/>
        </w:rPr>
        <w:t>estudiantes c</w:t>
      </w:r>
      <w:r w:rsidR="00725E83" w:rsidRPr="00BD1509">
        <w:rPr>
          <w:rFonts w:ascii="Arial" w:hAnsi="Arial" w:cs="Arial"/>
          <w:lang w:val="es-ES_tradnl"/>
        </w:rPr>
        <w:t>on</w:t>
      </w:r>
      <w:r w:rsidR="006C2EC5" w:rsidRPr="00BD1509">
        <w:rPr>
          <w:rFonts w:ascii="Arial" w:hAnsi="Arial" w:cs="Arial"/>
          <w:lang w:val="es-ES_tradnl"/>
        </w:rPr>
        <w:t xml:space="preserve"> edades entre 1</w:t>
      </w:r>
      <w:r w:rsidR="001F55E8" w:rsidRPr="00BD1509">
        <w:rPr>
          <w:rFonts w:ascii="Arial" w:hAnsi="Arial" w:cs="Arial"/>
          <w:lang w:val="es-ES_tradnl"/>
        </w:rPr>
        <w:t>2</w:t>
      </w:r>
      <w:r w:rsidR="006C2EC5" w:rsidRPr="00BD1509">
        <w:rPr>
          <w:rFonts w:ascii="Arial" w:hAnsi="Arial" w:cs="Arial"/>
          <w:lang w:val="es-ES_tradnl"/>
        </w:rPr>
        <w:t xml:space="preserve"> y 15 años.</w:t>
      </w:r>
    </w:p>
    <w:p w:rsidR="004D65FE" w:rsidRPr="00BD1509" w:rsidRDefault="00E62DC0" w:rsidP="001F55E8">
      <w:pPr>
        <w:jc w:val="both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lang w:val="es-ES_tradnl"/>
        </w:rPr>
        <w:t xml:space="preserve">La </w:t>
      </w:r>
      <w:r w:rsidRPr="00BD1509">
        <w:rPr>
          <w:rFonts w:ascii="Arial" w:hAnsi="Arial" w:cs="Arial"/>
          <w:i/>
          <w:lang w:val="es-ES_tradnl"/>
        </w:rPr>
        <w:t>educación media</w:t>
      </w:r>
      <w:r w:rsidRPr="00BD1509">
        <w:rPr>
          <w:rFonts w:ascii="Arial" w:hAnsi="Arial" w:cs="Arial"/>
          <w:lang w:val="es-ES_tradnl"/>
        </w:rPr>
        <w:t xml:space="preserve"> sigue a la </w:t>
      </w:r>
      <w:r w:rsidR="00404994" w:rsidRPr="00BD1509">
        <w:rPr>
          <w:rFonts w:ascii="Arial" w:hAnsi="Arial" w:cs="Arial"/>
          <w:lang w:val="es-ES_tradnl"/>
        </w:rPr>
        <w:t xml:space="preserve">educación básica general </w:t>
      </w:r>
      <w:r w:rsidRPr="00BD1509">
        <w:rPr>
          <w:rFonts w:ascii="Arial" w:hAnsi="Arial" w:cs="Arial"/>
          <w:lang w:val="es-ES_tradnl"/>
        </w:rPr>
        <w:t>y antecede a la educación superior.</w:t>
      </w:r>
      <w:r w:rsidR="001F55E8" w:rsidRPr="00BD1509">
        <w:rPr>
          <w:rFonts w:ascii="Arial" w:hAnsi="Arial" w:cs="Arial"/>
          <w:lang w:val="es-ES_tradnl"/>
        </w:rPr>
        <w:t xml:space="preserve"> Tiene una duración de tres años y es gratuita y diversificada</w:t>
      </w:r>
      <w:r w:rsidR="00685710" w:rsidRPr="00BD1509">
        <w:rPr>
          <w:rFonts w:ascii="Arial" w:hAnsi="Arial" w:cs="Arial"/>
          <w:lang w:val="es-ES_tradnl"/>
        </w:rPr>
        <w:t>, ya que permite seleccionar entre enseñanza general, pedagógica y</w:t>
      </w:r>
      <w:r w:rsidR="003A0096" w:rsidRPr="00BD1509">
        <w:rPr>
          <w:rFonts w:ascii="Arial" w:hAnsi="Arial" w:cs="Arial"/>
          <w:lang w:val="es-ES_tradnl"/>
        </w:rPr>
        <w:t xml:space="preserve"> enseñanza</w:t>
      </w:r>
      <w:r w:rsidR="00685710" w:rsidRPr="00BD1509">
        <w:rPr>
          <w:rFonts w:ascii="Arial" w:hAnsi="Arial" w:cs="Arial"/>
          <w:lang w:val="es-ES_tradnl"/>
        </w:rPr>
        <w:t xml:space="preserve"> profesional y técnica</w:t>
      </w:r>
      <w:r w:rsidR="001F55E8" w:rsidRPr="00BD1509">
        <w:rPr>
          <w:rFonts w:ascii="Arial" w:hAnsi="Arial" w:cs="Arial"/>
          <w:lang w:val="es-ES_tradnl"/>
        </w:rPr>
        <w:t xml:space="preserve">. </w:t>
      </w:r>
    </w:p>
    <w:p w:rsidR="001F55E8" w:rsidRPr="00BD1509" w:rsidRDefault="001F55E8" w:rsidP="0078457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lang w:val="es-ES_tradnl"/>
        </w:rPr>
        <w:t xml:space="preserve">Enseñanza General: </w:t>
      </w:r>
      <w:r w:rsidR="004D65FE" w:rsidRPr="00BD1509">
        <w:rPr>
          <w:rFonts w:ascii="Arial" w:hAnsi="Arial" w:cs="Arial"/>
          <w:lang w:val="es-ES_tradnl"/>
        </w:rPr>
        <w:t xml:space="preserve">tiene como finalidad preparar </w:t>
      </w:r>
      <w:r w:rsidRPr="00BD1509">
        <w:rPr>
          <w:rFonts w:ascii="Arial" w:hAnsi="Arial" w:cs="Arial"/>
          <w:lang w:val="es-ES_tradnl"/>
        </w:rPr>
        <w:t>a los alumnos para seguir estudios posteriores. Incluye las siguientes modalidades:</w:t>
      </w:r>
      <w:r w:rsidR="004D65FE" w:rsidRPr="00BD1509">
        <w:rPr>
          <w:rFonts w:ascii="Arial" w:hAnsi="Arial" w:cs="Arial"/>
          <w:lang w:val="es-ES_tradnl"/>
        </w:rPr>
        <w:t xml:space="preserve"> </w:t>
      </w:r>
      <w:r w:rsidRPr="00BD1509">
        <w:rPr>
          <w:rFonts w:ascii="Arial" w:hAnsi="Arial" w:cs="Arial"/>
          <w:lang w:val="es-ES_tradnl"/>
        </w:rPr>
        <w:t>ciencias, letras e informática.</w:t>
      </w:r>
    </w:p>
    <w:p w:rsidR="00F90FA9" w:rsidRPr="00BD1509" w:rsidRDefault="001F55E8" w:rsidP="0078457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lang w:val="es-ES_tradnl"/>
        </w:rPr>
        <w:t xml:space="preserve">Enseñanza Pedagógica: </w:t>
      </w:r>
      <w:r w:rsidR="00F90FA9" w:rsidRPr="00BD1509">
        <w:rPr>
          <w:rFonts w:ascii="Arial" w:hAnsi="Arial" w:cs="Arial"/>
          <w:lang w:val="es-ES_tradnl"/>
        </w:rPr>
        <w:t>t</w:t>
      </w:r>
      <w:r w:rsidRPr="00BD1509">
        <w:rPr>
          <w:rFonts w:ascii="Arial" w:hAnsi="Arial" w:cs="Arial"/>
          <w:lang w:val="es-ES_tradnl"/>
        </w:rPr>
        <w:t>iene como finalidad preparar directamente a los alumnos</w:t>
      </w:r>
      <w:r w:rsidR="004D65FE" w:rsidRPr="00BD1509">
        <w:rPr>
          <w:rFonts w:ascii="Arial" w:hAnsi="Arial" w:cs="Arial"/>
          <w:lang w:val="es-ES_tradnl"/>
        </w:rPr>
        <w:t xml:space="preserve"> </w:t>
      </w:r>
      <w:r w:rsidRPr="00BD1509">
        <w:rPr>
          <w:rFonts w:ascii="Arial" w:hAnsi="Arial" w:cs="Arial"/>
          <w:lang w:val="es-ES_tradnl"/>
        </w:rPr>
        <w:t>para el ejercicio de la profesión docente en la educación</w:t>
      </w:r>
      <w:r w:rsidR="004D65FE" w:rsidRPr="00BD1509">
        <w:rPr>
          <w:rFonts w:ascii="Arial" w:hAnsi="Arial" w:cs="Arial"/>
          <w:lang w:val="es-ES_tradnl"/>
        </w:rPr>
        <w:t xml:space="preserve"> </w:t>
      </w:r>
      <w:r w:rsidRPr="00BD1509">
        <w:rPr>
          <w:rFonts w:ascii="Arial" w:hAnsi="Arial" w:cs="Arial"/>
          <w:lang w:val="es-ES_tradnl"/>
        </w:rPr>
        <w:t xml:space="preserve">primaria. </w:t>
      </w:r>
    </w:p>
    <w:p w:rsidR="00784579" w:rsidRPr="00BD1509" w:rsidRDefault="00784579" w:rsidP="0078457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lang w:val="es-ES_tradnl"/>
        </w:rPr>
        <w:t xml:space="preserve">Enseñanza Profesional y Técnica: </w:t>
      </w:r>
      <w:r w:rsidR="00F90FA9" w:rsidRPr="00BD1509">
        <w:rPr>
          <w:rFonts w:ascii="Arial" w:hAnsi="Arial" w:cs="Arial"/>
          <w:lang w:val="es-ES_tradnl"/>
        </w:rPr>
        <w:t>s</w:t>
      </w:r>
      <w:r w:rsidRPr="00BD1509">
        <w:rPr>
          <w:rFonts w:ascii="Arial" w:hAnsi="Arial" w:cs="Arial"/>
          <w:lang w:val="es-ES_tradnl"/>
        </w:rPr>
        <w:t>u finalidad es preparar directamente a los alumnos para un ofi</w:t>
      </w:r>
      <w:r w:rsidR="006F6F19" w:rsidRPr="00BD1509">
        <w:rPr>
          <w:rFonts w:ascii="Arial" w:hAnsi="Arial" w:cs="Arial"/>
          <w:lang w:val="es-ES_tradnl"/>
        </w:rPr>
        <w:t>cio o profesión</w:t>
      </w:r>
      <w:r w:rsidRPr="00BD1509">
        <w:rPr>
          <w:rFonts w:ascii="Arial" w:hAnsi="Arial" w:cs="Arial"/>
          <w:lang w:val="es-ES_tradnl"/>
        </w:rPr>
        <w:t xml:space="preserve"> que no sea la docente. </w:t>
      </w:r>
      <w:r w:rsidR="00AA64D6" w:rsidRPr="00BD1509">
        <w:rPr>
          <w:rFonts w:ascii="Arial" w:hAnsi="Arial" w:cs="Arial"/>
          <w:lang w:val="es-ES_tradnl"/>
        </w:rPr>
        <w:t>O</w:t>
      </w:r>
      <w:r w:rsidRPr="00BD1509">
        <w:rPr>
          <w:rFonts w:ascii="Arial" w:hAnsi="Arial" w:cs="Arial"/>
          <w:lang w:val="es-ES_tradnl"/>
        </w:rPr>
        <w:t>frece las siguientes especialidades: agrícola, comercial, industrias domésticas y del vestido, educación para el hogar, náutica y otros.</w:t>
      </w:r>
    </w:p>
    <w:p w:rsidR="00FA4CAC" w:rsidRPr="00BD1509" w:rsidRDefault="00FA4CAC" w:rsidP="006F6F19">
      <w:pPr>
        <w:jc w:val="both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lang w:val="es-ES_tradnl"/>
        </w:rPr>
        <w:t xml:space="preserve">La </w:t>
      </w:r>
      <w:r w:rsidRPr="00BD1509">
        <w:rPr>
          <w:rFonts w:ascii="Arial" w:hAnsi="Arial" w:cs="Arial"/>
          <w:i/>
          <w:lang w:val="es-ES_tradnl"/>
        </w:rPr>
        <w:t>educación superior</w:t>
      </w:r>
      <w:r w:rsidRPr="00BD1509">
        <w:rPr>
          <w:rFonts w:ascii="Arial" w:hAnsi="Arial" w:cs="Arial"/>
          <w:lang w:val="es-ES_tradnl"/>
        </w:rPr>
        <w:t xml:space="preserve"> </w:t>
      </w:r>
      <w:r w:rsidR="006F6F19" w:rsidRPr="00BD1509">
        <w:rPr>
          <w:rFonts w:ascii="Arial" w:hAnsi="Arial" w:cs="Arial"/>
          <w:lang w:val="es-ES_tradnl"/>
        </w:rPr>
        <w:t>se</w:t>
      </w:r>
      <w:r w:rsidRPr="00BD1509">
        <w:rPr>
          <w:rFonts w:ascii="Arial" w:hAnsi="Arial" w:cs="Arial"/>
          <w:lang w:val="es-ES_tradnl"/>
        </w:rPr>
        <w:t xml:space="preserve"> subdivid</w:t>
      </w:r>
      <w:r w:rsidR="006F6F19" w:rsidRPr="00BD1509">
        <w:rPr>
          <w:rFonts w:ascii="Arial" w:hAnsi="Arial" w:cs="Arial"/>
          <w:lang w:val="es-ES_tradnl"/>
        </w:rPr>
        <w:t>e</w:t>
      </w:r>
      <w:r w:rsidRPr="00BD1509">
        <w:rPr>
          <w:rFonts w:ascii="Arial" w:hAnsi="Arial" w:cs="Arial"/>
          <w:lang w:val="es-ES_tradnl"/>
        </w:rPr>
        <w:t xml:space="preserve"> </w:t>
      </w:r>
      <w:r w:rsidR="006F6F19" w:rsidRPr="00BD1509">
        <w:rPr>
          <w:rFonts w:ascii="Arial" w:hAnsi="Arial" w:cs="Arial"/>
          <w:lang w:val="es-ES_tradnl"/>
        </w:rPr>
        <w:t>en universitaria y no universitaria. La u</w:t>
      </w:r>
      <w:r w:rsidR="00AB6AF8" w:rsidRPr="00BD1509">
        <w:rPr>
          <w:rFonts w:ascii="Arial" w:hAnsi="Arial" w:cs="Arial"/>
          <w:lang w:val="es-ES_tradnl"/>
        </w:rPr>
        <w:t>niversitaria s</w:t>
      </w:r>
      <w:r w:rsidRPr="00BD1509">
        <w:rPr>
          <w:rFonts w:ascii="Arial" w:hAnsi="Arial" w:cs="Arial"/>
          <w:lang w:val="es-ES_tradnl"/>
        </w:rPr>
        <w:t>e imparte en las universidades.</w:t>
      </w:r>
      <w:r w:rsidR="00AB6AF8" w:rsidRPr="00BD1509">
        <w:rPr>
          <w:rFonts w:ascii="Arial" w:hAnsi="Arial" w:cs="Arial"/>
          <w:lang w:val="es-ES_tradnl"/>
        </w:rPr>
        <w:t xml:space="preserve"> </w:t>
      </w:r>
      <w:r w:rsidR="006F6F19" w:rsidRPr="00BD1509">
        <w:rPr>
          <w:rFonts w:ascii="Arial" w:hAnsi="Arial" w:cs="Arial"/>
          <w:lang w:val="es-ES_tradnl"/>
        </w:rPr>
        <w:t>La n</w:t>
      </w:r>
      <w:r w:rsidR="00AB6AF8" w:rsidRPr="00BD1509">
        <w:rPr>
          <w:rFonts w:ascii="Arial" w:hAnsi="Arial" w:cs="Arial"/>
          <w:lang w:val="es-ES_tradnl"/>
        </w:rPr>
        <w:t>o universitaria s</w:t>
      </w:r>
      <w:r w:rsidRPr="00BD1509">
        <w:rPr>
          <w:rFonts w:ascii="Arial" w:hAnsi="Arial" w:cs="Arial"/>
          <w:lang w:val="es-ES_tradnl"/>
        </w:rPr>
        <w:t>e ofrece fuera de los recintos universitarios y tiene sus propios programas. En este nivel se encuentran institutos superiores de diversas especialidades como comercio, turismo, secretariado, náutica, tecnología de computadoras, entre otras.</w:t>
      </w:r>
    </w:p>
    <w:p w:rsidR="00A6737E" w:rsidRPr="00BD1509" w:rsidRDefault="00A6737E" w:rsidP="00A6737E">
      <w:pPr>
        <w:jc w:val="both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lang w:val="es-ES_tradnl"/>
        </w:rPr>
        <w:t xml:space="preserve">En adición, el sistema cuenta con la </w:t>
      </w:r>
      <w:r w:rsidRPr="00BD1509">
        <w:rPr>
          <w:rFonts w:ascii="Arial" w:hAnsi="Arial" w:cs="Arial"/>
          <w:i/>
          <w:lang w:val="es-ES_tradnl"/>
        </w:rPr>
        <w:t>educación especial</w:t>
      </w:r>
      <w:r w:rsidRPr="00BD1509">
        <w:rPr>
          <w:rFonts w:ascii="Arial" w:hAnsi="Arial" w:cs="Arial"/>
          <w:lang w:val="es-ES_tradnl"/>
        </w:rPr>
        <w:t xml:space="preserve"> y con </w:t>
      </w:r>
      <w:r w:rsidRPr="00BD1509">
        <w:rPr>
          <w:rFonts w:ascii="Arial" w:hAnsi="Arial" w:cs="Arial"/>
          <w:i/>
          <w:lang w:val="es-ES_tradnl"/>
        </w:rPr>
        <w:t>la educación laboral</w:t>
      </w:r>
      <w:r w:rsidR="00611A4B" w:rsidRPr="00BD1509">
        <w:rPr>
          <w:rFonts w:ascii="Arial" w:hAnsi="Arial" w:cs="Arial"/>
          <w:i/>
          <w:lang w:val="es-ES_tradnl"/>
        </w:rPr>
        <w:t xml:space="preserve">, </w:t>
      </w:r>
      <w:r w:rsidR="00611A4B" w:rsidRPr="00BD1509">
        <w:rPr>
          <w:rFonts w:ascii="Arial" w:hAnsi="Arial" w:cs="Arial"/>
          <w:lang w:val="es-ES_tradnl"/>
        </w:rPr>
        <w:t>las cuales forman parte del subsistema no regular</w:t>
      </w:r>
      <w:r w:rsidRPr="00BD1509">
        <w:rPr>
          <w:rFonts w:ascii="Arial" w:hAnsi="Arial" w:cs="Arial"/>
          <w:lang w:val="es-ES_tradnl"/>
        </w:rPr>
        <w:t>. La primera se imparte a impedidos físicos y/o mentales, a menores con problemas de conductas y a niños de otra condición. Cubre desde jardín infantil hasta</w:t>
      </w:r>
      <w:r w:rsidR="00A516F8" w:rsidRPr="00BD1509">
        <w:rPr>
          <w:rFonts w:ascii="Arial" w:hAnsi="Arial" w:cs="Arial"/>
          <w:lang w:val="es-ES_tradnl"/>
        </w:rPr>
        <w:t xml:space="preserve"> </w:t>
      </w:r>
      <w:r w:rsidRPr="00BD1509">
        <w:rPr>
          <w:rFonts w:ascii="Arial" w:hAnsi="Arial" w:cs="Arial"/>
          <w:lang w:val="es-ES_tradnl"/>
        </w:rPr>
        <w:t>enseñ</w:t>
      </w:r>
      <w:r w:rsidR="00A516F8" w:rsidRPr="00BD1509">
        <w:rPr>
          <w:rFonts w:ascii="Arial" w:hAnsi="Arial" w:cs="Arial"/>
          <w:lang w:val="es-ES_tradnl"/>
        </w:rPr>
        <w:t>anza vocacional de nivel medio. La e</w:t>
      </w:r>
      <w:r w:rsidRPr="00BD1509">
        <w:rPr>
          <w:rFonts w:ascii="Arial" w:hAnsi="Arial" w:cs="Arial"/>
          <w:lang w:val="es-ES_tradnl"/>
        </w:rPr>
        <w:t xml:space="preserve">ducación </w:t>
      </w:r>
      <w:r w:rsidR="00A516F8" w:rsidRPr="00BD1509">
        <w:rPr>
          <w:rFonts w:ascii="Arial" w:hAnsi="Arial" w:cs="Arial"/>
          <w:lang w:val="es-ES_tradnl"/>
        </w:rPr>
        <w:t>l</w:t>
      </w:r>
      <w:r w:rsidRPr="00BD1509">
        <w:rPr>
          <w:rFonts w:ascii="Arial" w:hAnsi="Arial" w:cs="Arial"/>
          <w:lang w:val="es-ES_tradnl"/>
        </w:rPr>
        <w:t>aboral</w:t>
      </w:r>
      <w:r w:rsidR="00A516F8" w:rsidRPr="00BD1509">
        <w:rPr>
          <w:rFonts w:ascii="Arial" w:hAnsi="Arial" w:cs="Arial"/>
          <w:lang w:val="es-ES_tradnl"/>
        </w:rPr>
        <w:t xml:space="preserve"> es la m</w:t>
      </w:r>
      <w:r w:rsidRPr="00BD1509">
        <w:rPr>
          <w:rFonts w:ascii="Arial" w:hAnsi="Arial" w:cs="Arial"/>
          <w:lang w:val="es-ES_tradnl"/>
        </w:rPr>
        <w:t xml:space="preserve">odalidad de </w:t>
      </w:r>
      <w:r w:rsidR="00A516F8" w:rsidRPr="00BD1509">
        <w:rPr>
          <w:rFonts w:ascii="Arial" w:hAnsi="Arial" w:cs="Arial"/>
          <w:lang w:val="es-ES_tradnl"/>
        </w:rPr>
        <w:t>e</w:t>
      </w:r>
      <w:r w:rsidRPr="00BD1509">
        <w:rPr>
          <w:rFonts w:ascii="Arial" w:hAnsi="Arial" w:cs="Arial"/>
          <w:lang w:val="es-ES_tradnl"/>
        </w:rPr>
        <w:t xml:space="preserve">ducación de </w:t>
      </w:r>
      <w:r w:rsidR="00A516F8" w:rsidRPr="00BD1509">
        <w:rPr>
          <w:rFonts w:ascii="Arial" w:hAnsi="Arial" w:cs="Arial"/>
          <w:lang w:val="es-ES_tradnl"/>
        </w:rPr>
        <w:t>a</w:t>
      </w:r>
      <w:r w:rsidRPr="00BD1509">
        <w:rPr>
          <w:rFonts w:ascii="Arial" w:hAnsi="Arial" w:cs="Arial"/>
          <w:lang w:val="es-ES_tradnl"/>
        </w:rPr>
        <w:t>dultos</w:t>
      </w:r>
      <w:r w:rsidR="00A516F8" w:rsidRPr="00BD1509">
        <w:rPr>
          <w:rFonts w:ascii="Arial" w:hAnsi="Arial" w:cs="Arial"/>
          <w:lang w:val="es-ES_tradnl"/>
        </w:rPr>
        <w:t>, en la que</w:t>
      </w:r>
      <w:r w:rsidRPr="00BD1509">
        <w:rPr>
          <w:rFonts w:ascii="Arial" w:hAnsi="Arial" w:cs="Arial"/>
          <w:lang w:val="es-ES_tradnl"/>
        </w:rPr>
        <w:t xml:space="preserve"> </w:t>
      </w:r>
      <w:r w:rsidR="00A516F8" w:rsidRPr="00BD1509">
        <w:rPr>
          <w:rFonts w:ascii="Arial" w:hAnsi="Arial" w:cs="Arial"/>
          <w:lang w:val="es-ES_tradnl"/>
        </w:rPr>
        <w:t>l</w:t>
      </w:r>
      <w:r w:rsidRPr="00BD1509">
        <w:rPr>
          <w:rFonts w:ascii="Arial" w:hAnsi="Arial" w:cs="Arial"/>
          <w:lang w:val="es-ES_tradnl"/>
        </w:rPr>
        <w:t xml:space="preserve">os programas de </w:t>
      </w:r>
      <w:proofErr w:type="spellStart"/>
      <w:r w:rsidRPr="00BD1509">
        <w:rPr>
          <w:rFonts w:ascii="Arial" w:hAnsi="Arial" w:cs="Arial"/>
          <w:lang w:val="es-ES_tradnl"/>
        </w:rPr>
        <w:t>premedia</w:t>
      </w:r>
      <w:proofErr w:type="spellEnd"/>
      <w:r w:rsidRPr="00BD1509">
        <w:rPr>
          <w:rFonts w:ascii="Arial" w:hAnsi="Arial" w:cs="Arial"/>
          <w:lang w:val="es-ES_tradnl"/>
        </w:rPr>
        <w:t xml:space="preserve"> y</w:t>
      </w:r>
      <w:r w:rsidR="00A516F8" w:rsidRPr="00BD1509">
        <w:rPr>
          <w:rFonts w:ascii="Arial" w:hAnsi="Arial" w:cs="Arial"/>
          <w:lang w:val="es-ES_tradnl"/>
        </w:rPr>
        <w:t xml:space="preserve"> </w:t>
      </w:r>
      <w:r w:rsidRPr="00BD1509">
        <w:rPr>
          <w:rFonts w:ascii="Arial" w:hAnsi="Arial" w:cs="Arial"/>
          <w:lang w:val="es-ES_tradnl"/>
        </w:rPr>
        <w:t>media se dictan en módulos trimestrales.</w:t>
      </w:r>
    </w:p>
    <w:p w:rsidR="00D07608" w:rsidRPr="00BD1509" w:rsidRDefault="002815C1" w:rsidP="000F2129">
      <w:pPr>
        <w:jc w:val="center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noProof/>
        </w:rPr>
        <w:lastRenderedPageBreak/>
        <w:drawing>
          <wp:inline distT="0" distB="0" distL="0" distR="0" wp14:anchorId="696A1EF4" wp14:editId="3EB18824">
            <wp:extent cx="5305539" cy="2811624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57182" t="38250" r="15312" b="9930"/>
                    <a:stretch/>
                  </pic:blipFill>
                  <pic:spPr bwMode="auto">
                    <a:xfrm>
                      <a:off x="0" y="0"/>
                      <a:ext cx="5389230" cy="28559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576A" w:rsidRPr="00BD1509" w:rsidRDefault="0099576A" w:rsidP="00F02005">
      <w:pPr>
        <w:pStyle w:val="ListParagraph"/>
        <w:numPr>
          <w:ilvl w:val="0"/>
          <w:numId w:val="2"/>
        </w:numPr>
        <w:rPr>
          <w:rFonts w:ascii="Arial" w:hAnsi="Arial" w:cs="Arial"/>
          <w:b/>
          <w:lang w:val="es-ES_tradnl"/>
        </w:rPr>
      </w:pPr>
      <w:r w:rsidRPr="00BD1509">
        <w:rPr>
          <w:rFonts w:ascii="Arial" w:hAnsi="Arial" w:cs="Arial"/>
          <w:b/>
          <w:lang w:val="es-ES_tradnl"/>
        </w:rPr>
        <w:t>Estructura organizacional del sector</w:t>
      </w:r>
      <w:r w:rsidRPr="00BD1509">
        <w:rPr>
          <w:rStyle w:val="FootnoteReference"/>
          <w:rFonts w:ascii="Arial" w:hAnsi="Arial" w:cs="Arial"/>
          <w:b/>
          <w:lang w:val="es-ES_tradnl"/>
        </w:rPr>
        <w:footnoteReference w:id="2"/>
      </w:r>
    </w:p>
    <w:p w:rsidR="0099576A" w:rsidRPr="00BD1509" w:rsidRDefault="0099576A" w:rsidP="0099576A">
      <w:pPr>
        <w:jc w:val="both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lang w:val="es-ES_tradnl"/>
        </w:rPr>
        <w:t xml:space="preserve">El </w:t>
      </w:r>
      <w:r w:rsidRPr="00BD1509">
        <w:rPr>
          <w:rFonts w:ascii="Arial" w:hAnsi="Arial" w:cs="Arial"/>
          <w:i/>
          <w:lang w:val="es-ES_tradnl"/>
        </w:rPr>
        <w:t>Ministerio de Educación</w:t>
      </w:r>
      <w:r w:rsidRPr="00BD1509">
        <w:rPr>
          <w:rFonts w:ascii="Arial" w:hAnsi="Arial" w:cs="Arial"/>
          <w:lang w:val="es-ES_tradnl"/>
        </w:rPr>
        <w:t xml:space="preserve"> (MEDUCA) es la entidad que tiene a su cargo todo lo relacionado con la educación y la cultura nacional, correspondiéndole, entre otras, la dirección, organización y supervisión de todas las instituciones educativas oficiales de la República.</w:t>
      </w:r>
    </w:p>
    <w:p w:rsidR="0099576A" w:rsidRPr="00BD1509" w:rsidRDefault="006404F0" w:rsidP="0099576A">
      <w:pPr>
        <w:jc w:val="both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lang w:val="es-ES_tradnl"/>
        </w:rPr>
        <w:t>L</w:t>
      </w:r>
      <w:r w:rsidR="0099576A" w:rsidRPr="00BD1509">
        <w:rPr>
          <w:rFonts w:ascii="Arial" w:hAnsi="Arial" w:cs="Arial"/>
          <w:lang w:val="es-ES_tradnl"/>
        </w:rPr>
        <w:t>a estructura administrativa del sistema</w:t>
      </w:r>
      <w:r w:rsidR="004F761C" w:rsidRPr="00BD1509">
        <w:rPr>
          <w:rFonts w:ascii="Arial" w:hAnsi="Arial" w:cs="Arial"/>
          <w:lang w:val="es-ES_tradnl"/>
        </w:rPr>
        <w:t xml:space="preserve"> es descentralizada. S</w:t>
      </w:r>
      <w:r w:rsidR="0099576A" w:rsidRPr="00BD1509">
        <w:rPr>
          <w:rFonts w:ascii="Arial" w:hAnsi="Arial" w:cs="Arial"/>
          <w:lang w:val="es-ES_tradnl"/>
        </w:rPr>
        <w:t>e compone de los siguientes niveles:</w:t>
      </w:r>
    </w:p>
    <w:p w:rsidR="0099576A" w:rsidRPr="00BD1509" w:rsidRDefault="00173655" w:rsidP="0099576A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lang w:val="es-ES_tradnl"/>
        </w:rPr>
        <w:t>Nivel Central: e</w:t>
      </w:r>
      <w:r w:rsidR="0099576A" w:rsidRPr="00BD1509">
        <w:rPr>
          <w:rFonts w:ascii="Arial" w:hAnsi="Arial" w:cs="Arial"/>
          <w:lang w:val="es-ES_tradnl"/>
        </w:rPr>
        <w:t>stá conformado por las unidades administrativas ubicadas en la Sede del MEDUCA. A estas instancias les compete dirigir las políticas, estrategias y fines de la educación, de manera que se cumplan los proyectos constitucionales.</w:t>
      </w:r>
    </w:p>
    <w:p w:rsidR="0099576A" w:rsidRPr="00BD1509" w:rsidRDefault="0099576A" w:rsidP="00085B36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lang w:val="es-ES_tradnl"/>
        </w:rPr>
        <w:t xml:space="preserve">Nivel Regional: </w:t>
      </w:r>
      <w:r w:rsidR="00173655" w:rsidRPr="00BD1509">
        <w:rPr>
          <w:rFonts w:ascii="Arial" w:hAnsi="Arial" w:cs="Arial"/>
          <w:lang w:val="es-ES_tradnl"/>
        </w:rPr>
        <w:t>c</w:t>
      </w:r>
      <w:r w:rsidRPr="00BD1509">
        <w:rPr>
          <w:rFonts w:ascii="Arial" w:hAnsi="Arial" w:cs="Arial"/>
          <w:lang w:val="es-ES_tradnl"/>
        </w:rPr>
        <w:t>omprende las instancias administrativas regionales. Le compete velar por la implementación, supervisión y coordinación de las acciones educativas en las regiones escolares.</w:t>
      </w:r>
      <w:r w:rsidR="00E3602B" w:rsidRPr="00BD1509">
        <w:rPr>
          <w:rFonts w:ascii="Arial" w:hAnsi="Arial" w:cs="Arial"/>
          <w:lang w:val="es-ES_tradnl"/>
        </w:rPr>
        <w:t xml:space="preserve"> En particular, cada</w:t>
      </w:r>
      <w:r w:rsidR="00085B36" w:rsidRPr="00BD1509">
        <w:rPr>
          <w:rFonts w:ascii="Arial" w:hAnsi="Arial" w:cs="Arial"/>
          <w:lang w:val="es-ES_tradnl"/>
        </w:rPr>
        <w:t xml:space="preserve"> Dirección Regional tiene relación de coordinación vertical ascendente con el Despacho Superior del MEDUCA de quien recibe de manera directa instrucciones, directrices y orientaciones sobre política educativa. Tiene relación de coordinación vertical descendente con todos los Departamentos y unidades administrativas que integran la Dirección Regional, las Coordinaciones de Circuito y los Centros Educativos de la región, a quienes orienta y da directrices para el desarrollo de sus actividades.</w:t>
      </w:r>
    </w:p>
    <w:p w:rsidR="0099576A" w:rsidRPr="00BD1509" w:rsidRDefault="0099576A" w:rsidP="0099576A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es-ES_tradnl"/>
        </w:rPr>
      </w:pPr>
      <w:r w:rsidRPr="00BD1509">
        <w:rPr>
          <w:rFonts w:ascii="Arial" w:hAnsi="Arial" w:cs="Arial"/>
          <w:lang w:val="es-ES_tradnl"/>
        </w:rPr>
        <w:t xml:space="preserve">Nivel Local o Institucional: </w:t>
      </w:r>
      <w:r w:rsidR="00173655" w:rsidRPr="00BD1509">
        <w:rPr>
          <w:rFonts w:ascii="Arial" w:hAnsi="Arial" w:cs="Arial"/>
          <w:lang w:val="es-ES_tradnl"/>
        </w:rPr>
        <w:t>c</w:t>
      </w:r>
      <w:r w:rsidRPr="00BD1509">
        <w:rPr>
          <w:rFonts w:ascii="Arial" w:hAnsi="Arial" w:cs="Arial"/>
          <w:lang w:val="es-ES_tradnl"/>
        </w:rPr>
        <w:t>omprende los Centros Escolares y proyectos educativos. Le compete la ejecución de las políticas y estrategias tendientes a lograr los fines y objetivos de la educación.</w:t>
      </w:r>
    </w:p>
    <w:p w:rsidR="0099576A" w:rsidRPr="00BD1509" w:rsidRDefault="0099576A" w:rsidP="0099576A">
      <w:pPr>
        <w:pStyle w:val="ListParagraph"/>
        <w:jc w:val="both"/>
        <w:rPr>
          <w:rFonts w:ascii="Arial" w:hAnsi="Arial" w:cs="Arial"/>
          <w:lang w:val="es-ES_tradnl"/>
        </w:rPr>
      </w:pPr>
    </w:p>
    <w:p w:rsidR="00E53E78" w:rsidRPr="00BD1509" w:rsidRDefault="00E53E78" w:rsidP="00631313">
      <w:pPr>
        <w:jc w:val="both"/>
        <w:rPr>
          <w:rFonts w:ascii="Arial" w:hAnsi="Arial" w:cs="Arial"/>
          <w:lang w:val="es-ES_tradnl"/>
        </w:rPr>
      </w:pPr>
    </w:p>
    <w:sectPr w:rsidR="00E53E78" w:rsidRPr="00BD1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74A" w:rsidRDefault="00BF774A" w:rsidP="00A516F8">
      <w:pPr>
        <w:spacing w:after="0" w:line="240" w:lineRule="auto"/>
      </w:pPr>
      <w:r>
        <w:separator/>
      </w:r>
    </w:p>
  </w:endnote>
  <w:endnote w:type="continuationSeparator" w:id="0">
    <w:p w:rsidR="00BF774A" w:rsidRDefault="00BF774A" w:rsidP="00A51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74A" w:rsidRDefault="00BF774A" w:rsidP="00A516F8">
      <w:pPr>
        <w:spacing w:after="0" w:line="240" w:lineRule="auto"/>
      </w:pPr>
      <w:r>
        <w:separator/>
      </w:r>
    </w:p>
  </w:footnote>
  <w:footnote w:type="continuationSeparator" w:id="0">
    <w:p w:rsidR="00BF774A" w:rsidRDefault="00BF774A" w:rsidP="00A516F8">
      <w:pPr>
        <w:spacing w:after="0" w:line="240" w:lineRule="auto"/>
      </w:pPr>
      <w:r>
        <w:continuationSeparator/>
      </w:r>
    </w:p>
  </w:footnote>
  <w:footnote w:id="1">
    <w:p w:rsidR="00A516F8" w:rsidRPr="00A516F8" w:rsidRDefault="00A516F8">
      <w:pPr>
        <w:pStyle w:val="FootnoteText"/>
        <w:rPr>
          <w:lang w:val="es-ES_tradnl"/>
        </w:rPr>
      </w:pPr>
      <w:r w:rsidRPr="00A516F8">
        <w:rPr>
          <w:rStyle w:val="FootnoteReference"/>
          <w:sz w:val="18"/>
        </w:rPr>
        <w:footnoteRef/>
      </w:r>
      <w:r w:rsidRPr="00A516F8">
        <w:rPr>
          <w:sz w:val="18"/>
          <w:lang w:val="es-ES_tradnl"/>
        </w:rPr>
        <w:t xml:space="preserve"> La información de esta sección proviene del Instituto Nacional de Estadística y Censo de la Contraloría General de la República de Panamá. </w:t>
      </w:r>
      <w:r w:rsidR="00031D65">
        <w:rPr>
          <w:sz w:val="18"/>
          <w:lang w:val="es-ES_tradnl"/>
        </w:rPr>
        <w:t xml:space="preserve">Ver: </w:t>
      </w:r>
      <w:hyperlink r:id="rId1" w:history="1">
        <w:r w:rsidR="00031D65" w:rsidRPr="00416C71">
          <w:rPr>
            <w:rStyle w:val="Hyperlink"/>
            <w:sz w:val="18"/>
            <w:lang w:val="es-ES_tradnl"/>
          </w:rPr>
          <w:t>https://www.contraloria.gob.pa/inec/Archivos/P1231Organizacion.pdf</w:t>
        </w:r>
      </w:hyperlink>
      <w:r w:rsidR="00031D65">
        <w:rPr>
          <w:sz w:val="18"/>
          <w:lang w:val="es-ES_tradnl"/>
        </w:rPr>
        <w:t xml:space="preserve"> </w:t>
      </w:r>
    </w:p>
  </w:footnote>
  <w:footnote w:id="2">
    <w:p w:rsidR="0099576A" w:rsidRPr="0099576A" w:rsidRDefault="0099576A" w:rsidP="0099576A">
      <w:pPr>
        <w:pStyle w:val="FootnoteText"/>
        <w:jc w:val="both"/>
        <w:rPr>
          <w:lang w:val="es-ES_tradnl"/>
        </w:rPr>
      </w:pPr>
      <w:r w:rsidRPr="002D68EA">
        <w:rPr>
          <w:rStyle w:val="FootnoteReference"/>
          <w:sz w:val="18"/>
        </w:rPr>
        <w:footnoteRef/>
      </w:r>
      <w:r w:rsidRPr="002D68EA">
        <w:rPr>
          <w:sz w:val="18"/>
          <w:lang w:val="es-ES_tradnl"/>
        </w:rPr>
        <w:t xml:space="preserve"> La información de esta sección proviene del MEDUCA. Ver: </w:t>
      </w:r>
      <w:hyperlink r:id="rId2" w:history="1">
        <w:r w:rsidRPr="002D68EA">
          <w:rPr>
            <w:rStyle w:val="Hyperlink"/>
            <w:sz w:val="18"/>
            <w:lang w:val="es-ES_tradnl"/>
          </w:rPr>
          <w:t>http://www.meduca.gob.pa/sites/default/files/2015-12/manual_organizacion_funciones_meduca_0.pdf</w:t>
        </w:r>
      </w:hyperlink>
      <w:r w:rsidRPr="002D68EA">
        <w:rPr>
          <w:sz w:val="18"/>
          <w:lang w:val="es-ES_tradnl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0EAD"/>
    <w:multiLevelType w:val="hybridMultilevel"/>
    <w:tmpl w:val="62BEA212"/>
    <w:lvl w:ilvl="0" w:tplc="265620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2EBF"/>
    <w:multiLevelType w:val="hybridMultilevel"/>
    <w:tmpl w:val="17DCC2BC"/>
    <w:lvl w:ilvl="0" w:tplc="122474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7630C"/>
    <w:multiLevelType w:val="hybridMultilevel"/>
    <w:tmpl w:val="2A404652"/>
    <w:lvl w:ilvl="0" w:tplc="265620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02615F"/>
    <w:multiLevelType w:val="hybridMultilevel"/>
    <w:tmpl w:val="E22AF448"/>
    <w:lvl w:ilvl="0" w:tplc="265620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608"/>
    <w:rsid w:val="00031D65"/>
    <w:rsid w:val="00085B36"/>
    <w:rsid w:val="000F2129"/>
    <w:rsid w:val="00124A89"/>
    <w:rsid w:val="0013109E"/>
    <w:rsid w:val="00173655"/>
    <w:rsid w:val="001F55E8"/>
    <w:rsid w:val="00245EDC"/>
    <w:rsid w:val="002815C1"/>
    <w:rsid w:val="002D68EA"/>
    <w:rsid w:val="002F4A08"/>
    <w:rsid w:val="003A0096"/>
    <w:rsid w:val="003B4825"/>
    <w:rsid w:val="003B57E9"/>
    <w:rsid w:val="00404994"/>
    <w:rsid w:val="00414C00"/>
    <w:rsid w:val="00427208"/>
    <w:rsid w:val="004D65FE"/>
    <w:rsid w:val="004F761C"/>
    <w:rsid w:val="00595EC5"/>
    <w:rsid w:val="005D0D79"/>
    <w:rsid w:val="00611A4B"/>
    <w:rsid w:val="00631313"/>
    <w:rsid w:val="006404F0"/>
    <w:rsid w:val="0067028C"/>
    <w:rsid w:val="00671224"/>
    <w:rsid w:val="00685710"/>
    <w:rsid w:val="006B5C90"/>
    <w:rsid w:val="006C2EC5"/>
    <w:rsid w:val="006F6F19"/>
    <w:rsid w:val="00716FE0"/>
    <w:rsid w:val="00725E83"/>
    <w:rsid w:val="0073008B"/>
    <w:rsid w:val="00766EC0"/>
    <w:rsid w:val="00784579"/>
    <w:rsid w:val="008774AD"/>
    <w:rsid w:val="008D4D90"/>
    <w:rsid w:val="008F05CA"/>
    <w:rsid w:val="0099576A"/>
    <w:rsid w:val="00A1252D"/>
    <w:rsid w:val="00A516F8"/>
    <w:rsid w:val="00A6737E"/>
    <w:rsid w:val="00AA445C"/>
    <w:rsid w:val="00AA64D6"/>
    <w:rsid w:val="00AB6AF8"/>
    <w:rsid w:val="00B13628"/>
    <w:rsid w:val="00B407F7"/>
    <w:rsid w:val="00BD1509"/>
    <w:rsid w:val="00BF774A"/>
    <w:rsid w:val="00C069FA"/>
    <w:rsid w:val="00CC471D"/>
    <w:rsid w:val="00D07608"/>
    <w:rsid w:val="00D66E16"/>
    <w:rsid w:val="00E3602B"/>
    <w:rsid w:val="00E53E78"/>
    <w:rsid w:val="00E62DC0"/>
    <w:rsid w:val="00E948D3"/>
    <w:rsid w:val="00F02005"/>
    <w:rsid w:val="00F90FA9"/>
    <w:rsid w:val="00FA4CAC"/>
    <w:rsid w:val="00FF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973BEA-2A71-47B3-8BBC-A242F49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5C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516F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16F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516F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31D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1D6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F76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educa.gob.pa/sites/default/files/2015-12/manual_organizacion_funciones_meduca_0.pdf" TargetMode="External"/><Relationship Id="rId1" Type="http://schemas.openxmlformats.org/officeDocument/2006/relationships/hyperlink" Target="https://www.contraloria.gob.pa/inec/Archivos/P1231Organizac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0B588-AD91-4097-9D30-D3D11A16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676</Words>
  <Characters>3819</Characters>
  <Application>Microsoft Office Word</Application>
  <DocSecurity>0</DocSecurity>
  <Lines>79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Ramirez Sanchez, Indhira</dc:creator>
  <cp:keywords/>
  <dc:description/>
  <cp:lastModifiedBy>Contreras Gomez, Rafael Eduardo</cp:lastModifiedBy>
  <cp:revision>2</cp:revision>
  <dcterms:created xsi:type="dcterms:W3CDTF">2017-08-01T20:05:00Z</dcterms:created>
  <dcterms:modified xsi:type="dcterms:W3CDTF">2017-08-01T20:05:00Z</dcterms:modified>
</cp:coreProperties>
</file>