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8.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c="http://schemas.openxmlformats.org/drawingml/2006/chart" mc:Ignorable="w14 w15 w16se w16cid wp14">
  <w:body>
    <w:p w:rsidRPr="000E0AC5" w:rsidR="001B5186" w:rsidP="1F653389" w:rsidRDefault="001B5186" w14:paraId="0A622215" w14:textId="77777777" w14:noSpellErr="1">
      <w:pPr>
        <w:pStyle w:val="Title"/>
        <w:tabs>
          <w:tab w:val="clear" w:pos="1440"/>
          <w:tab w:val="clear" w:pos="3060"/>
        </w:tabs>
        <w:spacing w:line="360" w:lineRule="auto"/>
        <w:jc w:val="right"/>
        <w:rPr>
          <w:rFonts w:ascii="Arial" w:hAnsi="Arial" w:cs="Arial"/>
          <w:smallCaps w:val="1"/>
          <w:sz w:val="22"/>
          <w:szCs w:val="22"/>
        </w:rPr>
      </w:pPr>
      <w:r w:rsidRPr="1F653389" w:rsidR="1F653389">
        <w:rPr>
          <w:rFonts w:ascii="Arial" w:hAnsi="Arial" w:cs="Arial"/>
          <w:smallCaps w:val="1"/>
          <w:sz w:val="22"/>
          <w:szCs w:val="22"/>
        </w:rPr>
        <w:t>Document of the Inter-American Development Bank</w:t>
      </w:r>
    </w:p>
    <w:p w:rsidRPr="000E0AC5" w:rsidR="001B5186" w:rsidP="001B5186" w:rsidRDefault="001B5186" w14:paraId="71C2314E" w14:textId="77777777">
      <w:pPr>
        <w:pStyle w:val="ColorfulList-Accent11"/>
        <w:spacing w:after="0" w:line="360" w:lineRule="auto"/>
        <w:ind w:left="1080"/>
        <w:jc w:val="center"/>
        <w:rPr>
          <w:rFonts w:ascii="Arial" w:hAnsi="Arial" w:cs="Arial"/>
          <w:b/>
        </w:rPr>
      </w:pPr>
    </w:p>
    <w:p w:rsidRPr="000E0AC5" w:rsidR="001B5186" w:rsidP="001B5186" w:rsidRDefault="001B5186" w14:paraId="41EA6796" w14:textId="77777777">
      <w:pPr>
        <w:tabs>
          <w:tab w:val="left" w:pos="1440"/>
          <w:tab w:val="left" w:pos="3060"/>
        </w:tabs>
        <w:spacing w:after="0" w:line="360" w:lineRule="auto"/>
        <w:jc w:val="center"/>
        <w:rPr>
          <w:rFonts w:ascii="Arial" w:hAnsi="Arial" w:cs="Arial"/>
          <w:b/>
          <w:smallCaps/>
        </w:rPr>
      </w:pPr>
    </w:p>
    <w:p w:rsidRPr="000E0AC5" w:rsidR="001B5186" w:rsidP="001B5186" w:rsidRDefault="001B5186" w14:paraId="5894AED9" w14:textId="77777777">
      <w:pPr>
        <w:tabs>
          <w:tab w:val="left" w:pos="1440"/>
          <w:tab w:val="left" w:pos="3060"/>
        </w:tabs>
        <w:spacing w:after="0" w:line="360" w:lineRule="auto"/>
        <w:jc w:val="center"/>
        <w:rPr>
          <w:rFonts w:ascii="Arial" w:hAnsi="Arial" w:cs="Arial"/>
          <w:b/>
          <w:smallCaps/>
        </w:rPr>
      </w:pPr>
      <w:bookmarkStart w:name="_GoBack" w:id="0"/>
      <w:bookmarkEnd w:id="0"/>
    </w:p>
    <w:p w:rsidR="00EF01A4" w:rsidP="001B5186" w:rsidRDefault="00EF01A4" w14:paraId="2FB89014" w14:textId="77777777">
      <w:pPr>
        <w:tabs>
          <w:tab w:val="left" w:pos="1440"/>
          <w:tab w:val="left" w:pos="3060"/>
        </w:tabs>
        <w:spacing w:after="0" w:line="360" w:lineRule="auto"/>
        <w:jc w:val="center"/>
        <w:rPr>
          <w:rFonts w:ascii="Arial" w:hAnsi="Arial" w:cs="Arial"/>
          <w:b/>
          <w:smallCaps/>
          <w:lang w:val="es-ES"/>
        </w:rPr>
      </w:pPr>
    </w:p>
    <w:p w:rsidR="00EF01A4" w:rsidP="001B5186" w:rsidRDefault="00EF01A4" w14:paraId="73618C91" w14:textId="77777777">
      <w:pPr>
        <w:tabs>
          <w:tab w:val="left" w:pos="1440"/>
          <w:tab w:val="left" w:pos="3060"/>
        </w:tabs>
        <w:spacing w:after="0" w:line="360" w:lineRule="auto"/>
        <w:jc w:val="center"/>
        <w:rPr>
          <w:rFonts w:ascii="Arial" w:hAnsi="Arial" w:cs="Arial"/>
          <w:b/>
          <w:smallCaps/>
          <w:lang w:val="es-ES"/>
        </w:rPr>
      </w:pPr>
    </w:p>
    <w:p w:rsidR="00EF01A4" w:rsidP="001B5186" w:rsidRDefault="00EF01A4" w14:paraId="2AB7B163" w14:textId="77777777">
      <w:pPr>
        <w:tabs>
          <w:tab w:val="left" w:pos="1440"/>
          <w:tab w:val="left" w:pos="3060"/>
        </w:tabs>
        <w:spacing w:after="0" w:line="360" w:lineRule="auto"/>
        <w:jc w:val="center"/>
        <w:rPr>
          <w:rFonts w:ascii="Arial" w:hAnsi="Arial" w:cs="Arial"/>
          <w:b/>
          <w:smallCaps/>
          <w:lang w:val="es-ES"/>
        </w:rPr>
      </w:pPr>
    </w:p>
    <w:p w:rsidR="00EF01A4" w:rsidP="001B5186" w:rsidRDefault="00EF01A4" w14:paraId="46F5EC93" w14:textId="77777777">
      <w:pPr>
        <w:tabs>
          <w:tab w:val="left" w:pos="1440"/>
          <w:tab w:val="left" w:pos="3060"/>
        </w:tabs>
        <w:spacing w:after="0" w:line="360" w:lineRule="auto"/>
        <w:jc w:val="center"/>
        <w:rPr>
          <w:rFonts w:ascii="Arial" w:hAnsi="Arial" w:cs="Arial"/>
          <w:b/>
          <w:smallCaps/>
          <w:lang w:val="es-ES"/>
        </w:rPr>
      </w:pPr>
    </w:p>
    <w:p w:rsidRPr="000E0AC5" w:rsidR="001B5186" w:rsidP="001B5186" w:rsidRDefault="00DA0BE3" w14:paraId="5B048E00" w14:textId="641CFBD4">
      <w:pPr>
        <w:tabs>
          <w:tab w:val="left" w:pos="1440"/>
          <w:tab w:val="left" w:pos="3060"/>
        </w:tabs>
        <w:spacing w:after="0" w:line="360" w:lineRule="auto"/>
        <w:jc w:val="center"/>
        <w:rPr>
          <w:rFonts w:ascii="Arial" w:hAnsi="Arial" w:cs="Arial"/>
          <w:b/>
          <w:smallCaps/>
          <w:highlight w:val="lightGray"/>
          <w:lang w:val="es-ES"/>
        </w:rPr>
      </w:pPr>
      <w:r w:rsidRPr="00DB4572">
        <w:rPr>
          <w:rFonts w:ascii="Arial" w:hAnsi="Arial" w:cs="Arial"/>
          <w:b/>
          <w:smallCaps/>
          <w:lang w:val="es-ES"/>
        </w:rPr>
        <w:t>Costa Rica</w:t>
      </w:r>
    </w:p>
    <w:p w:rsidRPr="000E0AC5" w:rsidR="001B5186" w:rsidP="001B5186" w:rsidRDefault="001B5186" w14:paraId="58C887AA" w14:textId="77777777">
      <w:pPr>
        <w:tabs>
          <w:tab w:val="left" w:pos="1440"/>
          <w:tab w:val="left" w:pos="3060"/>
        </w:tabs>
        <w:spacing w:after="0" w:line="360" w:lineRule="auto"/>
        <w:jc w:val="center"/>
        <w:rPr>
          <w:rFonts w:ascii="Arial" w:hAnsi="Arial" w:cs="Arial"/>
          <w:b/>
          <w:smallCaps/>
          <w:highlight w:val="lightGray"/>
          <w:lang w:val="es-ES"/>
        </w:rPr>
      </w:pPr>
    </w:p>
    <w:p w:rsidRPr="000E0AC5" w:rsidR="001B5186" w:rsidP="001B5186" w:rsidRDefault="001B5186" w14:paraId="200973A7" w14:textId="77777777">
      <w:pPr>
        <w:tabs>
          <w:tab w:val="left" w:pos="1440"/>
          <w:tab w:val="left" w:pos="3060"/>
        </w:tabs>
        <w:spacing w:after="0" w:line="360" w:lineRule="auto"/>
        <w:jc w:val="center"/>
        <w:rPr>
          <w:rFonts w:ascii="Arial" w:hAnsi="Arial" w:cs="Arial"/>
          <w:b/>
          <w:smallCaps/>
          <w:highlight w:val="lightGray"/>
          <w:lang w:val="es-ES"/>
        </w:rPr>
      </w:pPr>
    </w:p>
    <w:p w:rsidRPr="000E0AC5" w:rsidR="001B5186" w:rsidP="001B5186" w:rsidRDefault="00DA0BE3" w14:paraId="25A6A0EA" w14:textId="77777777">
      <w:pPr>
        <w:tabs>
          <w:tab w:val="left" w:pos="1440"/>
          <w:tab w:val="left" w:pos="3060"/>
        </w:tabs>
        <w:spacing w:after="0" w:line="360" w:lineRule="auto"/>
        <w:jc w:val="center"/>
        <w:rPr>
          <w:rFonts w:ascii="Arial" w:hAnsi="Arial" w:cs="Arial"/>
          <w:b/>
          <w:smallCaps/>
          <w:highlight w:val="lightGray"/>
          <w:lang w:val="es-ES"/>
        </w:rPr>
      </w:pPr>
      <w:r w:rsidRPr="000E0AC5">
        <w:rPr>
          <w:rFonts w:ascii="Arial" w:hAnsi="Arial" w:cs="Arial"/>
          <w:b/>
          <w:smallCaps/>
          <w:lang w:val="es-ES"/>
        </w:rPr>
        <w:t>PROGRAMA DE SEGURIDAD CIUDADANA Y PREVENCIÓN DE VIOLENCIA</w:t>
      </w:r>
    </w:p>
    <w:p w:rsidRPr="000E0AC5" w:rsidR="001B5186" w:rsidP="001B5186" w:rsidRDefault="001B5186" w14:paraId="04780348" w14:textId="77777777">
      <w:pPr>
        <w:tabs>
          <w:tab w:val="left" w:pos="1440"/>
          <w:tab w:val="left" w:pos="3060"/>
        </w:tabs>
        <w:spacing w:after="0" w:line="360" w:lineRule="auto"/>
        <w:jc w:val="center"/>
        <w:rPr>
          <w:rFonts w:ascii="Arial" w:hAnsi="Arial" w:cs="Arial"/>
          <w:b/>
          <w:smallCaps/>
          <w:lang w:val="es-ES"/>
        </w:rPr>
      </w:pPr>
      <w:r w:rsidRPr="00DB4572">
        <w:rPr>
          <w:rFonts w:ascii="Arial" w:hAnsi="Arial" w:cs="Arial"/>
          <w:b/>
          <w:smallCaps/>
          <w:lang w:val="es-ES"/>
        </w:rPr>
        <w:t>(</w:t>
      </w:r>
      <w:r w:rsidRPr="00AC03ED" w:rsidR="00DA0BE3">
        <w:rPr>
          <w:rFonts w:ascii="Arial" w:hAnsi="Arial" w:cs="Arial"/>
          <w:b/>
          <w:smallCaps/>
          <w:lang w:val="es-ES"/>
        </w:rPr>
        <w:t>CR-</w:t>
      </w:r>
      <w:r w:rsidRPr="00AC03ED" w:rsidR="004F434F">
        <w:rPr>
          <w:rFonts w:ascii="Arial" w:hAnsi="Arial" w:cs="Arial"/>
          <w:b/>
          <w:smallCaps/>
          <w:lang w:val="es-ES"/>
        </w:rPr>
        <w:t>L</w:t>
      </w:r>
      <w:r w:rsidRPr="00AC03ED" w:rsidR="00DA0BE3">
        <w:rPr>
          <w:rFonts w:ascii="Arial" w:hAnsi="Arial" w:cs="Arial"/>
          <w:b/>
          <w:smallCaps/>
          <w:lang w:val="es-ES"/>
        </w:rPr>
        <w:t>1137</w:t>
      </w:r>
      <w:r w:rsidRPr="00DB4572">
        <w:rPr>
          <w:rFonts w:ascii="Arial" w:hAnsi="Arial" w:cs="Arial"/>
          <w:b/>
          <w:smallCaps/>
          <w:lang w:val="es-ES"/>
        </w:rPr>
        <w:t>)</w:t>
      </w:r>
    </w:p>
    <w:p w:rsidR="001B5186" w:rsidP="001B5186" w:rsidRDefault="001B5186" w14:paraId="0B22A592" w14:textId="738A9367">
      <w:pPr>
        <w:pStyle w:val="Newpage"/>
        <w:spacing w:line="360" w:lineRule="auto"/>
        <w:rPr>
          <w:rFonts w:ascii="Arial" w:hAnsi="Arial"/>
          <w:b w:val="0"/>
          <w:caps/>
          <w:smallCaps w:val="0"/>
          <w:sz w:val="22"/>
          <w:szCs w:val="22"/>
          <w:lang w:val="es-ES"/>
        </w:rPr>
      </w:pPr>
    </w:p>
    <w:p w:rsidR="00EF01A4" w:rsidP="001B5186" w:rsidRDefault="00EF01A4" w14:paraId="2645B9A0" w14:textId="5BEEF57B">
      <w:pPr>
        <w:pStyle w:val="Newpage"/>
        <w:spacing w:line="360" w:lineRule="auto"/>
        <w:rPr>
          <w:rFonts w:ascii="Arial" w:hAnsi="Arial"/>
          <w:b w:val="0"/>
          <w:caps/>
          <w:smallCaps w:val="0"/>
          <w:sz w:val="22"/>
          <w:szCs w:val="22"/>
          <w:lang w:val="es-ES"/>
        </w:rPr>
      </w:pPr>
    </w:p>
    <w:p w:rsidRPr="000E0AC5" w:rsidR="00EF01A4" w:rsidP="001B5186" w:rsidRDefault="00EF01A4" w14:paraId="794C5F06" w14:textId="77777777">
      <w:pPr>
        <w:pStyle w:val="Newpage"/>
        <w:spacing w:line="360" w:lineRule="auto"/>
        <w:rPr>
          <w:rFonts w:ascii="Arial" w:hAnsi="Arial"/>
          <w:b w:val="0"/>
          <w:caps/>
          <w:smallCaps w:val="0"/>
          <w:sz w:val="22"/>
          <w:szCs w:val="22"/>
          <w:lang w:val="es-ES"/>
        </w:rPr>
      </w:pPr>
    </w:p>
    <w:p w:rsidRPr="000E0AC5" w:rsidR="001B5186" w:rsidP="001B5186" w:rsidRDefault="001B5186" w14:paraId="4B367F4C" w14:textId="77777777">
      <w:pPr>
        <w:tabs>
          <w:tab w:val="left" w:pos="1440"/>
          <w:tab w:val="left" w:pos="3060"/>
        </w:tabs>
        <w:spacing w:after="0" w:line="360" w:lineRule="auto"/>
        <w:jc w:val="center"/>
        <w:rPr>
          <w:rFonts w:ascii="Arial" w:hAnsi="Arial" w:cs="Arial"/>
          <w:smallCaps/>
          <w:lang w:val="es-ES"/>
        </w:rPr>
      </w:pPr>
    </w:p>
    <w:p w:rsidRPr="000E0AC5" w:rsidR="00DA0BE3" w:rsidP="00DA0BE3" w:rsidRDefault="00DA0BE3" w14:paraId="04BE555D" w14:textId="77777777">
      <w:pPr>
        <w:tabs>
          <w:tab w:val="left" w:pos="1440"/>
          <w:tab w:val="left" w:pos="3060"/>
        </w:tabs>
        <w:spacing w:after="0" w:line="360" w:lineRule="auto"/>
        <w:jc w:val="center"/>
        <w:outlineLvl w:val="0"/>
        <w:rPr>
          <w:rFonts w:ascii="Arial" w:hAnsi="Arial" w:cs="Arial"/>
          <w:b/>
          <w:smallCaps/>
          <w:lang w:val="es-ES"/>
        </w:rPr>
      </w:pPr>
      <w:r w:rsidRPr="000E0AC5">
        <w:rPr>
          <w:rFonts w:ascii="Arial" w:hAnsi="Arial" w:cs="Arial"/>
          <w:b/>
          <w:smallCaps/>
          <w:lang w:val="es-ES"/>
        </w:rPr>
        <w:t>Análisis Económico Ex -ante</w:t>
      </w:r>
    </w:p>
    <w:p w:rsidRPr="000E0AC5" w:rsidR="001B5186" w:rsidP="001B5186" w:rsidRDefault="001B5186" w14:paraId="14DD8098" w14:textId="77777777">
      <w:pPr>
        <w:tabs>
          <w:tab w:val="left" w:pos="1440"/>
          <w:tab w:val="left" w:pos="3060"/>
        </w:tabs>
        <w:spacing w:after="0" w:line="360" w:lineRule="auto"/>
        <w:outlineLvl w:val="0"/>
        <w:rPr>
          <w:rFonts w:ascii="Arial" w:hAnsi="Arial" w:cs="Arial"/>
          <w:b/>
          <w:smallCaps/>
          <w:lang w:val="es-ES"/>
        </w:rPr>
      </w:pPr>
    </w:p>
    <w:p w:rsidRPr="000E0AC5" w:rsidR="001B5186" w:rsidP="001B5186" w:rsidRDefault="001B5186" w14:paraId="109AF65A" w14:textId="77777777">
      <w:pPr>
        <w:pStyle w:val="ColorfulList-Accent11"/>
        <w:spacing w:after="0" w:line="360" w:lineRule="auto"/>
        <w:ind w:left="1080"/>
        <w:jc w:val="center"/>
        <w:rPr>
          <w:rFonts w:ascii="Arial" w:hAnsi="Arial" w:cs="Arial"/>
          <w:b/>
          <w:lang w:val="es-ES"/>
        </w:rPr>
      </w:pPr>
    </w:p>
    <w:p w:rsidRPr="000E0AC5" w:rsidR="001B5186" w:rsidP="001B5186" w:rsidRDefault="001B5186" w14:paraId="767B0550" w14:textId="77777777">
      <w:pPr>
        <w:pStyle w:val="ColorfulList-Accent11"/>
        <w:spacing w:after="0" w:line="360" w:lineRule="auto"/>
        <w:ind w:left="1080"/>
        <w:jc w:val="center"/>
        <w:rPr>
          <w:rFonts w:ascii="Arial" w:hAnsi="Arial" w:cs="Arial"/>
          <w:b/>
          <w:lang w:val="es-ES"/>
        </w:rPr>
      </w:pPr>
    </w:p>
    <w:p w:rsidRPr="000E0AC5" w:rsidR="001B5186" w:rsidP="001B5186" w:rsidRDefault="001B5186" w14:paraId="6887CC9D" w14:textId="77777777">
      <w:pPr>
        <w:pStyle w:val="ColorfulList-Accent11"/>
        <w:spacing w:after="0" w:line="360" w:lineRule="auto"/>
        <w:ind w:left="1080"/>
        <w:jc w:val="center"/>
        <w:rPr>
          <w:rFonts w:ascii="Arial" w:hAnsi="Arial" w:cs="Arial"/>
          <w:b/>
          <w:lang w:val="es-ES"/>
        </w:rPr>
      </w:pPr>
    </w:p>
    <w:p w:rsidRPr="000E0AC5" w:rsidR="001B5186" w:rsidP="001B5186" w:rsidRDefault="001B5186" w14:paraId="3CC19B4C" w14:textId="77777777">
      <w:pPr>
        <w:pStyle w:val="ColorfulList-Accent11"/>
        <w:spacing w:after="0" w:line="360" w:lineRule="auto"/>
        <w:ind w:left="1080"/>
        <w:jc w:val="center"/>
        <w:rPr>
          <w:rFonts w:ascii="Arial" w:hAnsi="Arial" w:cs="Arial"/>
          <w:b/>
          <w:lang w:val="es-ES"/>
        </w:rPr>
      </w:pPr>
    </w:p>
    <w:p w:rsidRPr="000E0AC5" w:rsidR="001B5186" w:rsidP="001B5186" w:rsidRDefault="001B5186" w14:paraId="229EF163" w14:textId="77777777">
      <w:pPr>
        <w:pStyle w:val="ColorfulList-Accent11"/>
        <w:spacing w:after="0" w:line="360" w:lineRule="auto"/>
        <w:ind w:left="1080"/>
        <w:jc w:val="center"/>
        <w:rPr>
          <w:rFonts w:ascii="Arial" w:hAnsi="Arial" w:cs="Arial"/>
          <w:b/>
          <w:lang w:val="es-ES"/>
        </w:rPr>
      </w:pPr>
    </w:p>
    <w:p w:rsidRPr="000E0AC5" w:rsidR="00DA0BE3" w:rsidP="00DA0BE3" w:rsidRDefault="00AC03ED" w14:paraId="469F2C65" w14:textId="572A6265">
      <w:pPr>
        <w:pStyle w:val="ColorfulList-Accent11"/>
        <w:spacing w:after="0" w:line="360" w:lineRule="auto"/>
        <w:ind w:left="0"/>
        <w:jc w:val="center"/>
        <w:rPr>
          <w:rFonts w:ascii="Arial" w:hAnsi="Arial" w:cs="Arial"/>
          <w:b/>
          <w:lang w:val="es-ES"/>
        </w:rPr>
      </w:pPr>
      <w:r>
        <w:rPr>
          <w:rFonts w:ascii="Arial" w:hAnsi="Arial" w:cs="Arial"/>
          <w:b/>
          <w:lang w:val="es-ES"/>
        </w:rPr>
        <w:t>19</w:t>
      </w:r>
      <w:r w:rsidRPr="000E0AC5" w:rsidR="0033575C">
        <w:rPr>
          <w:rFonts w:ascii="Arial" w:hAnsi="Arial" w:cs="Arial"/>
          <w:b/>
          <w:lang w:val="es-ES"/>
        </w:rPr>
        <w:t xml:space="preserve"> de </w:t>
      </w:r>
      <w:r w:rsidR="001E1470">
        <w:rPr>
          <w:rFonts w:ascii="Arial" w:hAnsi="Arial" w:cs="Arial"/>
          <w:b/>
          <w:lang w:val="es-ES"/>
        </w:rPr>
        <w:t>junio</w:t>
      </w:r>
      <w:r w:rsidRPr="000E0AC5" w:rsidR="00D30CBD">
        <w:rPr>
          <w:rFonts w:ascii="Arial" w:hAnsi="Arial" w:cs="Arial"/>
          <w:b/>
          <w:lang w:val="es-ES"/>
        </w:rPr>
        <w:t xml:space="preserve"> de 2019</w:t>
      </w:r>
    </w:p>
    <w:p w:rsidRPr="000E0AC5" w:rsidR="001B5186" w:rsidP="001B5186" w:rsidRDefault="001B5186" w14:paraId="6376F8D4" w14:textId="77777777">
      <w:pPr>
        <w:pStyle w:val="ColorfulList-Accent11"/>
        <w:spacing w:after="0" w:line="360" w:lineRule="auto"/>
        <w:ind w:left="1080"/>
        <w:jc w:val="center"/>
        <w:rPr>
          <w:rFonts w:ascii="Arial" w:hAnsi="Arial" w:cs="Arial"/>
          <w:b/>
          <w:lang w:val="es-ES"/>
        </w:rPr>
      </w:pPr>
    </w:p>
    <w:p w:rsidRPr="000E0AC5" w:rsidR="00DA0BE3" w:rsidP="001B5186" w:rsidRDefault="00DA0BE3" w14:paraId="6634CA8F" w14:textId="77777777">
      <w:pPr>
        <w:pStyle w:val="ColorfulList-Accent11"/>
        <w:spacing w:after="0" w:line="360" w:lineRule="auto"/>
        <w:ind w:left="1080"/>
        <w:jc w:val="center"/>
        <w:rPr>
          <w:rFonts w:ascii="Arial" w:hAnsi="Arial" w:cs="Arial"/>
          <w:b/>
          <w:lang w:val="es-ES"/>
        </w:rPr>
      </w:pPr>
    </w:p>
    <w:p w:rsidRPr="000E0AC5" w:rsidR="00DA0BE3" w:rsidP="001B5186" w:rsidRDefault="00DA0BE3" w14:paraId="124BBF39" w14:textId="77777777">
      <w:pPr>
        <w:pStyle w:val="ColorfulList-Accent11"/>
        <w:spacing w:after="0" w:line="360" w:lineRule="auto"/>
        <w:ind w:left="1080"/>
        <w:jc w:val="center"/>
        <w:rPr>
          <w:rFonts w:ascii="Arial" w:hAnsi="Arial" w:cs="Arial"/>
          <w:b/>
          <w:lang w:val="es-ES"/>
        </w:rPr>
      </w:pPr>
    </w:p>
    <w:p w:rsidRPr="000E0AC5" w:rsidR="001B5186" w:rsidP="001B5186" w:rsidRDefault="001B5186" w14:paraId="7EF39710" w14:textId="77777777">
      <w:pPr>
        <w:tabs>
          <w:tab w:val="left" w:pos="1440"/>
          <w:tab w:val="left" w:pos="3060"/>
        </w:tabs>
        <w:spacing w:after="0" w:line="360" w:lineRule="auto"/>
        <w:jc w:val="center"/>
        <w:rPr>
          <w:rFonts w:ascii="Arial" w:hAnsi="Arial" w:cs="Arial"/>
          <w:lang w:val="es-ES"/>
        </w:rPr>
      </w:pPr>
    </w:p>
    <w:p w:rsidRPr="000E0AC5" w:rsidR="001B5186" w:rsidP="00DA0BE3" w:rsidRDefault="00DA0BE3" w14:paraId="61F74B34" w14:textId="77777777">
      <w:pPr>
        <w:pStyle w:val="BodyText"/>
        <w:pBdr>
          <w:top w:val="single" w:color="auto" w:sz="4" w:space="1"/>
          <w:left w:val="single" w:color="auto" w:sz="4" w:space="4"/>
          <w:bottom w:val="single" w:color="auto" w:sz="4" w:space="0"/>
          <w:right w:val="single" w:color="auto" w:sz="4" w:space="4"/>
        </w:pBdr>
        <w:tabs>
          <w:tab w:val="left" w:pos="1440"/>
        </w:tabs>
        <w:spacing w:line="360" w:lineRule="auto"/>
        <w:jc w:val="both"/>
        <w:rPr>
          <w:rFonts w:ascii="Arial" w:hAnsi="Arial" w:cs="Arial"/>
          <w:sz w:val="22"/>
          <w:szCs w:val="22"/>
          <w:lang w:val="es-ES"/>
        </w:rPr>
      </w:pPr>
      <w:r w:rsidRPr="000E0AC5">
        <w:rPr>
          <w:rFonts w:ascii="Arial" w:hAnsi="Arial" w:cs="Arial"/>
          <w:sz w:val="22"/>
          <w:szCs w:val="22"/>
          <w:lang w:val="es-ES"/>
        </w:rPr>
        <w:t xml:space="preserve">Este documento fue elaborado por el Centro de Estudios Educativos y Sociales (CEES-EASE.com.mx) para el Banco </w:t>
      </w:r>
      <w:proofErr w:type="gramStart"/>
      <w:r w:rsidRPr="000E0AC5">
        <w:rPr>
          <w:rFonts w:ascii="Arial" w:hAnsi="Arial" w:cs="Arial"/>
          <w:sz w:val="22"/>
          <w:szCs w:val="22"/>
          <w:lang w:val="es-ES"/>
        </w:rPr>
        <w:t>Inter-Americano</w:t>
      </w:r>
      <w:proofErr w:type="gramEnd"/>
      <w:r w:rsidRPr="000E0AC5">
        <w:rPr>
          <w:rFonts w:ascii="Arial" w:hAnsi="Arial" w:cs="Arial"/>
          <w:sz w:val="22"/>
          <w:szCs w:val="22"/>
          <w:lang w:val="es-ES"/>
        </w:rPr>
        <w:t xml:space="preserve"> de Desarrollo, bajo la coordinación del Dr. Miguel </w:t>
      </w:r>
      <w:proofErr w:type="spellStart"/>
      <w:r w:rsidRPr="000E0AC5">
        <w:rPr>
          <w:rFonts w:ascii="Arial" w:hAnsi="Arial" w:cs="Arial"/>
          <w:sz w:val="22"/>
          <w:szCs w:val="22"/>
          <w:lang w:val="es-ES"/>
        </w:rPr>
        <w:t>Székely</w:t>
      </w:r>
      <w:proofErr w:type="spellEnd"/>
      <w:r w:rsidRPr="000E0AC5">
        <w:rPr>
          <w:rFonts w:ascii="Arial" w:hAnsi="Arial" w:cs="Arial"/>
          <w:sz w:val="22"/>
          <w:szCs w:val="22"/>
          <w:lang w:val="es-ES"/>
        </w:rPr>
        <w:t>.</w:t>
      </w:r>
    </w:p>
    <w:p w:rsidRPr="000E0AC5" w:rsidR="001B5186" w:rsidP="001B5186" w:rsidRDefault="001B5186" w14:paraId="670CF69C" w14:textId="77777777">
      <w:pPr>
        <w:pStyle w:val="ColorfulList-Accent11"/>
        <w:spacing w:after="0" w:line="360" w:lineRule="auto"/>
        <w:ind w:left="1080"/>
        <w:jc w:val="center"/>
        <w:rPr>
          <w:rFonts w:ascii="Arial" w:hAnsi="Arial" w:cs="Arial"/>
          <w:smallCaps/>
          <w:lang w:val="es-ES"/>
        </w:rPr>
      </w:pPr>
      <w:r w:rsidRPr="000E0AC5">
        <w:rPr>
          <w:rFonts w:ascii="Arial" w:hAnsi="Arial" w:cs="Arial"/>
          <w:b/>
          <w:lang w:val="es-ES"/>
        </w:rPr>
        <w:br w:type="page"/>
      </w:r>
      <w:r w:rsidRPr="000E0AC5" w:rsidR="00085551">
        <w:rPr>
          <w:rFonts w:ascii="Arial" w:hAnsi="Arial" w:cs="Arial"/>
          <w:smallCaps/>
          <w:lang w:val="es-ES"/>
        </w:rPr>
        <w:lastRenderedPageBreak/>
        <w:t>Contenido</w:t>
      </w:r>
    </w:p>
    <w:p w:rsidRPr="000E0AC5" w:rsidR="001B5186" w:rsidP="001B5186" w:rsidRDefault="001B5186" w14:paraId="775DAE03" w14:textId="77777777">
      <w:pPr>
        <w:pStyle w:val="ColorfulList-Accent11"/>
        <w:spacing w:after="0" w:line="360" w:lineRule="auto"/>
        <w:ind w:left="1080"/>
        <w:jc w:val="center"/>
        <w:rPr>
          <w:rFonts w:ascii="Arial" w:hAnsi="Arial" w:cs="Arial"/>
          <w:lang w:val="es-ES"/>
        </w:rPr>
      </w:pPr>
    </w:p>
    <w:p w:rsidRPr="000E0AC5" w:rsidR="001B5186" w:rsidP="001B5186" w:rsidRDefault="001B5186" w14:paraId="5FE9A625" w14:textId="77777777">
      <w:pPr>
        <w:pStyle w:val="ColorfulList-Accent11"/>
        <w:spacing w:after="0" w:line="360" w:lineRule="auto"/>
        <w:ind w:left="1080"/>
        <w:jc w:val="center"/>
        <w:rPr>
          <w:rFonts w:ascii="Arial" w:hAnsi="Arial" w:cs="Arial"/>
          <w:lang w:val="es-ES"/>
        </w:rPr>
      </w:pPr>
    </w:p>
    <w:p w:rsidR="001B5186" w:rsidP="001B5186" w:rsidRDefault="00DA0BE3" w14:paraId="2197B96D" w14:textId="7FE6521B">
      <w:pPr>
        <w:pStyle w:val="ColorfulList-Accent11"/>
        <w:spacing w:after="0" w:line="360" w:lineRule="auto"/>
        <w:ind w:left="0"/>
        <w:jc w:val="both"/>
        <w:rPr>
          <w:rFonts w:ascii="Arial" w:hAnsi="Arial" w:cs="Arial"/>
          <w:lang w:val="es-ES"/>
        </w:rPr>
      </w:pPr>
      <w:r w:rsidRPr="000E0AC5">
        <w:rPr>
          <w:rFonts w:ascii="Arial" w:hAnsi="Arial" w:cs="Arial"/>
          <w:lang w:val="es-ES"/>
        </w:rPr>
        <w:t>Análisis Económico Ex -Ante</w:t>
      </w:r>
    </w:p>
    <w:p w:rsidRPr="000E0AC5" w:rsidR="001B5186" w:rsidP="001B5186" w:rsidRDefault="001B5186" w14:paraId="54B15839" w14:textId="6AAD7ECB">
      <w:pPr>
        <w:pStyle w:val="ColorfulList-Accent11"/>
        <w:spacing w:after="0" w:line="360" w:lineRule="auto"/>
        <w:ind w:left="0"/>
        <w:jc w:val="both"/>
        <w:rPr>
          <w:rFonts w:ascii="Arial" w:hAnsi="Arial" w:cs="Arial"/>
          <w:lang w:val="es-ES"/>
        </w:rPr>
      </w:pPr>
    </w:p>
    <w:p w:rsidRPr="000E0AC5" w:rsidR="001B5186" w:rsidP="001B5186" w:rsidRDefault="00FA544C" w14:paraId="32926371" w14:textId="3CD8F7F6">
      <w:pPr>
        <w:pStyle w:val="ColorfulList-Accent11"/>
        <w:numPr>
          <w:ilvl w:val="0"/>
          <w:numId w:val="1"/>
        </w:numPr>
        <w:spacing w:after="0" w:line="360" w:lineRule="auto"/>
        <w:jc w:val="both"/>
        <w:rPr>
          <w:rFonts w:ascii="Arial" w:hAnsi="Arial" w:cs="Arial"/>
          <w:lang w:val="es-ES"/>
        </w:rPr>
      </w:pPr>
      <w:r w:rsidRPr="000E0AC5">
        <w:rPr>
          <w:rFonts w:ascii="Arial" w:hAnsi="Arial" w:cs="Arial"/>
          <w:lang w:val="es-ES"/>
        </w:rPr>
        <w:t>Introducción</w:t>
      </w:r>
    </w:p>
    <w:p w:rsidRPr="000E0AC5" w:rsidR="001B5186" w:rsidP="001B5186" w:rsidRDefault="001B5186" w14:paraId="34FDACA2" w14:textId="77777777">
      <w:pPr>
        <w:pStyle w:val="ColorfulList-Accent11"/>
        <w:spacing w:after="0" w:line="360" w:lineRule="auto"/>
        <w:ind w:left="1080"/>
        <w:jc w:val="both"/>
        <w:rPr>
          <w:rFonts w:ascii="Arial" w:hAnsi="Arial" w:cs="Arial"/>
          <w:lang w:val="es-ES"/>
        </w:rPr>
      </w:pPr>
    </w:p>
    <w:p w:rsidRPr="000E0AC5" w:rsidR="001B5186" w:rsidP="001B5186" w:rsidRDefault="00FA544C" w14:paraId="02D4A0BE" w14:textId="77777777">
      <w:pPr>
        <w:pStyle w:val="ColorfulList-Accent11"/>
        <w:numPr>
          <w:ilvl w:val="0"/>
          <w:numId w:val="1"/>
        </w:numPr>
        <w:spacing w:after="0" w:line="360" w:lineRule="auto"/>
        <w:jc w:val="both"/>
        <w:rPr>
          <w:rFonts w:ascii="Arial" w:hAnsi="Arial" w:cs="Arial"/>
          <w:lang w:val="es-ES"/>
        </w:rPr>
      </w:pPr>
      <w:r w:rsidRPr="000E0AC5">
        <w:rPr>
          <w:rFonts w:ascii="Arial" w:hAnsi="Arial" w:cs="Arial"/>
          <w:lang w:val="es-ES"/>
        </w:rPr>
        <w:t>Descripción del Programa</w:t>
      </w:r>
    </w:p>
    <w:p w:rsidRPr="000E0AC5" w:rsidR="005E32C3" w:rsidP="005E32C3" w:rsidRDefault="005E32C3" w14:paraId="32273CFD" w14:textId="77777777">
      <w:pPr>
        <w:pStyle w:val="ListParagraph"/>
        <w:rPr>
          <w:rFonts w:ascii="Arial" w:hAnsi="Arial" w:cs="Arial"/>
          <w:lang w:val="es-ES"/>
        </w:rPr>
      </w:pPr>
    </w:p>
    <w:p w:rsidRPr="000E0AC5" w:rsidR="001B5186" w:rsidP="001B5186" w:rsidRDefault="005E32C3" w14:paraId="265B96F2" w14:textId="77777777">
      <w:pPr>
        <w:pStyle w:val="ColorfulList-Accent11"/>
        <w:numPr>
          <w:ilvl w:val="0"/>
          <w:numId w:val="1"/>
        </w:numPr>
        <w:spacing w:after="0" w:line="360" w:lineRule="auto"/>
        <w:jc w:val="both"/>
        <w:rPr>
          <w:rFonts w:ascii="Arial" w:hAnsi="Arial" w:cs="Arial"/>
          <w:lang w:val="es-ES"/>
        </w:rPr>
      </w:pPr>
      <w:r w:rsidRPr="000E0AC5">
        <w:rPr>
          <w:rFonts w:ascii="Arial" w:hAnsi="Arial" w:cs="Arial"/>
          <w:lang w:val="es-ES"/>
        </w:rPr>
        <w:t>Análisis de Costo-</w:t>
      </w:r>
      <w:r w:rsidRPr="000E0AC5" w:rsidR="006339E0">
        <w:rPr>
          <w:rFonts w:ascii="Arial" w:hAnsi="Arial" w:cs="Arial"/>
          <w:lang w:val="es-ES"/>
        </w:rPr>
        <w:t>b</w:t>
      </w:r>
      <w:r w:rsidRPr="000E0AC5">
        <w:rPr>
          <w:rFonts w:ascii="Arial" w:hAnsi="Arial" w:cs="Arial"/>
          <w:lang w:val="es-ES"/>
        </w:rPr>
        <w:t>eneficio</w:t>
      </w:r>
    </w:p>
    <w:p w:rsidRPr="000E0AC5" w:rsidR="00241055" w:rsidP="00241055" w:rsidRDefault="005E32C3" w14:paraId="22BA9503" w14:textId="77777777">
      <w:pPr>
        <w:pStyle w:val="ColorfulList-Accent11"/>
        <w:numPr>
          <w:ilvl w:val="1"/>
          <w:numId w:val="1"/>
        </w:numPr>
        <w:spacing w:after="0" w:line="360" w:lineRule="auto"/>
        <w:jc w:val="both"/>
        <w:rPr>
          <w:rFonts w:ascii="Arial" w:hAnsi="Arial" w:cs="Arial"/>
          <w:lang w:val="es-ES"/>
        </w:rPr>
      </w:pPr>
      <w:r w:rsidRPr="000E0AC5">
        <w:rPr>
          <w:rFonts w:ascii="Arial" w:hAnsi="Arial" w:cs="Arial"/>
          <w:lang w:val="es-ES"/>
        </w:rPr>
        <w:t>Evidencia Empírica</w:t>
      </w:r>
    </w:p>
    <w:p w:rsidRPr="000E0AC5" w:rsidR="00241055" w:rsidP="00241055" w:rsidRDefault="005E32C3" w14:paraId="6AF3586C" w14:textId="77777777">
      <w:pPr>
        <w:pStyle w:val="ColorfulList-Accent11"/>
        <w:numPr>
          <w:ilvl w:val="1"/>
          <w:numId w:val="1"/>
        </w:numPr>
        <w:spacing w:after="0" w:line="360" w:lineRule="auto"/>
        <w:jc w:val="both"/>
        <w:rPr>
          <w:rFonts w:ascii="Arial" w:hAnsi="Arial" w:cs="Arial"/>
          <w:lang w:val="es-ES"/>
        </w:rPr>
      </w:pPr>
      <w:r w:rsidRPr="000E0AC5">
        <w:rPr>
          <w:rFonts w:ascii="Arial" w:hAnsi="Arial" w:cs="Arial"/>
          <w:lang w:val="es-ES"/>
        </w:rPr>
        <w:t>Metodología</w:t>
      </w:r>
    </w:p>
    <w:p w:rsidRPr="000E0AC5" w:rsidR="00E862DB" w:rsidP="00C01DE3" w:rsidRDefault="005E32C3" w14:paraId="14941A41" w14:textId="77777777">
      <w:pPr>
        <w:pStyle w:val="ColorfulList-Accent11"/>
        <w:numPr>
          <w:ilvl w:val="1"/>
          <w:numId w:val="1"/>
        </w:numPr>
        <w:spacing w:after="0" w:line="360" w:lineRule="auto"/>
        <w:jc w:val="both"/>
        <w:rPr>
          <w:rFonts w:ascii="Arial" w:hAnsi="Arial" w:cs="Arial"/>
          <w:lang w:val="es-ES"/>
        </w:rPr>
      </w:pPr>
      <w:r w:rsidRPr="000E0AC5">
        <w:rPr>
          <w:rFonts w:ascii="Arial" w:hAnsi="Arial" w:cs="Arial"/>
          <w:lang w:val="es-ES"/>
        </w:rPr>
        <w:t>Costos del Programa</w:t>
      </w:r>
    </w:p>
    <w:p w:rsidRPr="000E0AC5" w:rsidR="008D37C1" w:rsidP="00C01DE3" w:rsidRDefault="005E32C3" w14:paraId="10BFDC33" w14:textId="77777777">
      <w:pPr>
        <w:pStyle w:val="ColorfulList-Accent11"/>
        <w:numPr>
          <w:ilvl w:val="1"/>
          <w:numId w:val="1"/>
        </w:numPr>
        <w:spacing w:after="0" w:line="360" w:lineRule="auto"/>
        <w:jc w:val="both"/>
        <w:rPr>
          <w:rFonts w:ascii="Arial" w:hAnsi="Arial" w:cs="Arial"/>
          <w:lang w:val="es-ES"/>
        </w:rPr>
      </w:pPr>
      <w:r w:rsidRPr="000E0AC5">
        <w:rPr>
          <w:rFonts w:ascii="Arial" w:hAnsi="Arial" w:cs="Arial"/>
          <w:lang w:val="es-ES"/>
        </w:rPr>
        <w:t>Beneficios del Programa</w:t>
      </w:r>
    </w:p>
    <w:p w:rsidRPr="000E0AC5" w:rsidR="008D37C1" w:rsidP="00C01DE3" w:rsidRDefault="005E32C3" w14:paraId="2B6F46ED" w14:textId="77777777">
      <w:pPr>
        <w:pStyle w:val="ColorfulList-Accent11"/>
        <w:numPr>
          <w:ilvl w:val="1"/>
          <w:numId w:val="1"/>
        </w:numPr>
        <w:spacing w:after="0" w:line="360" w:lineRule="auto"/>
        <w:jc w:val="both"/>
        <w:rPr>
          <w:rFonts w:ascii="Arial" w:hAnsi="Arial" w:cs="Arial"/>
          <w:lang w:val="es-ES"/>
        </w:rPr>
      </w:pPr>
      <w:r w:rsidRPr="000E0AC5">
        <w:rPr>
          <w:rFonts w:ascii="Arial" w:hAnsi="Arial" w:cs="Arial"/>
          <w:lang w:val="es-ES"/>
        </w:rPr>
        <w:t>Resultados</w:t>
      </w:r>
    </w:p>
    <w:p w:rsidRPr="000E0AC5" w:rsidR="008D37C1" w:rsidP="00C01DE3" w:rsidRDefault="005E32C3" w14:paraId="6700C6FD" w14:textId="77777777">
      <w:pPr>
        <w:pStyle w:val="ColorfulList-Accent11"/>
        <w:numPr>
          <w:ilvl w:val="1"/>
          <w:numId w:val="1"/>
        </w:numPr>
        <w:spacing w:after="0" w:line="360" w:lineRule="auto"/>
        <w:jc w:val="both"/>
        <w:rPr>
          <w:rFonts w:ascii="Arial" w:hAnsi="Arial" w:cs="Arial"/>
          <w:lang w:val="es-ES"/>
        </w:rPr>
      </w:pPr>
      <w:r w:rsidRPr="000E0AC5">
        <w:rPr>
          <w:rFonts w:ascii="Arial" w:hAnsi="Arial" w:cs="Arial"/>
          <w:lang w:val="es-ES"/>
        </w:rPr>
        <w:t>Análisis de Sensibilidad</w:t>
      </w:r>
    </w:p>
    <w:p w:rsidRPr="000E0AC5" w:rsidR="005E32C3" w:rsidP="005E32C3" w:rsidRDefault="005E32C3" w14:paraId="23DED066" w14:textId="77777777">
      <w:pPr>
        <w:pStyle w:val="ColorfulList-Accent11"/>
        <w:spacing w:after="0" w:line="360" w:lineRule="auto"/>
        <w:ind w:left="1440"/>
        <w:jc w:val="both"/>
        <w:rPr>
          <w:rFonts w:ascii="Arial" w:hAnsi="Arial" w:cs="Arial"/>
          <w:lang w:val="es-ES"/>
        </w:rPr>
      </w:pPr>
    </w:p>
    <w:p w:rsidRPr="000E0AC5" w:rsidR="005E32C3" w:rsidP="005E32C3" w:rsidRDefault="005E32C3" w14:paraId="35ED8F87" w14:textId="77777777">
      <w:pPr>
        <w:pStyle w:val="ColorfulList-Accent11"/>
        <w:numPr>
          <w:ilvl w:val="0"/>
          <w:numId w:val="1"/>
        </w:numPr>
        <w:spacing w:after="0" w:line="360" w:lineRule="auto"/>
        <w:jc w:val="both"/>
        <w:rPr>
          <w:rFonts w:ascii="Arial" w:hAnsi="Arial" w:cs="Arial"/>
          <w:lang w:val="es-ES"/>
        </w:rPr>
      </w:pPr>
      <w:r w:rsidRPr="000E0AC5">
        <w:rPr>
          <w:rFonts w:ascii="Arial" w:hAnsi="Arial" w:cs="Arial"/>
          <w:lang w:val="es-ES"/>
        </w:rPr>
        <w:t>Conclusiones</w:t>
      </w:r>
    </w:p>
    <w:p w:rsidRPr="000E0AC5" w:rsidR="008D37C1" w:rsidP="00C01DE3" w:rsidRDefault="008D37C1" w14:paraId="75A809E7" w14:textId="77777777">
      <w:pPr>
        <w:pStyle w:val="ColorfulList-Accent11"/>
        <w:spacing w:after="0" w:line="360" w:lineRule="auto"/>
        <w:ind w:left="1440"/>
        <w:jc w:val="both"/>
        <w:rPr>
          <w:rFonts w:ascii="Arial" w:hAnsi="Arial" w:cs="Arial"/>
          <w:lang w:val="es-ES"/>
        </w:rPr>
      </w:pPr>
    </w:p>
    <w:p w:rsidRPr="000E0AC5" w:rsidR="001B5186" w:rsidP="001B5186" w:rsidRDefault="001B5186" w14:paraId="4A90D748" w14:textId="77777777">
      <w:pPr>
        <w:pStyle w:val="ColorfulList-Accent11"/>
        <w:spacing w:after="0" w:line="360" w:lineRule="auto"/>
        <w:ind w:left="360"/>
        <w:jc w:val="both"/>
        <w:rPr>
          <w:rFonts w:ascii="Arial" w:hAnsi="Arial" w:cs="Arial"/>
          <w:lang w:val="es-ES"/>
        </w:rPr>
      </w:pPr>
    </w:p>
    <w:p w:rsidR="001B5186" w:rsidP="001B5186" w:rsidRDefault="005E32C3" w14:paraId="319FC271" w14:textId="594DC4A2">
      <w:pPr>
        <w:pStyle w:val="ColorfulList-Accent11"/>
        <w:spacing w:after="0" w:line="360" w:lineRule="auto"/>
        <w:ind w:left="360"/>
        <w:jc w:val="both"/>
        <w:rPr>
          <w:rFonts w:ascii="Arial" w:hAnsi="Arial" w:cs="Arial"/>
          <w:lang w:val="es-ES"/>
        </w:rPr>
      </w:pPr>
      <w:r w:rsidRPr="000E0AC5">
        <w:rPr>
          <w:rFonts w:ascii="Arial" w:hAnsi="Arial" w:cs="Arial"/>
          <w:lang w:val="es-ES"/>
        </w:rPr>
        <w:t>Referencias</w:t>
      </w:r>
    </w:p>
    <w:p w:rsidR="00F45D0C" w:rsidP="001B5186" w:rsidRDefault="00F45D0C" w14:paraId="42E47DAD" w14:textId="77777777">
      <w:pPr>
        <w:pStyle w:val="ColorfulList-Accent11"/>
        <w:spacing w:after="0" w:line="360" w:lineRule="auto"/>
        <w:ind w:left="360"/>
        <w:jc w:val="both"/>
        <w:rPr>
          <w:rFonts w:ascii="Arial" w:hAnsi="Arial" w:cs="Arial"/>
          <w:lang w:val="es-ES"/>
        </w:rPr>
      </w:pPr>
    </w:p>
    <w:p w:rsidR="005C4B7B" w:rsidP="001B5186" w:rsidRDefault="005C4B7B" w14:paraId="60B2DB58" w14:textId="4895B3B5">
      <w:pPr>
        <w:pStyle w:val="ColorfulList-Accent11"/>
        <w:spacing w:after="0" w:line="360" w:lineRule="auto"/>
        <w:ind w:left="360"/>
        <w:jc w:val="both"/>
        <w:rPr>
          <w:rFonts w:ascii="Arial" w:hAnsi="Arial" w:cs="Arial"/>
          <w:lang w:val="es-ES"/>
        </w:rPr>
      </w:pPr>
    </w:p>
    <w:p w:rsidR="005C4B7B" w:rsidP="001B5186" w:rsidRDefault="005C4B7B" w14:paraId="321C0072" w14:textId="7749D925">
      <w:pPr>
        <w:pStyle w:val="ColorfulList-Accent11"/>
        <w:spacing w:after="0" w:line="360" w:lineRule="auto"/>
        <w:ind w:left="360"/>
        <w:jc w:val="both"/>
        <w:rPr>
          <w:rFonts w:ascii="Arial" w:hAnsi="Arial" w:cs="Arial"/>
          <w:lang w:val="es-ES"/>
        </w:rPr>
      </w:pPr>
    </w:p>
    <w:p w:rsidR="005C4B7B" w:rsidP="001B5186" w:rsidRDefault="005C4B7B" w14:paraId="671C686F" w14:textId="47DF5E3D">
      <w:pPr>
        <w:pStyle w:val="ColorfulList-Accent11"/>
        <w:spacing w:after="0" w:line="360" w:lineRule="auto"/>
        <w:ind w:left="360"/>
        <w:jc w:val="both"/>
        <w:rPr>
          <w:rFonts w:ascii="Arial" w:hAnsi="Arial" w:cs="Arial"/>
          <w:lang w:val="es-ES"/>
        </w:rPr>
      </w:pPr>
    </w:p>
    <w:p w:rsidR="005C4B7B" w:rsidP="001B5186" w:rsidRDefault="005C4B7B" w14:paraId="5F2F23EC" w14:textId="2E8205CD">
      <w:pPr>
        <w:pStyle w:val="ColorfulList-Accent11"/>
        <w:spacing w:after="0" w:line="360" w:lineRule="auto"/>
        <w:ind w:left="360"/>
        <w:jc w:val="both"/>
        <w:rPr>
          <w:rFonts w:ascii="Arial" w:hAnsi="Arial" w:cs="Arial"/>
          <w:lang w:val="es-ES"/>
        </w:rPr>
      </w:pPr>
    </w:p>
    <w:p w:rsidR="005C4B7B" w:rsidP="001B5186" w:rsidRDefault="005C4B7B" w14:paraId="4D2566FC" w14:textId="2EEC9F66">
      <w:pPr>
        <w:pStyle w:val="ColorfulList-Accent11"/>
        <w:spacing w:after="0" w:line="360" w:lineRule="auto"/>
        <w:ind w:left="360"/>
        <w:jc w:val="both"/>
        <w:rPr>
          <w:rFonts w:ascii="Arial" w:hAnsi="Arial" w:cs="Arial"/>
          <w:lang w:val="es-ES"/>
        </w:rPr>
      </w:pPr>
    </w:p>
    <w:p w:rsidR="005C4B7B" w:rsidP="001B5186" w:rsidRDefault="005C4B7B" w14:paraId="46ABDB54" w14:textId="4A0A0619">
      <w:pPr>
        <w:pStyle w:val="ColorfulList-Accent11"/>
        <w:spacing w:after="0" w:line="360" w:lineRule="auto"/>
        <w:ind w:left="360"/>
        <w:jc w:val="both"/>
        <w:rPr>
          <w:rFonts w:ascii="Arial" w:hAnsi="Arial" w:cs="Arial"/>
          <w:lang w:val="es-ES"/>
        </w:rPr>
      </w:pPr>
    </w:p>
    <w:p w:rsidR="005C4B7B" w:rsidP="001B5186" w:rsidRDefault="005C4B7B" w14:paraId="7D98CC16" w14:textId="69DA747B">
      <w:pPr>
        <w:pStyle w:val="ColorfulList-Accent11"/>
        <w:spacing w:after="0" w:line="360" w:lineRule="auto"/>
        <w:ind w:left="360"/>
        <w:jc w:val="both"/>
        <w:rPr>
          <w:rFonts w:ascii="Arial" w:hAnsi="Arial" w:cs="Arial"/>
          <w:lang w:val="es-ES"/>
        </w:rPr>
      </w:pPr>
    </w:p>
    <w:p w:rsidR="005C4B7B" w:rsidP="001B5186" w:rsidRDefault="005C4B7B" w14:paraId="7CB382B3" w14:textId="0DA9FC13">
      <w:pPr>
        <w:pStyle w:val="ColorfulList-Accent11"/>
        <w:spacing w:after="0" w:line="360" w:lineRule="auto"/>
        <w:ind w:left="360"/>
        <w:jc w:val="both"/>
        <w:rPr>
          <w:rFonts w:ascii="Arial" w:hAnsi="Arial" w:cs="Arial"/>
          <w:lang w:val="es-ES"/>
        </w:rPr>
      </w:pPr>
    </w:p>
    <w:p w:rsidR="005C4B7B" w:rsidP="001B5186" w:rsidRDefault="005C4B7B" w14:paraId="4D381FDF" w14:textId="7D2B85F9">
      <w:pPr>
        <w:pStyle w:val="ColorfulList-Accent11"/>
        <w:spacing w:after="0" w:line="360" w:lineRule="auto"/>
        <w:ind w:left="360"/>
        <w:jc w:val="both"/>
        <w:rPr>
          <w:rFonts w:ascii="Arial" w:hAnsi="Arial" w:cs="Arial"/>
          <w:lang w:val="es-ES"/>
        </w:rPr>
      </w:pPr>
    </w:p>
    <w:p w:rsidR="005C4B7B" w:rsidP="001B5186" w:rsidRDefault="005C4B7B" w14:paraId="09BFAB1B" w14:textId="1913D1D9">
      <w:pPr>
        <w:pStyle w:val="ColorfulList-Accent11"/>
        <w:spacing w:after="0" w:line="360" w:lineRule="auto"/>
        <w:ind w:left="360"/>
        <w:jc w:val="both"/>
        <w:rPr>
          <w:rFonts w:ascii="Arial" w:hAnsi="Arial" w:cs="Arial"/>
          <w:lang w:val="es-ES"/>
        </w:rPr>
      </w:pPr>
    </w:p>
    <w:p w:rsidR="005C4B7B" w:rsidP="001B5186" w:rsidRDefault="005C4B7B" w14:paraId="28663DA9" w14:textId="75584F56">
      <w:pPr>
        <w:pStyle w:val="ColorfulList-Accent11"/>
        <w:spacing w:after="0" w:line="360" w:lineRule="auto"/>
        <w:ind w:left="360"/>
        <w:jc w:val="both"/>
        <w:rPr>
          <w:rFonts w:ascii="Arial" w:hAnsi="Arial" w:cs="Arial"/>
          <w:lang w:val="es-ES"/>
        </w:rPr>
      </w:pPr>
    </w:p>
    <w:p w:rsidR="005C4B7B" w:rsidP="00604BC1" w:rsidRDefault="005C4B7B" w14:paraId="5852B7DC" w14:textId="7C423CFE">
      <w:pPr>
        <w:spacing w:after="0" w:line="240" w:lineRule="auto"/>
        <w:jc w:val="center"/>
        <w:rPr>
          <w:rFonts w:ascii="Arial" w:hAnsi="Arial" w:cs="Arial"/>
          <w:lang w:val="es-ES"/>
        </w:rPr>
      </w:pPr>
      <w:r w:rsidRPr="005C4B7B">
        <w:rPr>
          <w:rFonts w:ascii="Arial" w:hAnsi="Arial" w:cs="Arial"/>
          <w:b/>
          <w:lang w:val="es-ES"/>
        </w:rPr>
        <w:br w:type="page"/>
      </w:r>
    </w:p>
    <w:p w:rsidRPr="000E0AC5" w:rsidR="001B5186" w:rsidP="0019318D" w:rsidRDefault="00DA0BE3" w14:paraId="6CAEB90B" w14:textId="77777777">
      <w:pPr>
        <w:pStyle w:val="ColorfulList-Accent11"/>
        <w:numPr>
          <w:ilvl w:val="0"/>
          <w:numId w:val="2"/>
        </w:numPr>
        <w:spacing w:after="0" w:line="360" w:lineRule="auto"/>
        <w:ind w:left="720" w:hanging="578"/>
        <w:jc w:val="both"/>
        <w:rPr>
          <w:rFonts w:ascii="Arial" w:hAnsi="Arial" w:cs="Arial"/>
          <w:b/>
          <w:lang w:val="es-ES"/>
        </w:rPr>
      </w:pPr>
      <w:r w:rsidRPr="000E0AC5">
        <w:rPr>
          <w:rFonts w:ascii="Arial" w:hAnsi="Arial" w:cs="Arial"/>
          <w:b/>
          <w:lang w:val="es-ES"/>
        </w:rPr>
        <w:lastRenderedPageBreak/>
        <w:t>Introducción</w:t>
      </w:r>
    </w:p>
    <w:p w:rsidRPr="000E0AC5" w:rsidR="001B5186" w:rsidP="001B5186" w:rsidRDefault="001B5186" w14:paraId="05FDBDD5" w14:textId="77777777">
      <w:pPr>
        <w:pStyle w:val="ColorfulList-Accent11"/>
        <w:spacing w:after="0" w:line="360" w:lineRule="auto"/>
        <w:jc w:val="both"/>
        <w:rPr>
          <w:rFonts w:ascii="Arial" w:hAnsi="Arial" w:cs="Arial"/>
          <w:b/>
          <w:lang w:val="es-ES"/>
        </w:rPr>
      </w:pPr>
    </w:p>
    <w:p w:rsidRPr="000E0AC5" w:rsidR="00085551" w:rsidP="006A3FEB" w:rsidRDefault="00085551" w14:paraId="726837F8" w14:textId="5A988BA2">
      <w:pPr>
        <w:pStyle w:val="ListParagraph"/>
        <w:numPr>
          <w:ilvl w:val="1"/>
          <w:numId w:val="4"/>
        </w:numPr>
        <w:spacing w:after="240" w:line="360" w:lineRule="auto"/>
        <w:jc w:val="both"/>
        <w:rPr>
          <w:rFonts w:ascii="Arial" w:hAnsi="Arial" w:eastAsia="Times New Roman" w:cs="Arial"/>
          <w:color w:val="000000"/>
          <w:lang w:val="es-ES"/>
        </w:rPr>
      </w:pPr>
      <w:r w:rsidRPr="000E0AC5">
        <w:rPr>
          <w:rFonts w:ascii="Arial" w:hAnsi="Arial" w:eastAsia="Times New Roman" w:cs="Arial"/>
          <w:color w:val="000000"/>
          <w:lang w:val="es-ES"/>
        </w:rPr>
        <w:t>Este documento presenta un análisis económico del Programa de Seguridad Ciudadana y Prevención de Violencia (CR-L1137) en Cost</w:t>
      </w:r>
      <w:r w:rsidR="0019318D">
        <w:rPr>
          <w:rFonts w:ascii="Arial" w:hAnsi="Arial" w:eastAsia="Times New Roman" w:cs="Arial"/>
          <w:color w:val="000000"/>
          <w:lang w:val="es-ES"/>
        </w:rPr>
        <w:t>a</w:t>
      </w:r>
      <w:r w:rsidRPr="000E0AC5">
        <w:rPr>
          <w:rFonts w:ascii="Arial" w:hAnsi="Arial" w:eastAsia="Times New Roman" w:cs="Arial"/>
          <w:color w:val="000000"/>
          <w:lang w:val="es-ES"/>
        </w:rPr>
        <w:t xml:space="preserve"> Rica, previo a la puesta en marcha del Programa. Para realizar el análisis de costo-beneficio </w:t>
      </w:r>
      <w:proofErr w:type="spellStart"/>
      <w:r w:rsidRPr="000E0AC5">
        <w:rPr>
          <w:rFonts w:ascii="Arial" w:hAnsi="Arial" w:eastAsia="Times New Roman" w:cs="Arial"/>
          <w:color w:val="000000"/>
          <w:lang w:val="es-ES"/>
        </w:rPr>
        <w:t>ex-ante</w:t>
      </w:r>
      <w:proofErr w:type="spellEnd"/>
      <w:r w:rsidRPr="000E0AC5">
        <w:rPr>
          <w:rFonts w:ascii="Arial" w:hAnsi="Arial" w:eastAsia="Times New Roman" w:cs="Arial"/>
          <w:color w:val="000000"/>
          <w:lang w:val="es-ES"/>
        </w:rPr>
        <w:t xml:space="preserve"> se utiliza una serie de supuestos sustentados en los datos históricos de ciertas variables, así como de la evidencia empírica obtenida en evaluaciones de impacto de programas similares que se han implementado en otros países. Para considerar escenarios alternativos también se lleva a cabo un análisis de sensibilidad cambiando el valor de ciertos parámetros.</w:t>
      </w:r>
    </w:p>
    <w:p w:rsidR="00085551" w:rsidP="006A3FEB" w:rsidRDefault="00085551" w14:paraId="233809A6" w14:textId="78318496">
      <w:pPr>
        <w:pStyle w:val="ListParagraph"/>
        <w:numPr>
          <w:ilvl w:val="1"/>
          <w:numId w:val="4"/>
        </w:numPr>
        <w:spacing w:after="240" w:line="360" w:lineRule="auto"/>
        <w:jc w:val="both"/>
        <w:rPr>
          <w:rFonts w:ascii="Arial" w:hAnsi="Arial" w:eastAsia="Times New Roman" w:cs="Arial"/>
          <w:color w:val="000000"/>
          <w:lang w:val="es-ES"/>
        </w:rPr>
      </w:pPr>
      <w:r w:rsidRPr="000E0AC5">
        <w:rPr>
          <w:rFonts w:ascii="Arial" w:hAnsi="Arial" w:eastAsia="Times New Roman" w:cs="Arial"/>
          <w:color w:val="000000"/>
          <w:lang w:val="es-ES"/>
        </w:rPr>
        <w:t xml:space="preserve"> El objetivo general del programa es contribuir a la disminución de los homicidios y delitos contra la propiedad (asaltos) en Costa Rica. Los objetivos específicos son: (i) mejorar la efectividad policial para prevenir el delito en los distritos priorizados; y (</w:t>
      </w:r>
      <w:proofErr w:type="spellStart"/>
      <w:r w:rsidRPr="000E0AC5">
        <w:rPr>
          <w:rFonts w:ascii="Arial" w:hAnsi="Arial" w:eastAsia="Times New Roman" w:cs="Arial"/>
          <w:color w:val="000000"/>
          <w:lang w:val="es-ES"/>
        </w:rPr>
        <w:t>ii</w:t>
      </w:r>
      <w:proofErr w:type="spellEnd"/>
      <w:r w:rsidRPr="000E0AC5">
        <w:rPr>
          <w:rFonts w:ascii="Arial" w:hAnsi="Arial" w:eastAsia="Times New Roman" w:cs="Arial"/>
          <w:color w:val="000000"/>
          <w:lang w:val="es-ES"/>
        </w:rPr>
        <w:t>) reducir los comportamientos delictivos de adolescentes y jóvenes vulnerables a la violencia en distritos con desventajas concentradas. El presupuesto total asignado es de $100 millones de dólares.</w:t>
      </w:r>
    </w:p>
    <w:p w:rsidR="00085551" w:rsidP="006A3FEB" w:rsidRDefault="00085551" w14:paraId="37D6F627" w14:textId="5F9876BC">
      <w:pPr>
        <w:pStyle w:val="ListParagraph"/>
        <w:numPr>
          <w:ilvl w:val="1"/>
          <w:numId w:val="4"/>
        </w:numPr>
        <w:spacing w:after="240" w:line="360" w:lineRule="auto"/>
        <w:jc w:val="both"/>
        <w:rPr>
          <w:rFonts w:ascii="Arial" w:hAnsi="Arial" w:eastAsia="Times New Roman" w:cs="Arial"/>
          <w:color w:val="000000"/>
          <w:lang w:val="es-ES"/>
        </w:rPr>
      </w:pPr>
      <w:r w:rsidRPr="000E0AC5">
        <w:rPr>
          <w:rFonts w:ascii="Arial" w:hAnsi="Arial" w:eastAsia="Times New Roman" w:cs="Arial"/>
          <w:color w:val="000000"/>
          <w:lang w:val="es-ES"/>
        </w:rPr>
        <w:t>Para efectos de este análisis se prevé que el proyecto</w:t>
      </w:r>
      <w:r w:rsidRPr="000E0AC5" w:rsidR="002A0624">
        <w:rPr>
          <w:rFonts w:ascii="Arial" w:hAnsi="Arial" w:eastAsia="Times New Roman" w:cs="Arial"/>
          <w:color w:val="000000"/>
          <w:lang w:val="es-ES"/>
        </w:rPr>
        <w:t xml:space="preserve"> inicie en 2020</w:t>
      </w:r>
      <w:r w:rsidRPr="000E0AC5">
        <w:rPr>
          <w:rFonts w:ascii="Arial" w:hAnsi="Arial" w:eastAsia="Times New Roman" w:cs="Arial"/>
          <w:color w:val="000000"/>
          <w:lang w:val="es-ES"/>
        </w:rPr>
        <w:t>, y que la inversión del proyecto se realice durante los primeros 5 años. Asimismo, para tomar en cuenta los efectos de largo plazo del Programa, los beneficios se estiman para</w:t>
      </w:r>
      <w:r w:rsidRPr="000E0AC5" w:rsidR="0033575C">
        <w:rPr>
          <w:rFonts w:ascii="Arial" w:hAnsi="Arial" w:eastAsia="Times New Roman" w:cs="Arial"/>
          <w:color w:val="000000"/>
          <w:lang w:val="es-ES"/>
        </w:rPr>
        <w:t xml:space="preserve"> un período</w:t>
      </w:r>
      <w:r w:rsidRPr="000E0AC5">
        <w:rPr>
          <w:rFonts w:ascii="Arial" w:hAnsi="Arial" w:eastAsia="Times New Roman" w:cs="Arial"/>
          <w:color w:val="000000"/>
          <w:lang w:val="es-ES"/>
        </w:rPr>
        <w:t xml:space="preserve"> </w:t>
      </w:r>
      <w:r w:rsidR="002C1A3D">
        <w:rPr>
          <w:rFonts w:ascii="Arial" w:hAnsi="Arial" w:eastAsia="Times New Roman" w:cs="Arial"/>
          <w:color w:val="000000"/>
          <w:lang w:val="es-ES"/>
        </w:rPr>
        <w:t xml:space="preserve">de </w:t>
      </w:r>
      <w:r w:rsidR="006372F5">
        <w:rPr>
          <w:rFonts w:ascii="Arial" w:hAnsi="Arial" w:eastAsia="Times New Roman" w:cs="Arial"/>
          <w:color w:val="000000"/>
          <w:lang w:val="es-ES"/>
        </w:rPr>
        <w:t>15</w:t>
      </w:r>
      <w:r w:rsidRPr="000E0AC5">
        <w:rPr>
          <w:rFonts w:ascii="Arial" w:hAnsi="Arial" w:eastAsia="Times New Roman" w:cs="Arial"/>
          <w:color w:val="000000"/>
          <w:lang w:val="es-ES"/>
        </w:rPr>
        <w:t xml:space="preserve"> años. </w:t>
      </w:r>
      <w:r w:rsidR="00E84B0D">
        <w:rPr>
          <w:rFonts w:ascii="Arial" w:hAnsi="Arial" w:eastAsia="Times New Roman" w:cs="Arial"/>
          <w:color w:val="000000"/>
          <w:lang w:val="es-ES"/>
        </w:rPr>
        <w:t>Con una tasa de descuento de 12%, e</w:t>
      </w:r>
      <w:r w:rsidRPr="000E0AC5">
        <w:rPr>
          <w:rFonts w:ascii="Arial" w:hAnsi="Arial" w:eastAsia="Times New Roman" w:cs="Arial"/>
          <w:color w:val="000000"/>
          <w:lang w:val="es-ES"/>
        </w:rPr>
        <w:t xml:space="preserve">l análisis de costo-beneficio </w:t>
      </w:r>
      <w:proofErr w:type="spellStart"/>
      <w:r w:rsidRPr="000E0AC5">
        <w:rPr>
          <w:rFonts w:ascii="Arial" w:hAnsi="Arial" w:eastAsia="Times New Roman" w:cs="Arial"/>
          <w:color w:val="000000"/>
          <w:lang w:val="es-ES"/>
        </w:rPr>
        <w:t>ex-ante</w:t>
      </w:r>
      <w:proofErr w:type="spellEnd"/>
      <w:r w:rsidRPr="000E0AC5">
        <w:rPr>
          <w:rFonts w:ascii="Arial" w:hAnsi="Arial" w:eastAsia="Times New Roman" w:cs="Arial"/>
          <w:color w:val="000000"/>
          <w:lang w:val="es-ES"/>
        </w:rPr>
        <w:t xml:space="preserve"> sugiere que el beneficio net</w:t>
      </w:r>
      <w:r w:rsidRPr="000E0AC5" w:rsidR="004F434F">
        <w:rPr>
          <w:rFonts w:ascii="Arial" w:hAnsi="Arial" w:eastAsia="Times New Roman" w:cs="Arial"/>
          <w:color w:val="000000"/>
          <w:lang w:val="es-ES"/>
        </w:rPr>
        <w:t>o del programa en el período 2020</w:t>
      </w:r>
      <w:r w:rsidRPr="000E0AC5" w:rsidR="0033575C">
        <w:rPr>
          <w:rFonts w:ascii="Arial" w:hAnsi="Arial" w:eastAsia="Times New Roman" w:cs="Arial"/>
          <w:color w:val="000000"/>
          <w:lang w:val="es-ES"/>
        </w:rPr>
        <w:t>-2038</w:t>
      </w:r>
      <w:r w:rsidR="003A4F35">
        <w:rPr>
          <w:rFonts w:ascii="Arial" w:hAnsi="Arial" w:eastAsia="Times New Roman" w:cs="Arial"/>
          <w:color w:val="000000"/>
          <w:lang w:val="es-ES"/>
        </w:rPr>
        <w:t xml:space="preserve"> oscila entre de </w:t>
      </w:r>
      <w:r w:rsidR="00304A06">
        <w:rPr>
          <w:rFonts w:ascii="Arial" w:hAnsi="Arial" w:eastAsia="Times New Roman" w:cs="Arial"/>
          <w:color w:val="000000"/>
          <w:lang w:val="es-ES"/>
        </w:rPr>
        <w:t>$</w:t>
      </w:r>
      <w:r w:rsidR="006E463F">
        <w:rPr>
          <w:rFonts w:ascii="Arial" w:hAnsi="Arial" w:eastAsia="Times New Roman" w:cs="Arial"/>
          <w:color w:val="000000"/>
          <w:lang w:val="es-ES"/>
        </w:rPr>
        <w:t>86.2</w:t>
      </w:r>
      <w:r w:rsidRPr="000E0AC5" w:rsidR="000D25EA">
        <w:rPr>
          <w:rFonts w:ascii="Arial" w:hAnsi="Arial" w:eastAsia="Times New Roman" w:cs="Arial"/>
          <w:color w:val="000000"/>
          <w:lang w:val="es-ES"/>
        </w:rPr>
        <w:t xml:space="preserve"> y $</w:t>
      </w:r>
      <w:r w:rsidR="001E1470">
        <w:rPr>
          <w:rFonts w:ascii="Arial" w:hAnsi="Arial" w:eastAsia="Times New Roman" w:cs="Arial"/>
          <w:color w:val="000000"/>
          <w:lang w:val="es-ES"/>
        </w:rPr>
        <w:t>1</w:t>
      </w:r>
      <w:r w:rsidR="000E0EE9">
        <w:rPr>
          <w:rFonts w:ascii="Arial" w:hAnsi="Arial" w:eastAsia="Times New Roman" w:cs="Arial"/>
          <w:color w:val="000000"/>
          <w:lang w:val="es-ES"/>
        </w:rPr>
        <w:t>4</w:t>
      </w:r>
      <w:r w:rsidR="006E463F">
        <w:rPr>
          <w:rFonts w:ascii="Arial" w:hAnsi="Arial" w:eastAsia="Times New Roman" w:cs="Arial"/>
          <w:color w:val="000000"/>
          <w:lang w:val="es-ES"/>
        </w:rPr>
        <w:t>3.5</w:t>
      </w:r>
      <w:r w:rsidRPr="000E0AC5">
        <w:rPr>
          <w:rFonts w:ascii="Arial" w:hAnsi="Arial" w:eastAsia="Times New Roman" w:cs="Arial"/>
          <w:color w:val="000000"/>
          <w:lang w:val="es-ES"/>
        </w:rPr>
        <w:t xml:space="preserve"> millones de dólares</w:t>
      </w:r>
      <w:r w:rsidRPr="000E0AC5" w:rsidR="000D25EA">
        <w:rPr>
          <w:rFonts w:ascii="Arial" w:hAnsi="Arial" w:eastAsia="Times New Roman" w:cs="Arial"/>
          <w:color w:val="000000"/>
          <w:lang w:val="es-ES"/>
        </w:rPr>
        <w:t>, lo</w:t>
      </w:r>
      <w:r w:rsidRPr="000E0AC5" w:rsidR="00C3294D">
        <w:rPr>
          <w:rFonts w:ascii="Arial" w:hAnsi="Arial" w:eastAsia="Times New Roman" w:cs="Arial"/>
          <w:color w:val="000000"/>
          <w:lang w:val="es-ES"/>
        </w:rPr>
        <w:t xml:space="preserve"> qu</w:t>
      </w:r>
      <w:r w:rsidRPr="000E0AC5" w:rsidR="00D30CBD">
        <w:rPr>
          <w:rFonts w:ascii="Arial" w:hAnsi="Arial" w:eastAsia="Times New Roman" w:cs="Arial"/>
          <w:color w:val="000000"/>
          <w:lang w:val="es-ES"/>
        </w:rPr>
        <w:t>e equivale a un rango de $</w:t>
      </w:r>
      <w:r w:rsidR="006C22BD">
        <w:rPr>
          <w:rFonts w:ascii="Arial" w:hAnsi="Arial" w:eastAsia="Times New Roman" w:cs="Arial"/>
          <w:color w:val="000000"/>
          <w:lang w:val="es-ES"/>
        </w:rPr>
        <w:t>1</w:t>
      </w:r>
      <w:r w:rsidR="000E0EE9">
        <w:rPr>
          <w:rFonts w:ascii="Arial" w:hAnsi="Arial" w:eastAsia="Times New Roman" w:cs="Arial"/>
          <w:color w:val="000000"/>
          <w:lang w:val="es-ES"/>
        </w:rPr>
        <w:t>7</w:t>
      </w:r>
      <w:r w:rsidR="006E463F">
        <w:rPr>
          <w:rFonts w:ascii="Arial" w:hAnsi="Arial" w:eastAsia="Times New Roman" w:cs="Arial"/>
          <w:color w:val="000000"/>
          <w:lang w:val="es-ES"/>
        </w:rPr>
        <w:t>8</w:t>
      </w:r>
      <w:r w:rsidR="00542EE8">
        <w:rPr>
          <w:rFonts w:ascii="Arial" w:hAnsi="Arial" w:eastAsia="Times New Roman" w:cs="Arial"/>
          <w:color w:val="000000"/>
          <w:lang w:val="es-ES"/>
        </w:rPr>
        <w:t xml:space="preserve"> y $</w:t>
      </w:r>
      <w:r w:rsidR="000E0EE9">
        <w:rPr>
          <w:rFonts w:ascii="Arial" w:hAnsi="Arial" w:eastAsia="Times New Roman" w:cs="Arial"/>
          <w:color w:val="000000"/>
          <w:lang w:val="es-ES"/>
        </w:rPr>
        <w:t>24</w:t>
      </w:r>
      <w:r w:rsidR="006E463F">
        <w:rPr>
          <w:rFonts w:ascii="Arial" w:hAnsi="Arial" w:eastAsia="Times New Roman" w:cs="Arial"/>
          <w:color w:val="000000"/>
          <w:lang w:val="es-ES"/>
        </w:rPr>
        <w:t>7.2</w:t>
      </w:r>
      <w:r w:rsidRPr="000E0AC5" w:rsidR="000D25EA">
        <w:rPr>
          <w:rFonts w:ascii="Arial" w:hAnsi="Arial" w:eastAsia="Times New Roman" w:cs="Arial"/>
          <w:color w:val="000000"/>
          <w:lang w:val="es-ES"/>
        </w:rPr>
        <w:t xml:space="preserve"> dólares por beneficiario</w:t>
      </w:r>
      <w:r w:rsidRPr="000E0AC5">
        <w:rPr>
          <w:rFonts w:ascii="Arial" w:hAnsi="Arial" w:eastAsia="Times New Roman" w:cs="Arial"/>
          <w:color w:val="000000"/>
          <w:lang w:val="es-ES"/>
        </w:rPr>
        <w:t xml:space="preserve">. Por su parte, </w:t>
      </w:r>
      <w:r w:rsidRPr="000E0AC5" w:rsidR="00486824">
        <w:rPr>
          <w:rFonts w:ascii="Arial" w:hAnsi="Arial" w:eastAsia="Times New Roman" w:cs="Arial"/>
          <w:color w:val="000000"/>
          <w:lang w:val="es-ES"/>
        </w:rPr>
        <w:t>la razón</w:t>
      </w:r>
      <w:r w:rsidRPr="000E0AC5">
        <w:rPr>
          <w:rFonts w:ascii="Arial" w:hAnsi="Arial" w:eastAsia="Times New Roman" w:cs="Arial"/>
          <w:color w:val="000000"/>
          <w:lang w:val="es-ES"/>
        </w:rPr>
        <w:t xml:space="preserve"> de beneficio</w:t>
      </w:r>
      <w:r w:rsidRPr="000E0AC5" w:rsidR="00486824">
        <w:rPr>
          <w:rFonts w:ascii="Arial" w:hAnsi="Arial" w:eastAsia="Times New Roman" w:cs="Arial"/>
          <w:color w:val="000000"/>
          <w:lang w:val="es-ES"/>
        </w:rPr>
        <w:t>-costo</w:t>
      </w:r>
      <w:r w:rsidRPr="000E0AC5">
        <w:rPr>
          <w:rFonts w:ascii="Arial" w:hAnsi="Arial" w:eastAsia="Times New Roman" w:cs="Arial"/>
          <w:color w:val="000000"/>
          <w:lang w:val="es-ES"/>
        </w:rPr>
        <w:t xml:space="preserve"> del programa oscila </w:t>
      </w:r>
      <w:r w:rsidRPr="000E0AC5" w:rsidR="00C3606F">
        <w:rPr>
          <w:rFonts w:ascii="Arial" w:hAnsi="Arial" w:eastAsia="Times New Roman" w:cs="Arial"/>
          <w:color w:val="000000"/>
          <w:lang w:val="es-ES"/>
        </w:rPr>
        <w:t>entre $</w:t>
      </w:r>
      <w:r w:rsidR="000E0EE9">
        <w:rPr>
          <w:rFonts w:ascii="Arial" w:hAnsi="Arial" w:eastAsia="Times New Roman" w:cs="Arial"/>
          <w:color w:val="000000"/>
          <w:lang w:val="es-ES"/>
        </w:rPr>
        <w:t>2.</w:t>
      </w:r>
      <w:r w:rsidR="006E463F">
        <w:rPr>
          <w:rFonts w:ascii="Arial" w:hAnsi="Arial" w:eastAsia="Times New Roman" w:cs="Arial"/>
          <w:color w:val="000000"/>
          <w:lang w:val="es-ES"/>
        </w:rPr>
        <w:t>11</w:t>
      </w:r>
      <w:r w:rsidRPr="000E0AC5" w:rsidR="00774095">
        <w:rPr>
          <w:rFonts w:ascii="Arial" w:hAnsi="Arial" w:eastAsia="Times New Roman" w:cs="Arial"/>
          <w:color w:val="000000"/>
          <w:lang w:val="es-ES"/>
        </w:rPr>
        <w:t xml:space="preserve"> y $</w:t>
      </w:r>
      <w:r w:rsidR="001E1470">
        <w:rPr>
          <w:rFonts w:ascii="Arial" w:hAnsi="Arial" w:eastAsia="Times New Roman" w:cs="Arial"/>
          <w:color w:val="000000"/>
          <w:lang w:val="es-ES"/>
        </w:rPr>
        <w:t>2.</w:t>
      </w:r>
      <w:r w:rsidR="000E0EE9">
        <w:rPr>
          <w:rFonts w:ascii="Arial" w:hAnsi="Arial" w:eastAsia="Times New Roman" w:cs="Arial"/>
          <w:color w:val="000000"/>
          <w:lang w:val="es-ES"/>
        </w:rPr>
        <w:t>8</w:t>
      </w:r>
      <w:r w:rsidR="006E463F">
        <w:rPr>
          <w:rFonts w:ascii="Arial" w:hAnsi="Arial" w:eastAsia="Times New Roman" w:cs="Arial"/>
          <w:color w:val="000000"/>
          <w:lang w:val="es-ES"/>
        </w:rPr>
        <w:t>4</w:t>
      </w:r>
      <w:r w:rsidR="006C22BD">
        <w:rPr>
          <w:rFonts w:ascii="Arial" w:hAnsi="Arial" w:eastAsia="Times New Roman" w:cs="Arial"/>
          <w:color w:val="000000"/>
          <w:lang w:val="es-ES"/>
        </w:rPr>
        <w:t xml:space="preserve"> </w:t>
      </w:r>
      <w:r w:rsidRPr="000E0AC5">
        <w:rPr>
          <w:rFonts w:ascii="Arial" w:hAnsi="Arial" w:eastAsia="Times New Roman" w:cs="Arial"/>
          <w:color w:val="000000"/>
          <w:lang w:val="es-ES"/>
        </w:rPr>
        <w:t xml:space="preserve">dólares por dólar invertido, y la tasa interna de retorno (TIR) oscila entre </w:t>
      </w:r>
      <w:r w:rsidR="00304A06">
        <w:rPr>
          <w:rFonts w:ascii="Arial" w:hAnsi="Arial" w:eastAsia="Times New Roman" w:cs="Arial"/>
          <w:color w:val="000000"/>
          <w:lang w:val="es-ES"/>
        </w:rPr>
        <w:t>1</w:t>
      </w:r>
      <w:r w:rsidR="006E463F">
        <w:rPr>
          <w:rFonts w:ascii="Arial" w:hAnsi="Arial" w:eastAsia="Times New Roman" w:cs="Arial"/>
          <w:color w:val="000000"/>
          <w:lang w:val="es-ES"/>
        </w:rPr>
        <w:t>4</w:t>
      </w:r>
      <w:r w:rsidR="003A4F35">
        <w:rPr>
          <w:rFonts w:ascii="Arial" w:hAnsi="Arial" w:eastAsia="Times New Roman" w:cs="Arial"/>
          <w:color w:val="000000"/>
          <w:lang w:val="es-ES"/>
        </w:rPr>
        <w:t xml:space="preserve">% y </w:t>
      </w:r>
      <w:r w:rsidR="000E0EE9">
        <w:rPr>
          <w:rFonts w:ascii="Arial" w:hAnsi="Arial" w:eastAsia="Times New Roman" w:cs="Arial"/>
          <w:color w:val="000000"/>
          <w:lang w:val="es-ES"/>
        </w:rPr>
        <w:t>2</w:t>
      </w:r>
      <w:r w:rsidR="006E463F">
        <w:rPr>
          <w:rFonts w:ascii="Arial" w:hAnsi="Arial" w:eastAsia="Times New Roman" w:cs="Arial"/>
          <w:color w:val="000000"/>
          <w:lang w:val="es-ES"/>
        </w:rPr>
        <w:t>2.4</w:t>
      </w:r>
      <w:r w:rsidRPr="000E0AC5">
        <w:rPr>
          <w:rFonts w:ascii="Arial" w:hAnsi="Arial" w:eastAsia="Times New Roman" w:cs="Arial"/>
          <w:color w:val="000000"/>
          <w:lang w:val="es-ES"/>
        </w:rPr>
        <w:t>%.</w:t>
      </w:r>
    </w:p>
    <w:p w:rsidRPr="000E0AC5" w:rsidR="001B5186" w:rsidP="00E42E98" w:rsidRDefault="00085551" w14:paraId="4CAE0FA2" w14:textId="77777777">
      <w:pPr>
        <w:pStyle w:val="ColorfulList-Accent11"/>
        <w:numPr>
          <w:ilvl w:val="0"/>
          <w:numId w:val="2"/>
        </w:numPr>
        <w:spacing w:after="0" w:line="360" w:lineRule="auto"/>
        <w:ind w:left="720" w:hanging="578"/>
        <w:jc w:val="both"/>
        <w:rPr>
          <w:rFonts w:ascii="Arial" w:hAnsi="Arial" w:cs="Arial"/>
          <w:b/>
          <w:lang w:val="es-ES"/>
        </w:rPr>
      </w:pPr>
      <w:r w:rsidRPr="000E0AC5">
        <w:rPr>
          <w:rFonts w:ascii="Arial" w:hAnsi="Arial" w:cs="Arial"/>
          <w:b/>
          <w:lang w:val="es-ES"/>
        </w:rPr>
        <w:t>Descripción del Programa</w:t>
      </w:r>
    </w:p>
    <w:p w:rsidRPr="000E0AC5" w:rsidR="001B5186" w:rsidP="001B5186" w:rsidRDefault="001B5186" w14:paraId="4C9A8F0B" w14:textId="77777777">
      <w:pPr>
        <w:pStyle w:val="ColorfulList-Accent11"/>
        <w:spacing w:after="0" w:line="360" w:lineRule="auto"/>
        <w:ind w:left="1080"/>
        <w:jc w:val="both"/>
        <w:rPr>
          <w:rFonts w:ascii="Arial" w:hAnsi="Arial" w:cs="Arial"/>
          <w:b/>
          <w:lang w:val="es-ES"/>
        </w:rPr>
      </w:pPr>
    </w:p>
    <w:p w:rsidRPr="000E0AC5" w:rsidR="00085551" w:rsidP="006A3FEB" w:rsidRDefault="00085551" w14:paraId="606E86FD" w14:textId="7986CC02">
      <w:pPr>
        <w:numPr>
          <w:ilvl w:val="1"/>
          <w:numId w:val="5"/>
        </w:numPr>
        <w:spacing w:after="240" w:line="360" w:lineRule="auto"/>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contraste con la tendencia observada en el resto de </w:t>
      </w:r>
      <w:r w:rsidRPr="000E0AC5" w:rsidR="00EF01A4">
        <w:rPr>
          <w:rFonts w:ascii="Arial" w:hAnsi="Arial" w:eastAsia="Times New Roman" w:cs="Arial"/>
          <w:color w:val="000000"/>
          <w:lang w:val="es-ES"/>
        </w:rPr>
        <w:t>los países</w:t>
      </w:r>
      <w:r w:rsidRPr="000E0AC5">
        <w:rPr>
          <w:rFonts w:ascii="Arial" w:hAnsi="Arial" w:eastAsia="Times New Roman" w:cs="Arial"/>
          <w:color w:val="000000"/>
          <w:lang w:val="es-ES"/>
        </w:rPr>
        <w:t xml:space="preserve"> de América Latina, y, en particular, </w:t>
      </w:r>
      <w:r w:rsidRPr="000E0AC5" w:rsidR="0094168F">
        <w:rPr>
          <w:rFonts w:ascii="Arial" w:hAnsi="Arial" w:eastAsia="Times New Roman" w:cs="Arial"/>
          <w:color w:val="000000"/>
          <w:lang w:val="es-ES"/>
        </w:rPr>
        <w:t>en</w:t>
      </w:r>
      <w:r w:rsidRPr="000E0AC5">
        <w:rPr>
          <w:rFonts w:ascii="Arial" w:hAnsi="Arial" w:eastAsia="Times New Roman" w:cs="Arial"/>
          <w:color w:val="000000"/>
          <w:lang w:val="es-ES"/>
        </w:rPr>
        <w:t xml:space="preserve"> los países del Triángulo del Norte de Centroamérica, en el pasado Costa Rica había mostrado una incidencia del crimen relativamente baja. No obstante, a partir de los años 90, el país comenzó a mostrar un alza en dichos índices, de tal manera que entre 1985 y 2003, la tasa de delitos aumentó en 116.8%. Sin embargo, en 2007 se produce un punto de inflexión, ya que la tasa de homicidios alcanzó 11.5 por 100 habitantes, el registro </w:t>
      </w:r>
      <w:r w:rsidRPr="000E0AC5">
        <w:rPr>
          <w:rFonts w:ascii="Arial" w:hAnsi="Arial" w:eastAsia="Times New Roman" w:cs="Arial"/>
          <w:color w:val="000000"/>
          <w:lang w:val="es-ES"/>
        </w:rPr>
        <w:lastRenderedPageBreak/>
        <w:t>más elevado en la historia a esa fecha, pasando el límite de 10 establecido por la Organización Mundial de la Salud para considerar al homicidio una epidemia.</w:t>
      </w:r>
    </w:p>
    <w:p w:rsidRPr="000E0AC5" w:rsidR="00085551" w:rsidP="00085551" w:rsidRDefault="00085551" w14:paraId="0B3D8AA1" w14:textId="77777777">
      <w:pPr>
        <w:spacing w:after="240" w:line="360" w:lineRule="auto"/>
        <w:ind w:left="360" w:hanging="36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2.2 La </w:t>
      </w:r>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 REF _Ref531254987 \h  \* MERGEFORMAT </w:instrText>
      </w:r>
      <w:r w:rsidRPr="000E0AC5">
        <w:rPr>
          <w:rFonts w:ascii="Arial" w:hAnsi="Arial" w:eastAsia="Times New Roman" w:cs="Arial"/>
          <w:color w:val="000000"/>
          <w:lang w:val="es-ES"/>
        </w:rPr>
      </w:r>
      <w:r w:rsidRPr="000E0AC5">
        <w:rPr>
          <w:rFonts w:ascii="Arial" w:hAnsi="Arial" w:eastAsia="Times New Roman" w:cs="Arial"/>
          <w:color w:val="000000"/>
          <w:lang w:val="es-ES"/>
        </w:rPr>
        <w:fldChar w:fldCharType="separate"/>
      </w:r>
      <w:r w:rsidRPr="000E0AC5">
        <w:rPr>
          <w:rFonts w:ascii="Arial" w:hAnsi="Arial" w:eastAsia="Times New Roman" w:cs="Arial"/>
          <w:color w:val="000000"/>
          <w:lang w:val="es-ES"/>
        </w:rPr>
        <w:t>Gráfica 1</w:t>
      </w:r>
      <w:r w:rsidRPr="000E0AC5">
        <w:rPr>
          <w:rFonts w:ascii="Arial" w:hAnsi="Arial" w:eastAsia="Times New Roman" w:cs="Arial"/>
          <w:color w:val="000000"/>
          <w:lang w:val="es-ES"/>
        </w:rPr>
        <w:fldChar w:fldCharType="end"/>
      </w:r>
      <w:r w:rsidRPr="000E0AC5">
        <w:rPr>
          <w:rFonts w:ascii="Arial" w:hAnsi="Arial" w:eastAsia="Times New Roman" w:cs="Arial"/>
          <w:color w:val="000000"/>
          <w:lang w:val="es-ES"/>
        </w:rPr>
        <w:t xml:space="preserve"> presenta la tasa de variación anual para las tasas de desempleo y de homicidios para el período 2004-2017. Los datos muestran una asociación positiva entre el ciclo de la tasa de desempleo y el comportamiento de los homicidios –en particular para la crisis económica se observa que ambas alcanzaron su punto máximo. Sin embargo, aunque las variables muestran un ciclo similar, a partir del 2010 los homicidios muestran un crecimiento más acelerado que el observado en la tasa de desempleo.</w:t>
      </w:r>
    </w:p>
    <w:p w:rsidRPr="000E0AC5" w:rsidR="000E74F4" w:rsidP="000E74F4" w:rsidRDefault="00085551" w14:paraId="52FBF97C" w14:textId="77777777">
      <w:pPr>
        <w:pStyle w:val="ColorfulList-Accent11"/>
        <w:spacing w:after="0" w:line="360" w:lineRule="auto"/>
        <w:jc w:val="center"/>
        <w:rPr>
          <w:rFonts w:ascii="Arial" w:hAnsi="Arial" w:cs="Arial"/>
          <w:sz w:val="20"/>
          <w:szCs w:val="20"/>
          <w:lang w:val="es-ES"/>
        </w:rPr>
      </w:pPr>
      <w:bookmarkStart w:name="_Ref531254987" w:id="1"/>
      <w:r w:rsidRPr="000E0AC5">
        <w:rPr>
          <w:rFonts w:ascii="Arial" w:hAnsi="Arial" w:cs="Arial"/>
          <w:sz w:val="20"/>
          <w:szCs w:val="20"/>
          <w:lang w:val="es-ES"/>
        </w:rPr>
        <w:t xml:space="preserve">Gráfica </w:t>
      </w:r>
      <w:r w:rsidRPr="000E0AC5">
        <w:rPr>
          <w:rFonts w:ascii="Arial" w:hAnsi="Arial" w:cs="Arial"/>
          <w:sz w:val="20"/>
          <w:szCs w:val="20"/>
          <w:lang w:val="es-ES"/>
        </w:rPr>
        <w:fldChar w:fldCharType="begin"/>
      </w:r>
      <w:r w:rsidRPr="000E0AC5">
        <w:rPr>
          <w:rFonts w:ascii="Arial" w:hAnsi="Arial" w:cs="Arial"/>
          <w:sz w:val="20"/>
          <w:szCs w:val="20"/>
          <w:lang w:val="es-ES"/>
        </w:rPr>
        <w:instrText xml:space="preserve"> SEQ Gráfica \* ARABIC </w:instrText>
      </w:r>
      <w:r w:rsidRPr="000E0AC5">
        <w:rPr>
          <w:rFonts w:ascii="Arial" w:hAnsi="Arial" w:cs="Arial"/>
          <w:sz w:val="20"/>
          <w:szCs w:val="20"/>
          <w:lang w:val="es-ES"/>
        </w:rPr>
        <w:fldChar w:fldCharType="separate"/>
      </w:r>
      <w:r w:rsidRPr="000E0AC5">
        <w:rPr>
          <w:rFonts w:ascii="Arial" w:hAnsi="Arial" w:cs="Arial"/>
          <w:sz w:val="20"/>
          <w:szCs w:val="20"/>
          <w:lang w:val="es-ES"/>
        </w:rPr>
        <w:t>1</w:t>
      </w:r>
      <w:r w:rsidRPr="000E0AC5">
        <w:rPr>
          <w:rFonts w:ascii="Arial" w:hAnsi="Arial" w:cs="Arial"/>
          <w:sz w:val="20"/>
          <w:szCs w:val="20"/>
          <w:lang w:val="es-ES"/>
        </w:rPr>
        <w:fldChar w:fldCharType="end"/>
      </w:r>
      <w:bookmarkEnd w:id="1"/>
    </w:p>
    <w:p w:rsidRPr="000E0AC5" w:rsidR="00085551" w:rsidP="000E74F4" w:rsidRDefault="00085551" w14:paraId="279EF053" w14:textId="77777777">
      <w:pPr>
        <w:pStyle w:val="ColorfulList-Accent11"/>
        <w:spacing w:after="0" w:line="360" w:lineRule="auto"/>
        <w:jc w:val="center"/>
        <w:rPr>
          <w:rFonts w:ascii="Arial" w:hAnsi="Arial" w:cs="Arial"/>
          <w:sz w:val="20"/>
          <w:szCs w:val="20"/>
          <w:lang w:val="es-ES"/>
        </w:rPr>
      </w:pPr>
      <w:r w:rsidRPr="000E0AC5">
        <w:rPr>
          <w:rFonts w:ascii="Arial" w:hAnsi="Arial" w:cs="Arial"/>
          <w:sz w:val="20"/>
          <w:szCs w:val="20"/>
          <w:lang w:val="es-ES"/>
        </w:rPr>
        <w:t>Variación porcentual interanual de la tasa de homicidios y de desempleo, 2004-2017</w:t>
      </w:r>
    </w:p>
    <w:p w:rsidRPr="000E0AC5" w:rsidR="00085551" w:rsidP="003F36C8" w:rsidRDefault="00085551" w14:paraId="177677AC" w14:textId="77777777">
      <w:pPr>
        <w:pStyle w:val="fuente"/>
        <w:rPr>
          <w:rFonts w:ascii="Arial" w:hAnsi="Arial" w:cs="Arial"/>
        </w:rPr>
      </w:pPr>
      <w:r w:rsidRPr="000E0AC5">
        <w:rPr>
          <w:rFonts w:ascii="Arial" w:hAnsi="Arial" w:cs="Arial"/>
          <w:noProof/>
          <w:lang w:val="en-US"/>
        </w:rPr>
        <w:drawing>
          <wp:inline distT="0" distB="0" distL="0" distR="0" wp14:anchorId="14CB521E" wp14:editId="571A0AC0">
            <wp:extent cx="3753432" cy="2164213"/>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Pr="000E0AC5" w:rsidR="00085551" w:rsidP="003F36C8" w:rsidRDefault="00085551" w14:paraId="36D9BAF5" w14:textId="77777777">
      <w:pPr>
        <w:pStyle w:val="fuente"/>
        <w:rPr>
          <w:rFonts w:ascii="Arial" w:hAnsi="Arial" w:cs="Arial"/>
        </w:rPr>
      </w:pPr>
      <w:r w:rsidRPr="000E0AC5">
        <w:rPr>
          <w:rFonts w:ascii="Arial" w:hAnsi="Arial" w:cs="Arial"/>
        </w:rPr>
        <w:t>Fuente: Elaborado con datos de UNODC para la tasa de homicidios y datos de los Indicadores de Desarrollo del Banco Mundial para la tasa de desempleo.</w:t>
      </w:r>
    </w:p>
    <w:p w:rsidRPr="000E0AC5" w:rsidR="00085551" w:rsidP="006A3FEB" w:rsidRDefault="00085551" w14:paraId="59E608B1" w14:textId="77777777">
      <w:pPr>
        <w:pStyle w:val="ListParagraph"/>
        <w:numPr>
          <w:ilvl w:val="1"/>
          <w:numId w:val="5"/>
        </w:numPr>
        <w:spacing w:after="240" w:line="360" w:lineRule="auto"/>
        <w:jc w:val="both"/>
        <w:textAlignment w:val="top"/>
        <w:rPr>
          <w:rFonts w:ascii="Arial" w:hAnsi="Arial" w:cs="Arial"/>
          <w:lang w:val="es-ES"/>
        </w:rPr>
      </w:pPr>
      <w:r w:rsidRPr="000E0AC5">
        <w:rPr>
          <w:rFonts w:ascii="Arial" w:hAnsi="Arial" w:eastAsia="Times New Roman" w:cs="Arial"/>
          <w:color w:val="000000"/>
          <w:lang w:val="es-ES"/>
        </w:rPr>
        <w:t xml:space="preserve">En el marco de la Política de Seguridad Ciudadana y Promoción de Paz (2011-2021) y el Plan Nacional de Prevención de Violencia (2015-2018) se inició el diseño e implementación del Programa de Prevención de la Violencia y Promoción de la Inclusión Social (préstamo </w:t>
      </w:r>
      <w:r w:rsidRPr="000E0AC5">
        <w:rPr>
          <w:rFonts w:ascii="Arial" w:hAnsi="Arial" w:cs="Arial"/>
          <w:lang w:val="es-ES"/>
        </w:rPr>
        <w:t>2526/OC-CR) cuyo principal objetivo es contribuir a la reducción de los crímenes violentos en el país, mediante la combinación de medidas de mejora de la infraestructura policial, de prevención social, y prevención terciaria. Aunque todavía no se pueden evaluar los efectos del programa, datos preliminares muestran que en los Centros Cívicos por la Paz (CCP) un promedio de 4500 adolescentes y jóvenes están matriculados en alguna de las actividades, y se observan reducciones en ciertos indicadores de violencia en los distritos donde se ha llevado a cabo la intervención.</w:t>
      </w:r>
    </w:p>
    <w:p w:rsidRPr="000E0AC5" w:rsidR="00085551" w:rsidP="006A3FEB" w:rsidRDefault="00085551" w14:paraId="68E85746" w14:textId="621E2548">
      <w:pPr>
        <w:pStyle w:val="ListParagraph"/>
        <w:numPr>
          <w:ilvl w:val="1"/>
          <w:numId w:val="5"/>
        </w:numPr>
        <w:spacing w:after="240" w:line="360" w:lineRule="auto"/>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ese contexto, y tendiendo como antecedente el Proyecto de Prevención de la Violencia y Reinserción Social, el programa actual tiene como objetivo principal contribuir a la </w:t>
      </w:r>
      <w:r w:rsidRPr="000E0AC5">
        <w:rPr>
          <w:rFonts w:ascii="Arial" w:hAnsi="Arial" w:eastAsia="Times New Roman" w:cs="Arial"/>
          <w:color w:val="000000"/>
          <w:lang w:val="es-ES"/>
        </w:rPr>
        <w:lastRenderedPageBreak/>
        <w:t>disminución de los homicidios y delitos contra la propiedad (asaltos) en Costa Rica. Los objetivos específicos son: (i) mejorar la efectividad policial para prevenir el delito en los distritos priorizados; y (</w:t>
      </w:r>
      <w:proofErr w:type="spellStart"/>
      <w:r w:rsidRPr="000E0AC5">
        <w:rPr>
          <w:rFonts w:ascii="Arial" w:hAnsi="Arial" w:eastAsia="Times New Roman" w:cs="Arial"/>
          <w:color w:val="000000"/>
          <w:lang w:val="es-ES"/>
        </w:rPr>
        <w:t>ii</w:t>
      </w:r>
      <w:proofErr w:type="spellEnd"/>
      <w:r w:rsidRPr="000E0AC5">
        <w:rPr>
          <w:rFonts w:ascii="Arial" w:hAnsi="Arial" w:eastAsia="Times New Roman" w:cs="Arial"/>
          <w:color w:val="000000"/>
          <w:lang w:val="es-ES"/>
        </w:rPr>
        <w:t xml:space="preserve">) reducir los comportamientos delictivos de adolescentes y jóvenes vulnerables a la violencia en distritos con desventajas concentradas. A </w:t>
      </w:r>
      <w:r w:rsidRPr="000E0AC5" w:rsidR="00EF01A4">
        <w:rPr>
          <w:rFonts w:ascii="Arial" w:hAnsi="Arial" w:eastAsia="Times New Roman" w:cs="Arial"/>
          <w:color w:val="000000"/>
          <w:lang w:val="es-ES"/>
        </w:rPr>
        <w:t>continuación,</w:t>
      </w:r>
      <w:r w:rsidRPr="000E0AC5">
        <w:rPr>
          <w:rFonts w:ascii="Arial" w:hAnsi="Arial" w:eastAsia="Times New Roman" w:cs="Arial"/>
          <w:color w:val="000000"/>
          <w:lang w:val="es-ES"/>
        </w:rPr>
        <w:t xml:space="preserve"> se describen los componentes contemplados en esta intervención:</w:t>
      </w:r>
    </w:p>
    <w:p w:rsidRPr="0047020D" w:rsidR="0047020D" w:rsidP="0047020D" w:rsidRDefault="00085551" w14:paraId="6D95137A" w14:textId="5BAE2EFD">
      <w:pPr>
        <w:pStyle w:val="ListParagraph"/>
        <w:numPr>
          <w:ilvl w:val="1"/>
          <w:numId w:val="5"/>
        </w:numPr>
        <w:spacing w:after="240" w:line="360" w:lineRule="auto"/>
        <w:jc w:val="both"/>
        <w:textAlignment w:val="top"/>
        <w:rPr>
          <w:rFonts w:ascii="Arial" w:hAnsi="Arial" w:eastAsia="Times New Roman" w:cs="Arial"/>
          <w:color w:val="000000"/>
          <w:lang w:val="es-ES"/>
        </w:rPr>
      </w:pPr>
      <w:r w:rsidRPr="0047020D">
        <w:rPr>
          <w:rFonts w:ascii="Arial" w:hAnsi="Arial" w:eastAsia="Times New Roman" w:cs="Arial"/>
          <w:color w:val="000000"/>
          <w:lang w:val="es-ES"/>
        </w:rPr>
        <w:t xml:space="preserve"> </w:t>
      </w:r>
      <w:r w:rsidRPr="0047020D" w:rsidR="000E74F4">
        <w:rPr>
          <w:rFonts w:ascii="Arial" w:hAnsi="Arial" w:eastAsia="Times New Roman" w:cs="Arial"/>
          <w:b/>
          <w:color w:val="000000"/>
          <w:lang w:val="es-ES"/>
        </w:rPr>
        <w:t>Componente 1. Efectividad Policial (US$6</w:t>
      </w:r>
      <w:r w:rsidRPr="0047020D" w:rsidR="002A0624">
        <w:rPr>
          <w:rFonts w:ascii="Arial" w:hAnsi="Arial" w:eastAsia="Times New Roman" w:cs="Arial"/>
          <w:b/>
          <w:color w:val="000000"/>
          <w:lang w:val="es-ES"/>
        </w:rPr>
        <w:t>3</w:t>
      </w:r>
      <w:r w:rsidRPr="0047020D" w:rsidR="000E74F4">
        <w:rPr>
          <w:rFonts w:ascii="Arial" w:hAnsi="Arial" w:eastAsia="Times New Roman" w:cs="Arial"/>
          <w:b/>
          <w:color w:val="000000"/>
          <w:lang w:val="es-ES"/>
        </w:rPr>
        <w:t xml:space="preserve"> millones). </w:t>
      </w:r>
      <w:r w:rsidRPr="0047020D" w:rsidR="0047020D">
        <w:rPr>
          <w:rFonts w:ascii="Arial" w:hAnsi="Arial" w:eastAsia="Times New Roman" w:cs="Arial"/>
          <w:color w:val="000000"/>
          <w:lang w:val="es-ES"/>
        </w:rPr>
        <w:t>Este componente buscará prevenir el delito (homicidios y asaltos) en los distritos priorizados. Para ello, se financiará: (i) desarrollos informáticos que permitan la interoperabilidad del Sistema DATAPOL con otras plataformas policiales; (</w:t>
      </w:r>
      <w:proofErr w:type="spellStart"/>
      <w:r w:rsidRPr="0047020D" w:rsidR="0047020D">
        <w:rPr>
          <w:rFonts w:ascii="Arial" w:hAnsi="Arial" w:eastAsia="Times New Roman" w:cs="Arial"/>
          <w:color w:val="000000"/>
          <w:lang w:val="es-ES"/>
        </w:rPr>
        <w:t>ii</w:t>
      </w:r>
      <w:proofErr w:type="spellEnd"/>
      <w:r w:rsidRPr="0047020D" w:rsidR="0047020D">
        <w:rPr>
          <w:rFonts w:ascii="Arial" w:hAnsi="Arial" w:eastAsia="Times New Roman" w:cs="Arial"/>
          <w:color w:val="000000"/>
          <w:lang w:val="es-ES"/>
        </w:rPr>
        <w:t>) el desarrollo de la capacidad de georreferenciación de los delitos, en línea de DATAPOL incluyendo dispositivos móviles para el registro de los hechos delictivos, preparación de los partes de incidentes entre otras aplicaciones ; (</w:t>
      </w:r>
      <w:proofErr w:type="spellStart"/>
      <w:r w:rsidRPr="0047020D" w:rsidR="0047020D">
        <w:rPr>
          <w:rFonts w:ascii="Arial" w:hAnsi="Arial" w:eastAsia="Times New Roman" w:cs="Arial"/>
          <w:color w:val="000000"/>
          <w:lang w:val="es-ES"/>
        </w:rPr>
        <w:t>iii</w:t>
      </w:r>
      <w:proofErr w:type="spellEnd"/>
      <w:r w:rsidRPr="0047020D" w:rsidR="0047020D">
        <w:rPr>
          <w:rFonts w:ascii="Arial" w:hAnsi="Arial" w:eastAsia="Times New Roman" w:cs="Arial"/>
          <w:color w:val="000000"/>
          <w:lang w:val="es-ES"/>
        </w:rPr>
        <w:t>) la actualización técnica del personal policial en técnicas de análisis criminal, monitoreo de dinámicas delictivas y en estrategias para mejorar la legitimidad policial y el trato con personas en situación de vulnerabilidad (incluyendo el enfoque de género, diversidad e inclusión), estableciendo actividades específicas para involucramiento y comunicación con ciudadanos y gobiernos municipales; (</w:t>
      </w:r>
      <w:proofErr w:type="spellStart"/>
      <w:r w:rsidRPr="0047020D" w:rsidR="0047020D">
        <w:rPr>
          <w:rFonts w:ascii="Arial" w:hAnsi="Arial" w:eastAsia="Times New Roman" w:cs="Arial"/>
          <w:color w:val="000000"/>
          <w:lang w:val="es-ES"/>
        </w:rPr>
        <w:t>iv</w:t>
      </w:r>
      <w:proofErr w:type="spellEnd"/>
      <w:r w:rsidRPr="0047020D" w:rsidR="0047020D">
        <w:rPr>
          <w:rFonts w:ascii="Arial" w:hAnsi="Arial" w:eastAsia="Times New Roman" w:cs="Arial"/>
          <w:color w:val="000000"/>
          <w:lang w:val="es-ES"/>
        </w:rPr>
        <w:t>) asistencia técnica y capacitación para la implementación de EPBE, bajo el enfoque de Policía Orientada a la Resolución de Problemas (POP , por sus siglas en inglés), seguridad y policía comunitaria y el patrullaje en áreas de alta concentración delictiva (</w:t>
      </w:r>
      <w:proofErr w:type="spellStart"/>
      <w:r w:rsidRPr="0047020D" w:rsidR="0047020D">
        <w:rPr>
          <w:rFonts w:ascii="Arial" w:hAnsi="Arial" w:eastAsia="Times New Roman" w:cs="Arial"/>
          <w:color w:val="000000"/>
          <w:lang w:val="es-ES"/>
        </w:rPr>
        <w:t>hot</w:t>
      </w:r>
      <w:proofErr w:type="spellEnd"/>
      <w:r w:rsidRPr="0047020D" w:rsidR="0047020D">
        <w:rPr>
          <w:rFonts w:ascii="Arial" w:hAnsi="Arial" w:eastAsia="Times New Roman" w:cs="Arial"/>
          <w:color w:val="000000"/>
          <w:lang w:val="es-ES"/>
        </w:rPr>
        <w:t xml:space="preserve"> spots </w:t>
      </w:r>
      <w:proofErr w:type="spellStart"/>
      <w:r w:rsidRPr="0047020D" w:rsidR="0047020D">
        <w:rPr>
          <w:rFonts w:ascii="Arial" w:hAnsi="Arial" w:eastAsia="Times New Roman" w:cs="Arial"/>
          <w:color w:val="000000"/>
          <w:lang w:val="es-ES"/>
        </w:rPr>
        <w:t>policing</w:t>
      </w:r>
      <w:proofErr w:type="spellEnd"/>
      <w:r w:rsidRPr="0047020D" w:rsidR="0047020D">
        <w:rPr>
          <w:rFonts w:ascii="Arial" w:hAnsi="Arial" w:eastAsia="Times New Roman" w:cs="Arial"/>
          <w:color w:val="000000"/>
          <w:lang w:val="es-ES"/>
        </w:rPr>
        <w:t xml:space="preserve">) en los 40 distritos con mayor afectación por homicidios y asaltos , incluyéndose además su evaluación de impacto; (v) el diseño, construcción, dotación de equipamiento tecnológico, supervisión y mantenimiento de la infraestructura de delegaciones policiales, donde se apoyará el fortalecimiento de la policía comunitaria; y (vi) la optimización de los procesos de recepción y manejo de quejas, incluyendo el desarrollo un sistema unificado de información que permita agilizar la gestión de quejas ciudadanas y asuntos disciplinarios de la FP. </w:t>
      </w:r>
    </w:p>
    <w:p w:rsidRPr="000E0AC5" w:rsidR="000E74F4" w:rsidP="006A3FEB" w:rsidRDefault="000E74F4" w14:paraId="3BE3530E" w14:textId="380BE040">
      <w:pPr>
        <w:pStyle w:val="ListParagraph"/>
        <w:numPr>
          <w:ilvl w:val="1"/>
          <w:numId w:val="5"/>
        </w:numPr>
        <w:spacing w:after="240" w:line="360" w:lineRule="auto"/>
        <w:jc w:val="both"/>
        <w:textAlignment w:val="top"/>
        <w:rPr>
          <w:rFonts w:ascii="Arial" w:hAnsi="Arial" w:eastAsia="Times New Roman" w:cs="Arial"/>
          <w:color w:val="000000"/>
          <w:lang w:val="es-ES"/>
        </w:rPr>
      </w:pPr>
      <w:r w:rsidRPr="000E0AC5">
        <w:rPr>
          <w:rFonts w:ascii="Arial" w:hAnsi="Arial" w:eastAsia="Times New Roman" w:cs="Arial"/>
          <w:b/>
          <w:color w:val="000000"/>
          <w:lang w:val="es-ES"/>
        </w:rPr>
        <w:t>Componente 2. Prevenci</w:t>
      </w:r>
      <w:r w:rsidRPr="000E0AC5" w:rsidR="002A0624">
        <w:rPr>
          <w:rFonts w:ascii="Arial" w:hAnsi="Arial" w:eastAsia="Times New Roman" w:cs="Arial"/>
          <w:b/>
          <w:color w:val="000000"/>
          <w:lang w:val="es-ES"/>
        </w:rPr>
        <w:t>ón Social de la Violencia (US$32.5</w:t>
      </w:r>
      <w:r w:rsidRPr="000E0AC5">
        <w:rPr>
          <w:rFonts w:ascii="Arial" w:hAnsi="Arial" w:eastAsia="Times New Roman" w:cs="Arial"/>
          <w:b/>
          <w:color w:val="000000"/>
          <w:lang w:val="es-ES"/>
        </w:rPr>
        <w:t xml:space="preserve"> millones)</w:t>
      </w:r>
      <w:r w:rsidRPr="000E0AC5">
        <w:rPr>
          <w:rFonts w:ascii="Arial" w:hAnsi="Arial" w:eastAsia="Times New Roman" w:cs="Arial"/>
          <w:color w:val="000000"/>
          <w:lang w:val="es-ES"/>
        </w:rPr>
        <w:t xml:space="preserve">. </w:t>
      </w:r>
      <w:r w:rsidRPr="001A1062" w:rsidR="001A1062">
        <w:rPr>
          <w:rFonts w:ascii="Arial" w:hAnsi="Arial" w:eastAsia="Times New Roman" w:cs="Arial"/>
          <w:color w:val="000000"/>
          <w:lang w:val="es-ES"/>
        </w:rPr>
        <w:t xml:space="preserve">Este componente buscará reducir los comportamientos delictivos de NNA vulnerables a la violencia en distritos con desventajas concentradas, fortaleciendo los servicios de atención a esta población en distritos priorizados. Para ello se financiará: (i) la actualización y fortalecimiento del modelo de prevención de los CCP y de la modalidad de CCP sin paredes , incluyendo la introducción de intervenciones basadas en evidencia como actividades recreativas, formativas , y preventivas , con especial atención a la prevención de la violencia contra la mujer, mediante la impartición de actividades de fomento de masculinidades </w:t>
      </w:r>
      <w:r w:rsidRPr="001A1062" w:rsidR="001A1062">
        <w:rPr>
          <w:rFonts w:ascii="Arial" w:hAnsi="Arial" w:eastAsia="Times New Roman" w:cs="Arial"/>
          <w:color w:val="000000"/>
          <w:lang w:val="es-ES"/>
        </w:rPr>
        <w:lastRenderedPageBreak/>
        <w:t>positivas ; (</w:t>
      </w:r>
      <w:proofErr w:type="spellStart"/>
      <w:r w:rsidRPr="001A1062" w:rsidR="001A1062">
        <w:rPr>
          <w:rFonts w:ascii="Arial" w:hAnsi="Arial" w:eastAsia="Times New Roman" w:cs="Arial"/>
          <w:color w:val="000000"/>
          <w:lang w:val="es-ES"/>
        </w:rPr>
        <w:t>ii</w:t>
      </w:r>
      <w:proofErr w:type="spellEnd"/>
      <w:r w:rsidRPr="001A1062" w:rsidR="001A1062">
        <w:rPr>
          <w:rFonts w:ascii="Arial" w:hAnsi="Arial" w:eastAsia="Times New Roman" w:cs="Arial"/>
          <w:color w:val="000000"/>
          <w:lang w:val="es-ES"/>
        </w:rPr>
        <w:t>) la actualización y fortalecimiento del modelo de gestión para la red de los CCP, que contemple la homologación de sus marcos normativos y planes de operación; su estructura organizacional; los protocolos de formación de los facilitadores y de colaboración interinstitucional ; estándares de servicio, indicadores de desempeño, y evaluación, y propuesta del establecimiento de mecanismos con instituciones de gobierno, municipios, comunidades y sector privado para apuntalar la sostenibilidad de la red de CCP; (</w:t>
      </w:r>
      <w:proofErr w:type="spellStart"/>
      <w:r w:rsidRPr="001A1062" w:rsidR="001A1062">
        <w:rPr>
          <w:rFonts w:ascii="Arial" w:hAnsi="Arial" w:eastAsia="Times New Roman" w:cs="Arial"/>
          <w:color w:val="000000"/>
          <w:lang w:val="es-ES"/>
        </w:rPr>
        <w:t>iii</w:t>
      </w:r>
      <w:proofErr w:type="spellEnd"/>
      <w:r w:rsidRPr="001A1062" w:rsidR="001A1062">
        <w:rPr>
          <w:rFonts w:ascii="Arial" w:hAnsi="Arial" w:eastAsia="Times New Roman" w:cs="Arial"/>
          <w:color w:val="000000"/>
          <w:lang w:val="es-ES"/>
        </w:rPr>
        <w:t>) dinamización comunitaria y capacitación en temas específicos (incluyendo un enfoque de violencia basada en género y trabajo con las masculinidades, inclusión y diversidad ); (</w:t>
      </w:r>
      <w:proofErr w:type="spellStart"/>
      <w:r w:rsidRPr="001A1062" w:rsidR="001A1062">
        <w:rPr>
          <w:rFonts w:ascii="Arial" w:hAnsi="Arial" w:eastAsia="Times New Roman" w:cs="Arial"/>
          <w:color w:val="000000"/>
          <w:lang w:val="es-ES"/>
        </w:rPr>
        <w:t>iv</w:t>
      </w:r>
      <w:proofErr w:type="spellEnd"/>
      <w:r w:rsidRPr="001A1062" w:rsidR="001A1062">
        <w:rPr>
          <w:rFonts w:ascii="Arial" w:hAnsi="Arial" w:eastAsia="Times New Roman" w:cs="Arial"/>
          <w:color w:val="000000"/>
          <w:lang w:val="es-ES"/>
        </w:rPr>
        <w:t>) desarrollo de acciones de comunicación y difusión de las actividades de los CCP; (v) fortalecimiento e implementación del sistema de información para la gestión de la red de CCP; (vi) el diseño, construcción, supervisión, equipamiento y mantenimiento de ocho CCP; y (</w:t>
      </w:r>
      <w:proofErr w:type="spellStart"/>
      <w:r w:rsidRPr="001A1062" w:rsidR="001A1062">
        <w:rPr>
          <w:rFonts w:ascii="Arial" w:hAnsi="Arial" w:eastAsia="Times New Roman" w:cs="Arial"/>
          <w:color w:val="000000"/>
          <w:lang w:val="es-ES"/>
        </w:rPr>
        <w:t>vii</w:t>
      </w:r>
      <w:proofErr w:type="spellEnd"/>
      <w:r w:rsidRPr="001A1062" w:rsidR="001A1062">
        <w:rPr>
          <w:rFonts w:ascii="Arial" w:hAnsi="Arial" w:eastAsia="Times New Roman" w:cs="Arial"/>
          <w:color w:val="000000"/>
          <w:lang w:val="es-ES"/>
        </w:rPr>
        <w:t>) el diseño e implementación de una evaluación de impacto de las actividades de los CCP.</w:t>
      </w:r>
    </w:p>
    <w:p w:rsidRPr="000E0AC5" w:rsidR="001B5186" w:rsidP="00E42E98" w:rsidRDefault="006339E0" w14:paraId="1AF60D44" w14:textId="77777777">
      <w:pPr>
        <w:pStyle w:val="ColorfulList-Accent11"/>
        <w:numPr>
          <w:ilvl w:val="0"/>
          <w:numId w:val="2"/>
        </w:numPr>
        <w:spacing w:after="0" w:line="360" w:lineRule="auto"/>
        <w:ind w:left="720" w:hanging="578"/>
        <w:jc w:val="both"/>
        <w:rPr>
          <w:rFonts w:ascii="Arial" w:hAnsi="Arial" w:cs="Arial"/>
          <w:b/>
          <w:lang w:val="es-ES"/>
        </w:rPr>
      </w:pPr>
      <w:r w:rsidRPr="000E0AC5">
        <w:rPr>
          <w:rFonts w:ascii="Arial" w:hAnsi="Arial" w:cs="Arial"/>
          <w:b/>
          <w:lang w:val="es-ES"/>
        </w:rPr>
        <w:t>Análisis de Costo-beneficio</w:t>
      </w:r>
    </w:p>
    <w:p w:rsidRPr="000E0AC5" w:rsidR="001B5186" w:rsidP="001B5186" w:rsidRDefault="001B5186" w14:paraId="6C67A0A0" w14:textId="77777777">
      <w:pPr>
        <w:pStyle w:val="ColorfulList-Accent11"/>
        <w:spacing w:after="0" w:line="360" w:lineRule="auto"/>
        <w:ind w:left="0"/>
        <w:jc w:val="both"/>
        <w:rPr>
          <w:rFonts w:ascii="Arial" w:hAnsi="Arial" w:cs="Arial"/>
          <w:lang w:val="es-ES"/>
        </w:rPr>
      </w:pPr>
    </w:p>
    <w:p w:rsidRPr="000E0AC5" w:rsidR="004C60FF" w:rsidP="006A3FEB" w:rsidRDefault="00E2088E" w14:paraId="5E89F96F" w14:textId="77777777">
      <w:pPr>
        <w:pStyle w:val="ListParagraph"/>
        <w:numPr>
          <w:ilvl w:val="1"/>
          <w:numId w:val="6"/>
        </w:numPr>
        <w:spacing w:after="240" w:line="360" w:lineRule="auto"/>
        <w:jc w:val="both"/>
        <w:rPr>
          <w:rFonts w:ascii="Arial" w:hAnsi="Arial" w:cs="Arial"/>
          <w:color w:val="000000"/>
          <w:lang w:val="es-ES"/>
        </w:rPr>
      </w:pPr>
      <w:r w:rsidRPr="000E0AC5">
        <w:rPr>
          <w:rFonts w:ascii="Arial" w:hAnsi="Arial" w:cs="Arial"/>
          <w:color w:val="000000"/>
          <w:lang w:val="es-ES"/>
        </w:rPr>
        <w:t xml:space="preserve">En esta sección </w:t>
      </w:r>
      <w:r w:rsidRPr="000E0AC5" w:rsidR="00B221C2">
        <w:rPr>
          <w:rFonts w:ascii="Arial" w:hAnsi="Arial" w:cs="Arial"/>
          <w:color w:val="000000"/>
          <w:lang w:val="es-ES"/>
        </w:rPr>
        <w:t>se presenta el análisis costo-beneficio del Programa. Primero</w:t>
      </w:r>
      <w:r w:rsidRPr="000E0AC5" w:rsidR="009F7C1F">
        <w:rPr>
          <w:rFonts w:ascii="Arial" w:hAnsi="Arial" w:cs="Arial"/>
          <w:color w:val="000000"/>
          <w:lang w:val="es-ES"/>
        </w:rPr>
        <w:t>, se discute la literatura empírica de intervenciones similares en otros países y regiones.</w:t>
      </w:r>
      <w:r w:rsidRPr="000E0AC5" w:rsidR="00205062">
        <w:rPr>
          <w:rFonts w:ascii="Arial" w:hAnsi="Arial" w:cs="Arial"/>
          <w:color w:val="000000"/>
          <w:lang w:val="es-ES"/>
        </w:rPr>
        <w:t xml:space="preserve"> Luego </w:t>
      </w:r>
      <w:r w:rsidRPr="000E0AC5" w:rsidR="00B221C2">
        <w:rPr>
          <w:rFonts w:ascii="Arial" w:hAnsi="Arial" w:cs="Arial"/>
          <w:color w:val="000000"/>
          <w:lang w:val="es-ES"/>
        </w:rPr>
        <w:t xml:space="preserve">se describe la metodología general que se utiliza para la estimación de costos y beneficios para cada uno de los componentes del programa. </w:t>
      </w:r>
      <w:r w:rsidRPr="000E0AC5" w:rsidR="00205062">
        <w:rPr>
          <w:rFonts w:ascii="Arial" w:hAnsi="Arial" w:cs="Arial"/>
          <w:color w:val="000000"/>
          <w:lang w:val="es-ES"/>
        </w:rPr>
        <w:t xml:space="preserve">En la siguiente sección </w:t>
      </w:r>
      <w:r w:rsidRPr="000E0AC5" w:rsidR="00B221C2">
        <w:rPr>
          <w:rFonts w:ascii="Arial" w:hAnsi="Arial" w:cs="Arial"/>
          <w:color w:val="000000"/>
          <w:lang w:val="es-ES"/>
        </w:rPr>
        <w:t>se presenta las estimaciones de los costos y beneficios del programa, indicando los supuestos que se utilizaron para los cálculos. Posteriormente, se discute los resultados obtenidos, así como los resultados del análisis de sensibilidad.</w:t>
      </w:r>
      <w:r w:rsidRPr="000E0AC5" w:rsidR="004C60FF">
        <w:rPr>
          <w:rFonts w:ascii="Arial" w:hAnsi="Arial" w:cs="Arial"/>
          <w:color w:val="000000"/>
          <w:lang w:val="es-ES"/>
        </w:rPr>
        <w:t xml:space="preserve"> </w:t>
      </w:r>
    </w:p>
    <w:p w:rsidRPr="000E0AC5" w:rsidR="002F1612" w:rsidP="006A3FEB" w:rsidRDefault="000E74F4" w14:paraId="6E32F2F6" w14:textId="77777777">
      <w:pPr>
        <w:pStyle w:val="ListParagraph"/>
        <w:numPr>
          <w:ilvl w:val="0"/>
          <w:numId w:val="8"/>
        </w:numPr>
        <w:spacing w:after="0" w:line="360" w:lineRule="auto"/>
        <w:jc w:val="both"/>
        <w:rPr>
          <w:rFonts w:ascii="Arial" w:hAnsi="Arial" w:cs="Arial"/>
          <w:b/>
          <w:lang w:val="es-ES"/>
        </w:rPr>
      </w:pPr>
      <w:r w:rsidRPr="000E0AC5">
        <w:rPr>
          <w:rFonts w:ascii="Arial" w:hAnsi="Arial" w:cs="Arial"/>
          <w:b/>
          <w:lang w:val="es-ES"/>
        </w:rPr>
        <w:t>Evidencia Empírica</w:t>
      </w:r>
    </w:p>
    <w:p w:rsidRPr="000E0AC5" w:rsidR="004C60FF" w:rsidP="004C60FF" w:rsidRDefault="004C60FF" w14:paraId="339FA6D4" w14:textId="77777777">
      <w:pPr>
        <w:pStyle w:val="ListParagraph"/>
        <w:spacing w:after="0" w:line="360" w:lineRule="auto"/>
        <w:ind w:left="720"/>
        <w:jc w:val="both"/>
        <w:rPr>
          <w:rFonts w:ascii="Arial" w:hAnsi="Arial" w:cs="Arial"/>
          <w:b/>
          <w:lang w:val="es-ES"/>
        </w:rPr>
      </w:pPr>
    </w:p>
    <w:p w:rsidR="004C60FF" w:rsidP="006A3FEB" w:rsidRDefault="004C60FF" w14:paraId="0ECFD661" w14:textId="47BB726B">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Entre las estrategias policiales para reducir el crimen se encuentra la vigilancia policial de los puntos críticos (Hot spots </w:t>
      </w:r>
      <w:proofErr w:type="spellStart"/>
      <w:r w:rsidRPr="000E0AC5">
        <w:rPr>
          <w:rFonts w:ascii="Arial" w:hAnsi="Arial" w:eastAsia="Times New Roman" w:cs="Arial"/>
          <w:color w:val="000000"/>
          <w:lang w:val="es-ES"/>
        </w:rPr>
        <w:t>policing</w:t>
      </w:r>
      <w:proofErr w:type="spellEnd"/>
      <w:r w:rsidRPr="000E0AC5">
        <w:rPr>
          <w:rFonts w:ascii="Arial" w:hAnsi="Arial" w:eastAsia="Times New Roman" w:cs="Arial"/>
          <w:color w:val="000000"/>
          <w:lang w:val="es-ES"/>
        </w:rPr>
        <w:t>) que consiste en un conjunto de respuestas policiales en los lugares donde el crimen está altamente concentrado.</w:t>
      </w:r>
      <w:r w:rsidRPr="000E0AC5">
        <w:rPr>
          <w:rFonts w:ascii="Arial" w:hAnsi="Arial" w:eastAsia="Times New Roman" w:cs="Arial"/>
          <w:color w:val="000000"/>
          <w:vertAlign w:val="superscript"/>
          <w:lang w:val="es-ES"/>
        </w:rPr>
        <w:footnoteReference w:id="2"/>
      </w:r>
      <w:r w:rsidRPr="000E0AC5">
        <w:rPr>
          <w:rFonts w:ascii="Arial" w:hAnsi="Arial" w:eastAsia="Times New Roman" w:cs="Arial"/>
          <w:color w:val="000000"/>
          <w:lang w:val="es-ES"/>
        </w:rPr>
        <w:t xml:space="preserve"> La definición de los puntos calientes varía según el tipo de intervención, ya que las áreas a intervenir pueden ser segmentos específicos o un conglomerado de cuadras. Braga, </w:t>
      </w:r>
      <w:proofErr w:type="spellStart"/>
      <w:r w:rsidRPr="000E0AC5">
        <w:rPr>
          <w:rFonts w:ascii="Arial" w:hAnsi="Arial" w:eastAsia="Times New Roman" w:cs="Arial"/>
          <w:color w:val="000000"/>
          <w:lang w:val="es-ES"/>
        </w:rPr>
        <w:t>Papachristos</w:t>
      </w:r>
      <w:proofErr w:type="spellEnd"/>
      <w:r w:rsidRPr="000E0AC5">
        <w:rPr>
          <w:rFonts w:ascii="Arial" w:hAnsi="Arial" w:eastAsia="Times New Roman" w:cs="Arial"/>
          <w:color w:val="000000"/>
          <w:lang w:val="es-ES"/>
        </w:rPr>
        <w:t xml:space="preserve">, y </w:t>
      </w:r>
      <w:proofErr w:type="spellStart"/>
      <w:r w:rsidRPr="000E0AC5">
        <w:rPr>
          <w:rFonts w:ascii="Arial" w:hAnsi="Arial" w:eastAsia="Times New Roman" w:cs="Arial"/>
          <w:color w:val="000000"/>
          <w:lang w:val="es-ES"/>
        </w:rPr>
        <w:t>Hureau</w:t>
      </w:r>
      <w:proofErr w:type="spellEnd"/>
      <w:r w:rsidRPr="000E0AC5">
        <w:rPr>
          <w:rFonts w:ascii="Arial" w:hAnsi="Arial" w:eastAsia="Times New Roman" w:cs="Arial"/>
          <w:color w:val="000000"/>
          <w:lang w:val="es-ES"/>
        </w:rPr>
        <w:t xml:space="preserve"> </w:t>
      </w:r>
      <w:sdt>
        <w:sdtPr>
          <w:rPr>
            <w:rFonts w:ascii="Arial" w:hAnsi="Arial" w:eastAsia="Times New Roman" w:cs="Arial"/>
            <w:color w:val="000000"/>
            <w:lang w:val="es-ES"/>
          </w:rPr>
          <w:id w:val="1697733165"/>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Bra14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(2014)</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realizan una revisión sistémica de 25 estudios experimentales y </w:t>
      </w:r>
      <w:proofErr w:type="spellStart"/>
      <w:proofErr w:type="gramStart"/>
      <w:r w:rsidRPr="000E0AC5">
        <w:rPr>
          <w:rFonts w:ascii="Arial" w:hAnsi="Arial" w:eastAsia="Times New Roman" w:cs="Arial"/>
          <w:color w:val="000000"/>
          <w:lang w:val="es-ES"/>
        </w:rPr>
        <w:t>cuasi-</w:t>
      </w:r>
      <w:r w:rsidRPr="000E0AC5">
        <w:rPr>
          <w:rFonts w:ascii="Arial" w:hAnsi="Arial" w:eastAsia="Times New Roman" w:cs="Arial"/>
          <w:color w:val="000000"/>
          <w:lang w:val="es-ES"/>
        </w:rPr>
        <w:lastRenderedPageBreak/>
        <w:t>experimentales</w:t>
      </w:r>
      <w:proofErr w:type="spellEnd"/>
      <w:proofErr w:type="gramEnd"/>
      <w:r w:rsidRPr="000E0AC5">
        <w:rPr>
          <w:rFonts w:ascii="Arial" w:hAnsi="Arial" w:eastAsia="Times New Roman" w:cs="Arial"/>
          <w:color w:val="000000"/>
          <w:lang w:val="es-ES"/>
        </w:rPr>
        <w:t xml:space="preserve"> que evalúan estrategia de puntos calientes y encuentran que 80% de estos reportan una reducción en el crimen. Por su parte, Higginson, </w:t>
      </w:r>
      <w:proofErr w:type="spellStart"/>
      <w:r w:rsidRPr="000E0AC5">
        <w:rPr>
          <w:rFonts w:ascii="Arial" w:hAnsi="Arial" w:eastAsia="Times New Roman" w:cs="Arial"/>
          <w:color w:val="000000"/>
          <w:lang w:val="es-ES"/>
        </w:rPr>
        <w:t>Mazerolle</w:t>
      </w:r>
      <w:proofErr w:type="spellEnd"/>
      <w:r w:rsidRPr="000E0AC5">
        <w:rPr>
          <w:rFonts w:ascii="Arial" w:hAnsi="Arial" w:eastAsia="Times New Roman" w:cs="Arial"/>
          <w:color w:val="000000"/>
          <w:lang w:val="es-ES"/>
        </w:rPr>
        <w:t xml:space="preserve">, </w:t>
      </w:r>
      <w:proofErr w:type="spellStart"/>
      <w:r w:rsidRPr="000E0AC5">
        <w:rPr>
          <w:rFonts w:ascii="Arial" w:hAnsi="Arial" w:eastAsia="Times New Roman" w:cs="Arial"/>
          <w:color w:val="000000"/>
          <w:lang w:val="es-ES"/>
        </w:rPr>
        <w:t>Sydes</w:t>
      </w:r>
      <w:proofErr w:type="spellEnd"/>
      <w:r w:rsidRPr="000E0AC5">
        <w:rPr>
          <w:rFonts w:ascii="Arial" w:hAnsi="Arial" w:eastAsia="Times New Roman" w:cs="Arial"/>
          <w:color w:val="000000"/>
          <w:lang w:val="es-ES"/>
        </w:rPr>
        <w:t xml:space="preserve">, &amp; </w:t>
      </w:r>
      <w:proofErr w:type="spellStart"/>
      <w:r w:rsidRPr="000E0AC5">
        <w:rPr>
          <w:rFonts w:ascii="Arial" w:hAnsi="Arial" w:eastAsia="Times New Roman" w:cs="Arial"/>
          <w:color w:val="000000"/>
          <w:lang w:val="es-ES"/>
        </w:rPr>
        <w:t>Mengersen</w:t>
      </w:r>
      <w:proofErr w:type="spellEnd"/>
      <w:r w:rsidRPr="000E0AC5">
        <w:rPr>
          <w:rFonts w:ascii="Arial" w:hAnsi="Arial" w:eastAsia="Times New Roman" w:cs="Arial"/>
          <w:color w:val="000000"/>
          <w:lang w:val="es-ES"/>
        </w:rPr>
        <w:t xml:space="preserve"> </w:t>
      </w:r>
      <w:sdt>
        <w:sdtPr>
          <w:rPr>
            <w:rFonts w:ascii="Arial" w:hAnsi="Arial" w:eastAsia="Times New Roman" w:cs="Arial"/>
            <w:color w:val="000000"/>
            <w:lang w:val="es-ES"/>
          </w:rPr>
          <w:id w:val="1243301993"/>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Hig15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(2015)</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realizan una revisión sistémica para estrategias policiales orientadas a la resolución de problemas, y encuentran 5 estudios –que incluyen intervenciones en Brasil, Chile, Colombia, y Tailandia— que evalúan el impacto de esta intervención mediante técnicas econométricas, y encuentran que solo 2 estudios muestran evidencia estadísticamente significativa que sugiere una asociación positiva entre la intervención y la disminución en la incidencia de crímenes violentos en Colombia.</w:t>
      </w:r>
    </w:p>
    <w:p w:rsidRPr="000E0AC5" w:rsidR="00EF01A4" w:rsidP="00EF01A4" w:rsidRDefault="00EF01A4" w14:paraId="7D214DD5" w14:textId="77777777">
      <w:pPr>
        <w:spacing w:after="0" w:line="360" w:lineRule="auto"/>
        <w:ind w:left="450"/>
        <w:jc w:val="both"/>
        <w:textAlignment w:val="top"/>
        <w:rPr>
          <w:rFonts w:ascii="Arial" w:hAnsi="Arial" w:eastAsia="Times New Roman" w:cs="Arial"/>
          <w:color w:val="000000"/>
          <w:lang w:val="es-ES"/>
        </w:rPr>
      </w:pPr>
    </w:p>
    <w:p w:rsidR="00EF01A4" w:rsidP="006A3FEB" w:rsidRDefault="004C60FF" w14:paraId="6A865A34" w14:textId="7777777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Entre la evidencia experimental, Taylor, </w:t>
      </w:r>
      <w:proofErr w:type="spellStart"/>
      <w:r w:rsidRPr="000E0AC5">
        <w:rPr>
          <w:rFonts w:ascii="Arial" w:hAnsi="Arial" w:eastAsia="Times New Roman" w:cs="Arial"/>
          <w:color w:val="000000"/>
          <w:lang w:val="es-ES"/>
        </w:rPr>
        <w:t>Koper</w:t>
      </w:r>
      <w:proofErr w:type="spellEnd"/>
      <w:r w:rsidRPr="000E0AC5">
        <w:rPr>
          <w:rFonts w:ascii="Arial" w:hAnsi="Arial" w:eastAsia="Times New Roman" w:cs="Arial"/>
          <w:color w:val="000000"/>
          <w:lang w:val="es-ES"/>
        </w:rPr>
        <w:t xml:space="preserve"> y Woods </w:t>
      </w:r>
      <w:sdt>
        <w:sdtPr>
          <w:rPr>
            <w:rFonts w:ascii="Arial" w:hAnsi="Arial" w:eastAsia="Times New Roman" w:cs="Arial"/>
            <w:color w:val="000000"/>
            <w:lang w:val="es-ES"/>
          </w:rPr>
          <w:id w:val="-756517175"/>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Tay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(2011)</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evalúan una estrategia policial que combina un enfoque de puntos críticos con principios de vigilancia policial orientados a la comunidad en Jacksonville, Florida, y los resultados sugieren que en los puntos donde implementaron la estrategia combinada se observó una reducción de los crímenes violentos de 33%, resultado que es estadísticamente significativo.</w:t>
      </w:r>
    </w:p>
    <w:p w:rsidRPr="000E0AC5" w:rsidR="004C60FF" w:rsidP="00EF01A4" w:rsidRDefault="004C60FF" w14:paraId="56600607" w14:textId="01B3D1DA">
      <w:pPr>
        <w:spacing w:after="0" w:line="360" w:lineRule="auto"/>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 </w:t>
      </w:r>
    </w:p>
    <w:p w:rsidR="004C60FF" w:rsidP="006A3FEB" w:rsidRDefault="004C60FF" w14:paraId="3CD41CA0" w14:textId="01D448B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Un estudio reciente de </w:t>
      </w:r>
      <w:proofErr w:type="spellStart"/>
      <w:r w:rsidRPr="000E0AC5">
        <w:rPr>
          <w:rFonts w:ascii="Arial" w:hAnsi="Arial" w:eastAsia="Times New Roman" w:cs="Arial"/>
          <w:color w:val="000000"/>
          <w:lang w:val="es-ES"/>
        </w:rPr>
        <w:t>Blattman</w:t>
      </w:r>
      <w:proofErr w:type="spellEnd"/>
      <w:r w:rsidRPr="000E0AC5">
        <w:rPr>
          <w:rFonts w:ascii="Arial" w:hAnsi="Arial" w:eastAsia="Times New Roman" w:cs="Arial"/>
          <w:color w:val="000000"/>
          <w:lang w:val="es-ES"/>
        </w:rPr>
        <w:t xml:space="preserve">, et al., </w:t>
      </w:r>
      <w:sdt>
        <w:sdtPr>
          <w:rPr>
            <w:rFonts w:ascii="Arial" w:hAnsi="Arial" w:eastAsia="Times New Roman" w:cs="Arial"/>
            <w:color w:val="000000"/>
            <w:lang w:val="es-ES"/>
          </w:rPr>
          <w:id w:val="1646470644"/>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Bla18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(2018)</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lleva a cabo la evaluación de impacto de una intervención de puntos calientes de crimen realizada en la ciudad de Bogotá en 2016 mediante un diseño experimental. Para esta evaluación se realizaron dos intervenciones: la primera de patrullaje policial, que consistió en aumentar el tiempo de patrullaje en los puntos calientes; y la segunda intervención fue de servicios municipales para mejorar la iluminación pública, eliminar grafitis no artísticos y realizar recolección adecuada de la basura. En los puntos donde aplicaron ambas estrategias simultáneamente se observó una reducción de 46% en la incidencia del crimen, y en particular para los crímenes más violentos –homicidios y delitos sexuales– se observó una disminución de 8% aproximadamente. Asimismo, los autores encontraron evidencia de externalidades negativas como resultado de la intervención de patrullaje en puntos críticos, ya que registraron un desplazamiento en la incidencia de crímenes contra la propiedad en áreas vecinas. </w:t>
      </w:r>
    </w:p>
    <w:p w:rsidRPr="000E0AC5" w:rsidR="00EF01A4" w:rsidP="00EF01A4" w:rsidRDefault="00EF01A4" w14:paraId="47F65598" w14:textId="77777777">
      <w:pPr>
        <w:spacing w:after="0" w:line="360" w:lineRule="auto"/>
        <w:jc w:val="both"/>
        <w:textAlignment w:val="top"/>
        <w:rPr>
          <w:rFonts w:ascii="Arial" w:hAnsi="Arial" w:eastAsia="Times New Roman" w:cs="Arial"/>
          <w:color w:val="000000"/>
          <w:lang w:val="es-ES"/>
        </w:rPr>
      </w:pPr>
    </w:p>
    <w:p w:rsidR="004C60FF" w:rsidP="006A3FEB" w:rsidRDefault="004C60FF" w14:paraId="305AF70D" w14:textId="082D4C58">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 Braga, </w:t>
      </w:r>
      <w:proofErr w:type="spellStart"/>
      <w:r w:rsidRPr="000E0AC5">
        <w:rPr>
          <w:rFonts w:ascii="Arial" w:hAnsi="Arial" w:eastAsia="Times New Roman" w:cs="Arial"/>
          <w:color w:val="000000"/>
          <w:lang w:val="es-ES"/>
        </w:rPr>
        <w:t>Hureau</w:t>
      </w:r>
      <w:proofErr w:type="spellEnd"/>
      <w:r w:rsidRPr="000E0AC5">
        <w:rPr>
          <w:rFonts w:ascii="Arial" w:hAnsi="Arial" w:eastAsia="Times New Roman" w:cs="Arial"/>
          <w:color w:val="000000"/>
          <w:lang w:val="es-ES"/>
        </w:rPr>
        <w:t xml:space="preserve"> y </w:t>
      </w:r>
      <w:proofErr w:type="spellStart"/>
      <w:r w:rsidRPr="000E0AC5">
        <w:rPr>
          <w:rFonts w:ascii="Arial" w:hAnsi="Arial" w:eastAsia="Times New Roman" w:cs="Arial"/>
          <w:color w:val="000000"/>
          <w:lang w:val="es-ES"/>
        </w:rPr>
        <w:t>Papachristos</w:t>
      </w:r>
      <w:proofErr w:type="spellEnd"/>
      <w:r w:rsidRPr="000E0AC5">
        <w:rPr>
          <w:rFonts w:ascii="Arial" w:hAnsi="Arial" w:eastAsia="Times New Roman" w:cs="Arial"/>
          <w:color w:val="000000"/>
          <w:lang w:val="es-ES"/>
        </w:rPr>
        <w:t xml:space="preserve"> </w:t>
      </w:r>
      <w:sdt>
        <w:sdtPr>
          <w:rPr>
            <w:rFonts w:ascii="Arial" w:hAnsi="Arial" w:eastAsia="Times New Roman" w:cs="Arial"/>
            <w:color w:val="000000"/>
            <w:lang w:val="es-ES"/>
          </w:rPr>
          <w:id w:val="-667473600"/>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Bra11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(2012)</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evalúan el programa </w:t>
      </w:r>
      <w:proofErr w:type="spellStart"/>
      <w:r w:rsidRPr="000E0AC5">
        <w:rPr>
          <w:rFonts w:ascii="Arial" w:hAnsi="Arial" w:eastAsia="Times New Roman" w:cs="Arial"/>
          <w:color w:val="000000"/>
          <w:lang w:val="es-ES"/>
        </w:rPr>
        <w:t>Safe</w:t>
      </w:r>
      <w:proofErr w:type="spellEnd"/>
      <w:r w:rsidRPr="000E0AC5">
        <w:rPr>
          <w:rFonts w:ascii="Arial" w:hAnsi="Arial" w:eastAsia="Times New Roman" w:cs="Arial"/>
          <w:color w:val="000000"/>
          <w:lang w:val="es-ES"/>
        </w:rPr>
        <w:t xml:space="preserve"> Street </w:t>
      </w:r>
      <w:proofErr w:type="spellStart"/>
      <w:r w:rsidRPr="000E0AC5">
        <w:rPr>
          <w:rFonts w:ascii="Arial" w:hAnsi="Arial" w:eastAsia="Times New Roman" w:cs="Arial"/>
          <w:color w:val="000000"/>
          <w:lang w:val="es-ES"/>
        </w:rPr>
        <w:t>Team</w:t>
      </w:r>
      <w:proofErr w:type="spellEnd"/>
      <w:r w:rsidRPr="000E0AC5">
        <w:rPr>
          <w:rFonts w:ascii="Arial" w:hAnsi="Arial" w:eastAsia="Times New Roman" w:cs="Arial"/>
          <w:color w:val="000000"/>
          <w:lang w:val="es-ES"/>
        </w:rPr>
        <w:t xml:space="preserve"> que es patrullaje de puntos calientes en Boston, y encuentran evidencia de una disminución estadísticamente significativa de 17.3% en los crímenes violentos, de 19.2% en los </w:t>
      </w:r>
      <w:r w:rsidRPr="000E0AC5" w:rsidR="00845515">
        <w:rPr>
          <w:rFonts w:ascii="Arial" w:hAnsi="Arial" w:eastAsia="Times New Roman" w:cs="Arial"/>
          <w:color w:val="000000"/>
          <w:lang w:val="es-ES"/>
        </w:rPr>
        <w:t>asaltos</w:t>
      </w:r>
      <w:r w:rsidRPr="000E0AC5">
        <w:rPr>
          <w:rFonts w:ascii="Arial" w:hAnsi="Arial" w:eastAsia="Times New Roman" w:cs="Arial"/>
          <w:color w:val="000000"/>
          <w:lang w:val="es-ES"/>
        </w:rPr>
        <w:t xml:space="preserve">, y 15.4% en los asaltos con violencias, relativo a los grupos de comparación, aunque no se encontró una diferencias significativa en los homicidios y delitos sexuales. </w:t>
      </w:r>
      <w:r w:rsidRPr="000E0AC5">
        <w:rPr>
          <w:rFonts w:ascii="Arial" w:hAnsi="Arial" w:eastAsia="Times New Roman" w:cs="Arial"/>
          <w:color w:val="000000"/>
          <w:lang w:val="es-ES"/>
        </w:rPr>
        <w:lastRenderedPageBreak/>
        <w:t xml:space="preserve">La estrategia de identificación se basa en el emparejamiento por puntajes de propensión, que solo controla por las características observables, por lo que los resultados deben ser interpretados como una asociación. </w:t>
      </w:r>
    </w:p>
    <w:p w:rsidRPr="000E0AC5" w:rsidR="00EF01A4" w:rsidP="00EF01A4" w:rsidRDefault="00EF01A4" w14:paraId="4CD68896" w14:textId="77777777">
      <w:pPr>
        <w:spacing w:after="0" w:line="360" w:lineRule="auto"/>
        <w:jc w:val="both"/>
        <w:textAlignment w:val="top"/>
        <w:rPr>
          <w:rFonts w:ascii="Arial" w:hAnsi="Arial" w:eastAsia="Times New Roman" w:cs="Arial"/>
          <w:color w:val="000000"/>
          <w:lang w:val="es-ES"/>
        </w:rPr>
      </w:pPr>
    </w:p>
    <w:p w:rsidR="00EF01A4" w:rsidP="006A3FEB" w:rsidRDefault="004C60FF" w14:paraId="5F751894" w14:textId="7777777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Por su parte, Bulla, et al., </w:t>
      </w:r>
      <w:sdt>
        <w:sdtPr>
          <w:rPr>
            <w:rFonts w:ascii="Arial" w:hAnsi="Arial" w:eastAsia="Times New Roman" w:cs="Arial"/>
            <w:color w:val="000000"/>
            <w:lang w:val="es-ES"/>
          </w:rPr>
          <w:id w:val="-346403929"/>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Bul12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(2012)</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realizan una evaluación del Plan Nacional de Vigilancia Comunitaria por cuadrantes (PNVCC) en ocho ciudades de Colombia, que tiene como objetivo aumentar la cobertura del servicio policial para reducir los índices de criminalidad. Los resultados sugieren </w:t>
      </w:r>
      <w:proofErr w:type="gramStart"/>
      <w:r w:rsidRPr="000E0AC5">
        <w:rPr>
          <w:rFonts w:ascii="Arial" w:hAnsi="Arial" w:eastAsia="Times New Roman" w:cs="Arial"/>
          <w:color w:val="000000"/>
          <w:lang w:val="es-ES"/>
        </w:rPr>
        <w:t>que</w:t>
      </w:r>
      <w:proofErr w:type="gramEnd"/>
      <w:r w:rsidRPr="000E0AC5">
        <w:rPr>
          <w:rFonts w:ascii="Arial" w:hAnsi="Arial" w:eastAsia="Times New Roman" w:cs="Arial"/>
          <w:color w:val="000000"/>
          <w:lang w:val="es-ES"/>
        </w:rPr>
        <w:t xml:space="preserve"> en las ciudades evaluadas, la implementación del programa está asociada con una disminución de 18% en los homicidios, 11% en los delitos de lesiones personales y 22% en el hurto de vehículos. Sin embargo, estos resultados no pueden ser interpretados como causalidad, ya que no provienen de un diseño experimental. Más aún, la estrategia de evaluación solo considera la diferencia antes y después de la intervención, por lo que el resultado debe interpretarse como una correlación.</w:t>
      </w:r>
    </w:p>
    <w:p w:rsidRPr="000E0AC5" w:rsidR="004C60FF" w:rsidP="00EF01A4" w:rsidRDefault="004C60FF" w14:paraId="2CC467CB" w14:textId="398932F8">
      <w:pPr>
        <w:spacing w:after="0" w:line="360" w:lineRule="auto"/>
        <w:ind w:left="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 </w:t>
      </w:r>
    </w:p>
    <w:p w:rsidR="004C60FF" w:rsidP="006A3FEB" w:rsidRDefault="004C60FF" w14:paraId="05CEA7D3" w14:textId="2A3CC05B">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Uruguay, el Ministerio del Interior implementó el Programa de Alta Dedicación Operativa (PADO) en 2016, que consiste en un cuerpo policial dedicado exclusivamente al patrullaje de puntos calientes en la zona metropolitana de Montevideo, específicamente en 120 segmentos de las calles. Al año de implementación del programa los datos mostraron una reducción de 41% en los </w:t>
      </w:r>
      <w:r w:rsidRPr="000E0AC5" w:rsidR="00845515">
        <w:rPr>
          <w:rFonts w:ascii="Arial" w:hAnsi="Arial" w:eastAsia="Times New Roman" w:cs="Arial"/>
          <w:color w:val="000000"/>
          <w:lang w:val="es-ES"/>
        </w:rPr>
        <w:t>asaltos</w:t>
      </w:r>
      <w:r w:rsidRPr="000E0AC5">
        <w:rPr>
          <w:rFonts w:ascii="Arial" w:hAnsi="Arial" w:eastAsia="Times New Roman" w:cs="Arial"/>
          <w:color w:val="000000"/>
          <w:lang w:val="es-ES"/>
        </w:rPr>
        <w:t xml:space="preserve"> violentos en los circuitos de PADO, lo que equivale a una reducción de 9% en el área metropolitana de Montevideo. Una evaluación de impacto elaborada por </w:t>
      </w:r>
      <w:proofErr w:type="spellStart"/>
      <w:r w:rsidRPr="000E0AC5">
        <w:rPr>
          <w:rFonts w:ascii="Arial" w:hAnsi="Arial" w:eastAsia="Times New Roman" w:cs="Arial"/>
          <w:color w:val="000000"/>
          <w:lang w:val="es-ES"/>
        </w:rPr>
        <w:t>Chainey</w:t>
      </w:r>
      <w:proofErr w:type="spellEnd"/>
      <w:r w:rsidRPr="000E0AC5">
        <w:rPr>
          <w:rFonts w:ascii="Arial" w:hAnsi="Arial" w:eastAsia="Times New Roman" w:cs="Arial"/>
          <w:color w:val="000000"/>
          <w:lang w:val="es-ES"/>
        </w:rPr>
        <w:t xml:space="preserve">, Serrano y Veneri </w:t>
      </w:r>
      <w:sdt>
        <w:sdtPr>
          <w:rPr>
            <w:rFonts w:ascii="Arial" w:hAnsi="Arial" w:eastAsia="Times New Roman" w:cs="Arial"/>
            <w:color w:val="000000"/>
            <w:lang w:val="es-ES"/>
          </w:rPr>
          <w:id w:val="34784748"/>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Cha18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(2018)</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que utiliza un método </w:t>
      </w:r>
      <w:proofErr w:type="spellStart"/>
      <w:r w:rsidRPr="000E0AC5">
        <w:rPr>
          <w:rFonts w:ascii="Arial" w:hAnsi="Arial" w:eastAsia="Times New Roman" w:cs="Arial"/>
          <w:color w:val="000000"/>
          <w:lang w:val="es-ES"/>
        </w:rPr>
        <w:t>cuasi-experimental</w:t>
      </w:r>
      <w:proofErr w:type="spellEnd"/>
      <w:r w:rsidRPr="000E0AC5">
        <w:rPr>
          <w:rFonts w:ascii="Arial" w:hAnsi="Arial" w:eastAsia="Times New Roman" w:cs="Arial"/>
          <w:color w:val="000000"/>
          <w:lang w:val="es-ES"/>
        </w:rPr>
        <w:t>, encuentra evidencia que sugiere una reducción de delitos de entre 22 y 23% en los segmentos de PADO, sin embargo, los autores señala que la estrategia de identificación es débil, por lo que los resultados deben interpretarse como un aproximado del efecto del programa.</w:t>
      </w:r>
    </w:p>
    <w:p w:rsidRPr="000E0AC5" w:rsidR="00EF01A4" w:rsidP="00EF01A4" w:rsidRDefault="00EF01A4" w14:paraId="77AC2DAF" w14:textId="77777777">
      <w:pPr>
        <w:spacing w:after="0" w:line="360" w:lineRule="auto"/>
        <w:jc w:val="both"/>
        <w:textAlignment w:val="top"/>
        <w:rPr>
          <w:rFonts w:ascii="Arial" w:hAnsi="Arial" w:eastAsia="Times New Roman" w:cs="Arial"/>
          <w:color w:val="000000"/>
          <w:lang w:val="es-ES"/>
        </w:rPr>
      </w:pPr>
    </w:p>
    <w:p w:rsidR="004C60FF" w:rsidP="006A3FEB" w:rsidRDefault="004C60FF" w14:paraId="6408EB4B" w14:textId="70CA33BA">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cuanto a programas de prevención de violencia entre jóvenes, destaca el programa cognitivo-conductual </w:t>
      </w:r>
      <w:proofErr w:type="spellStart"/>
      <w:r w:rsidRPr="000E0AC5">
        <w:rPr>
          <w:rFonts w:ascii="Arial" w:hAnsi="Arial" w:eastAsia="Times New Roman" w:cs="Arial"/>
          <w:color w:val="000000"/>
          <w:lang w:val="es-ES"/>
        </w:rPr>
        <w:t>Becoming</w:t>
      </w:r>
      <w:proofErr w:type="spellEnd"/>
      <w:r w:rsidRPr="000E0AC5">
        <w:rPr>
          <w:rFonts w:ascii="Arial" w:hAnsi="Arial" w:eastAsia="Times New Roman" w:cs="Arial"/>
          <w:color w:val="000000"/>
          <w:lang w:val="es-ES"/>
        </w:rPr>
        <w:t xml:space="preserve"> a Man (BAM) que se implementó en Chicago y está dirigido a varones de entornos vulnerables y en situación de alto riesgo. Heller, et al., </w:t>
      </w:r>
      <w:sdt>
        <w:sdtPr>
          <w:rPr>
            <w:rFonts w:ascii="Arial" w:hAnsi="Arial" w:eastAsia="Times New Roman" w:cs="Arial"/>
            <w:color w:val="000000"/>
            <w:lang w:val="es-ES"/>
          </w:rPr>
          <w:id w:val="-1445378293"/>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Hel17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(2017)</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evalúan el programa mediante un diseño experimental y encuentran que este fue efectivo en reducir respuestas impulsivas que pueden conducir a la violencia. En particular, los autores encuentran que los participantes de BAM mostraron una reducción en las tasas de arre</w:t>
      </w:r>
      <w:r w:rsidRPr="000E0AC5" w:rsidR="00CE5198">
        <w:rPr>
          <w:rFonts w:ascii="Arial" w:hAnsi="Arial" w:eastAsia="Times New Roman" w:cs="Arial"/>
          <w:color w:val="000000"/>
          <w:lang w:val="es-ES"/>
        </w:rPr>
        <w:t>stos por delitos violentos de 45</w:t>
      </w:r>
      <w:r w:rsidRPr="000E0AC5" w:rsidR="001B599C">
        <w:rPr>
          <w:rFonts w:ascii="Arial" w:hAnsi="Arial" w:eastAsia="Times New Roman" w:cs="Arial"/>
          <w:color w:val="000000"/>
          <w:lang w:val="es-ES"/>
        </w:rPr>
        <w:t>%</w:t>
      </w:r>
      <w:r w:rsidRPr="000E0AC5">
        <w:rPr>
          <w:rFonts w:ascii="Arial" w:hAnsi="Arial" w:eastAsia="Times New Roman" w:cs="Arial"/>
          <w:color w:val="000000"/>
          <w:lang w:val="es-ES"/>
        </w:rPr>
        <w:t>, y aumentos en la tasa de graduación de 20</w:t>
      </w:r>
      <w:r w:rsidRPr="000E0AC5" w:rsidR="00C63A92">
        <w:rPr>
          <w:rFonts w:ascii="Arial" w:hAnsi="Arial" w:eastAsia="Times New Roman" w:cs="Arial"/>
          <w:color w:val="000000"/>
          <w:lang w:val="es-ES"/>
        </w:rPr>
        <w:t>%</w:t>
      </w:r>
      <w:r w:rsidRPr="000E0AC5">
        <w:rPr>
          <w:rFonts w:ascii="Arial" w:hAnsi="Arial" w:eastAsia="Times New Roman" w:cs="Arial"/>
          <w:color w:val="000000"/>
          <w:lang w:val="es-ES"/>
        </w:rPr>
        <w:t xml:space="preserve">, en </w:t>
      </w:r>
      <w:r w:rsidRPr="000E0AC5">
        <w:rPr>
          <w:rFonts w:ascii="Arial" w:hAnsi="Arial" w:eastAsia="Times New Roman" w:cs="Arial"/>
          <w:color w:val="000000"/>
          <w:lang w:val="es-ES"/>
        </w:rPr>
        <w:lastRenderedPageBreak/>
        <w:t xml:space="preserve">comparación con el grupo de control. Según datos del Washington </w:t>
      </w:r>
      <w:proofErr w:type="spellStart"/>
      <w:r w:rsidRPr="000E0AC5">
        <w:rPr>
          <w:rFonts w:ascii="Arial" w:hAnsi="Arial" w:eastAsia="Times New Roman" w:cs="Arial"/>
          <w:color w:val="000000"/>
          <w:lang w:val="es-ES"/>
        </w:rPr>
        <w:t>State</w:t>
      </w:r>
      <w:proofErr w:type="spellEnd"/>
      <w:r w:rsidRPr="000E0AC5">
        <w:rPr>
          <w:rFonts w:ascii="Arial" w:hAnsi="Arial" w:eastAsia="Times New Roman" w:cs="Arial"/>
          <w:color w:val="000000"/>
          <w:lang w:val="es-ES"/>
        </w:rPr>
        <w:t xml:space="preserve"> </w:t>
      </w:r>
      <w:proofErr w:type="spellStart"/>
      <w:r w:rsidRPr="000E0AC5">
        <w:rPr>
          <w:rFonts w:ascii="Arial" w:hAnsi="Arial" w:eastAsia="Times New Roman" w:cs="Arial"/>
          <w:color w:val="000000"/>
          <w:lang w:val="es-ES"/>
        </w:rPr>
        <w:t>Institute</w:t>
      </w:r>
      <w:proofErr w:type="spellEnd"/>
      <w:r w:rsidRPr="000E0AC5">
        <w:rPr>
          <w:rFonts w:ascii="Arial" w:hAnsi="Arial" w:eastAsia="Times New Roman" w:cs="Arial"/>
          <w:color w:val="000000"/>
          <w:lang w:val="es-ES"/>
        </w:rPr>
        <w:t xml:space="preserve"> for Public </w:t>
      </w:r>
      <w:proofErr w:type="spellStart"/>
      <w:r w:rsidRPr="000E0AC5">
        <w:rPr>
          <w:rFonts w:ascii="Arial" w:hAnsi="Arial" w:eastAsia="Times New Roman" w:cs="Arial"/>
          <w:color w:val="000000"/>
          <w:lang w:val="es-ES"/>
        </w:rPr>
        <w:t>Policy</w:t>
      </w:r>
      <w:proofErr w:type="spellEnd"/>
      <w:r w:rsidRPr="000E0AC5">
        <w:rPr>
          <w:rFonts w:ascii="Arial" w:hAnsi="Arial" w:eastAsia="Times New Roman" w:cs="Arial"/>
          <w:color w:val="000000"/>
          <w:lang w:val="es-ES"/>
        </w:rPr>
        <w:t xml:space="preserve"> (WSIPP), que tiene disponible análisis de costo-beneficio para diversos programas de Estados Unidos, la relación costo-beneficio de este programa es de $2.62 dólares por dólar invertido.</w:t>
      </w:r>
      <w:r w:rsidRPr="000E0AC5">
        <w:rPr>
          <w:rFonts w:ascii="Arial" w:hAnsi="Arial" w:eastAsia="Times New Roman" w:cs="Arial"/>
          <w:color w:val="000000"/>
          <w:vertAlign w:val="superscript"/>
          <w:lang w:val="es-ES"/>
        </w:rPr>
        <w:footnoteReference w:id="3"/>
      </w:r>
    </w:p>
    <w:p w:rsidRPr="000E0AC5" w:rsidR="00EF01A4" w:rsidP="00EF01A4" w:rsidRDefault="00EF01A4" w14:paraId="182F62CE" w14:textId="77777777">
      <w:pPr>
        <w:spacing w:after="0" w:line="360" w:lineRule="auto"/>
        <w:jc w:val="both"/>
        <w:textAlignment w:val="top"/>
        <w:rPr>
          <w:rFonts w:ascii="Arial" w:hAnsi="Arial" w:eastAsia="Times New Roman" w:cs="Arial"/>
          <w:color w:val="000000"/>
          <w:lang w:val="es-ES"/>
        </w:rPr>
      </w:pPr>
    </w:p>
    <w:p w:rsidR="004C60FF" w:rsidP="006A3FEB" w:rsidRDefault="004C60FF" w14:paraId="45378B71" w14:textId="4DBFCDFF">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América Latina, </w:t>
      </w:r>
      <w:proofErr w:type="spellStart"/>
      <w:r w:rsidRPr="000E0AC5">
        <w:rPr>
          <w:rFonts w:ascii="Arial" w:hAnsi="Arial" w:eastAsia="Times New Roman" w:cs="Arial"/>
          <w:color w:val="000000"/>
          <w:lang w:val="es-ES"/>
        </w:rPr>
        <w:t>Muggah</w:t>
      </w:r>
      <w:proofErr w:type="spellEnd"/>
      <w:r w:rsidRPr="000E0AC5">
        <w:rPr>
          <w:rFonts w:ascii="Arial" w:hAnsi="Arial" w:eastAsia="Times New Roman" w:cs="Arial"/>
          <w:color w:val="000000"/>
          <w:lang w:val="es-ES"/>
        </w:rPr>
        <w:t xml:space="preserve">, Garzón, y Suárez </w:t>
      </w:r>
      <w:sdt>
        <w:sdtPr>
          <w:rPr>
            <w:rFonts w:ascii="Arial" w:hAnsi="Arial" w:eastAsia="Times New Roman" w:cs="Arial"/>
            <w:color w:val="000000"/>
            <w:lang w:val="es-ES"/>
          </w:rPr>
          <w:id w:val="1674065184"/>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Mug18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(2018)</w:t>
          </w:r>
          <w:r w:rsidRPr="000E0AC5">
            <w:rPr>
              <w:rFonts w:ascii="Arial" w:hAnsi="Arial" w:eastAsia="Times New Roman" w:cs="Arial"/>
              <w:color w:val="000000"/>
              <w:lang w:val="es-ES"/>
            </w:rPr>
            <w:fldChar w:fldCharType="end"/>
          </w:r>
        </w:sdtContent>
      </w:sdt>
      <w:r w:rsidRPr="000E0AC5">
        <w:rPr>
          <w:rFonts w:ascii="Arial" w:hAnsi="Arial" w:eastAsia="Times New Roman" w:cs="Arial"/>
          <w:color w:val="000000"/>
          <w:lang w:val="es-ES"/>
        </w:rPr>
        <w:t xml:space="preserve"> señalan </w:t>
      </w:r>
      <w:proofErr w:type="gramStart"/>
      <w:r w:rsidRPr="000E0AC5">
        <w:rPr>
          <w:rFonts w:ascii="Arial" w:hAnsi="Arial" w:eastAsia="Times New Roman" w:cs="Arial"/>
          <w:color w:val="000000"/>
          <w:lang w:val="es-ES"/>
        </w:rPr>
        <w:t>que</w:t>
      </w:r>
      <w:proofErr w:type="gramEnd"/>
      <w:r w:rsidRPr="000E0AC5">
        <w:rPr>
          <w:rFonts w:ascii="Arial" w:hAnsi="Arial" w:eastAsia="Times New Roman" w:cs="Arial"/>
          <w:color w:val="000000"/>
          <w:lang w:val="es-ES"/>
        </w:rPr>
        <w:t xml:space="preserve"> en Brasil, el Ministerio de Educación y la UNESCO implementaron el Programa </w:t>
      </w:r>
      <w:proofErr w:type="spellStart"/>
      <w:r w:rsidRPr="000E0AC5">
        <w:rPr>
          <w:rFonts w:ascii="Arial" w:hAnsi="Arial" w:eastAsia="Times New Roman" w:cs="Arial"/>
          <w:color w:val="000000"/>
          <w:lang w:val="es-ES"/>
        </w:rPr>
        <w:t>Abrindo</w:t>
      </w:r>
      <w:proofErr w:type="spellEnd"/>
      <w:r w:rsidRPr="000E0AC5">
        <w:rPr>
          <w:rFonts w:ascii="Arial" w:hAnsi="Arial" w:eastAsia="Times New Roman" w:cs="Arial"/>
          <w:color w:val="000000"/>
          <w:lang w:val="es-ES"/>
        </w:rPr>
        <w:t xml:space="preserve"> </w:t>
      </w:r>
      <w:proofErr w:type="spellStart"/>
      <w:r w:rsidRPr="000E0AC5">
        <w:rPr>
          <w:rFonts w:ascii="Arial" w:hAnsi="Arial" w:eastAsia="Times New Roman" w:cs="Arial"/>
          <w:color w:val="000000"/>
          <w:lang w:val="es-ES"/>
        </w:rPr>
        <w:t>Espaços</w:t>
      </w:r>
      <w:proofErr w:type="spellEnd"/>
      <w:r w:rsidRPr="000E0AC5">
        <w:rPr>
          <w:rFonts w:ascii="Arial" w:hAnsi="Arial" w:eastAsia="Times New Roman" w:cs="Arial"/>
          <w:color w:val="000000"/>
          <w:lang w:val="es-ES"/>
        </w:rPr>
        <w:t xml:space="preserve"> en 2004, que brindaba actividades educativas, culturales, deportivas y de vocación profesional en áreas de estratos socioeconómicos bajos. Los resultados del programa muestran que en las escuelas en que se implementó se observaron menores niveles de violencia, aunque estos resultados no provienen de un diseño experimental.</w:t>
      </w:r>
    </w:p>
    <w:p w:rsidRPr="000E0AC5" w:rsidR="00EF01A4" w:rsidP="00EF01A4" w:rsidRDefault="00EF01A4" w14:paraId="524E7EFC" w14:textId="77777777">
      <w:pPr>
        <w:spacing w:after="0" w:line="360" w:lineRule="auto"/>
        <w:jc w:val="both"/>
        <w:textAlignment w:val="top"/>
        <w:rPr>
          <w:rFonts w:ascii="Arial" w:hAnsi="Arial" w:eastAsia="Times New Roman" w:cs="Arial"/>
          <w:color w:val="000000"/>
          <w:lang w:val="es-ES"/>
        </w:rPr>
      </w:pPr>
    </w:p>
    <w:p w:rsidR="004C60FF" w:rsidP="00DE01E5" w:rsidRDefault="004C60FF" w14:paraId="7EED36CD" w14:textId="1681A6F9">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 </w:t>
      </w:r>
      <w:r w:rsidRPr="000E0AC5" w:rsidR="00DB173D">
        <w:rPr>
          <w:rFonts w:ascii="Arial" w:hAnsi="Arial" w:eastAsia="Times New Roman" w:cs="Arial"/>
          <w:color w:val="000000"/>
          <w:lang w:val="es-ES"/>
        </w:rPr>
        <w:t xml:space="preserve">Por </w:t>
      </w:r>
      <w:r w:rsidRPr="000E0AC5" w:rsidR="00515F54">
        <w:rPr>
          <w:rFonts w:ascii="Arial" w:hAnsi="Arial" w:eastAsia="Times New Roman" w:cs="Arial"/>
          <w:color w:val="000000"/>
          <w:lang w:val="es-ES"/>
        </w:rPr>
        <w:t xml:space="preserve">otro </w:t>
      </w:r>
      <w:r w:rsidRPr="000E0AC5" w:rsidR="00DB173D">
        <w:rPr>
          <w:rFonts w:ascii="Arial" w:hAnsi="Arial" w:eastAsia="Times New Roman" w:cs="Arial"/>
          <w:color w:val="000000"/>
          <w:lang w:val="es-ES"/>
        </w:rPr>
        <w:t xml:space="preserve">lado, la evidencia sugiere que diversos programas </w:t>
      </w:r>
      <w:r w:rsidRPr="000E0AC5" w:rsidR="00853DF5">
        <w:rPr>
          <w:rFonts w:ascii="Arial" w:hAnsi="Arial" w:eastAsia="Times New Roman" w:cs="Arial"/>
          <w:color w:val="000000"/>
          <w:lang w:val="es-ES"/>
        </w:rPr>
        <w:t>que implementan</w:t>
      </w:r>
      <w:r w:rsidRPr="000E0AC5" w:rsidR="00DB173D">
        <w:rPr>
          <w:rFonts w:ascii="Arial" w:hAnsi="Arial" w:eastAsia="Times New Roman" w:cs="Arial"/>
          <w:color w:val="000000"/>
          <w:lang w:val="es-ES"/>
        </w:rPr>
        <w:t xml:space="preserve"> tutorías, consejería, capacitación en habilidades vocacionales o socioemocionales, servicios académicos y comunitarios, </w:t>
      </w:r>
      <w:r w:rsidRPr="000E0AC5" w:rsidR="00853DF5">
        <w:rPr>
          <w:rFonts w:ascii="Arial" w:hAnsi="Arial" w:eastAsia="Times New Roman" w:cs="Arial"/>
          <w:color w:val="000000"/>
          <w:lang w:val="es-ES"/>
        </w:rPr>
        <w:t>que están</w:t>
      </w:r>
      <w:r w:rsidRPr="000E0AC5" w:rsidR="00DB173D">
        <w:rPr>
          <w:rFonts w:ascii="Arial" w:hAnsi="Arial" w:eastAsia="Times New Roman" w:cs="Arial"/>
          <w:color w:val="000000"/>
          <w:lang w:val="es-ES"/>
        </w:rPr>
        <w:t xml:space="preserve"> enfocados en estudiantes en riesgo individuales, </w:t>
      </w:r>
      <w:r w:rsidRPr="000E0AC5" w:rsidR="00853DF5">
        <w:rPr>
          <w:rFonts w:ascii="Arial" w:hAnsi="Arial" w:eastAsia="Times New Roman" w:cs="Arial"/>
          <w:color w:val="000000"/>
          <w:lang w:val="es-ES"/>
        </w:rPr>
        <w:t>tienen a reducir</w:t>
      </w:r>
      <w:r w:rsidRPr="000E0AC5" w:rsidR="00DB173D">
        <w:rPr>
          <w:rFonts w:ascii="Arial" w:hAnsi="Arial" w:eastAsia="Times New Roman" w:cs="Arial"/>
          <w:color w:val="000000"/>
          <w:lang w:val="es-ES"/>
        </w:rPr>
        <w:t xml:space="preserve"> las tasas de deserción escolar. La evidencia empírica sugiere que programas de vocación profesional y de escuelas alternativas aumentan las tasas de graduación de secundaria aproximadamente </w:t>
      </w:r>
      <w:r w:rsidRPr="000E0AC5" w:rsidR="00DE01E5">
        <w:rPr>
          <w:rFonts w:ascii="Arial" w:hAnsi="Arial" w:eastAsia="Times New Roman" w:cs="Arial"/>
          <w:color w:val="000000"/>
          <w:lang w:val="es-ES"/>
        </w:rPr>
        <w:t xml:space="preserve">en </w:t>
      </w:r>
      <w:r w:rsidRPr="000E0AC5" w:rsidR="00DB173D">
        <w:rPr>
          <w:rFonts w:ascii="Arial" w:hAnsi="Arial" w:eastAsia="Times New Roman" w:cs="Arial"/>
          <w:color w:val="000000"/>
          <w:lang w:val="es-ES"/>
        </w:rPr>
        <w:t>15%</w:t>
      </w:r>
      <w:r w:rsidRPr="000E0AC5" w:rsidR="00DE01E5">
        <w:rPr>
          <w:rFonts w:ascii="Arial" w:hAnsi="Arial" w:eastAsia="Times New Roman" w:cs="Arial"/>
          <w:color w:val="000000"/>
          <w:lang w:val="es-ES"/>
        </w:rPr>
        <w:t xml:space="preserve">, mientras que programas para mejorar las habilidades socioemocionales están asociados con incrementos en las tasas de al menos 10% </w:t>
      </w:r>
      <w:sdt>
        <w:sdtPr>
          <w:rPr>
            <w:rFonts w:ascii="Arial" w:hAnsi="Arial" w:eastAsia="Times New Roman" w:cs="Arial"/>
            <w:color w:val="000000"/>
          </w:rPr>
          <w:id w:val="1791622623"/>
          <w:citation/>
        </w:sdtPr>
        <w:sdtEndPr/>
        <w:sdtContent>
          <w:r w:rsidRPr="000E0AC5" w:rsidR="00DB173D">
            <w:rPr>
              <w:rFonts w:ascii="Arial" w:hAnsi="Arial" w:eastAsia="Times New Roman" w:cs="Arial"/>
              <w:color w:val="000000"/>
            </w:rPr>
            <w:fldChar w:fldCharType="begin"/>
          </w:r>
          <w:r w:rsidRPr="000E0AC5" w:rsidR="00DB173D">
            <w:rPr>
              <w:rFonts w:ascii="Arial" w:hAnsi="Arial" w:eastAsia="Times New Roman" w:cs="Arial"/>
              <w:color w:val="000000"/>
              <w:lang w:val="es-ES"/>
            </w:rPr>
            <w:instrText xml:space="preserve"> CITATION Wil11 \l 1033 </w:instrText>
          </w:r>
          <w:r w:rsidRPr="000E0AC5" w:rsidR="00DB173D">
            <w:rPr>
              <w:rFonts w:ascii="Arial" w:hAnsi="Arial" w:eastAsia="Times New Roman" w:cs="Arial"/>
              <w:color w:val="000000"/>
            </w:rPr>
            <w:fldChar w:fldCharType="separate"/>
          </w:r>
          <w:r w:rsidRPr="000E0AC5" w:rsidR="008C35D8">
            <w:rPr>
              <w:rFonts w:ascii="Arial" w:hAnsi="Arial" w:eastAsia="Times New Roman" w:cs="Arial"/>
              <w:noProof/>
              <w:color w:val="000000"/>
              <w:lang w:val="es-ES"/>
            </w:rPr>
            <w:t>(Wilson, Tanner-Smith, Lipsey, Steinka-Fry, &amp; Morrison, 2011)</w:t>
          </w:r>
          <w:r w:rsidRPr="000E0AC5" w:rsidR="00DB173D">
            <w:rPr>
              <w:rFonts w:ascii="Arial" w:hAnsi="Arial" w:eastAsia="Times New Roman" w:cs="Arial"/>
              <w:color w:val="000000"/>
            </w:rPr>
            <w:fldChar w:fldCharType="end"/>
          </w:r>
        </w:sdtContent>
      </w:sdt>
      <w:r w:rsidRPr="000E0AC5" w:rsidR="00DB173D">
        <w:rPr>
          <w:rFonts w:ascii="Arial" w:hAnsi="Arial" w:eastAsia="Times New Roman" w:cs="Arial"/>
          <w:color w:val="000000"/>
          <w:lang w:val="es-ES"/>
        </w:rPr>
        <w:t>.</w:t>
      </w:r>
      <w:r w:rsidRPr="000E0AC5" w:rsidR="00DE01E5">
        <w:rPr>
          <w:rFonts w:ascii="Arial" w:hAnsi="Arial" w:eastAsia="Times New Roman" w:cs="Arial"/>
          <w:color w:val="000000"/>
          <w:lang w:val="es-ES"/>
        </w:rPr>
        <w:t xml:space="preserve"> Asimismo, un análisis de costo-beneficio para el programa </w:t>
      </w:r>
      <w:proofErr w:type="spellStart"/>
      <w:r w:rsidRPr="000E0AC5" w:rsidR="00DE01E5">
        <w:rPr>
          <w:rFonts w:ascii="Arial" w:hAnsi="Arial" w:eastAsia="Times New Roman" w:cs="Arial"/>
          <w:i/>
          <w:color w:val="000000"/>
          <w:lang w:val="es-ES"/>
        </w:rPr>
        <w:t>Community</w:t>
      </w:r>
      <w:proofErr w:type="spellEnd"/>
      <w:r w:rsidRPr="000E0AC5" w:rsidR="00DE01E5">
        <w:rPr>
          <w:rFonts w:ascii="Arial" w:hAnsi="Arial" w:eastAsia="Times New Roman" w:cs="Arial"/>
          <w:i/>
          <w:color w:val="000000"/>
          <w:lang w:val="es-ES"/>
        </w:rPr>
        <w:t xml:space="preserve"> </w:t>
      </w:r>
      <w:proofErr w:type="spellStart"/>
      <w:r w:rsidRPr="000E0AC5" w:rsidR="00DE01E5">
        <w:rPr>
          <w:rFonts w:ascii="Arial" w:hAnsi="Arial" w:eastAsia="Times New Roman" w:cs="Arial"/>
          <w:i/>
          <w:color w:val="000000"/>
          <w:lang w:val="es-ES"/>
        </w:rPr>
        <w:t>that</w:t>
      </w:r>
      <w:proofErr w:type="spellEnd"/>
      <w:r w:rsidRPr="000E0AC5" w:rsidR="00DE01E5">
        <w:rPr>
          <w:rFonts w:ascii="Arial" w:hAnsi="Arial" w:eastAsia="Times New Roman" w:cs="Arial"/>
          <w:i/>
          <w:color w:val="000000"/>
          <w:lang w:val="es-ES"/>
        </w:rPr>
        <w:t xml:space="preserve"> </w:t>
      </w:r>
      <w:proofErr w:type="spellStart"/>
      <w:r w:rsidRPr="000E0AC5" w:rsidR="00DE01E5">
        <w:rPr>
          <w:rFonts w:ascii="Arial" w:hAnsi="Arial" w:eastAsia="Times New Roman" w:cs="Arial"/>
          <w:i/>
          <w:color w:val="000000"/>
          <w:lang w:val="es-ES"/>
        </w:rPr>
        <w:t>Care</w:t>
      </w:r>
      <w:proofErr w:type="spellEnd"/>
      <w:r w:rsidRPr="000E0AC5" w:rsidR="00DE01E5">
        <w:rPr>
          <w:rFonts w:ascii="Arial" w:hAnsi="Arial" w:eastAsia="Times New Roman" w:cs="Arial"/>
          <w:color w:val="000000"/>
          <w:lang w:val="es-ES"/>
        </w:rPr>
        <w:t xml:space="preserve"> (CTC) </w:t>
      </w:r>
      <w:r w:rsidRPr="000E0AC5" w:rsidR="00853DF5">
        <w:rPr>
          <w:rFonts w:ascii="Arial" w:hAnsi="Arial" w:eastAsia="Times New Roman" w:cs="Arial"/>
          <w:color w:val="000000"/>
          <w:lang w:val="es-ES"/>
        </w:rPr>
        <w:t xml:space="preserve">que </w:t>
      </w:r>
      <w:r w:rsidRPr="000E0AC5" w:rsidR="00DE01E5">
        <w:rPr>
          <w:rFonts w:ascii="Arial" w:hAnsi="Arial" w:eastAsia="Times New Roman" w:cs="Arial"/>
          <w:color w:val="000000"/>
          <w:lang w:val="es-ES"/>
        </w:rPr>
        <w:t xml:space="preserve">es un programa de prevención comunitario basado en la comunidad que tiene como objetivo prevenir las conductas problemáticas de los jóvenes, encuentra que el programa tiene un retorno social alto, ya que </w:t>
      </w:r>
      <w:r w:rsidRPr="000E0AC5" w:rsidR="00486824">
        <w:rPr>
          <w:rFonts w:ascii="Arial" w:hAnsi="Arial" w:eastAsia="Times New Roman" w:cs="Arial"/>
          <w:color w:val="000000"/>
          <w:lang w:val="es-ES"/>
        </w:rPr>
        <w:t>la razón</w:t>
      </w:r>
      <w:r w:rsidRPr="000E0AC5" w:rsidR="00DE01E5">
        <w:rPr>
          <w:rFonts w:ascii="Arial" w:hAnsi="Arial" w:eastAsia="Times New Roman" w:cs="Arial"/>
          <w:color w:val="000000"/>
          <w:lang w:val="es-ES"/>
        </w:rPr>
        <w:t xml:space="preserve"> de beneficio-costo es de </w:t>
      </w:r>
      <w:r w:rsidRPr="000E0AC5" w:rsidR="00037C23">
        <w:rPr>
          <w:rFonts w:ascii="Arial" w:hAnsi="Arial" w:eastAsia="Times New Roman" w:cs="Arial"/>
          <w:color w:val="000000"/>
          <w:lang w:val="es-ES"/>
        </w:rPr>
        <w:t>$</w:t>
      </w:r>
      <w:r w:rsidRPr="000E0AC5" w:rsidR="00DE01E5">
        <w:rPr>
          <w:rFonts w:ascii="Arial" w:hAnsi="Arial" w:eastAsia="Times New Roman" w:cs="Arial"/>
          <w:color w:val="000000"/>
          <w:lang w:val="es-ES"/>
        </w:rPr>
        <w:t>4.95</w:t>
      </w:r>
      <w:r w:rsidRPr="000E0AC5" w:rsidR="00037C23">
        <w:rPr>
          <w:rFonts w:ascii="Arial" w:hAnsi="Arial" w:eastAsia="Times New Roman" w:cs="Arial"/>
          <w:color w:val="000000"/>
          <w:lang w:val="es-ES"/>
        </w:rPr>
        <w:t xml:space="preserve"> por dólar invertido</w:t>
      </w:r>
      <w:r w:rsidRPr="000E0AC5" w:rsidR="00DE01E5">
        <w:rPr>
          <w:rFonts w:ascii="Arial" w:hAnsi="Arial" w:eastAsia="Times New Roman" w:cs="Arial"/>
          <w:color w:val="000000"/>
          <w:lang w:val="es-ES"/>
        </w:rPr>
        <w:t>, y genera beneficios netos por participantes de $2,380.</w:t>
      </w:r>
    </w:p>
    <w:p w:rsidRPr="000E0AC5" w:rsidR="00EF01A4" w:rsidP="00EF01A4" w:rsidRDefault="00EF01A4" w14:paraId="06EF5E99" w14:textId="77777777">
      <w:pPr>
        <w:spacing w:after="0" w:line="360" w:lineRule="auto"/>
        <w:jc w:val="both"/>
        <w:textAlignment w:val="top"/>
        <w:rPr>
          <w:rFonts w:ascii="Arial" w:hAnsi="Arial" w:eastAsia="Times New Roman" w:cs="Arial"/>
          <w:color w:val="000000"/>
          <w:lang w:val="es-ES"/>
        </w:rPr>
      </w:pPr>
    </w:p>
    <w:p w:rsidRPr="000E0AC5" w:rsidR="004C60FF" w:rsidP="006A3FEB" w:rsidRDefault="004C60FF" w14:paraId="6D5C64FC" w14:textId="7777777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 Cabe señalar que en ningún estudio se estima</w:t>
      </w:r>
      <w:r w:rsidRPr="000E0AC5" w:rsidR="005305F2">
        <w:rPr>
          <w:rFonts w:ascii="Arial" w:hAnsi="Arial" w:eastAsia="Times New Roman" w:cs="Arial"/>
          <w:color w:val="000000"/>
          <w:lang w:val="es-ES"/>
        </w:rPr>
        <w:t>n</w:t>
      </w:r>
      <w:r w:rsidRPr="000E0AC5">
        <w:rPr>
          <w:rFonts w:ascii="Arial" w:hAnsi="Arial" w:eastAsia="Times New Roman" w:cs="Arial"/>
          <w:color w:val="000000"/>
          <w:lang w:val="es-ES"/>
        </w:rPr>
        <w:t xml:space="preserve"> los efectos de largo plazo de los programas mencionados. </w:t>
      </w:r>
    </w:p>
    <w:p w:rsidRPr="000E0AC5" w:rsidR="00934DE2" w:rsidP="00934DE2" w:rsidRDefault="00934DE2" w14:paraId="0C9B03F9" w14:textId="77777777">
      <w:pPr>
        <w:spacing w:after="0" w:line="360" w:lineRule="auto"/>
        <w:ind w:left="450"/>
        <w:jc w:val="both"/>
        <w:textAlignment w:val="top"/>
        <w:rPr>
          <w:rFonts w:ascii="Arial" w:hAnsi="Arial" w:eastAsia="Times New Roman" w:cs="Arial"/>
          <w:color w:val="000000"/>
          <w:lang w:val="es-ES"/>
        </w:rPr>
      </w:pPr>
    </w:p>
    <w:p w:rsidRPr="000E0AC5" w:rsidR="008F68CD" w:rsidP="006A3FEB" w:rsidRDefault="000E74F4" w14:paraId="31F414A4" w14:textId="77777777">
      <w:pPr>
        <w:pStyle w:val="ListParagraph"/>
        <w:numPr>
          <w:ilvl w:val="0"/>
          <w:numId w:val="8"/>
        </w:numPr>
        <w:spacing w:after="0" w:line="360" w:lineRule="auto"/>
        <w:jc w:val="both"/>
        <w:rPr>
          <w:rFonts w:ascii="Arial" w:hAnsi="Arial" w:cs="Arial"/>
          <w:b/>
          <w:lang w:val="es-ES"/>
        </w:rPr>
      </w:pPr>
      <w:r w:rsidRPr="000E0AC5">
        <w:rPr>
          <w:rFonts w:ascii="Arial" w:hAnsi="Arial" w:cs="Arial"/>
          <w:b/>
          <w:lang w:val="es-ES"/>
        </w:rPr>
        <w:t>Metodología</w:t>
      </w:r>
    </w:p>
    <w:p w:rsidRPr="000E0AC5" w:rsidR="00934DE2" w:rsidP="00DB4572" w:rsidRDefault="00934DE2" w14:paraId="7BC89F5B" w14:textId="44BA4DF3">
      <w:pPr>
        <w:pStyle w:val="ListParagraph"/>
        <w:spacing w:after="0" w:line="360" w:lineRule="auto"/>
        <w:ind w:left="1440"/>
        <w:jc w:val="both"/>
        <w:rPr>
          <w:rFonts w:ascii="Arial" w:hAnsi="Arial" w:cs="Arial"/>
          <w:b/>
        </w:rPr>
      </w:pPr>
    </w:p>
    <w:p w:rsidR="00B221C2" w:rsidP="006A3FEB" w:rsidRDefault="00B221C2" w14:paraId="5A9666B6" w14:textId="10063C0D">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lastRenderedPageBreak/>
        <w:t>En este documento se intenta cuantificar los beneficios sociales de la intervención a través de la prevención de delitos</w:t>
      </w:r>
      <w:r w:rsidRPr="000E0AC5" w:rsidR="00FA6DB5">
        <w:rPr>
          <w:rFonts w:ascii="Arial" w:hAnsi="Arial" w:eastAsia="Times New Roman" w:cs="Arial"/>
          <w:color w:val="000000"/>
          <w:lang w:val="es-ES"/>
        </w:rPr>
        <w:t xml:space="preserve"> en los distritos priorizados y la reducción en las tasas de exclusión escolar en la población beneficiaria de los Centros Cívicos de Paz</w:t>
      </w:r>
      <w:r w:rsidRPr="000E0AC5">
        <w:rPr>
          <w:rFonts w:ascii="Arial" w:hAnsi="Arial" w:eastAsia="Times New Roman" w:cs="Arial"/>
          <w:color w:val="000000"/>
          <w:lang w:val="es-ES"/>
        </w:rPr>
        <w:t xml:space="preserve">. En este sentido, el análisis de costo-beneficio, además de tomar en cuenta los beneficios financieros, también intenta cuantificar beneficios como el aumento de los ingresos para los individuos beneficiarios, aumento de los ingresos o ahorros para las comunidades o el sector público en general, así como medidas más subjetivas como el bienestar social –siempre que se pueda asignar algún tipo de valor monetario. Por tal razón, el análisis no brinda valores exactos, sino que busca establecer un límite inferior aproximado para los beneficios potenciales de la intervención. </w:t>
      </w:r>
    </w:p>
    <w:p w:rsidRPr="000E0AC5" w:rsidR="00EF01A4" w:rsidP="00EF01A4" w:rsidRDefault="00EF01A4" w14:paraId="5A3A7F89" w14:textId="77777777">
      <w:pPr>
        <w:spacing w:after="0" w:line="360" w:lineRule="auto"/>
        <w:ind w:left="450"/>
        <w:jc w:val="both"/>
        <w:textAlignment w:val="top"/>
        <w:rPr>
          <w:rFonts w:ascii="Arial" w:hAnsi="Arial" w:eastAsia="Times New Roman" w:cs="Arial"/>
          <w:color w:val="000000"/>
          <w:lang w:val="es-ES"/>
        </w:rPr>
      </w:pPr>
    </w:p>
    <w:p w:rsidR="00B221C2" w:rsidP="006A3FEB" w:rsidRDefault="00B221C2" w14:paraId="56EF294F" w14:textId="113B892F">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El objetivo principal del Programa es contribuir a la reducción de crímenes violentos en los distritos priorizados de Costa Rica, y así reducir las tasas a nivel nacional. </w:t>
      </w:r>
      <w:r w:rsidR="0025113B">
        <w:rPr>
          <w:rFonts w:ascii="Arial" w:hAnsi="Arial" w:eastAsia="Times New Roman" w:cs="Arial"/>
          <w:color w:val="000000"/>
          <w:lang w:val="es-ES"/>
        </w:rPr>
        <w:t>E</w:t>
      </w:r>
      <w:r w:rsidRPr="000E0AC5">
        <w:rPr>
          <w:rFonts w:ascii="Arial" w:hAnsi="Arial" w:eastAsia="Times New Roman" w:cs="Arial"/>
          <w:color w:val="000000"/>
          <w:lang w:val="es-ES"/>
        </w:rPr>
        <w:t xml:space="preserve">l </w:t>
      </w:r>
      <w:r w:rsidR="006372F5">
        <w:rPr>
          <w:rFonts w:ascii="Arial" w:hAnsi="Arial" w:eastAsia="Times New Roman" w:cs="Arial"/>
          <w:color w:val="000000"/>
          <w:lang w:val="es-ES"/>
        </w:rPr>
        <w:t>C</w:t>
      </w:r>
      <w:r w:rsidRPr="000E0AC5">
        <w:rPr>
          <w:rFonts w:ascii="Arial" w:hAnsi="Arial" w:eastAsia="Times New Roman" w:cs="Arial"/>
          <w:color w:val="000000"/>
          <w:lang w:val="es-ES"/>
        </w:rPr>
        <w:t>omponente 1</w:t>
      </w:r>
      <w:r w:rsidR="0025113B">
        <w:rPr>
          <w:rFonts w:ascii="Arial" w:hAnsi="Arial" w:eastAsia="Times New Roman" w:cs="Arial"/>
          <w:color w:val="000000"/>
          <w:lang w:val="es-ES"/>
        </w:rPr>
        <w:t xml:space="preserve"> </w:t>
      </w:r>
      <w:r w:rsidRPr="000E0AC5">
        <w:rPr>
          <w:rFonts w:ascii="Arial" w:hAnsi="Arial" w:eastAsia="Times New Roman" w:cs="Arial"/>
          <w:color w:val="000000"/>
          <w:lang w:val="es-ES"/>
        </w:rPr>
        <w:t xml:space="preserve">busca mejorar la efectividad policial a través de prácticas de patrullaje de puntos críticos y modalidades de policía orientada a la resolución de problemas. La teoría de cambio sugiere que la mayor presencia policial aumenta el riesgo que percibe el presunto delincuente de ser atrapado, por lo que se reduce el retorno percibido por el hecho delictivo. Por tanto, el principal efecto tanto de corto como de largo plazo es disminuir las tasas de crímenes violentos, lo que genera ahorros en el sistema judicial y penitenciario. Por su parte, el </w:t>
      </w:r>
      <w:r w:rsidR="006372F5">
        <w:rPr>
          <w:rFonts w:ascii="Arial" w:hAnsi="Arial" w:eastAsia="Times New Roman" w:cs="Arial"/>
          <w:color w:val="000000"/>
          <w:lang w:val="es-ES"/>
        </w:rPr>
        <w:t>C</w:t>
      </w:r>
      <w:r w:rsidRPr="000E0AC5">
        <w:rPr>
          <w:rFonts w:ascii="Arial" w:hAnsi="Arial" w:eastAsia="Times New Roman" w:cs="Arial"/>
          <w:color w:val="000000"/>
          <w:lang w:val="es-ES"/>
        </w:rPr>
        <w:t xml:space="preserve">omponente 2 que tiene como objetivo mejorar la inclusión social de los niños, niñas, adolescentes y jóvenes en situación vulnerable. Así, la participación en los CCP permitirá el acceso a actividades deportivas, culturales, talleres en habilidades socioemocionales, entre otras –que en primera instancia constituye un mejor uso del tiempo para las personas beneficiarias– lo que tendría un efecto de corto plazo de reducción de las actividades delictivas de los jóvenes, pero que tiene el potencial de generar efectos de largo plazo, como modificar el comportamiento, aumentar la probabilidad de finalizar la educación media superior, e incluso incrementar la probabilidad de asistir a educación terciaria. </w:t>
      </w:r>
    </w:p>
    <w:p w:rsidRPr="000E0AC5" w:rsidR="00EF01A4" w:rsidP="00EF01A4" w:rsidRDefault="00EF01A4" w14:paraId="340A7E75" w14:textId="77777777">
      <w:pPr>
        <w:spacing w:after="0" w:line="360" w:lineRule="auto"/>
        <w:ind w:left="450"/>
        <w:jc w:val="both"/>
        <w:textAlignment w:val="top"/>
        <w:rPr>
          <w:rFonts w:ascii="Arial" w:hAnsi="Arial" w:eastAsia="Times New Roman" w:cs="Arial"/>
          <w:color w:val="000000"/>
          <w:lang w:val="es-ES"/>
        </w:rPr>
      </w:pPr>
    </w:p>
    <w:p w:rsidR="00B221C2" w:rsidP="006A3FEB" w:rsidRDefault="00B221C2" w14:paraId="3010A9B2" w14:textId="11A212B1">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Tomando en cuenta que el objetivo principal de la intervención es incidir en las tasas de crímenes violentos, principalmente homicidios y asaltos en los distritos a intervenir, se utiliza como proxy para medir el efecto del Programa los cambios en el número homicidios y asaltos </w:t>
      </w:r>
      <w:r w:rsidRPr="000E0AC5" w:rsidR="00FA6DB5">
        <w:rPr>
          <w:rFonts w:ascii="Arial" w:hAnsi="Arial" w:eastAsia="Times New Roman" w:cs="Arial"/>
          <w:color w:val="000000"/>
          <w:lang w:val="es-ES"/>
        </w:rPr>
        <w:t>en estos distritos</w:t>
      </w:r>
      <w:r w:rsidRPr="000E0AC5">
        <w:rPr>
          <w:rFonts w:ascii="Arial" w:hAnsi="Arial" w:eastAsia="Times New Roman" w:cs="Arial"/>
          <w:color w:val="000000"/>
          <w:lang w:val="es-ES"/>
        </w:rPr>
        <w:t xml:space="preserve">. </w:t>
      </w:r>
      <w:r w:rsidRPr="000E0AC5" w:rsidR="00FA6DB5">
        <w:rPr>
          <w:rFonts w:ascii="Arial" w:hAnsi="Arial" w:eastAsia="Times New Roman" w:cs="Arial"/>
          <w:color w:val="000000"/>
          <w:lang w:val="es-ES"/>
        </w:rPr>
        <w:t>Para estimar el número de asaltos y homicidios en los distritos priorizados s</w:t>
      </w:r>
      <w:r w:rsidRPr="000E0AC5">
        <w:rPr>
          <w:rFonts w:ascii="Arial" w:hAnsi="Arial" w:eastAsia="Times New Roman" w:cs="Arial"/>
          <w:color w:val="000000"/>
          <w:lang w:val="es-ES"/>
        </w:rPr>
        <w:t>e utiliza</w:t>
      </w:r>
      <w:r w:rsidRPr="000E0AC5" w:rsidR="00FA6DB5">
        <w:rPr>
          <w:rFonts w:ascii="Arial" w:hAnsi="Arial" w:eastAsia="Times New Roman" w:cs="Arial"/>
          <w:color w:val="000000"/>
          <w:lang w:val="es-ES"/>
        </w:rPr>
        <w:t xml:space="preserve"> como base la tendencia </w:t>
      </w:r>
      <w:r w:rsidRPr="000E0AC5">
        <w:rPr>
          <w:rFonts w:ascii="Arial" w:hAnsi="Arial" w:eastAsia="Times New Roman" w:cs="Arial"/>
          <w:color w:val="000000"/>
          <w:lang w:val="es-ES"/>
        </w:rPr>
        <w:t xml:space="preserve">nacional, ya que no se cuenta con </w:t>
      </w:r>
      <w:r w:rsidRPr="000E0AC5">
        <w:rPr>
          <w:rFonts w:ascii="Arial" w:hAnsi="Arial" w:eastAsia="Times New Roman" w:cs="Arial"/>
          <w:color w:val="000000"/>
          <w:lang w:val="es-ES"/>
        </w:rPr>
        <w:lastRenderedPageBreak/>
        <w:t>información histórica más desagregada geográficamente. Los datos de homicidios</w:t>
      </w:r>
      <w:r w:rsidRPr="000E0AC5" w:rsidR="00395BFC">
        <w:rPr>
          <w:rFonts w:ascii="Arial" w:hAnsi="Arial" w:eastAsia="Times New Roman" w:cs="Arial"/>
          <w:color w:val="000000"/>
          <w:lang w:val="es-ES"/>
        </w:rPr>
        <w:t xml:space="preserve"> </w:t>
      </w:r>
      <w:r w:rsidRPr="000E0AC5" w:rsidR="00FA6DB5">
        <w:rPr>
          <w:rFonts w:ascii="Arial" w:hAnsi="Arial" w:eastAsia="Times New Roman" w:cs="Arial"/>
          <w:color w:val="000000"/>
          <w:lang w:val="es-ES"/>
        </w:rPr>
        <w:t xml:space="preserve">nacionales </w:t>
      </w:r>
      <w:r w:rsidRPr="000E0AC5">
        <w:rPr>
          <w:rFonts w:ascii="Arial" w:hAnsi="Arial" w:eastAsia="Times New Roman" w:cs="Arial"/>
          <w:color w:val="000000"/>
          <w:lang w:val="es-ES"/>
        </w:rPr>
        <w:t>provienen de la Oficina de las Naciones Unidas contra la Droga y el Delito (UNODC, por sus siglas en inglés) para el período 2003-2017.</w:t>
      </w:r>
      <w:r w:rsidRPr="000E0AC5" w:rsidR="00395BFC">
        <w:rPr>
          <w:rFonts w:ascii="Arial" w:hAnsi="Arial" w:eastAsia="Times New Roman" w:cs="Arial"/>
          <w:color w:val="000000"/>
          <w:vertAlign w:val="superscript"/>
          <w:lang w:val="es-ES"/>
        </w:rPr>
        <w:footnoteReference w:id="4"/>
      </w:r>
      <w:r w:rsidRPr="000E0AC5" w:rsidR="00395BFC">
        <w:rPr>
          <w:rFonts w:ascii="Arial" w:hAnsi="Arial" w:eastAsia="Times New Roman" w:cs="Arial"/>
          <w:color w:val="000000"/>
          <w:lang w:val="es-ES"/>
        </w:rPr>
        <w:t xml:space="preserve"> Para medir los cambios en</w:t>
      </w:r>
      <w:r w:rsidRPr="000E0AC5">
        <w:rPr>
          <w:rFonts w:ascii="Arial" w:hAnsi="Arial" w:eastAsia="Times New Roman" w:cs="Arial"/>
          <w:color w:val="000000"/>
          <w:lang w:val="es-ES"/>
        </w:rPr>
        <w:t xml:space="preserve"> </w:t>
      </w:r>
      <w:r w:rsidRPr="000E0AC5" w:rsidR="00395BFC">
        <w:rPr>
          <w:rFonts w:ascii="Arial" w:hAnsi="Arial" w:eastAsia="Times New Roman" w:cs="Arial"/>
          <w:color w:val="000000"/>
          <w:lang w:val="es-ES"/>
        </w:rPr>
        <w:t>los asaltos se utiliza los datos reportados en la Memoria Institucional Anual del Organismo de Investigación Judicial para el período 2011-2017.</w:t>
      </w:r>
      <w:r w:rsidRPr="000E0AC5" w:rsidR="00395BFC">
        <w:rPr>
          <w:rFonts w:ascii="Arial" w:hAnsi="Arial" w:eastAsia="Times New Roman" w:cs="Arial"/>
          <w:color w:val="000000"/>
          <w:vertAlign w:val="superscript"/>
          <w:lang w:val="es-ES"/>
        </w:rPr>
        <w:footnoteReference w:id="5"/>
      </w:r>
    </w:p>
    <w:p w:rsidRPr="000E0AC5" w:rsidR="00EF01A4" w:rsidP="00EF01A4" w:rsidRDefault="00EF01A4" w14:paraId="11B3CF05" w14:textId="77777777">
      <w:pPr>
        <w:spacing w:after="0" w:line="360" w:lineRule="auto"/>
        <w:jc w:val="both"/>
        <w:textAlignment w:val="top"/>
        <w:rPr>
          <w:rFonts w:ascii="Arial" w:hAnsi="Arial" w:eastAsia="Times New Roman" w:cs="Arial"/>
          <w:color w:val="000000"/>
          <w:lang w:val="es-ES"/>
        </w:rPr>
      </w:pPr>
    </w:p>
    <w:p w:rsidR="00B221C2" w:rsidP="006A3FEB" w:rsidRDefault="00B221C2" w14:paraId="0A4ADE05" w14:textId="053E3AB9">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Para llevar a cabo el análisis se asume que el </w:t>
      </w:r>
      <w:r w:rsidRPr="000E0AC5" w:rsidR="002A0624">
        <w:rPr>
          <w:rFonts w:ascii="Arial" w:hAnsi="Arial" w:eastAsia="Times New Roman" w:cs="Arial"/>
          <w:color w:val="000000"/>
          <w:lang w:val="es-ES"/>
        </w:rPr>
        <w:t>Programa iniciará en el año 2020</w:t>
      </w:r>
      <w:r w:rsidRPr="000E0AC5">
        <w:rPr>
          <w:rFonts w:ascii="Arial" w:hAnsi="Arial" w:eastAsia="Times New Roman" w:cs="Arial"/>
          <w:color w:val="000000"/>
          <w:lang w:val="es-ES"/>
        </w:rPr>
        <w:t>, y se proyecta los beneficios para 203</w:t>
      </w:r>
      <w:r w:rsidRPr="000E0AC5" w:rsidR="00FA6DB5">
        <w:rPr>
          <w:rFonts w:ascii="Arial" w:hAnsi="Arial" w:eastAsia="Times New Roman" w:cs="Arial"/>
          <w:color w:val="000000"/>
          <w:lang w:val="es-ES"/>
        </w:rPr>
        <w:t>8</w:t>
      </w:r>
      <w:r w:rsidRPr="000E0AC5">
        <w:rPr>
          <w:rFonts w:ascii="Arial" w:hAnsi="Arial" w:eastAsia="Times New Roman" w:cs="Arial"/>
          <w:color w:val="000000"/>
          <w:lang w:val="es-ES"/>
        </w:rPr>
        <w:t>.</w:t>
      </w:r>
    </w:p>
    <w:p w:rsidRPr="000E0AC5" w:rsidR="00EF01A4" w:rsidP="00EF01A4" w:rsidRDefault="00EF01A4" w14:paraId="3F5F84E7" w14:textId="77777777">
      <w:pPr>
        <w:spacing w:after="0" w:line="360" w:lineRule="auto"/>
        <w:jc w:val="both"/>
        <w:textAlignment w:val="top"/>
        <w:rPr>
          <w:rFonts w:ascii="Arial" w:hAnsi="Arial" w:eastAsia="Times New Roman" w:cs="Arial"/>
          <w:color w:val="000000"/>
          <w:lang w:val="es-ES"/>
        </w:rPr>
      </w:pPr>
    </w:p>
    <w:p w:rsidRPr="000E0AC5" w:rsidR="00B221C2" w:rsidP="006A3FEB" w:rsidRDefault="00B221C2" w14:paraId="75341CD0" w14:textId="7777777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La metodología general que se sigue en este análisis es la siguiente:</w:t>
      </w:r>
    </w:p>
    <w:p w:rsidRPr="000E0AC5" w:rsidR="00B221C2" w:rsidP="006A3FEB" w:rsidRDefault="00B221C2" w14:paraId="6B423DD6" w14:textId="6788D303">
      <w:pPr>
        <w:pStyle w:val="ListParagraph"/>
        <w:numPr>
          <w:ilvl w:val="0"/>
          <w:numId w:val="9"/>
        </w:numPr>
        <w:spacing w:before="240" w:after="0" w:line="360" w:lineRule="auto"/>
        <w:jc w:val="both"/>
        <w:rPr>
          <w:rFonts w:ascii="Arial" w:hAnsi="Arial" w:cs="Arial"/>
          <w:lang w:val="es-ES"/>
        </w:rPr>
      </w:pPr>
      <w:r w:rsidRPr="000E0AC5">
        <w:rPr>
          <w:rFonts w:ascii="Arial" w:hAnsi="Arial" w:cs="Arial"/>
          <w:lang w:val="es-ES"/>
        </w:rPr>
        <w:t>Se construye un escenario contrafactual que aproxime los resultados en ausencia de la intervención. Para construir este escenario se utiliza la proyección de los valores que tomarían la</w:t>
      </w:r>
      <w:r w:rsidRPr="000E0AC5" w:rsidR="002A0624">
        <w:rPr>
          <w:rFonts w:ascii="Arial" w:hAnsi="Arial" w:cs="Arial"/>
          <w:lang w:val="es-ES"/>
        </w:rPr>
        <w:t>s var</w:t>
      </w:r>
      <w:r w:rsidRPr="000E0AC5" w:rsidR="00FA6DB5">
        <w:rPr>
          <w:rFonts w:ascii="Arial" w:hAnsi="Arial" w:cs="Arial"/>
          <w:lang w:val="es-ES"/>
        </w:rPr>
        <w:t>iables para el período 2020-2038</w:t>
      </w:r>
      <w:r w:rsidRPr="000E0AC5">
        <w:rPr>
          <w:rFonts w:ascii="Arial" w:hAnsi="Arial" w:cs="Arial"/>
          <w:lang w:val="es-ES"/>
        </w:rPr>
        <w:t>, y se computan a partir de la tasa de variación promedio anual del período 2010-2017</w:t>
      </w:r>
      <w:r w:rsidRPr="000E0AC5" w:rsidR="00FA6DB5">
        <w:rPr>
          <w:rFonts w:ascii="Arial" w:hAnsi="Arial" w:cs="Arial"/>
          <w:lang w:val="es-ES"/>
        </w:rPr>
        <w:t xml:space="preserve"> de la tendencia histórica a nivel nacional</w:t>
      </w:r>
      <w:r w:rsidR="006372F5">
        <w:rPr>
          <w:rFonts w:ascii="Arial" w:hAnsi="Arial" w:cs="Arial"/>
          <w:lang w:val="es-ES"/>
        </w:rPr>
        <w:t>;</w:t>
      </w:r>
    </w:p>
    <w:p w:rsidRPr="000E0AC5" w:rsidR="00B221C2" w:rsidP="006A3FEB" w:rsidRDefault="00B221C2" w14:paraId="674B38B2" w14:textId="77777777">
      <w:pPr>
        <w:pStyle w:val="ListParagraph"/>
        <w:numPr>
          <w:ilvl w:val="0"/>
          <w:numId w:val="9"/>
        </w:numPr>
        <w:spacing w:before="240" w:after="0" w:line="360" w:lineRule="auto"/>
        <w:jc w:val="both"/>
        <w:rPr>
          <w:rFonts w:ascii="Arial" w:hAnsi="Arial" w:cs="Arial"/>
          <w:lang w:val="es-ES"/>
        </w:rPr>
      </w:pPr>
      <w:r w:rsidRPr="000E0AC5">
        <w:rPr>
          <w:rFonts w:ascii="Arial" w:hAnsi="Arial" w:cs="Arial"/>
          <w:lang w:val="es-ES"/>
        </w:rPr>
        <w:t>Utilizando la literatura empírica, así como los valores de la Matriz de Resultados del Proyecto, se evalúan los posibles impactos del programa;</w:t>
      </w:r>
    </w:p>
    <w:p w:rsidRPr="000E0AC5" w:rsidR="00B221C2" w:rsidP="006A3FEB" w:rsidRDefault="00B221C2" w14:paraId="4BCAEB8A" w14:textId="77777777">
      <w:pPr>
        <w:pStyle w:val="ListParagraph"/>
        <w:numPr>
          <w:ilvl w:val="0"/>
          <w:numId w:val="9"/>
        </w:numPr>
        <w:spacing w:before="240" w:after="0" w:line="360" w:lineRule="auto"/>
        <w:jc w:val="both"/>
        <w:rPr>
          <w:rFonts w:ascii="Arial" w:hAnsi="Arial" w:cs="Arial"/>
          <w:lang w:val="es-ES"/>
        </w:rPr>
      </w:pPr>
      <w:r w:rsidRPr="000E0AC5">
        <w:rPr>
          <w:rFonts w:ascii="Arial" w:hAnsi="Arial" w:cs="Arial"/>
          <w:lang w:val="es-ES"/>
        </w:rPr>
        <w:t>Se calculan los cambios (impacto) entre el escenario contrafactual y el escenario con intervención;</w:t>
      </w:r>
    </w:p>
    <w:p w:rsidR="00EF01A4" w:rsidP="00EF01A4" w:rsidRDefault="00B221C2" w14:paraId="5DFE6DD9" w14:textId="1B7ADF57">
      <w:pPr>
        <w:pStyle w:val="ListParagraph"/>
        <w:numPr>
          <w:ilvl w:val="0"/>
          <w:numId w:val="9"/>
        </w:numPr>
        <w:spacing w:before="240" w:after="0" w:line="360" w:lineRule="auto"/>
        <w:jc w:val="both"/>
        <w:rPr>
          <w:rFonts w:ascii="Arial" w:hAnsi="Arial" w:cs="Arial"/>
          <w:lang w:val="es-ES"/>
        </w:rPr>
      </w:pPr>
      <w:r w:rsidRPr="000E0AC5">
        <w:rPr>
          <w:rFonts w:ascii="Arial" w:hAnsi="Arial" w:cs="Arial"/>
          <w:lang w:val="es-ES"/>
        </w:rPr>
        <w:t>Se asigna un valor monetario a los resultados identificados para estimar los beneficios del programa.</w:t>
      </w:r>
    </w:p>
    <w:p w:rsidRPr="00EF01A4" w:rsidR="00EF01A4" w:rsidP="00EF01A4" w:rsidRDefault="00EF01A4" w14:paraId="53D6CE2B" w14:textId="77777777">
      <w:pPr>
        <w:pStyle w:val="ListParagraph"/>
        <w:spacing w:before="120" w:after="0" w:line="360" w:lineRule="auto"/>
        <w:ind w:left="1080"/>
        <w:jc w:val="both"/>
        <w:rPr>
          <w:rFonts w:ascii="Arial" w:hAnsi="Arial" w:cs="Arial"/>
          <w:lang w:val="es-ES"/>
        </w:rPr>
      </w:pPr>
    </w:p>
    <w:p w:rsidRPr="000E0AC5" w:rsidR="00B221C2" w:rsidP="006A3FEB" w:rsidRDefault="00B221C2" w14:paraId="197D7623" w14:textId="7777777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Una vez cuantificados los costos y beneficios del programa, se calcula el valor presente de los flujos con una tasa de descuento del 12%</w:t>
      </w:r>
      <w:r w:rsidRPr="000E0AC5" w:rsidR="00FA6DB5">
        <w:rPr>
          <w:rFonts w:ascii="Arial" w:hAnsi="Arial" w:eastAsia="Times New Roman" w:cs="Arial"/>
          <w:color w:val="000000"/>
          <w:lang w:val="es-ES"/>
        </w:rPr>
        <w:t>, y para efectos del análisis de sensibilidad se utiliza una tasa de descuento del 10%</w:t>
      </w:r>
      <w:r w:rsidRPr="000E0AC5">
        <w:rPr>
          <w:rFonts w:ascii="Arial" w:hAnsi="Arial" w:eastAsia="Times New Roman" w:cs="Arial"/>
          <w:color w:val="000000"/>
          <w:lang w:val="es-ES"/>
        </w:rPr>
        <w:t>. La fórmula utilizada es:</w:t>
      </w:r>
    </w:p>
    <w:p w:rsidRPr="000E0AC5" w:rsidR="00B221C2" w:rsidP="00B221C2" w:rsidRDefault="00B221C2" w14:paraId="7D29DF66" w14:textId="77777777">
      <w:pPr>
        <w:spacing w:after="0" w:line="360" w:lineRule="auto"/>
        <w:rPr>
          <w:rFonts w:ascii="Cambria Math" w:hAnsi="Cambria Math" w:cs="Arial"/>
          <w:lang w:val="es-ES"/>
          <w:oMath/>
        </w:rPr>
      </w:pPr>
      <m:oMathPara>
        <m:oMathParaPr>
          <m:jc m:val="right"/>
        </m:oMathParaPr>
        <m:oMath>
          <m:r>
            <w:rPr>
              <w:rFonts w:ascii="Cambria Math" w:hAnsi="Cambria Math" w:cs="Arial"/>
              <w:lang w:val="es-ES"/>
            </w:rPr>
            <w:lastRenderedPageBreak/>
            <m:t>X=</m:t>
          </m:r>
          <m:nary>
            <m:naryPr>
              <m:chr m:val="∑"/>
              <m:limLoc m:val="undOvr"/>
              <m:ctrlPr>
                <w:rPr>
                  <w:rFonts w:ascii="Cambria Math" w:hAnsi="Cambria Math" w:cs="Arial"/>
                  <w:i/>
                  <w:lang w:val="es-ES"/>
                </w:rPr>
              </m:ctrlPr>
            </m:naryPr>
            <m:sub>
              <m:r>
                <w:rPr>
                  <w:rFonts w:ascii="Cambria Math" w:hAnsi="Cambria Math" w:cs="Arial"/>
                  <w:lang w:val="es-ES"/>
                </w:rPr>
                <m:t>t=1</m:t>
              </m:r>
            </m:sub>
            <m:sup>
              <m:r>
                <w:rPr>
                  <w:rFonts w:ascii="Cambria Math" w:hAnsi="Cambria Math" w:cs="Arial"/>
                  <w:lang w:val="es-ES"/>
                </w:rPr>
                <m:t>T</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x</m:t>
                      </m:r>
                    </m:e>
                    <m:sub>
                      <m:r>
                        <w:rPr>
                          <w:rFonts w:ascii="Cambria Math" w:hAnsi="Cambria Math" w:cs="Arial"/>
                          <w:lang w:val="es-ES"/>
                        </w:rPr>
                        <m:t>t</m:t>
                      </m:r>
                    </m:sub>
                  </m:sSub>
                </m:num>
                <m:den>
                  <m:sSup>
                    <m:sSupPr>
                      <m:ctrlPr>
                        <w:rPr>
                          <w:rFonts w:ascii="Cambria Math" w:hAnsi="Cambria Math" w:cs="Arial"/>
                          <w:i/>
                          <w:lang w:val="es-ES"/>
                        </w:rPr>
                      </m:ctrlPr>
                    </m:sSupPr>
                    <m:e>
                      <m:d>
                        <m:dPr>
                          <m:ctrlPr>
                            <w:rPr>
                              <w:rFonts w:ascii="Cambria Math" w:hAnsi="Cambria Math" w:cs="Arial"/>
                              <w:i/>
                              <w:lang w:val="es-ES"/>
                            </w:rPr>
                          </m:ctrlPr>
                        </m:dPr>
                        <m:e>
                          <m:r>
                            <w:rPr>
                              <w:rFonts w:ascii="Cambria Math" w:hAnsi="Cambria Math" w:cs="Arial"/>
                              <w:lang w:val="es-ES"/>
                            </w:rPr>
                            <m:t>1+r</m:t>
                          </m:r>
                        </m:e>
                      </m:d>
                    </m:e>
                    <m:sup>
                      <m:r>
                        <w:rPr>
                          <w:rFonts w:ascii="Cambria Math" w:hAnsi="Cambria Math" w:cs="Arial"/>
                          <w:lang w:val="es-ES"/>
                        </w:rPr>
                        <m:t>t-1</m:t>
                      </m:r>
                    </m:sup>
                  </m:sSup>
                </m:den>
              </m:f>
            </m:e>
          </m:nary>
          <m:r>
            <w:rPr>
              <w:rFonts w:ascii="Cambria Math" w:hAnsi="Cambria Math" w:cs="Arial"/>
              <w:lang w:val="es-ES"/>
            </w:rPr>
            <m:t>,                                                                            (1)</m:t>
          </m:r>
        </m:oMath>
      </m:oMathPara>
    </w:p>
    <w:p w:rsidRPr="000E0AC5" w:rsidR="00B221C2" w:rsidP="006A3FEB" w:rsidRDefault="00B221C2" w14:paraId="4A6C3F38" w14:textId="7777777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la ecuación (1), la variable </w:t>
      </w:r>
      <m:oMath>
        <m:r>
          <m:rPr>
            <m:sty m:val="p"/>
          </m:rPr>
          <w:rPr>
            <w:rFonts w:ascii="Cambria Math" w:hAnsi="Cambria Math" w:eastAsia="Times New Roman" w:cs="Arial"/>
            <w:color w:val="000000"/>
            <w:lang w:val="es-ES"/>
          </w:rPr>
          <m:t>X</m:t>
        </m:r>
      </m:oMath>
      <w:r w:rsidRPr="000E0AC5">
        <w:rPr>
          <w:rFonts w:ascii="Arial" w:hAnsi="Arial" w:eastAsia="Times New Roman" w:cs="Arial"/>
          <w:color w:val="000000"/>
          <w:lang w:val="es-ES"/>
        </w:rPr>
        <w:t xml:space="preserve"> puede tomar el valor de los costos y los beneficios, </w:t>
      </w:r>
      <m:oMath>
        <m:r>
          <m:rPr>
            <m:sty m:val="p"/>
          </m:rPr>
          <w:rPr>
            <w:rFonts w:ascii="Cambria Math" w:hAnsi="Cambria Math" w:eastAsia="Times New Roman" w:cs="Arial"/>
            <w:color w:val="000000"/>
            <w:lang w:val="es-ES"/>
          </w:rPr>
          <m:t>t</m:t>
        </m:r>
      </m:oMath>
      <w:r w:rsidRPr="000E0AC5">
        <w:rPr>
          <w:rFonts w:ascii="Arial" w:hAnsi="Arial" w:eastAsia="Times New Roman" w:cs="Arial"/>
          <w:color w:val="000000"/>
          <w:lang w:val="es-ES"/>
        </w:rPr>
        <w:t xml:space="preserve"> denota el año y </w:t>
      </w:r>
      <m:oMath>
        <m:r>
          <m:rPr>
            <m:sty m:val="p"/>
          </m:rPr>
          <w:rPr>
            <w:rFonts w:ascii="Cambria Math" w:hAnsi="Cambria Math" w:eastAsia="Times New Roman" w:cs="Arial"/>
            <w:color w:val="000000"/>
            <w:lang w:val="es-ES"/>
          </w:rPr>
          <m:t>r</m:t>
        </m:r>
      </m:oMath>
      <w:r w:rsidRPr="000E0AC5">
        <w:rPr>
          <w:rFonts w:ascii="Arial" w:hAnsi="Arial" w:eastAsia="Times New Roman" w:cs="Arial"/>
          <w:color w:val="000000"/>
          <w:lang w:val="es-ES"/>
        </w:rPr>
        <w:t xml:space="preserve"> es la tasa de descuento que </w:t>
      </w:r>
      <w:r w:rsidRPr="000E0AC5" w:rsidR="00FA6DB5">
        <w:rPr>
          <w:rFonts w:ascii="Arial" w:hAnsi="Arial" w:eastAsia="Times New Roman" w:cs="Arial"/>
          <w:color w:val="000000"/>
          <w:lang w:val="es-ES"/>
        </w:rPr>
        <w:t xml:space="preserve">en el escenario base </w:t>
      </w:r>
      <w:r w:rsidRPr="000E0AC5">
        <w:rPr>
          <w:rFonts w:ascii="Arial" w:hAnsi="Arial" w:eastAsia="Times New Roman" w:cs="Arial"/>
          <w:color w:val="000000"/>
          <w:lang w:val="es-ES"/>
        </w:rPr>
        <w:t xml:space="preserve">toma el </w:t>
      </w:r>
      <w:r w:rsidRPr="000E0AC5" w:rsidR="00A7175E">
        <w:rPr>
          <w:rFonts w:ascii="Arial" w:hAnsi="Arial" w:eastAsia="Times New Roman" w:cs="Arial"/>
          <w:color w:val="000000"/>
          <w:lang w:val="es-ES"/>
        </w:rPr>
        <w:t>valor</w:t>
      </w:r>
      <w:r w:rsidRPr="000E0AC5">
        <w:rPr>
          <w:rFonts w:ascii="Arial" w:hAnsi="Arial" w:eastAsia="Times New Roman" w:cs="Arial"/>
          <w:color w:val="000000"/>
          <w:lang w:val="es-ES"/>
        </w:rPr>
        <w:t xml:space="preserve"> de 12%</w:t>
      </w:r>
      <w:r w:rsidRPr="000E0AC5" w:rsidR="00FA6DB5">
        <w:rPr>
          <w:rFonts w:ascii="Arial" w:hAnsi="Arial" w:eastAsia="Times New Roman" w:cs="Arial"/>
          <w:color w:val="000000"/>
          <w:lang w:val="es-ES"/>
        </w:rPr>
        <w:t xml:space="preserve">, </w:t>
      </w:r>
      <w:r w:rsidRPr="000E0AC5">
        <w:rPr>
          <w:rFonts w:ascii="Arial" w:hAnsi="Arial" w:eastAsia="Times New Roman" w:cs="Arial"/>
          <w:color w:val="000000"/>
          <w:lang w:val="es-ES"/>
        </w:rPr>
        <w:t>que corresponde al valor estándar utilizado por el BID.</w:t>
      </w:r>
    </w:p>
    <w:p w:rsidRPr="000E0AC5" w:rsidR="008F68CD" w:rsidP="00A16452" w:rsidRDefault="008F68CD" w14:paraId="35C2283A" w14:textId="77777777">
      <w:pPr>
        <w:pStyle w:val="ListParagraph"/>
        <w:spacing w:after="0" w:line="360" w:lineRule="auto"/>
        <w:ind w:left="360"/>
        <w:jc w:val="both"/>
        <w:rPr>
          <w:rFonts w:ascii="Arial" w:hAnsi="Arial" w:cs="Arial"/>
          <w:lang w:val="es-ES"/>
        </w:rPr>
      </w:pPr>
    </w:p>
    <w:p w:rsidRPr="000E0AC5" w:rsidR="001564D6" w:rsidP="006A3FEB" w:rsidRDefault="00E2088E" w14:paraId="748E0D96" w14:textId="77777777">
      <w:pPr>
        <w:pStyle w:val="ListParagraph"/>
        <w:numPr>
          <w:ilvl w:val="0"/>
          <w:numId w:val="8"/>
        </w:numPr>
        <w:spacing w:after="0" w:line="360" w:lineRule="auto"/>
        <w:jc w:val="both"/>
        <w:rPr>
          <w:rFonts w:ascii="Arial" w:hAnsi="Arial" w:cs="Arial"/>
          <w:b/>
          <w:lang w:val="es-ES"/>
        </w:rPr>
      </w:pPr>
      <w:r w:rsidRPr="000E0AC5">
        <w:rPr>
          <w:rFonts w:ascii="Arial" w:hAnsi="Arial" w:cs="Arial"/>
          <w:b/>
          <w:lang w:val="es-ES"/>
        </w:rPr>
        <w:t>Costos del Programa</w:t>
      </w:r>
    </w:p>
    <w:p w:rsidRPr="000E0AC5" w:rsidR="001564D6" w:rsidRDefault="001564D6" w14:paraId="08AC2F81" w14:textId="77777777">
      <w:pPr>
        <w:pStyle w:val="ColorfulList-Accent11"/>
        <w:spacing w:after="0" w:line="360" w:lineRule="auto"/>
        <w:ind w:left="0"/>
        <w:jc w:val="both"/>
        <w:rPr>
          <w:rFonts w:ascii="Arial" w:hAnsi="Arial" w:cs="Arial"/>
          <w:lang w:val="es-ES"/>
        </w:rPr>
      </w:pPr>
    </w:p>
    <w:p w:rsidR="00934DE2" w:rsidP="006A3FEB" w:rsidRDefault="00934DE2" w14:paraId="50A70CA7" w14:textId="5DED844B">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Para el análisis se considera que los costos del Proyecto corresponden a la inversión que realiza el BID, y se </w:t>
      </w:r>
      <w:r w:rsidRPr="000E0AC5" w:rsidR="00E03ACC">
        <w:rPr>
          <w:rFonts w:ascii="Arial" w:hAnsi="Arial" w:eastAsia="Times New Roman" w:cs="Arial"/>
          <w:color w:val="000000"/>
          <w:lang w:val="es-ES"/>
        </w:rPr>
        <w:t xml:space="preserve">utilizan los datos del Presupuesto Detallado del Proyecto para </w:t>
      </w:r>
      <w:r w:rsidRPr="000E0AC5">
        <w:rPr>
          <w:rFonts w:ascii="Arial" w:hAnsi="Arial" w:eastAsia="Times New Roman" w:cs="Arial"/>
          <w:color w:val="000000"/>
          <w:lang w:val="es-ES"/>
        </w:rPr>
        <w:t>5 años,</w:t>
      </w:r>
      <w:r w:rsidRPr="000E0AC5" w:rsidR="00A7175E">
        <w:rPr>
          <w:rFonts w:ascii="Arial" w:hAnsi="Arial" w:eastAsia="Times New Roman" w:cs="Arial"/>
          <w:color w:val="000000"/>
          <w:lang w:val="es-ES"/>
        </w:rPr>
        <w:t xml:space="preserve"> </w:t>
      </w:r>
      <w:r w:rsidRPr="000E0AC5" w:rsidR="00E03ACC">
        <w:rPr>
          <w:rFonts w:ascii="Arial" w:hAnsi="Arial" w:eastAsia="Times New Roman" w:cs="Arial"/>
          <w:color w:val="000000"/>
          <w:lang w:val="es-ES"/>
        </w:rPr>
        <w:t>equivalente a</w:t>
      </w:r>
      <w:r w:rsidRPr="000E0AC5" w:rsidR="00EF6E97">
        <w:rPr>
          <w:rFonts w:ascii="Arial" w:hAnsi="Arial" w:eastAsia="Times New Roman" w:cs="Arial"/>
          <w:color w:val="000000"/>
          <w:lang w:val="es-ES"/>
        </w:rPr>
        <w:t>l período de</w:t>
      </w:r>
      <w:r w:rsidRPr="000E0AC5" w:rsidR="00E03ACC">
        <w:rPr>
          <w:rFonts w:ascii="Arial" w:hAnsi="Arial" w:eastAsia="Times New Roman" w:cs="Arial"/>
          <w:color w:val="000000"/>
          <w:lang w:val="es-ES"/>
        </w:rPr>
        <w:t xml:space="preserve"> 2020-2024</w:t>
      </w:r>
      <w:r w:rsidRPr="000E0AC5">
        <w:rPr>
          <w:rFonts w:ascii="Arial" w:hAnsi="Arial" w:eastAsia="Times New Roman" w:cs="Arial"/>
          <w:color w:val="000000"/>
          <w:lang w:val="es-ES"/>
        </w:rPr>
        <w:t>. El monto total de la inversión asciende a $100 millones de dólares</w:t>
      </w:r>
      <w:r w:rsidR="00902281">
        <w:rPr>
          <w:rFonts w:ascii="Arial" w:hAnsi="Arial" w:eastAsia="Times New Roman" w:cs="Arial"/>
          <w:color w:val="000000"/>
          <w:lang w:val="es-ES"/>
        </w:rPr>
        <w:t>, incluyendo un monto de $4.5 millones de dólares por gastos administrativos</w:t>
      </w:r>
      <w:r w:rsidR="0019318D">
        <w:rPr>
          <w:rFonts w:ascii="Arial" w:hAnsi="Arial" w:eastAsia="Times New Roman" w:cs="Arial"/>
          <w:color w:val="000000"/>
          <w:lang w:val="es-ES"/>
        </w:rPr>
        <w:t>. Adicionalmente</w:t>
      </w:r>
      <w:r w:rsidR="004C74A2">
        <w:rPr>
          <w:rFonts w:ascii="Arial" w:hAnsi="Arial" w:eastAsia="Times New Roman" w:cs="Arial"/>
          <w:color w:val="000000"/>
          <w:lang w:val="es-ES"/>
        </w:rPr>
        <w:t>,</w:t>
      </w:r>
      <w:r w:rsidR="0019318D">
        <w:rPr>
          <w:rFonts w:ascii="Arial" w:hAnsi="Arial" w:eastAsia="Times New Roman" w:cs="Arial"/>
          <w:color w:val="000000"/>
          <w:lang w:val="es-ES"/>
        </w:rPr>
        <w:t xml:space="preserve"> se contempla</w:t>
      </w:r>
      <w:r w:rsidR="004C74A2">
        <w:rPr>
          <w:rFonts w:ascii="Arial" w:hAnsi="Arial" w:eastAsia="Times New Roman" w:cs="Arial"/>
          <w:color w:val="000000"/>
          <w:lang w:val="es-ES"/>
        </w:rPr>
        <w:t>n</w:t>
      </w:r>
      <w:r w:rsidR="0019318D">
        <w:rPr>
          <w:rFonts w:ascii="Arial" w:hAnsi="Arial" w:eastAsia="Times New Roman" w:cs="Arial"/>
          <w:color w:val="000000"/>
          <w:lang w:val="es-ES"/>
        </w:rPr>
        <w:t xml:space="preserve"> costos de mantenimiento de los CCP</w:t>
      </w:r>
      <w:r w:rsidR="00606F1F">
        <w:rPr>
          <w:rFonts w:ascii="Arial" w:hAnsi="Arial" w:eastAsia="Times New Roman" w:cs="Arial"/>
          <w:color w:val="000000"/>
          <w:lang w:val="es-ES"/>
        </w:rPr>
        <w:t xml:space="preserve">, que ascienden a $25,000 dólares anuales por centro, </w:t>
      </w:r>
      <w:r w:rsidR="0019318D">
        <w:rPr>
          <w:rFonts w:ascii="Arial" w:hAnsi="Arial" w:eastAsia="Times New Roman" w:cs="Arial"/>
          <w:color w:val="000000"/>
          <w:lang w:val="es-ES"/>
        </w:rPr>
        <w:t xml:space="preserve">y el mantenimiento </w:t>
      </w:r>
      <w:r w:rsidR="00606F1F">
        <w:rPr>
          <w:rFonts w:ascii="Arial" w:hAnsi="Arial" w:eastAsia="Times New Roman" w:cs="Arial"/>
          <w:color w:val="000000"/>
          <w:lang w:val="es-ES"/>
        </w:rPr>
        <w:t>de las delegaciones policiales, que ascienden a $16,000 dólares por delegación</w:t>
      </w:r>
      <w:r w:rsidR="0019318D">
        <w:rPr>
          <w:rFonts w:ascii="Arial" w:hAnsi="Arial" w:eastAsia="Times New Roman" w:cs="Arial"/>
          <w:color w:val="000000"/>
          <w:lang w:val="es-ES"/>
        </w:rPr>
        <w:t>.</w:t>
      </w:r>
      <w:r w:rsidRPr="000E0AC5">
        <w:rPr>
          <w:rFonts w:ascii="Arial" w:hAnsi="Arial" w:eastAsia="Times New Roman" w:cs="Arial"/>
          <w:color w:val="000000"/>
          <w:vertAlign w:val="superscript"/>
          <w:lang w:val="es-ES"/>
        </w:rPr>
        <w:t xml:space="preserve"> </w:t>
      </w:r>
      <w:r w:rsidR="004E6622">
        <w:rPr>
          <w:rFonts w:ascii="Arial" w:hAnsi="Arial" w:eastAsia="Times New Roman" w:cs="Arial"/>
          <w:color w:val="000000"/>
          <w:lang w:val="es-ES"/>
        </w:rPr>
        <w:t>Los costos de mantenimiento se contemplan una vez finalizad</w:t>
      </w:r>
      <w:r w:rsidR="00C807B5">
        <w:rPr>
          <w:rFonts w:ascii="Arial" w:hAnsi="Arial" w:eastAsia="Times New Roman" w:cs="Arial"/>
          <w:color w:val="000000"/>
          <w:lang w:val="es-ES"/>
        </w:rPr>
        <w:t>a</w:t>
      </w:r>
      <w:r w:rsidR="004E6622">
        <w:rPr>
          <w:rFonts w:ascii="Arial" w:hAnsi="Arial" w:eastAsia="Times New Roman" w:cs="Arial"/>
          <w:color w:val="000000"/>
          <w:lang w:val="es-ES"/>
        </w:rPr>
        <w:t xml:space="preserve"> la ejecución del proyecto</w:t>
      </w:r>
      <w:r w:rsidR="006372F5">
        <w:rPr>
          <w:rFonts w:ascii="Arial" w:hAnsi="Arial" w:eastAsia="Times New Roman" w:cs="Arial"/>
          <w:color w:val="000000"/>
          <w:lang w:val="es-ES"/>
        </w:rPr>
        <w:t xml:space="preserve"> y se asume </w:t>
      </w:r>
      <w:r w:rsidR="004D2307">
        <w:rPr>
          <w:rFonts w:ascii="Arial" w:hAnsi="Arial" w:eastAsia="Times New Roman" w:cs="Arial"/>
          <w:color w:val="000000"/>
          <w:lang w:val="es-ES"/>
        </w:rPr>
        <w:t>que crecen a una tasa de 2</w:t>
      </w:r>
      <w:r w:rsidR="00430EE2">
        <w:rPr>
          <w:rFonts w:ascii="Arial" w:hAnsi="Arial" w:eastAsia="Times New Roman" w:cs="Arial"/>
          <w:color w:val="000000"/>
          <w:lang w:val="es-ES"/>
        </w:rPr>
        <w:t>%</w:t>
      </w:r>
      <w:r w:rsidR="004D2307">
        <w:rPr>
          <w:rFonts w:ascii="Arial" w:hAnsi="Arial" w:eastAsia="Times New Roman" w:cs="Arial"/>
          <w:color w:val="000000"/>
          <w:lang w:val="es-ES"/>
        </w:rPr>
        <w:t xml:space="preserve"> anual</w:t>
      </w:r>
      <w:r w:rsidR="00C807B5">
        <w:rPr>
          <w:rFonts w:ascii="Arial" w:hAnsi="Arial" w:eastAsia="Times New Roman" w:cs="Arial"/>
          <w:color w:val="000000"/>
          <w:lang w:val="es-ES"/>
        </w:rPr>
        <w:t xml:space="preserve"> para el resto del período</w:t>
      </w:r>
      <w:r w:rsidR="004E6622">
        <w:rPr>
          <w:rFonts w:ascii="Arial" w:hAnsi="Arial" w:eastAsia="Times New Roman" w:cs="Arial"/>
          <w:color w:val="000000"/>
          <w:lang w:val="es-ES"/>
        </w:rPr>
        <w:t>.</w:t>
      </w:r>
      <w:r w:rsidR="003C6009">
        <w:rPr>
          <w:rStyle w:val="FootnoteReference"/>
          <w:rFonts w:ascii="Arial" w:hAnsi="Arial" w:eastAsia="Times New Roman" w:cs="Arial"/>
          <w:color w:val="000000"/>
          <w:lang w:val="es-ES"/>
        </w:rPr>
        <w:footnoteReference w:id="6"/>
      </w:r>
    </w:p>
    <w:p w:rsidRPr="000E0AC5" w:rsidR="00EF01A4" w:rsidP="00EF01A4" w:rsidRDefault="00EF01A4" w14:paraId="7BF912E0" w14:textId="77777777">
      <w:pPr>
        <w:spacing w:after="0" w:line="360" w:lineRule="auto"/>
        <w:ind w:left="450"/>
        <w:jc w:val="both"/>
        <w:textAlignment w:val="top"/>
        <w:rPr>
          <w:rFonts w:ascii="Arial" w:hAnsi="Arial" w:eastAsia="Times New Roman" w:cs="Arial"/>
          <w:color w:val="000000"/>
          <w:lang w:val="es-ES"/>
        </w:rPr>
      </w:pPr>
    </w:p>
    <w:p w:rsidRPr="000E0AC5" w:rsidR="00934DE2" w:rsidP="006A3FEB" w:rsidRDefault="00934DE2" w14:paraId="339D43A0" w14:textId="76D96BFB">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La </w:t>
      </w:r>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 REF _Ref531345098 \h  \* MERGEFORMAT </w:instrText>
      </w:r>
      <w:r w:rsidRPr="000E0AC5">
        <w:rPr>
          <w:rFonts w:ascii="Arial" w:hAnsi="Arial" w:eastAsia="Times New Roman" w:cs="Arial"/>
          <w:color w:val="000000"/>
          <w:lang w:val="es-ES"/>
        </w:rPr>
      </w:r>
      <w:r w:rsidRPr="000E0AC5">
        <w:rPr>
          <w:rFonts w:ascii="Arial" w:hAnsi="Arial" w:eastAsia="Times New Roman" w:cs="Arial"/>
          <w:color w:val="000000"/>
          <w:lang w:val="es-ES"/>
        </w:rPr>
        <w:fldChar w:fldCharType="separate"/>
      </w:r>
      <w:r w:rsidRPr="000E0AC5">
        <w:rPr>
          <w:rFonts w:ascii="Arial" w:hAnsi="Arial" w:eastAsia="Times New Roman" w:cs="Arial"/>
          <w:color w:val="000000"/>
          <w:lang w:val="es-ES"/>
        </w:rPr>
        <w:t>Tabla 1</w:t>
      </w:r>
      <w:r w:rsidRPr="000E0AC5">
        <w:rPr>
          <w:rFonts w:ascii="Arial" w:hAnsi="Arial" w:eastAsia="Times New Roman" w:cs="Arial"/>
          <w:color w:val="000000"/>
          <w:lang w:val="es-ES"/>
        </w:rPr>
        <w:fldChar w:fldCharType="end"/>
      </w:r>
      <w:r w:rsidRPr="000E0AC5">
        <w:rPr>
          <w:rFonts w:ascii="Arial" w:hAnsi="Arial" w:eastAsia="Times New Roman" w:cs="Arial"/>
          <w:color w:val="000000"/>
          <w:lang w:val="es-ES"/>
        </w:rPr>
        <w:t xml:space="preserve"> muestra el valor presente de los costos del proyecto por componente</w:t>
      </w:r>
      <w:r w:rsidRPr="000E0AC5" w:rsidR="00EF6E97">
        <w:rPr>
          <w:rFonts w:ascii="Arial" w:hAnsi="Arial" w:eastAsia="Times New Roman" w:cs="Arial"/>
          <w:color w:val="000000"/>
          <w:lang w:val="es-ES"/>
        </w:rPr>
        <w:t xml:space="preserve"> según lo establecido en el </w:t>
      </w:r>
      <w:r w:rsidRPr="000E0AC5" w:rsidR="00165802">
        <w:rPr>
          <w:rFonts w:ascii="Arial" w:hAnsi="Arial" w:eastAsia="Times New Roman" w:cs="Arial"/>
          <w:color w:val="000000"/>
          <w:lang w:val="es-ES"/>
        </w:rPr>
        <w:t>Presupuesto Detallado del Proyecto</w:t>
      </w:r>
      <w:r w:rsidRPr="000E0AC5">
        <w:rPr>
          <w:rFonts w:ascii="Arial" w:hAnsi="Arial" w:eastAsia="Times New Roman" w:cs="Arial"/>
          <w:color w:val="000000"/>
          <w:lang w:val="es-ES"/>
        </w:rPr>
        <w:t>,</w:t>
      </w:r>
      <w:r w:rsidRPr="000E0AC5" w:rsidR="00EF6E97">
        <w:rPr>
          <w:rFonts w:ascii="Arial" w:hAnsi="Arial" w:eastAsia="Times New Roman" w:cs="Arial"/>
          <w:color w:val="000000"/>
          <w:lang w:val="es-ES"/>
        </w:rPr>
        <w:t xml:space="preserve"> distribuidos en el período 2020-2024</w:t>
      </w:r>
      <w:r w:rsidRPr="000E0AC5">
        <w:rPr>
          <w:rFonts w:ascii="Arial" w:hAnsi="Arial" w:eastAsia="Times New Roman" w:cs="Arial"/>
          <w:color w:val="000000"/>
          <w:lang w:val="es-ES"/>
        </w:rPr>
        <w:t xml:space="preserve">. </w:t>
      </w:r>
      <w:r w:rsidR="00D07EB2">
        <w:rPr>
          <w:rFonts w:ascii="Arial" w:hAnsi="Arial" w:eastAsia="Times New Roman" w:cs="Arial"/>
          <w:color w:val="000000"/>
          <w:lang w:val="es-ES"/>
        </w:rPr>
        <w:t>Para el período 2025-2038 el valor presente de los costos de mantenimiento asciende a $3.</w:t>
      </w:r>
      <w:r w:rsidR="003E4B6D">
        <w:rPr>
          <w:rFonts w:ascii="Arial" w:hAnsi="Arial" w:eastAsia="Times New Roman" w:cs="Arial"/>
          <w:color w:val="000000"/>
          <w:lang w:val="es-ES"/>
        </w:rPr>
        <w:t>4</w:t>
      </w:r>
      <w:r w:rsidR="00D07EB2">
        <w:rPr>
          <w:rFonts w:ascii="Arial" w:hAnsi="Arial" w:eastAsia="Times New Roman" w:cs="Arial"/>
          <w:color w:val="000000"/>
          <w:lang w:val="es-ES"/>
        </w:rPr>
        <w:t xml:space="preserve"> millones de dólares.</w:t>
      </w:r>
    </w:p>
    <w:p w:rsidRPr="000E0AC5" w:rsidR="001C2682" w:rsidP="001C2682" w:rsidRDefault="001C2682" w14:paraId="33382C9D" w14:textId="77777777">
      <w:pPr>
        <w:pStyle w:val="ColorfulList-Accent11"/>
        <w:spacing w:after="0" w:line="360" w:lineRule="auto"/>
        <w:ind w:left="0"/>
        <w:jc w:val="center"/>
        <w:rPr>
          <w:rFonts w:ascii="Arial" w:hAnsi="Arial" w:cs="Arial"/>
          <w:sz w:val="20"/>
          <w:szCs w:val="20"/>
          <w:lang w:val="es-ES"/>
        </w:rPr>
      </w:pPr>
      <w:bookmarkStart w:name="_Ref531345098" w:id="2"/>
      <w:bookmarkStart w:name="_Ref531342395" w:id="3"/>
      <w:r w:rsidRPr="000E0AC5">
        <w:rPr>
          <w:rFonts w:ascii="Arial" w:hAnsi="Arial" w:cs="Arial"/>
          <w:sz w:val="20"/>
          <w:szCs w:val="20"/>
          <w:lang w:val="es-ES"/>
        </w:rPr>
        <w:t xml:space="preserve">Tabla </w:t>
      </w:r>
      <w:r w:rsidRPr="000E0AC5">
        <w:rPr>
          <w:rFonts w:ascii="Arial" w:hAnsi="Arial" w:cs="Arial"/>
          <w:sz w:val="20"/>
          <w:szCs w:val="20"/>
          <w:lang w:val="es-ES"/>
        </w:rPr>
        <w:fldChar w:fldCharType="begin"/>
      </w:r>
      <w:r w:rsidRPr="000E0AC5">
        <w:rPr>
          <w:rFonts w:ascii="Arial" w:hAnsi="Arial" w:cs="Arial"/>
          <w:sz w:val="20"/>
          <w:szCs w:val="20"/>
          <w:lang w:val="es-ES"/>
        </w:rPr>
        <w:instrText xml:space="preserve"> SEQ Tabla \* ARABIC </w:instrText>
      </w:r>
      <w:r w:rsidRPr="000E0AC5">
        <w:rPr>
          <w:rFonts w:ascii="Arial" w:hAnsi="Arial" w:cs="Arial"/>
          <w:sz w:val="20"/>
          <w:szCs w:val="20"/>
          <w:lang w:val="es-ES"/>
        </w:rPr>
        <w:fldChar w:fldCharType="separate"/>
      </w:r>
      <w:r w:rsidRPr="000E0AC5">
        <w:rPr>
          <w:rFonts w:ascii="Arial" w:hAnsi="Arial" w:cs="Arial"/>
          <w:sz w:val="20"/>
          <w:szCs w:val="20"/>
          <w:lang w:val="es-ES"/>
        </w:rPr>
        <w:t>1</w:t>
      </w:r>
      <w:r w:rsidRPr="000E0AC5">
        <w:rPr>
          <w:rFonts w:ascii="Arial" w:hAnsi="Arial" w:cs="Arial"/>
          <w:sz w:val="20"/>
          <w:szCs w:val="20"/>
          <w:lang w:val="es-ES"/>
        </w:rPr>
        <w:fldChar w:fldCharType="end"/>
      </w:r>
      <w:bookmarkEnd w:id="2"/>
    </w:p>
    <w:p w:rsidRPr="000E0AC5" w:rsidR="001C2682" w:rsidP="001C2682" w:rsidRDefault="001C2682" w14:paraId="0D145490" w14:textId="6C619EDD">
      <w:pPr>
        <w:pStyle w:val="ColorfulList-Accent11"/>
        <w:spacing w:after="0" w:line="360" w:lineRule="auto"/>
        <w:ind w:left="0"/>
        <w:jc w:val="center"/>
        <w:rPr>
          <w:rFonts w:ascii="Arial" w:hAnsi="Arial" w:cs="Arial"/>
          <w:sz w:val="20"/>
          <w:szCs w:val="20"/>
          <w:lang w:val="es-ES"/>
        </w:rPr>
      </w:pPr>
      <w:r w:rsidRPr="000E0AC5">
        <w:rPr>
          <w:rFonts w:ascii="Arial" w:hAnsi="Arial" w:cs="Arial"/>
          <w:sz w:val="20"/>
          <w:szCs w:val="20"/>
          <w:lang w:val="es-ES"/>
        </w:rPr>
        <w:t>Valor presente de los costos del Proyecto</w:t>
      </w:r>
      <w:r w:rsidR="00331B2F">
        <w:rPr>
          <w:rFonts w:ascii="Arial" w:hAnsi="Arial" w:cs="Arial"/>
          <w:sz w:val="20"/>
          <w:szCs w:val="20"/>
          <w:lang w:val="es-ES"/>
        </w:rPr>
        <w:t xml:space="preserve"> para 2020-2024</w:t>
      </w:r>
      <w:r w:rsidRPr="000E0AC5">
        <w:rPr>
          <w:rFonts w:ascii="Arial" w:hAnsi="Arial" w:cs="Arial"/>
          <w:sz w:val="20"/>
          <w:szCs w:val="20"/>
          <w:lang w:val="es-ES"/>
        </w:rPr>
        <w:t>, en USD</w:t>
      </w:r>
      <w:bookmarkEnd w:id="3"/>
    </w:p>
    <w:tbl>
      <w:tblPr>
        <w:tblW w:w="0" w:type="auto"/>
        <w:jc w:val="center"/>
        <w:tblCellMar>
          <w:left w:w="70" w:type="dxa"/>
          <w:right w:w="70" w:type="dxa"/>
        </w:tblCellMar>
        <w:tblLook w:val="04A0" w:firstRow="1" w:lastRow="0" w:firstColumn="1" w:lastColumn="0" w:noHBand="0" w:noVBand="1"/>
      </w:tblPr>
      <w:tblGrid>
        <w:gridCol w:w="2304"/>
        <w:gridCol w:w="647"/>
        <w:gridCol w:w="763"/>
        <w:gridCol w:w="841"/>
        <w:gridCol w:w="841"/>
        <w:gridCol w:w="841"/>
        <w:gridCol w:w="1183"/>
      </w:tblGrid>
      <w:tr w:rsidRPr="003E4B6D" w:rsidR="003F427B" w:rsidTr="003E4B6D" w14:paraId="390C45BF" w14:textId="77777777">
        <w:trPr>
          <w:trHeight w:val="290"/>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E4B6D" w:rsidR="003E4B6D" w:rsidP="003E4B6D" w:rsidRDefault="003E4B6D" w14:paraId="3F78BB0C" w14:textId="77777777">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Costos del Proyecto</w:t>
            </w:r>
          </w:p>
        </w:tc>
        <w:tc>
          <w:tcPr>
            <w:tcW w:w="0" w:type="auto"/>
            <w:tcBorders>
              <w:top w:val="single" w:color="auto" w:sz="4" w:space="0"/>
              <w:left w:val="nil"/>
              <w:bottom w:val="single" w:color="auto" w:sz="4" w:space="0"/>
              <w:right w:val="nil"/>
            </w:tcBorders>
            <w:shd w:val="clear" w:color="auto" w:fill="auto"/>
            <w:noWrap/>
            <w:vAlign w:val="center"/>
            <w:hideMark/>
          </w:tcPr>
          <w:p w:rsidRPr="003E4B6D" w:rsidR="003E4B6D" w:rsidP="003E4B6D" w:rsidRDefault="003E4B6D" w14:paraId="15AC9307" w14:textId="77777777">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2020</w:t>
            </w:r>
          </w:p>
        </w:tc>
        <w:tc>
          <w:tcPr>
            <w:tcW w:w="0" w:type="auto"/>
            <w:tcBorders>
              <w:top w:val="single" w:color="auto" w:sz="4" w:space="0"/>
              <w:left w:val="nil"/>
              <w:bottom w:val="single" w:color="auto" w:sz="4" w:space="0"/>
              <w:right w:val="nil"/>
            </w:tcBorders>
            <w:shd w:val="clear" w:color="auto" w:fill="auto"/>
            <w:noWrap/>
            <w:vAlign w:val="center"/>
            <w:hideMark/>
          </w:tcPr>
          <w:p w:rsidRPr="003E4B6D" w:rsidR="003E4B6D" w:rsidP="003E4B6D" w:rsidRDefault="003E4B6D" w14:paraId="18913AF4" w14:textId="77777777">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2021</w:t>
            </w:r>
          </w:p>
        </w:tc>
        <w:tc>
          <w:tcPr>
            <w:tcW w:w="0" w:type="auto"/>
            <w:tcBorders>
              <w:top w:val="single" w:color="auto" w:sz="4" w:space="0"/>
              <w:left w:val="nil"/>
              <w:bottom w:val="single" w:color="auto" w:sz="4" w:space="0"/>
              <w:right w:val="nil"/>
            </w:tcBorders>
            <w:shd w:val="clear" w:color="auto" w:fill="auto"/>
            <w:noWrap/>
            <w:vAlign w:val="center"/>
            <w:hideMark/>
          </w:tcPr>
          <w:p w:rsidRPr="003E4B6D" w:rsidR="003E4B6D" w:rsidP="003E4B6D" w:rsidRDefault="003E4B6D" w14:paraId="168F5A17" w14:textId="77777777">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2022</w:t>
            </w:r>
          </w:p>
        </w:tc>
        <w:tc>
          <w:tcPr>
            <w:tcW w:w="0" w:type="auto"/>
            <w:tcBorders>
              <w:top w:val="single" w:color="auto" w:sz="4" w:space="0"/>
              <w:left w:val="nil"/>
              <w:bottom w:val="single" w:color="auto" w:sz="4" w:space="0"/>
              <w:right w:val="nil"/>
            </w:tcBorders>
            <w:shd w:val="clear" w:color="auto" w:fill="auto"/>
            <w:noWrap/>
            <w:vAlign w:val="center"/>
            <w:hideMark/>
          </w:tcPr>
          <w:p w:rsidRPr="003E4B6D" w:rsidR="003E4B6D" w:rsidP="003E4B6D" w:rsidRDefault="003E4B6D" w14:paraId="147FE7B8" w14:textId="77777777">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2023</w:t>
            </w:r>
          </w:p>
        </w:tc>
        <w:tc>
          <w:tcPr>
            <w:tcW w:w="0" w:type="auto"/>
            <w:tcBorders>
              <w:top w:val="single" w:color="auto" w:sz="4" w:space="0"/>
              <w:left w:val="nil"/>
              <w:bottom w:val="single" w:color="auto" w:sz="4" w:space="0"/>
              <w:right w:val="nil"/>
            </w:tcBorders>
            <w:shd w:val="clear" w:color="auto" w:fill="auto"/>
            <w:noWrap/>
            <w:vAlign w:val="center"/>
            <w:hideMark/>
          </w:tcPr>
          <w:p w:rsidRPr="003E4B6D" w:rsidR="003E4B6D" w:rsidP="003E4B6D" w:rsidRDefault="003E4B6D" w14:paraId="09E93CA3" w14:textId="77777777">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2024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E4B6D" w:rsidR="003E4B6D" w:rsidP="003E4B6D" w:rsidRDefault="003E4B6D" w14:paraId="53C7F4EF" w14:textId="77777777">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Total 2020-2024</w:t>
            </w:r>
          </w:p>
        </w:tc>
      </w:tr>
      <w:tr w:rsidRPr="003E4B6D" w:rsidR="003F427B" w:rsidTr="003E4B6D" w14:paraId="53B3B2C4" w14:textId="77777777">
        <w:trPr>
          <w:trHeight w:val="290"/>
          <w:jc w:val="center"/>
        </w:trPr>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26DC90D2" w14:textId="77777777">
            <w:pPr>
              <w:spacing w:after="0" w:line="240" w:lineRule="auto"/>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Valor nominal</w:t>
            </w:r>
          </w:p>
        </w:tc>
        <w:tc>
          <w:tcPr>
            <w:tcW w:w="0" w:type="auto"/>
            <w:tcBorders>
              <w:top w:val="single" w:color="auto" w:sz="4" w:space="0"/>
              <w:left w:val="nil"/>
              <w:bottom w:val="nil"/>
              <w:right w:val="nil"/>
            </w:tcBorders>
            <w:shd w:val="clear" w:color="auto" w:fill="auto"/>
            <w:noWrap/>
            <w:vAlign w:val="bottom"/>
            <w:hideMark/>
          </w:tcPr>
          <w:p w:rsidRPr="003E4B6D" w:rsidR="003E4B6D" w:rsidP="003E4B6D" w:rsidRDefault="003E4B6D" w14:paraId="76AC995C" w14:textId="0E108049">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171,113</w:t>
            </w:r>
          </w:p>
        </w:tc>
        <w:tc>
          <w:tcPr>
            <w:tcW w:w="0" w:type="auto"/>
            <w:tcBorders>
              <w:top w:val="single" w:color="auto" w:sz="4" w:space="0"/>
              <w:left w:val="nil"/>
              <w:bottom w:val="nil"/>
              <w:right w:val="nil"/>
            </w:tcBorders>
            <w:shd w:val="clear" w:color="auto" w:fill="auto"/>
            <w:noWrap/>
            <w:vAlign w:val="bottom"/>
            <w:hideMark/>
          </w:tcPr>
          <w:p w:rsidRPr="003E4B6D" w:rsidR="003E4B6D" w:rsidP="003E4B6D" w:rsidRDefault="003E4B6D" w14:paraId="56844CCA" w14:textId="2A162CFD">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5,009,229</w:t>
            </w:r>
          </w:p>
        </w:tc>
        <w:tc>
          <w:tcPr>
            <w:tcW w:w="0" w:type="auto"/>
            <w:tcBorders>
              <w:top w:val="single" w:color="auto" w:sz="4" w:space="0"/>
              <w:left w:val="nil"/>
              <w:bottom w:val="nil"/>
              <w:right w:val="nil"/>
            </w:tcBorders>
            <w:shd w:val="clear" w:color="auto" w:fill="auto"/>
            <w:noWrap/>
            <w:vAlign w:val="bottom"/>
            <w:hideMark/>
          </w:tcPr>
          <w:p w:rsidRPr="003E4B6D" w:rsidR="003E4B6D" w:rsidP="003E4B6D" w:rsidRDefault="003E4B6D" w14:paraId="2C82D0A7" w14:textId="2FC8AFCA">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30,842,500</w:t>
            </w:r>
          </w:p>
        </w:tc>
        <w:tc>
          <w:tcPr>
            <w:tcW w:w="0" w:type="auto"/>
            <w:tcBorders>
              <w:top w:val="single" w:color="auto" w:sz="4" w:space="0"/>
              <w:left w:val="nil"/>
              <w:bottom w:val="nil"/>
              <w:right w:val="nil"/>
            </w:tcBorders>
            <w:shd w:val="clear" w:color="auto" w:fill="auto"/>
            <w:noWrap/>
            <w:vAlign w:val="bottom"/>
            <w:hideMark/>
          </w:tcPr>
          <w:p w:rsidRPr="003E4B6D" w:rsidR="003E4B6D" w:rsidP="003E4B6D" w:rsidRDefault="003E4B6D" w14:paraId="318B6665" w14:textId="410CB5F8">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47,364,086</w:t>
            </w:r>
          </w:p>
        </w:tc>
        <w:tc>
          <w:tcPr>
            <w:tcW w:w="0" w:type="auto"/>
            <w:tcBorders>
              <w:top w:val="single" w:color="auto" w:sz="4" w:space="0"/>
              <w:left w:val="nil"/>
              <w:bottom w:val="nil"/>
              <w:right w:val="nil"/>
            </w:tcBorders>
            <w:shd w:val="clear" w:color="auto" w:fill="auto"/>
            <w:noWrap/>
            <w:vAlign w:val="bottom"/>
            <w:hideMark/>
          </w:tcPr>
          <w:p w:rsidRPr="003E4B6D" w:rsidR="003E4B6D" w:rsidP="003E4B6D" w:rsidRDefault="003E4B6D" w14:paraId="4BE3EE5B" w14:textId="1FADBFEA">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16,613,072</w:t>
            </w:r>
          </w:p>
        </w:tc>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023C05B5" w14:textId="77777777">
            <w:pPr>
              <w:spacing w:after="0" w:line="240" w:lineRule="auto"/>
              <w:jc w:val="center"/>
              <w:rPr>
                <w:rFonts w:ascii="Arial" w:hAnsi="Arial" w:eastAsia="Times New Roman" w:cs="Arial"/>
                <w:b/>
                <w:bCs/>
                <w:sz w:val="14"/>
                <w:szCs w:val="14"/>
                <w:lang w:val="es-MX" w:eastAsia="es-MX"/>
              </w:rPr>
            </w:pPr>
            <w:r w:rsidRPr="003E4B6D">
              <w:rPr>
                <w:rFonts w:ascii="Arial" w:hAnsi="Arial" w:eastAsia="Times New Roman" w:cs="Arial"/>
                <w:b/>
                <w:bCs/>
                <w:sz w:val="14"/>
                <w:szCs w:val="14"/>
                <w:lang w:val="es-MX" w:eastAsia="es-MX"/>
              </w:rPr>
              <w:t>100,000,000</w:t>
            </w:r>
          </w:p>
        </w:tc>
      </w:tr>
      <w:tr w:rsidRPr="003E4B6D" w:rsidR="003F427B" w:rsidTr="003E4B6D" w14:paraId="7C4F914C" w14:textId="77777777">
        <w:trPr>
          <w:trHeight w:val="290"/>
          <w:jc w:val="center"/>
        </w:trPr>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2FDDE405" w14:textId="77777777">
            <w:pPr>
              <w:spacing w:after="0" w:line="240" w:lineRule="auto"/>
              <w:ind w:firstLine="140" w:firstLineChars="100"/>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Efectividad Policial</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6E8163FD" w14:textId="67A83F29">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47,236</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74E5C862" w14:textId="3C8BE8DA">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2,114,790</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2E4551F6" w14:textId="5E70CEAE">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19,345,081</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346615AC" w14:textId="28B5E119">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32,087,144</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4B5A3004" w14:textId="64894788">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9,405,750</w:t>
            </w:r>
          </w:p>
        </w:tc>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5DF0DCB2" w14:textId="018A293E">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63,000,000</w:t>
            </w:r>
          </w:p>
        </w:tc>
      </w:tr>
      <w:tr w:rsidRPr="003E4B6D" w:rsidR="003F427B" w:rsidTr="003E4B6D" w14:paraId="2AB14E9E" w14:textId="77777777">
        <w:trPr>
          <w:trHeight w:val="290"/>
          <w:jc w:val="center"/>
        </w:trPr>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1385FB63" w14:textId="77777777">
            <w:pPr>
              <w:spacing w:after="0" w:line="240" w:lineRule="auto"/>
              <w:ind w:firstLine="140" w:firstLineChars="100"/>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Prevención social de la violencia</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1609B24D" w14:textId="2C5CD42A">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100,858</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0D09E355" w14:textId="00442249">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1,937,907</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4F62DF90" w14:textId="50E3ED06">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10,375,069</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1F276D2F" w14:textId="5308DE9A">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14,081,473</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46945DB2" w14:textId="16509B35">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6,004,692</w:t>
            </w:r>
          </w:p>
        </w:tc>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44DB434A" w14:textId="2D5EEAE4">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32,499,999.5</w:t>
            </w:r>
          </w:p>
        </w:tc>
      </w:tr>
      <w:tr w:rsidRPr="003E4B6D" w:rsidR="003F427B" w:rsidTr="003E4B6D" w14:paraId="42C7A773" w14:textId="77777777">
        <w:trPr>
          <w:trHeight w:val="290"/>
          <w:jc w:val="center"/>
        </w:trPr>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6F21C9FA" w14:textId="77777777">
            <w:pPr>
              <w:spacing w:after="0" w:line="240" w:lineRule="auto"/>
              <w:ind w:firstLine="140" w:firstLineChars="100"/>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Gasto Administrativos</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7E4E8011" w14:textId="2D65EDDE">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23,019</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2493FCF2" w14:textId="3A632A9A">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956,532</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5C5B91A0" w14:textId="09661E54">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1,122,350</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3FEE8C6E" w14:textId="2DA641D3">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1,195,469</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3D8E219E" w14:textId="5E38162A">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1,202,630</w:t>
            </w:r>
          </w:p>
        </w:tc>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10AC7315" w14:textId="77777777">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4,500,000.0</w:t>
            </w:r>
          </w:p>
        </w:tc>
      </w:tr>
      <w:tr w:rsidRPr="003E4B6D" w:rsidR="003F427B" w:rsidTr="003E4B6D" w14:paraId="14C0ED0D" w14:textId="77777777">
        <w:trPr>
          <w:trHeight w:val="290"/>
          <w:jc w:val="center"/>
        </w:trPr>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006FB0D0" w14:textId="77777777">
            <w:pPr>
              <w:spacing w:after="0" w:line="240" w:lineRule="auto"/>
              <w:ind w:firstLine="140" w:firstLineChars="100"/>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 </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57DEBA5B" w14:textId="77777777">
            <w:pPr>
              <w:spacing w:after="0" w:line="240" w:lineRule="auto"/>
              <w:ind w:firstLine="140" w:firstLineChars="100"/>
              <w:rPr>
                <w:rFonts w:ascii="Arial" w:hAnsi="Arial" w:eastAsia="Times New Roman" w:cs="Arial"/>
                <w:color w:val="000000"/>
                <w:sz w:val="14"/>
                <w:szCs w:val="14"/>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16A02801" w14:textId="77777777">
            <w:pPr>
              <w:spacing w:after="0" w:line="240" w:lineRule="auto"/>
              <w:jc w:val="center"/>
              <w:rPr>
                <w:rFonts w:ascii="Arial" w:hAnsi="Arial" w:eastAsia="Times New Roman" w:cs="Arial"/>
                <w:sz w:val="14"/>
                <w:szCs w:val="14"/>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192B5F5E" w14:textId="77777777">
            <w:pPr>
              <w:spacing w:after="0" w:line="240" w:lineRule="auto"/>
              <w:jc w:val="center"/>
              <w:rPr>
                <w:rFonts w:ascii="Arial" w:hAnsi="Arial" w:eastAsia="Times New Roman" w:cs="Arial"/>
                <w:sz w:val="14"/>
                <w:szCs w:val="14"/>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2FF66B0C" w14:textId="77777777">
            <w:pPr>
              <w:spacing w:after="0" w:line="240" w:lineRule="auto"/>
              <w:jc w:val="center"/>
              <w:rPr>
                <w:rFonts w:ascii="Arial" w:hAnsi="Arial" w:eastAsia="Times New Roman" w:cs="Arial"/>
                <w:sz w:val="14"/>
                <w:szCs w:val="14"/>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1B75734B" w14:textId="77777777">
            <w:pPr>
              <w:spacing w:after="0" w:line="240" w:lineRule="auto"/>
              <w:jc w:val="center"/>
              <w:rPr>
                <w:rFonts w:ascii="Arial" w:hAnsi="Arial" w:eastAsia="Times New Roman" w:cs="Arial"/>
                <w:sz w:val="14"/>
                <w:szCs w:val="14"/>
                <w:lang w:val="es-MX" w:eastAsia="es-MX"/>
              </w:rPr>
            </w:pPr>
          </w:p>
        </w:tc>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03D4C61D" w14:textId="77777777">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 </w:t>
            </w:r>
          </w:p>
        </w:tc>
      </w:tr>
      <w:tr w:rsidRPr="003E4B6D" w:rsidR="003F427B" w:rsidTr="003E4B6D" w14:paraId="2636DDB2" w14:textId="77777777">
        <w:trPr>
          <w:trHeight w:val="290"/>
          <w:jc w:val="center"/>
        </w:trPr>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4852CD23" w14:textId="77777777">
            <w:pPr>
              <w:spacing w:after="0" w:line="240" w:lineRule="auto"/>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Valor presente</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2B948125" w14:textId="28B73348">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171,113</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7B2B4294" w14:textId="17372BD3">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4,472,526</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45A61550" w14:textId="3A98E8E3">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24,587,452</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0F8C671F" w14:textId="172B1EE4">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33,712,821</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185CC790" w14:textId="6C4CBCCF">
            <w:pPr>
              <w:spacing w:after="0" w:line="240" w:lineRule="auto"/>
              <w:jc w:val="center"/>
              <w:rPr>
                <w:rFonts w:ascii="Arial" w:hAnsi="Arial" w:eastAsia="Times New Roman" w:cs="Arial"/>
                <w:b/>
                <w:bCs/>
                <w:color w:val="000000"/>
                <w:sz w:val="14"/>
                <w:szCs w:val="14"/>
                <w:lang w:val="es-MX" w:eastAsia="es-MX"/>
              </w:rPr>
            </w:pPr>
            <w:r w:rsidRPr="003E4B6D">
              <w:rPr>
                <w:rFonts w:ascii="Arial" w:hAnsi="Arial" w:eastAsia="Times New Roman" w:cs="Arial"/>
                <w:b/>
                <w:bCs/>
                <w:color w:val="000000"/>
                <w:sz w:val="14"/>
                <w:szCs w:val="14"/>
                <w:lang w:val="es-MX" w:eastAsia="es-MX"/>
              </w:rPr>
              <w:t>10,557,908</w:t>
            </w:r>
          </w:p>
        </w:tc>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3A6094BD" w14:textId="56F442F0">
            <w:pPr>
              <w:spacing w:after="0" w:line="240" w:lineRule="auto"/>
              <w:jc w:val="center"/>
              <w:rPr>
                <w:rFonts w:ascii="Arial" w:hAnsi="Arial" w:eastAsia="Times New Roman" w:cs="Arial"/>
                <w:b/>
                <w:bCs/>
                <w:sz w:val="14"/>
                <w:szCs w:val="14"/>
                <w:lang w:val="es-MX" w:eastAsia="es-MX"/>
              </w:rPr>
            </w:pPr>
            <w:r w:rsidRPr="003E4B6D">
              <w:rPr>
                <w:rFonts w:ascii="Arial" w:hAnsi="Arial" w:eastAsia="Times New Roman" w:cs="Arial"/>
                <w:b/>
                <w:bCs/>
                <w:sz w:val="14"/>
                <w:szCs w:val="14"/>
                <w:lang w:val="es-MX" w:eastAsia="es-MX"/>
              </w:rPr>
              <w:t>73,501,819</w:t>
            </w:r>
          </w:p>
        </w:tc>
      </w:tr>
      <w:tr w:rsidRPr="003E4B6D" w:rsidR="003F427B" w:rsidTr="003E4B6D" w14:paraId="0AEEB5AC" w14:textId="77777777">
        <w:trPr>
          <w:trHeight w:val="290"/>
          <w:jc w:val="center"/>
        </w:trPr>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21E3B0A3" w14:textId="77777777">
            <w:pPr>
              <w:spacing w:after="0" w:line="240" w:lineRule="auto"/>
              <w:ind w:firstLine="140" w:firstLineChars="100"/>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Efectividad Policial</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36FC0ED1" w14:textId="73B8E732">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47,236</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7ED14B34" w14:textId="178A6C97">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1,888,205</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3E3EFD95" w14:textId="3474A769">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15,421,780</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119301FE" w14:textId="7A4736B7">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22,838,995</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4FC01DFA" w14:textId="190B06F0">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5,977,524</w:t>
            </w:r>
          </w:p>
        </w:tc>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184ADC36" w14:textId="5715F3C9">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46,173,740.2</w:t>
            </w:r>
          </w:p>
        </w:tc>
      </w:tr>
      <w:tr w:rsidRPr="003E4B6D" w:rsidR="003F427B" w:rsidTr="003E4B6D" w14:paraId="19EF8998" w14:textId="77777777">
        <w:trPr>
          <w:trHeight w:val="290"/>
          <w:jc w:val="center"/>
        </w:trPr>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02BC47DA" w14:textId="77777777">
            <w:pPr>
              <w:spacing w:after="0" w:line="240" w:lineRule="auto"/>
              <w:ind w:firstLine="140" w:firstLineChars="100"/>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Prevención social de la violencia</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0C1D2ACC" w14:textId="0036549E">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100,858</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55FF9B38" w14:textId="3F58E8C5">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1,730,274</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49F28C46" w14:textId="50E6B053">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8,270,942</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78FC3B48" w14:textId="3D073173">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10,022,915</w:t>
            </w:r>
          </w:p>
        </w:tc>
        <w:tc>
          <w:tcPr>
            <w:tcW w:w="0" w:type="auto"/>
            <w:tcBorders>
              <w:top w:val="nil"/>
              <w:left w:val="nil"/>
              <w:bottom w:val="nil"/>
              <w:right w:val="nil"/>
            </w:tcBorders>
            <w:shd w:val="clear" w:color="auto" w:fill="auto"/>
            <w:noWrap/>
            <w:vAlign w:val="bottom"/>
            <w:hideMark/>
          </w:tcPr>
          <w:p w:rsidRPr="003E4B6D" w:rsidR="003E4B6D" w:rsidP="003E4B6D" w:rsidRDefault="003E4B6D" w14:paraId="7F7B41E6" w14:textId="5800E5B0">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3,816,090</w:t>
            </w:r>
          </w:p>
        </w:tc>
        <w:tc>
          <w:tcPr>
            <w:tcW w:w="0" w:type="auto"/>
            <w:tcBorders>
              <w:top w:val="nil"/>
              <w:left w:val="single" w:color="auto" w:sz="4" w:space="0"/>
              <w:bottom w:val="nil"/>
              <w:right w:val="single" w:color="auto" w:sz="4" w:space="0"/>
            </w:tcBorders>
            <w:shd w:val="clear" w:color="auto" w:fill="auto"/>
            <w:noWrap/>
            <w:vAlign w:val="bottom"/>
            <w:hideMark/>
          </w:tcPr>
          <w:p w:rsidRPr="003E4B6D" w:rsidR="003E4B6D" w:rsidP="003E4B6D" w:rsidRDefault="003E4B6D" w14:paraId="369C016D" w14:textId="357873C5">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23,941,078.6</w:t>
            </w:r>
          </w:p>
        </w:tc>
      </w:tr>
      <w:tr w:rsidRPr="003E4B6D" w:rsidR="003F427B" w:rsidTr="003E4B6D" w14:paraId="77B50D93" w14:textId="77777777">
        <w:trPr>
          <w:trHeight w:val="290"/>
          <w:jc w:val="center"/>
        </w:trPr>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3E4B6D" w:rsidR="003E4B6D" w:rsidP="003E4B6D" w:rsidRDefault="003E4B6D" w14:paraId="157E3B47" w14:textId="77777777">
            <w:pPr>
              <w:spacing w:after="0" w:line="240" w:lineRule="auto"/>
              <w:ind w:firstLine="140" w:firstLineChars="100"/>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Gasto Administrativos</w:t>
            </w:r>
          </w:p>
        </w:tc>
        <w:tc>
          <w:tcPr>
            <w:tcW w:w="0" w:type="auto"/>
            <w:tcBorders>
              <w:top w:val="nil"/>
              <w:left w:val="nil"/>
              <w:bottom w:val="single" w:color="auto" w:sz="4" w:space="0"/>
              <w:right w:val="nil"/>
            </w:tcBorders>
            <w:shd w:val="clear" w:color="auto" w:fill="auto"/>
            <w:noWrap/>
            <w:vAlign w:val="bottom"/>
            <w:hideMark/>
          </w:tcPr>
          <w:p w:rsidRPr="003E4B6D" w:rsidR="003E4B6D" w:rsidP="003E4B6D" w:rsidRDefault="003E4B6D" w14:paraId="26B4C8F8" w14:textId="68FE1672">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23,019</w:t>
            </w:r>
          </w:p>
        </w:tc>
        <w:tc>
          <w:tcPr>
            <w:tcW w:w="0" w:type="auto"/>
            <w:tcBorders>
              <w:top w:val="nil"/>
              <w:left w:val="nil"/>
              <w:bottom w:val="single" w:color="auto" w:sz="4" w:space="0"/>
              <w:right w:val="nil"/>
            </w:tcBorders>
            <w:shd w:val="clear" w:color="auto" w:fill="auto"/>
            <w:noWrap/>
            <w:vAlign w:val="bottom"/>
            <w:hideMark/>
          </w:tcPr>
          <w:p w:rsidRPr="003E4B6D" w:rsidR="003E4B6D" w:rsidP="003E4B6D" w:rsidRDefault="003E4B6D" w14:paraId="008E9216" w14:textId="76AFF0FF">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854,046</w:t>
            </w:r>
          </w:p>
        </w:tc>
        <w:tc>
          <w:tcPr>
            <w:tcW w:w="0" w:type="auto"/>
            <w:tcBorders>
              <w:top w:val="nil"/>
              <w:left w:val="nil"/>
              <w:bottom w:val="single" w:color="auto" w:sz="4" w:space="0"/>
              <w:right w:val="nil"/>
            </w:tcBorders>
            <w:shd w:val="clear" w:color="auto" w:fill="auto"/>
            <w:noWrap/>
            <w:vAlign w:val="bottom"/>
            <w:hideMark/>
          </w:tcPr>
          <w:p w:rsidRPr="003E4B6D" w:rsidR="003E4B6D" w:rsidP="003E4B6D" w:rsidRDefault="003E4B6D" w14:paraId="78870E1C" w14:textId="56BD61D1">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894,731</w:t>
            </w:r>
          </w:p>
        </w:tc>
        <w:tc>
          <w:tcPr>
            <w:tcW w:w="0" w:type="auto"/>
            <w:tcBorders>
              <w:top w:val="nil"/>
              <w:left w:val="nil"/>
              <w:bottom w:val="single" w:color="auto" w:sz="4" w:space="0"/>
              <w:right w:val="nil"/>
            </w:tcBorders>
            <w:shd w:val="clear" w:color="auto" w:fill="auto"/>
            <w:noWrap/>
            <w:vAlign w:val="bottom"/>
            <w:hideMark/>
          </w:tcPr>
          <w:p w:rsidRPr="003E4B6D" w:rsidR="003E4B6D" w:rsidP="003E4B6D" w:rsidRDefault="003E4B6D" w14:paraId="70354A3F" w14:textId="3A5E8071">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850,911</w:t>
            </w:r>
          </w:p>
        </w:tc>
        <w:tc>
          <w:tcPr>
            <w:tcW w:w="0" w:type="auto"/>
            <w:tcBorders>
              <w:top w:val="nil"/>
              <w:left w:val="nil"/>
              <w:bottom w:val="single" w:color="auto" w:sz="4" w:space="0"/>
              <w:right w:val="nil"/>
            </w:tcBorders>
            <w:shd w:val="clear" w:color="auto" w:fill="auto"/>
            <w:noWrap/>
            <w:vAlign w:val="bottom"/>
            <w:hideMark/>
          </w:tcPr>
          <w:p w:rsidRPr="003E4B6D" w:rsidR="003E4B6D" w:rsidP="003E4B6D" w:rsidRDefault="003E4B6D" w14:paraId="476E44DA" w14:textId="56725002">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764,293</w:t>
            </w: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3E4B6D" w:rsidR="003E4B6D" w:rsidP="003E4B6D" w:rsidRDefault="003E4B6D" w14:paraId="6C5443AC" w14:textId="7A743836">
            <w:pPr>
              <w:spacing w:after="0" w:line="240" w:lineRule="auto"/>
              <w:jc w:val="center"/>
              <w:rPr>
                <w:rFonts w:ascii="Arial" w:hAnsi="Arial" w:eastAsia="Times New Roman" w:cs="Arial"/>
                <w:color w:val="000000"/>
                <w:sz w:val="14"/>
                <w:szCs w:val="14"/>
                <w:lang w:val="es-MX" w:eastAsia="es-MX"/>
              </w:rPr>
            </w:pPr>
            <w:r w:rsidRPr="003E4B6D">
              <w:rPr>
                <w:rFonts w:ascii="Arial" w:hAnsi="Arial" w:eastAsia="Times New Roman" w:cs="Arial"/>
                <w:color w:val="000000"/>
                <w:sz w:val="14"/>
                <w:szCs w:val="14"/>
                <w:lang w:val="es-MX" w:eastAsia="es-MX"/>
              </w:rPr>
              <w:t>3,387,000.3</w:t>
            </w:r>
          </w:p>
        </w:tc>
      </w:tr>
    </w:tbl>
    <w:p w:rsidRPr="000E0AC5" w:rsidR="00EF6E97" w:rsidP="003F36C8" w:rsidRDefault="00EF6E97" w14:paraId="1B97DCE9" w14:textId="77777777">
      <w:pPr>
        <w:pStyle w:val="fuente"/>
        <w:rPr>
          <w:rFonts w:ascii="Arial" w:hAnsi="Arial" w:cs="Arial"/>
        </w:rPr>
      </w:pPr>
    </w:p>
    <w:p w:rsidR="001C2682" w:rsidP="003F36C8" w:rsidRDefault="001C2682" w14:paraId="2C02845A" w14:textId="1D560F37">
      <w:pPr>
        <w:pStyle w:val="fuente"/>
        <w:rPr>
          <w:rFonts w:ascii="Arial" w:hAnsi="Arial" w:cs="Arial"/>
        </w:rPr>
      </w:pPr>
      <w:r w:rsidRPr="000E0AC5">
        <w:rPr>
          <w:rFonts w:ascii="Arial" w:hAnsi="Arial" w:cs="Arial"/>
        </w:rPr>
        <w:lastRenderedPageBreak/>
        <w:t>Fuente: Elaboración propia.</w:t>
      </w:r>
    </w:p>
    <w:p w:rsidRPr="000E0AC5" w:rsidR="00EF01A4" w:rsidP="003F36C8" w:rsidRDefault="00EF01A4" w14:paraId="099283EE" w14:textId="77777777">
      <w:pPr>
        <w:pStyle w:val="fuente"/>
        <w:rPr>
          <w:rFonts w:ascii="Arial" w:hAnsi="Arial" w:cs="Arial"/>
        </w:rPr>
      </w:pPr>
    </w:p>
    <w:p w:rsidRPr="000E0AC5" w:rsidR="001B5186" w:rsidP="006A3FEB" w:rsidRDefault="00E2088E" w14:paraId="779C42E3" w14:textId="77777777">
      <w:pPr>
        <w:pStyle w:val="ListParagraph"/>
        <w:numPr>
          <w:ilvl w:val="0"/>
          <w:numId w:val="8"/>
        </w:numPr>
        <w:spacing w:after="0" w:line="360" w:lineRule="auto"/>
        <w:jc w:val="both"/>
        <w:rPr>
          <w:rFonts w:ascii="Arial" w:hAnsi="Arial" w:cs="Arial"/>
          <w:b/>
          <w:lang w:val="es-ES"/>
        </w:rPr>
      </w:pPr>
      <w:r w:rsidRPr="000E0AC5">
        <w:rPr>
          <w:rFonts w:ascii="Arial" w:hAnsi="Arial" w:cs="Arial"/>
          <w:b/>
          <w:lang w:val="es-ES"/>
        </w:rPr>
        <w:t>Beneficios del Programa</w:t>
      </w:r>
    </w:p>
    <w:p w:rsidRPr="000E0AC5" w:rsidR="001B5186" w:rsidP="001B5186" w:rsidRDefault="001B5186" w14:paraId="40BF08A2" w14:textId="77777777">
      <w:pPr>
        <w:pStyle w:val="ColorfulList-Accent11"/>
        <w:spacing w:after="0" w:line="360" w:lineRule="auto"/>
        <w:ind w:left="1080"/>
        <w:jc w:val="both"/>
        <w:rPr>
          <w:rFonts w:ascii="Arial" w:hAnsi="Arial" w:cs="Arial"/>
          <w:b/>
          <w:lang w:val="es-ES"/>
        </w:rPr>
      </w:pPr>
    </w:p>
    <w:p w:rsidR="001C2682" w:rsidP="006A3FEB" w:rsidRDefault="001C2682" w14:paraId="7BBB0697" w14:textId="54DBF7DC">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Como se indicó en la metodología</w:t>
      </w:r>
      <w:r w:rsidR="00D07EB2">
        <w:rPr>
          <w:rFonts w:ascii="Arial" w:hAnsi="Arial" w:eastAsia="Times New Roman" w:cs="Arial"/>
          <w:color w:val="000000"/>
          <w:lang w:val="es-ES"/>
        </w:rPr>
        <w:t>,</w:t>
      </w:r>
      <w:r w:rsidR="00CA323B">
        <w:rPr>
          <w:rFonts w:ascii="Arial" w:hAnsi="Arial" w:eastAsia="Times New Roman" w:cs="Arial"/>
          <w:color w:val="000000"/>
          <w:lang w:val="es-ES"/>
        </w:rPr>
        <w:t xml:space="preserve"> en el análisis</w:t>
      </w:r>
      <w:r w:rsidRPr="000E0AC5">
        <w:rPr>
          <w:rFonts w:ascii="Arial" w:hAnsi="Arial" w:eastAsia="Times New Roman" w:cs="Arial"/>
          <w:color w:val="000000"/>
          <w:lang w:val="es-ES"/>
        </w:rPr>
        <w:t xml:space="preserve"> se utiliza el número de homicidios y de asaltos</w:t>
      </w:r>
      <w:r w:rsidRPr="000E0AC5" w:rsidR="00B85BB0">
        <w:rPr>
          <w:rFonts w:ascii="Arial" w:hAnsi="Arial" w:eastAsia="Times New Roman" w:cs="Arial"/>
          <w:color w:val="000000"/>
          <w:lang w:val="es-ES"/>
        </w:rPr>
        <w:t xml:space="preserve"> en los distritos priorizados</w:t>
      </w:r>
      <w:r w:rsidRPr="000E0AC5">
        <w:rPr>
          <w:rFonts w:ascii="Arial" w:hAnsi="Arial" w:eastAsia="Times New Roman" w:cs="Arial"/>
          <w:color w:val="000000"/>
          <w:lang w:val="es-ES"/>
        </w:rPr>
        <w:t xml:space="preserve"> para medir el impacto de la intervención. Para calcular el escenario en ausencia del Programa se utiliza la tasa de variación promedio anual del número de homicidios</w:t>
      </w:r>
      <w:r w:rsidRPr="000E0AC5" w:rsidR="00444E58">
        <w:rPr>
          <w:rFonts w:ascii="Arial" w:hAnsi="Arial" w:eastAsia="Times New Roman" w:cs="Arial"/>
          <w:color w:val="000000"/>
          <w:lang w:val="es-ES"/>
        </w:rPr>
        <w:t xml:space="preserve"> a nivel nacional</w:t>
      </w:r>
      <w:r w:rsidRPr="000E0AC5">
        <w:rPr>
          <w:rFonts w:ascii="Arial" w:hAnsi="Arial" w:eastAsia="Times New Roman" w:cs="Arial"/>
          <w:color w:val="000000"/>
          <w:lang w:val="es-ES"/>
        </w:rPr>
        <w:t xml:space="preserve"> regis</w:t>
      </w:r>
      <w:r w:rsidRPr="000E0AC5" w:rsidR="0013470B">
        <w:rPr>
          <w:rFonts w:ascii="Arial" w:hAnsi="Arial" w:eastAsia="Times New Roman" w:cs="Arial"/>
          <w:color w:val="000000"/>
          <w:lang w:val="es-ES"/>
        </w:rPr>
        <w:t xml:space="preserve">trados entre 2010-2017, de 1.6%, y la tasa promedio anual del número de asaltos </w:t>
      </w:r>
      <w:r w:rsidRPr="000E0AC5" w:rsidR="00444E58">
        <w:rPr>
          <w:rFonts w:ascii="Arial" w:hAnsi="Arial" w:eastAsia="Times New Roman" w:cs="Arial"/>
          <w:color w:val="000000"/>
          <w:lang w:val="es-ES"/>
        </w:rPr>
        <w:t xml:space="preserve">a nivel nacional </w:t>
      </w:r>
      <w:r w:rsidRPr="000E0AC5" w:rsidR="0013470B">
        <w:rPr>
          <w:rFonts w:ascii="Arial" w:hAnsi="Arial" w:eastAsia="Times New Roman" w:cs="Arial"/>
          <w:color w:val="000000"/>
          <w:lang w:val="es-ES"/>
        </w:rPr>
        <w:t xml:space="preserve">observados en el período 2011-2017 de </w:t>
      </w:r>
      <w:r w:rsidRPr="000E0AC5">
        <w:rPr>
          <w:rFonts w:ascii="Arial" w:hAnsi="Arial" w:eastAsia="Times New Roman" w:cs="Arial"/>
          <w:color w:val="000000"/>
          <w:lang w:val="es-ES"/>
        </w:rPr>
        <w:t>3.</w:t>
      </w:r>
      <w:r w:rsidRPr="000E0AC5" w:rsidR="0013470B">
        <w:rPr>
          <w:rFonts w:ascii="Arial" w:hAnsi="Arial" w:eastAsia="Times New Roman" w:cs="Arial"/>
          <w:color w:val="000000"/>
          <w:lang w:val="es-ES"/>
        </w:rPr>
        <w:t>0%</w:t>
      </w:r>
      <w:r w:rsidRPr="000E0AC5">
        <w:rPr>
          <w:rFonts w:ascii="Arial" w:hAnsi="Arial" w:eastAsia="Times New Roman" w:cs="Arial"/>
          <w:color w:val="000000"/>
          <w:lang w:val="es-ES"/>
        </w:rPr>
        <w:t>.</w:t>
      </w:r>
      <w:r w:rsidRPr="000E0AC5">
        <w:rPr>
          <w:rFonts w:ascii="Arial" w:hAnsi="Arial" w:cs="Arial"/>
          <w:vertAlign w:val="superscript"/>
        </w:rPr>
        <w:footnoteReference w:id="7"/>
      </w:r>
      <w:r w:rsidRPr="000E0AC5">
        <w:rPr>
          <w:rFonts w:ascii="Arial" w:hAnsi="Arial" w:eastAsia="Times New Roman" w:cs="Arial"/>
          <w:color w:val="000000"/>
          <w:vertAlign w:val="superscript"/>
          <w:lang w:val="es-ES"/>
        </w:rPr>
        <w:t xml:space="preserve"> </w:t>
      </w:r>
      <w:r w:rsidRPr="000E0AC5">
        <w:rPr>
          <w:rFonts w:ascii="Arial" w:hAnsi="Arial" w:eastAsia="Times New Roman" w:cs="Arial"/>
          <w:color w:val="000000"/>
          <w:lang w:val="es-ES"/>
        </w:rPr>
        <w:t xml:space="preserve">Los beneficios se </w:t>
      </w:r>
      <w:r w:rsidRPr="000E0AC5" w:rsidR="00165802">
        <w:rPr>
          <w:rFonts w:ascii="Arial" w:hAnsi="Arial" w:eastAsia="Times New Roman" w:cs="Arial"/>
          <w:color w:val="000000"/>
          <w:lang w:val="es-ES"/>
        </w:rPr>
        <w:t>cuant</w:t>
      </w:r>
      <w:r w:rsidRPr="000E0AC5" w:rsidR="00444E58">
        <w:rPr>
          <w:rFonts w:ascii="Arial" w:hAnsi="Arial" w:eastAsia="Times New Roman" w:cs="Arial"/>
          <w:color w:val="000000"/>
          <w:lang w:val="es-ES"/>
        </w:rPr>
        <w:t>ifican para el período 2020-2038</w:t>
      </w:r>
      <w:r w:rsidRPr="000E0AC5">
        <w:rPr>
          <w:rFonts w:ascii="Arial" w:hAnsi="Arial" w:eastAsia="Times New Roman" w:cs="Arial"/>
          <w:color w:val="000000"/>
          <w:lang w:val="es-ES"/>
        </w:rPr>
        <w:t>.</w:t>
      </w:r>
    </w:p>
    <w:p w:rsidRPr="000E0AC5" w:rsidR="00EF01A4" w:rsidP="00EF01A4" w:rsidRDefault="00EF01A4" w14:paraId="15C087D2" w14:textId="77777777">
      <w:pPr>
        <w:spacing w:after="0" w:line="360" w:lineRule="auto"/>
        <w:ind w:left="450"/>
        <w:jc w:val="both"/>
        <w:textAlignment w:val="top"/>
        <w:rPr>
          <w:rFonts w:ascii="Arial" w:hAnsi="Arial" w:eastAsia="Times New Roman" w:cs="Arial"/>
          <w:color w:val="000000"/>
          <w:lang w:val="es-ES"/>
        </w:rPr>
      </w:pPr>
    </w:p>
    <w:p w:rsidRPr="000E0AC5" w:rsidR="001C2682" w:rsidP="006A3FEB" w:rsidRDefault="001C2682" w14:paraId="50F8C398" w14:textId="6570619A">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Para el Componente I el principal objetivo es mejorar la eficacia policial en los distritos intervenidos para reducir los crímenes violentos. Por tanto, se espera que este componente afecte la eficacia policial y la incidencia del crimen</w:t>
      </w:r>
      <w:r w:rsidRPr="000E0AC5" w:rsidR="004167EE">
        <w:rPr>
          <w:rFonts w:ascii="Arial" w:hAnsi="Arial" w:eastAsia="Times New Roman" w:cs="Arial"/>
          <w:color w:val="000000"/>
          <w:lang w:val="es-ES"/>
        </w:rPr>
        <w:t>, lo que se materializa en reducciones en la tasa de homicidios y asaltos</w:t>
      </w:r>
      <w:r w:rsidRPr="000E0AC5" w:rsidR="00444E58">
        <w:rPr>
          <w:rFonts w:ascii="Arial" w:hAnsi="Arial" w:eastAsia="Times New Roman" w:cs="Arial"/>
          <w:color w:val="000000"/>
          <w:lang w:val="es-ES"/>
        </w:rPr>
        <w:t xml:space="preserve"> en los distritos priorizados</w:t>
      </w:r>
      <w:r w:rsidRPr="000E0AC5">
        <w:rPr>
          <w:rFonts w:ascii="Arial" w:hAnsi="Arial" w:eastAsia="Times New Roman" w:cs="Arial"/>
          <w:color w:val="000000"/>
          <w:lang w:val="es-ES"/>
        </w:rPr>
        <w:t xml:space="preserve">. Los beneficios se definen como el ahorro en costos generados por la variación en el número de homicidios y </w:t>
      </w:r>
      <w:r w:rsidRPr="000E0AC5" w:rsidR="00845515">
        <w:rPr>
          <w:rFonts w:ascii="Arial" w:hAnsi="Arial" w:eastAsia="Times New Roman" w:cs="Arial"/>
          <w:color w:val="000000"/>
          <w:lang w:val="es-ES"/>
        </w:rPr>
        <w:t>asaltos</w:t>
      </w:r>
      <w:r w:rsidRPr="000E0AC5">
        <w:rPr>
          <w:rFonts w:ascii="Arial" w:hAnsi="Arial" w:eastAsia="Times New Roman" w:cs="Arial"/>
          <w:color w:val="000000"/>
          <w:lang w:val="es-ES"/>
        </w:rPr>
        <w:t xml:space="preserve"> una vez implementada la intervención. Esta variación se calcula comparando el número de homicidios y </w:t>
      </w:r>
      <w:r w:rsidRPr="000E0AC5" w:rsidR="00845515">
        <w:rPr>
          <w:rFonts w:ascii="Arial" w:hAnsi="Arial" w:eastAsia="Times New Roman" w:cs="Arial"/>
          <w:color w:val="000000"/>
          <w:lang w:val="es-ES"/>
        </w:rPr>
        <w:t>asaltos</w:t>
      </w:r>
      <w:r w:rsidRPr="000E0AC5">
        <w:rPr>
          <w:rFonts w:ascii="Arial" w:hAnsi="Arial" w:eastAsia="Times New Roman" w:cs="Arial"/>
          <w:color w:val="000000"/>
          <w:lang w:val="es-ES"/>
        </w:rPr>
        <w:t xml:space="preserve"> estimados en el escenario de no-intervención y el número de homicidios</w:t>
      </w:r>
      <w:r w:rsidRPr="000E0AC5" w:rsidR="00EA74E1">
        <w:rPr>
          <w:rFonts w:ascii="Arial" w:hAnsi="Arial" w:eastAsia="Times New Roman" w:cs="Arial"/>
          <w:color w:val="000000"/>
          <w:lang w:val="es-ES"/>
        </w:rPr>
        <w:t xml:space="preserve"> y asaltos</w:t>
      </w:r>
      <w:r w:rsidRPr="000E0AC5">
        <w:rPr>
          <w:rFonts w:ascii="Arial" w:hAnsi="Arial" w:eastAsia="Times New Roman" w:cs="Arial"/>
          <w:color w:val="000000"/>
          <w:lang w:val="es-ES"/>
        </w:rPr>
        <w:t xml:space="preserve"> estimados una vez que se </w:t>
      </w:r>
      <w:r w:rsidRPr="000E0AC5" w:rsidR="002F4544">
        <w:rPr>
          <w:rFonts w:ascii="Arial" w:hAnsi="Arial" w:eastAsia="Times New Roman" w:cs="Arial"/>
          <w:color w:val="000000"/>
          <w:lang w:val="es-ES"/>
        </w:rPr>
        <w:t>implementa</w:t>
      </w:r>
      <w:r w:rsidRPr="000E0AC5">
        <w:rPr>
          <w:rFonts w:ascii="Arial" w:hAnsi="Arial" w:eastAsia="Times New Roman" w:cs="Arial"/>
          <w:color w:val="000000"/>
          <w:lang w:val="es-ES"/>
        </w:rPr>
        <w:t xml:space="preserve"> el Programa. Para el cálculo de los beneficios es necesario contar con una medida monetaria, por lo que para el Componente I se asumen los siguientes supuestos que se utilizan para cuantificar los beneficios: </w:t>
      </w:r>
    </w:p>
    <w:p w:rsidRPr="000E0AC5" w:rsidR="001C2682" w:rsidP="006A3FEB" w:rsidRDefault="008C4908" w14:paraId="7274780E" w14:textId="77777777">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 xml:space="preserve">Siguiendo lo indicado en la Matriz de Resultados, se espera que la tasa de homicidios </w:t>
      </w:r>
      <w:r w:rsidRPr="000E0AC5" w:rsidR="00444E58">
        <w:rPr>
          <w:rFonts w:ascii="Arial" w:hAnsi="Arial" w:cs="Arial"/>
          <w:lang w:val="es-ES"/>
        </w:rPr>
        <w:t>en los distritos priorizados</w:t>
      </w:r>
      <w:r w:rsidRPr="000E0AC5">
        <w:rPr>
          <w:rFonts w:ascii="Arial" w:hAnsi="Arial" w:cs="Arial"/>
          <w:lang w:val="es-ES"/>
        </w:rPr>
        <w:t xml:space="preserve"> se reduzc</w:t>
      </w:r>
      <w:r w:rsidRPr="000E0AC5" w:rsidR="00165802">
        <w:rPr>
          <w:rFonts w:ascii="Arial" w:hAnsi="Arial" w:cs="Arial"/>
          <w:lang w:val="es-ES"/>
        </w:rPr>
        <w:t xml:space="preserve">a de </w:t>
      </w:r>
      <w:r w:rsidR="00FB42BF">
        <w:rPr>
          <w:rFonts w:ascii="Arial" w:hAnsi="Arial" w:cs="Arial"/>
          <w:lang w:val="es-ES"/>
        </w:rPr>
        <w:t>24.2</w:t>
      </w:r>
      <w:r w:rsidRPr="000E0AC5" w:rsidR="00165802">
        <w:rPr>
          <w:rFonts w:ascii="Arial" w:hAnsi="Arial" w:cs="Arial"/>
          <w:lang w:val="es-ES"/>
        </w:rPr>
        <w:t xml:space="preserve"> en 2017 a </w:t>
      </w:r>
      <w:r w:rsidRPr="000E0AC5" w:rsidR="00444E58">
        <w:rPr>
          <w:rFonts w:ascii="Arial" w:hAnsi="Arial" w:cs="Arial"/>
          <w:lang w:val="es-ES"/>
        </w:rPr>
        <w:t>21.8</w:t>
      </w:r>
      <w:r w:rsidRPr="000E0AC5" w:rsidR="00165802">
        <w:rPr>
          <w:rFonts w:ascii="Arial" w:hAnsi="Arial" w:cs="Arial"/>
          <w:lang w:val="es-ES"/>
        </w:rPr>
        <w:t xml:space="preserve"> en 2024</w:t>
      </w:r>
      <w:r w:rsidRPr="000E0AC5">
        <w:rPr>
          <w:rFonts w:ascii="Arial" w:hAnsi="Arial" w:cs="Arial"/>
          <w:lang w:val="es-ES"/>
        </w:rPr>
        <w:t xml:space="preserve">. </w:t>
      </w:r>
      <w:r w:rsidRPr="000E0AC5" w:rsidR="001C2682">
        <w:rPr>
          <w:rFonts w:ascii="Arial" w:hAnsi="Arial" w:cs="Arial"/>
          <w:lang w:val="es-ES"/>
        </w:rPr>
        <w:t xml:space="preserve">Para estimar </w:t>
      </w:r>
      <w:r w:rsidRPr="000E0AC5">
        <w:rPr>
          <w:rFonts w:ascii="Arial" w:hAnsi="Arial" w:cs="Arial"/>
          <w:lang w:val="es-ES"/>
        </w:rPr>
        <w:t>esta</w:t>
      </w:r>
      <w:r w:rsidRPr="000E0AC5" w:rsidR="001C2682">
        <w:rPr>
          <w:rFonts w:ascii="Arial" w:hAnsi="Arial" w:cs="Arial"/>
          <w:lang w:val="es-ES"/>
        </w:rPr>
        <w:t xml:space="preserve"> </w:t>
      </w:r>
      <w:r w:rsidRPr="000E0AC5">
        <w:rPr>
          <w:rFonts w:ascii="Arial" w:hAnsi="Arial" w:cs="Arial"/>
          <w:lang w:val="es-ES"/>
        </w:rPr>
        <w:t>reducción</w:t>
      </w:r>
      <w:r w:rsidRPr="000E0AC5" w:rsidR="001C2682">
        <w:rPr>
          <w:rFonts w:ascii="Arial" w:hAnsi="Arial" w:cs="Arial"/>
          <w:lang w:val="es-ES"/>
        </w:rPr>
        <w:t xml:space="preserve"> </w:t>
      </w:r>
      <w:r w:rsidRPr="000E0AC5">
        <w:rPr>
          <w:rFonts w:ascii="Arial" w:hAnsi="Arial" w:cs="Arial"/>
          <w:lang w:val="es-ES"/>
        </w:rPr>
        <w:t>en los homicidios como resultado del</w:t>
      </w:r>
      <w:r w:rsidRPr="000E0AC5" w:rsidR="001C2682">
        <w:rPr>
          <w:rFonts w:ascii="Arial" w:hAnsi="Arial" w:cs="Arial"/>
          <w:lang w:val="es-ES"/>
        </w:rPr>
        <w:t xml:space="preserve"> patrullaje de puntos calientes y de policía orientada a la resolución de problemas en los homicidios, se utiliza el valor reportado</w:t>
      </w:r>
      <w:r w:rsidRPr="000E0AC5">
        <w:rPr>
          <w:rFonts w:ascii="Arial" w:hAnsi="Arial" w:cs="Arial"/>
          <w:lang w:val="es-ES"/>
        </w:rPr>
        <w:t xml:space="preserve"> </w:t>
      </w:r>
      <w:r w:rsidRPr="000E0AC5" w:rsidR="002F4544">
        <w:rPr>
          <w:rFonts w:ascii="Arial" w:hAnsi="Arial" w:cs="Arial"/>
          <w:lang w:val="es-ES"/>
        </w:rPr>
        <w:t xml:space="preserve">en la Matriz de Resultados </w:t>
      </w:r>
      <w:r w:rsidRPr="000E0AC5" w:rsidR="00975F85">
        <w:rPr>
          <w:rFonts w:ascii="Arial" w:hAnsi="Arial" w:cs="Arial"/>
          <w:lang w:val="es-ES"/>
        </w:rPr>
        <w:t xml:space="preserve">de 10% </w:t>
      </w:r>
      <w:r w:rsidRPr="000E0AC5" w:rsidR="00EA74E1">
        <w:rPr>
          <w:rFonts w:ascii="Arial" w:hAnsi="Arial" w:cs="Arial"/>
          <w:lang w:val="es-ES"/>
        </w:rPr>
        <w:t xml:space="preserve">de reducción entre </w:t>
      </w:r>
      <w:r w:rsidRPr="000E0AC5" w:rsidR="00165802">
        <w:rPr>
          <w:rFonts w:ascii="Arial" w:hAnsi="Arial" w:cs="Arial"/>
          <w:lang w:val="es-ES"/>
        </w:rPr>
        <w:t xml:space="preserve">la línea de base de </w:t>
      </w:r>
      <w:r w:rsidRPr="000E0AC5" w:rsidR="00EA74E1">
        <w:rPr>
          <w:rFonts w:ascii="Arial" w:hAnsi="Arial" w:cs="Arial"/>
          <w:lang w:val="es-ES"/>
        </w:rPr>
        <w:t>2017 y</w:t>
      </w:r>
      <w:r w:rsidRPr="000E0AC5" w:rsidR="00165802">
        <w:rPr>
          <w:rFonts w:ascii="Arial" w:hAnsi="Arial" w:cs="Arial"/>
          <w:lang w:val="es-ES"/>
        </w:rPr>
        <w:t xml:space="preserve"> la meta final de</w:t>
      </w:r>
      <w:r w:rsidRPr="000E0AC5" w:rsidR="00EA74E1">
        <w:rPr>
          <w:rFonts w:ascii="Arial" w:hAnsi="Arial" w:cs="Arial"/>
          <w:lang w:val="es-ES"/>
        </w:rPr>
        <w:t xml:space="preserve"> 202</w:t>
      </w:r>
      <w:r w:rsidRPr="000E0AC5" w:rsidR="00165802">
        <w:rPr>
          <w:rFonts w:ascii="Arial" w:hAnsi="Arial" w:cs="Arial"/>
          <w:lang w:val="es-ES"/>
        </w:rPr>
        <w:t>4</w:t>
      </w:r>
      <w:r w:rsidRPr="000E0AC5">
        <w:rPr>
          <w:rFonts w:ascii="Arial" w:hAnsi="Arial" w:cs="Arial"/>
          <w:lang w:val="es-ES"/>
        </w:rPr>
        <w:t>, que se basa en los resultados de</w:t>
      </w:r>
      <w:r w:rsidRPr="000E0AC5" w:rsidR="001C2682">
        <w:rPr>
          <w:rFonts w:ascii="Arial" w:hAnsi="Arial" w:cs="Arial"/>
          <w:lang w:val="es-ES"/>
        </w:rPr>
        <w:t xml:space="preserve"> </w:t>
      </w:r>
      <w:r w:rsidRPr="000E0AC5">
        <w:rPr>
          <w:rFonts w:ascii="Arial" w:hAnsi="Arial" w:cs="Arial"/>
          <w:lang w:val="es-ES"/>
        </w:rPr>
        <w:t>Braga</w:t>
      </w:r>
      <w:r w:rsidRPr="000E0AC5" w:rsidR="001C2682">
        <w:rPr>
          <w:rFonts w:ascii="Arial" w:hAnsi="Arial" w:cs="Arial"/>
          <w:lang w:val="es-ES"/>
        </w:rPr>
        <w:t>, et al</w:t>
      </w:r>
      <w:r w:rsidRPr="000E0AC5">
        <w:rPr>
          <w:rFonts w:ascii="Arial" w:hAnsi="Arial" w:cs="Arial"/>
          <w:lang w:val="es-ES"/>
        </w:rPr>
        <w:t xml:space="preserve">., </w:t>
      </w:r>
      <w:sdt>
        <w:sdtPr>
          <w:rPr>
            <w:rFonts w:ascii="Arial" w:hAnsi="Arial" w:cs="Arial"/>
            <w:lang w:val="es-ES"/>
          </w:rPr>
          <w:id w:val="1937633009"/>
          <w:citation/>
        </w:sdtPr>
        <w:sdtEndPr/>
        <w:sdtContent>
          <w:r w:rsidRPr="000E0AC5">
            <w:rPr>
              <w:rFonts w:ascii="Arial" w:hAnsi="Arial" w:cs="Arial"/>
              <w:lang w:val="es-ES"/>
            </w:rPr>
            <w:fldChar w:fldCharType="begin"/>
          </w:r>
          <w:r w:rsidRPr="000E0AC5">
            <w:rPr>
              <w:rFonts w:ascii="Arial" w:hAnsi="Arial" w:cs="Arial"/>
              <w:lang w:val="es-ES"/>
            </w:rPr>
            <w:instrText xml:space="preserve">CITATION Bra11 \n  \t  \l 1033 </w:instrText>
          </w:r>
          <w:r w:rsidRPr="000E0AC5">
            <w:rPr>
              <w:rFonts w:ascii="Arial" w:hAnsi="Arial" w:cs="Arial"/>
              <w:lang w:val="es-ES"/>
            </w:rPr>
            <w:fldChar w:fldCharType="separate"/>
          </w:r>
          <w:r w:rsidRPr="000E0AC5" w:rsidR="008C35D8">
            <w:rPr>
              <w:rFonts w:ascii="Arial" w:hAnsi="Arial" w:cs="Arial"/>
              <w:noProof/>
              <w:lang w:val="es-ES"/>
            </w:rPr>
            <w:t>(2012)</w:t>
          </w:r>
          <w:r w:rsidRPr="000E0AC5">
            <w:rPr>
              <w:rFonts w:ascii="Arial" w:hAnsi="Arial" w:cs="Arial"/>
              <w:lang w:val="es-ES"/>
            </w:rPr>
            <w:fldChar w:fldCharType="end"/>
          </w:r>
        </w:sdtContent>
      </w:sdt>
      <w:r w:rsidRPr="000E0AC5" w:rsidR="001C2682">
        <w:rPr>
          <w:rFonts w:ascii="Arial" w:hAnsi="Arial" w:cs="Arial"/>
          <w:lang w:val="es-ES"/>
        </w:rPr>
        <w:t>. Para el análisis de sensibilidad se utiliza como medida de impacto el valor estimado por</w:t>
      </w:r>
      <w:r w:rsidRPr="000E0AC5">
        <w:rPr>
          <w:rFonts w:ascii="Arial" w:hAnsi="Arial" w:cs="Arial"/>
          <w:lang w:val="es-ES"/>
        </w:rPr>
        <w:t xml:space="preserve"> </w:t>
      </w:r>
      <w:proofErr w:type="spellStart"/>
      <w:r w:rsidRPr="000E0AC5">
        <w:rPr>
          <w:rFonts w:ascii="Arial" w:hAnsi="Arial" w:eastAsia="Times New Roman" w:cs="Arial"/>
          <w:color w:val="000000"/>
          <w:lang w:val="es-ES"/>
        </w:rPr>
        <w:t>Blattman</w:t>
      </w:r>
      <w:proofErr w:type="spellEnd"/>
      <w:r w:rsidRPr="000E0AC5">
        <w:rPr>
          <w:rFonts w:ascii="Arial" w:hAnsi="Arial" w:eastAsia="Times New Roman" w:cs="Arial"/>
          <w:color w:val="000000"/>
          <w:lang w:val="es-ES"/>
        </w:rPr>
        <w:t xml:space="preserve">, et al., </w:t>
      </w:r>
      <w:sdt>
        <w:sdtPr>
          <w:rPr>
            <w:rFonts w:ascii="Arial" w:hAnsi="Arial" w:eastAsia="Times New Roman" w:cs="Arial"/>
            <w:color w:val="000000"/>
            <w:lang w:val="es-ES"/>
          </w:rPr>
          <w:id w:val="134529506"/>
          <w:citation/>
        </w:sdtPr>
        <w:sdtEndPr/>
        <w:sdtContent>
          <w:r w:rsidRPr="000E0AC5">
            <w:rPr>
              <w:rFonts w:ascii="Arial" w:hAnsi="Arial" w:eastAsia="Times New Roman" w:cs="Arial"/>
              <w:color w:val="000000"/>
              <w:lang w:val="es-ES"/>
            </w:rPr>
            <w:fldChar w:fldCharType="begin"/>
          </w:r>
          <w:r w:rsidRPr="000E0AC5">
            <w:rPr>
              <w:rFonts w:ascii="Arial" w:hAnsi="Arial" w:eastAsia="Times New Roman" w:cs="Arial"/>
              <w:color w:val="000000"/>
              <w:lang w:val="es-ES"/>
            </w:rPr>
            <w:instrText xml:space="preserve">CITATION Bla18 \n  \t  \l 1033 </w:instrText>
          </w:r>
          <w:r w:rsidRPr="000E0AC5">
            <w:rPr>
              <w:rFonts w:ascii="Arial" w:hAnsi="Arial" w:eastAsia="Times New Roman" w:cs="Arial"/>
              <w:color w:val="000000"/>
              <w:lang w:val="es-ES"/>
            </w:rPr>
            <w:fldChar w:fldCharType="separate"/>
          </w:r>
          <w:r w:rsidRPr="000E0AC5" w:rsidR="008C35D8">
            <w:rPr>
              <w:rFonts w:ascii="Arial" w:hAnsi="Arial" w:eastAsia="Times New Roman" w:cs="Arial"/>
              <w:noProof/>
              <w:color w:val="000000"/>
              <w:lang w:val="es-ES"/>
            </w:rPr>
            <w:t>(2018)</w:t>
          </w:r>
          <w:r w:rsidRPr="000E0AC5">
            <w:rPr>
              <w:rFonts w:ascii="Arial" w:hAnsi="Arial" w:eastAsia="Times New Roman" w:cs="Arial"/>
              <w:color w:val="000000"/>
              <w:lang w:val="es-ES"/>
            </w:rPr>
            <w:fldChar w:fldCharType="end"/>
          </w:r>
        </w:sdtContent>
      </w:sdt>
      <w:r w:rsidRPr="000E0AC5" w:rsidR="001C2682">
        <w:rPr>
          <w:rFonts w:ascii="Arial" w:hAnsi="Arial" w:cs="Arial"/>
          <w:lang w:val="es-ES"/>
        </w:rPr>
        <w:t xml:space="preserve"> </w:t>
      </w:r>
      <w:r w:rsidRPr="000E0AC5">
        <w:rPr>
          <w:rFonts w:ascii="Arial" w:hAnsi="Arial" w:cs="Arial"/>
          <w:lang w:val="es-ES"/>
        </w:rPr>
        <w:t xml:space="preserve">de 8% para Colombia y la estimación de </w:t>
      </w:r>
      <w:r w:rsidRPr="000E0AC5" w:rsidR="001C2682">
        <w:rPr>
          <w:rFonts w:ascii="Arial" w:hAnsi="Arial" w:cs="Arial"/>
          <w:lang w:val="es-ES"/>
        </w:rPr>
        <w:t xml:space="preserve">Bulla, et al., </w:t>
      </w:r>
      <w:sdt>
        <w:sdtPr>
          <w:rPr>
            <w:rFonts w:ascii="Arial" w:hAnsi="Arial" w:cs="Arial"/>
            <w:lang w:val="es-ES"/>
          </w:rPr>
          <w:id w:val="-806394710"/>
          <w:citation/>
        </w:sdtPr>
        <w:sdtEndPr/>
        <w:sdtContent>
          <w:r w:rsidRPr="000E0AC5" w:rsidR="001C2682">
            <w:rPr>
              <w:rFonts w:ascii="Arial" w:hAnsi="Arial" w:cs="Arial"/>
              <w:lang w:val="es-ES"/>
            </w:rPr>
            <w:fldChar w:fldCharType="begin"/>
          </w:r>
          <w:r w:rsidRPr="000E0AC5" w:rsidR="001C2682">
            <w:rPr>
              <w:rFonts w:ascii="Arial" w:hAnsi="Arial" w:cs="Arial"/>
              <w:lang w:val="es-ES"/>
            </w:rPr>
            <w:instrText xml:space="preserve">CITATION Bul12 \n  \t  \l 1033 </w:instrText>
          </w:r>
          <w:r w:rsidRPr="000E0AC5" w:rsidR="001C2682">
            <w:rPr>
              <w:rFonts w:ascii="Arial" w:hAnsi="Arial" w:cs="Arial"/>
              <w:lang w:val="es-ES"/>
            </w:rPr>
            <w:fldChar w:fldCharType="separate"/>
          </w:r>
          <w:r w:rsidRPr="000E0AC5" w:rsidR="008C35D8">
            <w:rPr>
              <w:rFonts w:ascii="Arial" w:hAnsi="Arial" w:cs="Arial"/>
              <w:noProof/>
              <w:lang w:val="es-ES"/>
            </w:rPr>
            <w:t>(2012)</w:t>
          </w:r>
          <w:r w:rsidRPr="000E0AC5" w:rsidR="001C2682">
            <w:rPr>
              <w:rFonts w:ascii="Arial" w:hAnsi="Arial" w:cs="Arial"/>
              <w:lang w:val="es-ES"/>
            </w:rPr>
            <w:fldChar w:fldCharType="end"/>
          </w:r>
        </w:sdtContent>
      </w:sdt>
      <w:r w:rsidRPr="000E0AC5" w:rsidR="001C2682">
        <w:rPr>
          <w:rFonts w:ascii="Arial" w:hAnsi="Arial" w:cs="Arial"/>
          <w:lang w:val="es-ES"/>
        </w:rPr>
        <w:t xml:space="preserve"> </w:t>
      </w:r>
      <w:r w:rsidRPr="000E0AC5" w:rsidR="001C2682">
        <w:rPr>
          <w:rFonts w:ascii="Arial" w:hAnsi="Arial" w:cs="Arial"/>
          <w:lang w:val="es-ES"/>
        </w:rPr>
        <w:lastRenderedPageBreak/>
        <w:t>para Colombia de 18% en la reducción de homicidios</w:t>
      </w:r>
      <w:r w:rsidRPr="000E0AC5">
        <w:rPr>
          <w:rFonts w:ascii="Arial" w:hAnsi="Arial" w:cs="Arial"/>
          <w:lang w:val="es-ES"/>
        </w:rPr>
        <w:t xml:space="preserve">. </w:t>
      </w:r>
      <w:r w:rsidRPr="000E0AC5" w:rsidR="009E3699">
        <w:rPr>
          <w:rFonts w:ascii="Arial" w:hAnsi="Arial" w:cs="Arial"/>
          <w:lang w:val="es-ES"/>
        </w:rPr>
        <w:t>Se asume</w:t>
      </w:r>
      <w:r w:rsidRPr="000E0AC5" w:rsidR="001C2682">
        <w:rPr>
          <w:rFonts w:ascii="Arial" w:hAnsi="Arial" w:cs="Arial"/>
          <w:lang w:val="es-ES"/>
        </w:rPr>
        <w:t xml:space="preserve"> que el impacto del programa </w:t>
      </w:r>
      <w:r w:rsidRPr="000E0AC5" w:rsidR="00165802">
        <w:rPr>
          <w:rFonts w:ascii="Arial" w:hAnsi="Arial" w:cs="Arial"/>
          <w:lang w:val="es-ES"/>
        </w:rPr>
        <w:t>se observa en el año 2024</w:t>
      </w:r>
      <w:r w:rsidRPr="000E0AC5" w:rsidR="009E3699">
        <w:rPr>
          <w:rFonts w:ascii="Arial" w:hAnsi="Arial" w:cs="Arial"/>
          <w:lang w:val="es-ES"/>
        </w:rPr>
        <w:t xml:space="preserve"> (valor de la meta final en la Matriz de Resultados);</w:t>
      </w:r>
    </w:p>
    <w:p w:rsidRPr="000E0AC5" w:rsidR="001C2682" w:rsidP="006A3FEB" w:rsidRDefault="001C2682" w14:paraId="792EA91E" w14:textId="77777777">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 xml:space="preserve">Para estimar el impacto de las estrategias de patrullaje de puntos calientes y de policía orientada a la resolución de problemas en los </w:t>
      </w:r>
      <w:r w:rsidRPr="000E0AC5" w:rsidR="00AF4157">
        <w:rPr>
          <w:rFonts w:ascii="Arial" w:hAnsi="Arial" w:cs="Arial"/>
          <w:lang w:val="es-ES"/>
        </w:rPr>
        <w:t>asaltos</w:t>
      </w:r>
      <w:r w:rsidRPr="000E0AC5" w:rsidR="00444E58">
        <w:rPr>
          <w:rFonts w:ascii="Arial" w:hAnsi="Arial" w:cs="Arial"/>
          <w:lang w:val="es-ES"/>
        </w:rPr>
        <w:t xml:space="preserve"> en los distritos priorizados</w:t>
      </w:r>
      <w:r w:rsidRPr="000E0AC5">
        <w:rPr>
          <w:rFonts w:ascii="Arial" w:hAnsi="Arial" w:cs="Arial"/>
          <w:lang w:val="es-ES"/>
        </w:rPr>
        <w:t>,</w:t>
      </w:r>
      <w:r w:rsidRPr="000E0AC5" w:rsidR="00975F85">
        <w:rPr>
          <w:rFonts w:ascii="Arial" w:hAnsi="Arial" w:cs="Arial"/>
          <w:lang w:val="es-ES"/>
        </w:rPr>
        <w:t xml:space="preserve"> se utiliza la reducción de 10% </w:t>
      </w:r>
      <w:r w:rsidRPr="000E0AC5" w:rsidR="00AF4157">
        <w:rPr>
          <w:rFonts w:ascii="Arial" w:hAnsi="Arial" w:cs="Arial"/>
          <w:lang w:val="es-ES"/>
        </w:rPr>
        <w:t>reportada en la Matriz de</w:t>
      </w:r>
      <w:r w:rsidRPr="000E0AC5" w:rsidR="00165802">
        <w:rPr>
          <w:rFonts w:ascii="Arial" w:hAnsi="Arial" w:cs="Arial"/>
          <w:lang w:val="es-ES"/>
        </w:rPr>
        <w:t xml:space="preserve"> Resultados para el período 2024</w:t>
      </w:r>
      <w:r w:rsidRPr="000E0AC5" w:rsidR="00AF4157">
        <w:rPr>
          <w:rFonts w:ascii="Arial" w:hAnsi="Arial" w:cs="Arial"/>
          <w:lang w:val="es-ES"/>
        </w:rPr>
        <w:t xml:space="preserve">, valor que se basa en la evidencia de un programa de vigilancia comunitaria en Colombia reporta una reducción del 22% de los delitos violentos (Mejía, et al, 2013). </w:t>
      </w:r>
      <w:r w:rsidRPr="000E0AC5">
        <w:rPr>
          <w:rFonts w:ascii="Arial" w:hAnsi="Arial" w:cs="Arial"/>
          <w:lang w:val="es-ES"/>
        </w:rPr>
        <w:t xml:space="preserve">Para el análisis de sensibilidad se utiliza </w:t>
      </w:r>
      <w:r w:rsidRPr="000E0AC5" w:rsidR="00AF4157">
        <w:rPr>
          <w:rFonts w:ascii="Arial" w:hAnsi="Arial" w:cs="Arial"/>
          <w:lang w:val="es-ES"/>
        </w:rPr>
        <w:t xml:space="preserve">el valor estimado de </w:t>
      </w:r>
      <w:proofErr w:type="spellStart"/>
      <w:r w:rsidRPr="000E0AC5" w:rsidR="00AF4157">
        <w:rPr>
          <w:rFonts w:ascii="Arial" w:hAnsi="Arial" w:cs="Arial"/>
          <w:lang w:val="es-ES"/>
        </w:rPr>
        <w:t>Blattman</w:t>
      </w:r>
      <w:proofErr w:type="spellEnd"/>
      <w:r w:rsidRPr="000E0AC5" w:rsidR="00AF4157">
        <w:rPr>
          <w:rFonts w:ascii="Arial" w:hAnsi="Arial" w:cs="Arial"/>
          <w:lang w:val="es-ES"/>
        </w:rPr>
        <w:t xml:space="preserve">, et al., </w:t>
      </w:r>
      <w:sdt>
        <w:sdtPr>
          <w:rPr>
            <w:rFonts w:ascii="Arial" w:hAnsi="Arial" w:cs="Arial"/>
            <w:lang w:val="es-ES"/>
          </w:rPr>
          <w:id w:val="-1808007355"/>
          <w:citation/>
        </w:sdtPr>
        <w:sdtEndPr/>
        <w:sdtContent>
          <w:r w:rsidRPr="000E0AC5" w:rsidR="00AF4157">
            <w:rPr>
              <w:rFonts w:ascii="Arial" w:hAnsi="Arial" w:cs="Arial"/>
              <w:lang w:val="es-ES"/>
            </w:rPr>
            <w:fldChar w:fldCharType="begin"/>
          </w:r>
          <w:r w:rsidRPr="000E0AC5" w:rsidR="00AF4157">
            <w:rPr>
              <w:rFonts w:ascii="Arial" w:hAnsi="Arial" w:cs="Arial"/>
              <w:lang w:val="es-ES"/>
            </w:rPr>
            <w:instrText xml:space="preserve">CITATION Bla18 \n  \t  \l 1033 </w:instrText>
          </w:r>
          <w:r w:rsidRPr="000E0AC5" w:rsidR="00AF4157">
            <w:rPr>
              <w:rFonts w:ascii="Arial" w:hAnsi="Arial" w:cs="Arial"/>
              <w:lang w:val="es-ES"/>
            </w:rPr>
            <w:fldChar w:fldCharType="separate"/>
          </w:r>
          <w:r w:rsidRPr="000E0AC5" w:rsidR="008C35D8">
            <w:rPr>
              <w:rFonts w:ascii="Arial" w:hAnsi="Arial" w:cs="Arial"/>
              <w:noProof/>
              <w:lang w:val="es-ES"/>
            </w:rPr>
            <w:t>(2018)</w:t>
          </w:r>
          <w:r w:rsidRPr="000E0AC5" w:rsidR="00AF4157">
            <w:rPr>
              <w:rFonts w:ascii="Arial" w:hAnsi="Arial" w:cs="Arial"/>
              <w:lang w:val="es-ES"/>
            </w:rPr>
            <w:fldChar w:fldCharType="end"/>
          </w:r>
        </w:sdtContent>
      </w:sdt>
      <w:r w:rsidRPr="000E0AC5" w:rsidR="00AF4157">
        <w:rPr>
          <w:rFonts w:ascii="Arial" w:hAnsi="Arial" w:cs="Arial"/>
          <w:lang w:val="es-ES"/>
        </w:rPr>
        <w:t xml:space="preserve"> de 8% en la reducción de crímenes violentos, y la evidencia de</w:t>
      </w:r>
      <w:r w:rsidRPr="000E0AC5">
        <w:rPr>
          <w:rFonts w:ascii="Arial" w:hAnsi="Arial" w:cs="Arial"/>
          <w:lang w:val="es-ES"/>
        </w:rPr>
        <w:t xml:space="preserve"> Braga, et al.,</w:t>
      </w:r>
      <w:sdt>
        <w:sdtPr>
          <w:rPr>
            <w:rFonts w:ascii="Arial" w:hAnsi="Arial" w:cs="Arial"/>
            <w:lang w:val="es-ES"/>
          </w:rPr>
          <w:id w:val="-1153746841"/>
          <w:citation/>
        </w:sdtPr>
        <w:sdtEndPr/>
        <w:sdtContent>
          <w:r w:rsidRPr="000E0AC5">
            <w:rPr>
              <w:rFonts w:ascii="Arial" w:hAnsi="Arial" w:cs="Arial"/>
              <w:lang w:val="es-ES"/>
            </w:rPr>
            <w:fldChar w:fldCharType="begin"/>
          </w:r>
          <w:r w:rsidRPr="000E0AC5">
            <w:rPr>
              <w:rFonts w:ascii="Arial" w:hAnsi="Arial" w:cs="Arial"/>
              <w:lang w:val="es-ES"/>
            </w:rPr>
            <w:instrText xml:space="preserve">CITATION Bra11 \n  \t  \l 1033 </w:instrText>
          </w:r>
          <w:r w:rsidRPr="000E0AC5">
            <w:rPr>
              <w:rFonts w:ascii="Arial" w:hAnsi="Arial" w:cs="Arial"/>
              <w:lang w:val="es-ES"/>
            </w:rPr>
            <w:fldChar w:fldCharType="separate"/>
          </w:r>
          <w:r w:rsidRPr="000E0AC5" w:rsidR="008C35D8">
            <w:rPr>
              <w:rFonts w:ascii="Arial" w:hAnsi="Arial" w:cs="Arial"/>
              <w:noProof/>
              <w:lang w:val="es-ES"/>
            </w:rPr>
            <w:t xml:space="preserve"> (2012)</w:t>
          </w:r>
          <w:r w:rsidRPr="000E0AC5">
            <w:rPr>
              <w:rFonts w:ascii="Arial" w:hAnsi="Arial" w:cs="Arial"/>
              <w:lang w:val="es-ES"/>
            </w:rPr>
            <w:fldChar w:fldCharType="end"/>
          </w:r>
        </w:sdtContent>
      </w:sdt>
      <w:r w:rsidRPr="000E0AC5">
        <w:rPr>
          <w:rFonts w:ascii="Arial" w:hAnsi="Arial" w:cs="Arial"/>
          <w:lang w:val="es-ES"/>
        </w:rPr>
        <w:t xml:space="preserve"> que estima una reducción de19.2% en los </w:t>
      </w:r>
      <w:r w:rsidRPr="000E0AC5" w:rsidR="00845515">
        <w:rPr>
          <w:rFonts w:ascii="Arial" w:hAnsi="Arial" w:cs="Arial"/>
          <w:lang w:val="es-ES"/>
        </w:rPr>
        <w:t>asaltos</w:t>
      </w:r>
      <w:r w:rsidRPr="000E0AC5">
        <w:rPr>
          <w:rFonts w:ascii="Arial" w:hAnsi="Arial" w:cs="Arial"/>
          <w:lang w:val="es-ES"/>
        </w:rPr>
        <w:t xml:space="preserve"> como resultado de una</w:t>
      </w:r>
      <w:r w:rsidRPr="000E0AC5" w:rsidR="00AF4157">
        <w:rPr>
          <w:rFonts w:ascii="Arial" w:hAnsi="Arial" w:cs="Arial"/>
          <w:lang w:val="es-ES"/>
        </w:rPr>
        <w:t xml:space="preserve"> intervención similar en Boston</w:t>
      </w:r>
      <w:r w:rsidRPr="000E0AC5">
        <w:rPr>
          <w:rFonts w:ascii="Arial" w:hAnsi="Arial" w:cs="Arial"/>
          <w:lang w:val="es-ES"/>
        </w:rPr>
        <w:t>;</w:t>
      </w:r>
    </w:p>
    <w:p w:rsidRPr="000E0AC5" w:rsidR="001C2682" w:rsidP="006A3FEB" w:rsidRDefault="001C2682" w14:paraId="0E1AE3CE" w14:textId="77777777">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El tipo de cambio equivale al tipo de cambio promedio anua</w:t>
      </w:r>
      <w:r w:rsidRPr="000E0AC5" w:rsidR="00444E58">
        <w:rPr>
          <w:rFonts w:ascii="Arial" w:hAnsi="Arial" w:cs="Arial"/>
          <w:lang w:val="es-ES"/>
        </w:rPr>
        <w:t>l registrado a diciembre de 2018</w:t>
      </w:r>
      <w:r w:rsidRPr="000E0AC5">
        <w:rPr>
          <w:rFonts w:ascii="Arial" w:hAnsi="Arial" w:cs="Arial"/>
          <w:lang w:val="es-ES"/>
        </w:rPr>
        <w:t xml:space="preserve"> de $</w:t>
      </w:r>
      <w:r w:rsidRPr="000E0AC5" w:rsidR="00444E58">
        <w:rPr>
          <w:rFonts w:ascii="Arial" w:hAnsi="Arial" w:cs="Arial"/>
          <w:lang w:val="es-ES"/>
        </w:rPr>
        <w:t>611.75</w:t>
      </w:r>
      <w:r w:rsidRPr="000E0AC5">
        <w:rPr>
          <w:rFonts w:ascii="Arial" w:hAnsi="Arial" w:cs="Arial"/>
          <w:lang w:val="es-ES"/>
        </w:rPr>
        <w:t xml:space="preserve"> colones por dólar, que se asume constante para todo el período;</w:t>
      </w:r>
      <w:r w:rsidRPr="000E0AC5">
        <w:rPr>
          <w:rStyle w:val="FootnoteReference"/>
          <w:rFonts w:ascii="Arial" w:hAnsi="Arial" w:cs="Arial"/>
          <w:lang w:val="es-ES"/>
        </w:rPr>
        <w:footnoteReference w:id="8"/>
      </w:r>
      <w:r w:rsidRPr="000E0AC5">
        <w:rPr>
          <w:rFonts w:ascii="Arial" w:hAnsi="Arial" w:cs="Arial"/>
          <w:lang w:val="es-ES"/>
        </w:rPr>
        <w:t xml:space="preserve"> </w:t>
      </w:r>
    </w:p>
    <w:p w:rsidRPr="000E0AC5" w:rsidR="001C2682" w:rsidP="006A3FEB" w:rsidRDefault="001C2682" w14:paraId="38A20BB6" w14:textId="69511233">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 xml:space="preserve">Para cuantificar el ahorro en el sistema penitenciario por la disminución </w:t>
      </w:r>
      <w:r w:rsidRPr="000E0AC5" w:rsidR="00165802">
        <w:rPr>
          <w:rFonts w:ascii="Arial" w:hAnsi="Arial" w:cs="Arial"/>
          <w:lang w:val="es-ES"/>
        </w:rPr>
        <w:t>de</w:t>
      </w:r>
      <w:r w:rsidRPr="000E0AC5">
        <w:rPr>
          <w:rFonts w:ascii="Arial" w:hAnsi="Arial" w:cs="Arial"/>
          <w:lang w:val="es-ES"/>
        </w:rPr>
        <w:t xml:space="preserve"> los homicidios</w:t>
      </w:r>
      <w:r w:rsidRPr="000E0AC5" w:rsidR="00157ED1">
        <w:rPr>
          <w:rFonts w:ascii="Arial" w:hAnsi="Arial" w:cs="Arial"/>
          <w:lang w:val="es-ES"/>
        </w:rPr>
        <w:t xml:space="preserve"> y de los asaltos</w:t>
      </w:r>
      <w:r w:rsidRPr="000E0AC5">
        <w:rPr>
          <w:rFonts w:ascii="Arial" w:hAnsi="Arial" w:cs="Arial"/>
          <w:lang w:val="es-ES"/>
        </w:rPr>
        <w:t xml:space="preserve"> se</w:t>
      </w:r>
      <w:r w:rsidRPr="000E0AC5" w:rsidR="00157ED1">
        <w:rPr>
          <w:rFonts w:ascii="Arial" w:hAnsi="Arial" w:cs="Arial"/>
          <w:lang w:val="es-ES"/>
        </w:rPr>
        <w:t xml:space="preserve"> utiliza</w:t>
      </w:r>
      <w:r w:rsidRPr="000E0AC5">
        <w:rPr>
          <w:rFonts w:ascii="Arial" w:hAnsi="Arial" w:cs="Arial"/>
          <w:lang w:val="es-ES"/>
        </w:rPr>
        <w:t xml:space="preserve"> </w:t>
      </w:r>
      <w:r w:rsidRPr="000E0AC5" w:rsidR="006B2E64">
        <w:rPr>
          <w:rFonts w:ascii="Arial" w:hAnsi="Arial" w:cs="Arial"/>
          <w:lang w:val="es-ES"/>
        </w:rPr>
        <w:t>el dato más reciente del Viceministerio de Paz que estima un costo de $32 dólares por día</w:t>
      </w:r>
      <w:r w:rsidR="000F74BD">
        <w:rPr>
          <w:rFonts w:ascii="Arial" w:hAnsi="Arial" w:cs="Arial"/>
          <w:lang w:val="es-ES"/>
        </w:rPr>
        <w:t xml:space="preserve"> por prisionero</w:t>
      </w:r>
      <w:r w:rsidRPr="000E0AC5">
        <w:rPr>
          <w:rFonts w:ascii="Arial" w:hAnsi="Arial" w:cs="Arial"/>
          <w:lang w:val="es-ES"/>
        </w:rPr>
        <w:t>.</w:t>
      </w:r>
      <w:r w:rsidRPr="000E0AC5" w:rsidR="006B2E64">
        <w:rPr>
          <w:rFonts w:ascii="Arial" w:hAnsi="Arial" w:cs="Arial"/>
          <w:lang w:val="es-ES"/>
        </w:rPr>
        <w:t xml:space="preserve"> </w:t>
      </w:r>
      <w:r w:rsidRPr="000E0AC5">
        <w:rPr>
          <w:rFonts w:ascii="Arial" w:hAnsi="Arial" w:cs="Arial"/>
          <w:lang w:val="es-ES"/>
        </w:rPr>
        <w:t>Por tanto, el costo por prisionero asciende a $</w:t>
      </w:r>
      <w:r w:rsidRPr="000E0AC5" w:rsidR="006B2E64">
        <w:rPr>
          <w:rFonts w:ascii="Arial" w:hAnsi="Arial" w:cs="Arial"/>
          <w:lang w:val="es-ES"/>
        </w:rPr>
        <w:t>11,520</w:t>
      </w:r>
      <w:r w:rsidRPr="000E0AC5">
        <w:rPr>
          <w:rFonts w:ascii="Arial" w:hAnsi="Arial" w:cs="Arial"/>
          <w:lang w:val="es-ES"/>
        </w:rPr>
        <w:t xml:space="preserve"> dólares (resultado</w:t>
      </w:r>
      <w:r w:rsidR="00FB42BF">
        <w:rPr>
          <w:rFonts w:ascii="Arial" w:hAnsi="Arial" w:cs="Arial"/>
          <w:lang w:val="es-ES"/>
        </w:rPr>
        <w:t xml:space="preserve"> de</w:t>
      </w:r>
      <w:r w:rsidRPr="000E0AC5">
        <w:rPr>
          <w:rFonts w:ascii="Arial" w:hAnsi="Arial" w:cs="Arial"/>
          <w:lang w:val="es-ES"/>
        </w:rPr>
        <w:t xml:space="preserve"> </w:t>
      </w:r>
      <w:r w:rsidRPr="000E0AC5" w:rsidR="006B2E64">
        <w:rPr>
          <w:rFonts w:ascii="Arial" w:hAnsi="Arial" w:cs="Arial"/>
          <w:lang w:val="es-ES"/>
        </w:rPr>
        <w:t>multiplica</w:t>
      </w:r>
      <w:r w:rsidR="00FB42BF">
        <w:rPr>
          <w:rFonts w:ascii="Arial" w:hAnsi="Arial" w:cs="Arial"/>
          <w:lang w:val="es-ES"/>
        </w:rPr>
        <w:t>r</w:t>
      </w:r>
      <w:r w:rsidRPr="000E0AC5" w:rsidR="006B2E64">
        <w:rPr>
          <w:rFonts w:ascii="Arial" w:hAnsi="Arial" w:cs="Arial"/>
          <w:lang w:val="es-ES"/>
        </w:rPr>
        <w:t xml:space="preserve"> el costo diario por 36</w:t>
      </w:r>
      <w:r w:rsidR="006657CB">
        <w:rPr>
          <w:rFonts w:ascii="Arial" w:hAnsi="Arial" w:cs="Arial"/>
          <w:lang w:val="es-ES"/>
        </w:rPr>
        <w:t>0</w:t>
      </w:r>
      <w:r w:rsidRPr="000E0AC5" w:rsidR="006B2E64">
        <w:rPr>
          <w:rFonts w:ascii="Arial" w:hAnsi="Arial" w:cs="Arial"/>
          <w:lang w:val="es-ES"/>
        </w:rPr>
        <w:t xml:space="preserve"> días</w:t>
      </w:r>
      <w:r w:rsidRPr="000E0AC5">
        <w:rPr>
          <w:rFonts w:ascii="Arial" w:hAnsi="Arial" w:cs="Arial"/>
          <w:lang w:val="es-ES"/>
        </w:rPr>
        <w:t>);</w:t>
      </w:r>
    </w:p>
    <w:p w:rsidR="001C2682" w:rsidP="006A3FEB" w:rsidRDefault="001C2682" w14:paraId="3BA80F99" w14:textId="521BE586">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 xml:space="preserve">Para estimar el costo social de los </w:t>
      </w:r>
      <w:r w:rsidRPr="000E0AC5" w:rsidR="00F728AB">
        <w:rPr>
          <w:rFonts w:ascii="Arial" w:hAnsi="Arial" w:cs="Arial"/>
          <w:lang w:val="es-ES"/>
        </w:rPr>
        <w:t>asaltos</w:t>
      </w:r>
      <w:r w:rsidR="00902281">
        <w:rPr>
          <w:rFonts w:ascii="Arial" w:hAnsi="Arial" w:cs="Arial"/>
          <w:lang w:val="es-ES"/>
        </w:rPr>
        <w:t xml:space="preserve"> –que implica el valor de la propiedad robada así como costos intangibles </w:t>
      </w:r>
      <w:r w:rsidR="003F6F0E">
        <w:rPr>
          <w:rFonts w:ascii="Arial" w:hAnsi="Arial" w:cs="Arial"/>
          <w:lang w:val="es-ES"/>
        </w:rPr>
        <w:t>p</w:t>
      </w:r>
      <w:r w:rsidR="00902281">
        <w:rPr>
          <w:rFonts w:ascii="Arial" w:hAnsi="Arial" w:cs="Arial"/>
          <w:lang w:val="es-ES"/>
        </w:rPr>
        <w:t>a</w:t>
      </w:r>
      <w:r w:rsidR="003F6F0E">
        <w:rPr>
          <w:rFonts w:ascii="Arial" w:hAnsi="Arial" w:cs="Arial"/>
          <w:lang w:val="es-ES"/>
        </w:rPr>
        <w:t>ra</w:t>
      </w:r>
      <w:r w:rsidR="00902281">
        <w:rPr>
          <w:rFonts w:ascii="Arial" w:hAnsi="Arial" w:cs="Arial"/>
          <w:lang w:val="es-ES"/>
        </w:rPr>
        <w:t xml:space="preserve"> las víctimas– </w:t>
      </w:r>
      <w:r w:rsidRPr="000E0AC5">
        <w:rPr>
          <w:rFonts w:ascii="Arial" w:hAnsi="Arial" w:cs="Arial"/>
          <w:lang w:val="es-ES"/>
        </w:rPr>
        <w:t xml:space="preserve">se utiliza el valor de $529 dólares reportado en </w:t>
      </w:r>
      <w:r w:rsidRPr="000E0AC5">
        <w:rPr>
          <w:rFonts w:ascii="Arial" w:hAnsi="Arial" w:cs="Arial"/>
          <w:noProof/>
          <w:lang w:val="es-ES"/>
        </w:rPr>
        <w:t>McCollister, French, y Fang</w:t>
      </w:r>
      <w:r w:rsidRPr="000E0AC5">
        <w:rPr>
          <w:rFonts w:ascii="Arial" w:hAnsi="Arial" w:cs="Arial"/>
          <w:lang w:val="es-ES"/>
        </w:rPr>
        <w:t xml:space="preserve"> </w:t>
      </w:r>
      <w:sdt>
        <w:sdtPr>
          <w:rPr>
            <w:rFonts w:ascii="Arial" w:hAnsi="Arial" w:cs="Arial"/>
            <w:lang w:val="es-ES"/>
          </w:rPr>
          <w:id w:val="806124186"/>
          <w:citation/>
        </w:sdtPr>
        <w:sdtEndPr/>
        <w:sdtContent>
          <w:r w:rsidRPr="000E0AC5">
            <w:rPr>
              <w:rFonts w:ascii="Arial" w:hAnsi="Arial" w:cs="Arial"/>
              <w:lang w:val="es-ES"/>
            </w:rPr>
            <w:fldChar w:fldCharType="begin"/>
          </w:r>
          <w:r w:rsidRPr="000E0AC5">
            <w:rPr>
              <w:rFonts w:ascii="Arial" w:hAnsi="Arial" w:cs="Arial"/>
              <w:lang w:val="es-ES"/>
            </w:rPr>
            <w:instrText xml:space="preserve">CITATION McC10 \n  \t  \l 1033 </w:instrText>
          </w:r>
          <w:r w:rsidRPr="000E0AC5">
            <w:rPr>
              <w:rFonts w:ascii="Arial" w:hAnsi="Arial" w:cs="Arial"/>
              <w:lang w:val="es-ES"/>
            </w:rPr>
            <w:fldChar w:fldCharType="separate"/>
          </w:r>
          <w:r w:rsidRPr="000E0AC5" w:rsidR="008C35D8">
            <w:rPr>
              <w:rFonts w:ascii="Arial" w:hAnsi="Arial" w:cs="Arial"/>
              <w:noProof/>
              <w:lang w:val="es-ES"/>
            </w:rPr>
            <w:t>(2010)</w:t>
          </w:r>
          <w:r w:rsidRPr="000E0AC5">
            <w:rPr>
              <w:rFonts w:ascii="Arial" w:hAnsi="Arial" w:cs="Arial"/>
              <w:lang w:val="es-ES"/>
            </w:rPr>
            <w:fldChar w:fldCharType="end"/>
          </w:r>
        </w:sdtContent>
      </w:sdt>
      <w:r w:rsidRPr="000E0AC5">
        <w:rPr>
          <w:rFonts w:ascii="Arial" w:hAnsi="Arial" w:cs="Arial"/>
          <w:lang w:val="es-ES"/>
        </w:rPr>
        <w:t>, que compilan las estimaciones de diversos estudios y los costos sociales para la pérdida de propiedad oscilan entre $344 y $3,532 dólares</w:t>
      </w:r>
      <w:r w:rsidR="00902281">
        <w:rPr>
          <w:rFonts w:ascii="Arial" w:hAnsi="Arial" w:cs="Arial"/>
          <w:lang w:val="es-ES"/>
        </w:rPr>
        <w:t>.</w:t>
      </w:r>
      <w:r w:rsidRPr="000E0AC5">
        <w:rPr>
          <w:rStyle w:val="FootnoteReference"/>
          <w:rFonts w:ascii="Arial" w:hAnsi="Arial" w:cs="Arial"/>
          <w:lang w:val="es-ES"/>
        </w:rPr>
        <w:footnoteReference w:id="9"/>
      </w:r>
      <w:r w:rsidR="00902281">
        <w:rPr>
          <w:rFonts w:ascii="Arial" w:hAnsi="Arial" w:cs="Arial"/>
          <w:lang w:val="es-ES"/>
        </w:rPr>
        <w:t xml:space="preserve"> A este respecto, </w:t>
      </w:r>
      <w:r w:rsidR="004238F8">
        <w:rPr>
          <w:rFonts w:ascii="Arial" w:hAnsi="Arial" w:cs="Arial"/>
          <w:lang w:val="es-ES"/>
        </w:rPr>
        <w:t xml:space="preserve">datos de la </w:t>
      </w:r>
      <w:r w:rsidR="007F1508">
        <w:rPr>
          <w:rFonts w:ascii="Arial" w:hAnsi="Arial" w:cs="Arial"/>
          <w:lang w:val="es-ES"/>
        </w:rPr>
        <w:t>Encuesta de las Personas Privadas de Libertad de Costa Rica de 2017</w:t>
      </w:r>
      <w:r w:rsidR="004238F8">
        <w:rPr>
          <w:rFonts w:ascii="Arial" w:hAnsi="Arial" w:cs="Arial"/>
          <w:lang w:val="es-ES"/>
        </w:rPr>
        <w:t xml:space="preserve">, </w:t>
      </w:r>
      <w:r w:rsidR="006877B7">
        <w:rPr>
          <w:rFonts w:ascii="Arial" w:hAnsi="Arial" w:cs="Arial"/>
          <w:lang w:val="es-ES"/>
        </w:rPr>
        <w:t>muestra</w:t>
      </w:r>
      <w:r w:rsidR="004238F8">
        <w:rPr>
          <w:rFonts w:ascii="Arial" w:hAnsi="Arial" w:cs="Arial"/>
          <w:lang w:val="es-ES"/>
        </w:rPr>
        <w:t xml:space="preserve"> que la mediana del valor de la propiedad robada de los reclusos condenados a robo fue de $508.7 dólares aproximadamente según la información reportada por </w:t>
      </w:r>
      <w:r w:rsidR="003342AD">
        <w:rPr>
          <w:rFonts w:ascii="Arial" w:hAnsi="Arial" w:cs="Arial"/>
          <w:lang w:val="es-ES"/>
        </w:rPr>
        <w:t>los encuestados</w:t>
      </w:r>
      <w:r w:rsidR="004238F8">
        <w:rPr>
          <w:rFonts w:ascii="Arial" w:hAnsi="Arial" w:cs="Arial"/>
          <w:lang w:val="es-ES"/>
        </w:rPr>
        <w:t>;</w:t>
      </w:r>
      <w:r w:rsidR="001C7FA2">
        <w:rPr>
          <w:rStyle w:val="FootnoteReference"/>
          <w:rFonts w:ascii="Arial" w:hAnsi="Arial" w:cs="Arial"/>
          <w:lang w:val="es-ES"/>
        </w:rPr>
        <w:footnoteReference w:id="10"/>
      </w:r>
      <w:r w:rsidR="004238F8">
        <w:rPr>
          <w:rFonts w:ascii="Arial" w:hAnsi="Arial" w:cs="Arial"/>
          <w:lang w:val="es-ES"/>
        </w:rPr>
        <w:t xml:space="preserve"> </w:t>
      </w:r>
    </w:p>
    <w:p w:rsidR="00FB42BF" w:rsidP="00FB42BF" w:rsidRDefault="00FB42BF" w14:paraId="396B2930" w14:textId="749D7C27">
      <w:pPr>
        <w:pStyle w:val="ListParagraph"/>
        <w:numPr>
          <w:ilvl w:val="0"/>
          <w:numId w:val="10"/>
        </w:numPr>
        <w:spacing w:before="240" w:after="0" w:line="360" w:lineRule="auto"/>
        <w:jc w:val="both"/>
        <w:rPr>
          <w:rFonts w:ascii="Arial" w:hAnsi="Arial" w:cs="Arial"/>
          <w:lang w:val="es-ES"/>
        </w:rPr>
      </w:pPr>
      <w:r>
        <w:rPr>
          <w:rFonts w:ascii="Arial" w:hAnsi="Arial" w:cs="Arial"/>
          <w:lang w:val="es-ES"/>
        </w:rPr>
        <w:lastRenderedPageBreak/>
        <w:t xml:space="preserve">Se asume que del total de personas que cometieron delitos –tanto homicidios como asalto– 7% por ciento </w:t>
      </w:r>
      <w:r w:rsidR="00AB2421">
        <w:rPr>
          <w:rFonts w:ascii="Arial" w:hAnsi="Arial" w:cs="Arial"/>
          <w:lang w:val="es-ES"/>
        </w:rPr>
        <w:t>es condenado y enviado a prisión</w:t>
      </w:r>
      <w:r>
        <w:rPr>
          <w:rFonts w:ascii="Arial" w:hAnsi="Arial" w:cs="Arial"/>
          <w:lang w:val="es-ES"/>
        </w:rPr>
        <w:t>, según los datos del sistema de justicia criminal de Costa Rica presentados en el Informe de la Justicia (2017), que indica que en 2015 del total de casos 37% son sobreseimientos y desestimaciones, y de los restantes 30% son imputados y de esos 63% son enviados a prisión;</w:t>
      </w:r>
      <w:r>
        <w:rPr>
          <w:rStyle w:val="FootnoteReference"/>
          <w:rFonts w:ascii="Arial" w:hAnsi="Arial" w:cs="Arial"/>
          <w:lang w:val="es-ES"/>
        </w:rPr>
        <w:footnoteReference w:id="11"/>
      </w:r>
    </w:p>
    <w:p w:rsidR="001C2682" w:rsidP="006A3FEB" w:rsidRDefault="001C2682" w14:paraId="5F17F0A6" w14:textId="56975B7E">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Para estimar el ahorro en pérdidas de productividad por la privación de libertad por cometer un homicidio</w:t>
      </w:r>
      <w:r w:rsidRPr="000E0AC5" w:rsidR="00157ED1">
        <w:rPr>
          <w:rFonts w:ascii="Arial" w:hAnsi="Arial" w:cs="Arial"/>
          <w:lang w:val="es-ES"/>
        </w:rPr>
        <w:t xml:space="preserve"> o un asalto</w:t>
      </w:r>
      <w:r w:rsidR="00FF5092">
        <w:rPr>
          <w:rFonts w:ascii="Arial" w:hAnsi="Arial" w:cs="Arial"/>
          <w:lang w:val="es-ES"/>
        </w:rPr>
        <w:t xml:space="preserve"> –medid</w:t>
      </w:r>
      <w:r w:rsidR="00C950C9">
        <w:rPr>
          <w:rFonts w:ascii="Arial" w:hAnsi="Arial" w:cs="Arial"/>
          <w:lang w:val="es-ES"/>
        </w:rPr>
        <w:t>o</w:t>
      </w:r>
      <w:r w:rsidR="00FF5092">
        <w:rPr>
          <w:rFonts w:ascii="Arial" w:hAnsi="Arial" w:cs="Arial"/>
          <w:lang w:val="es-ES"/>
        </w:rPr>
        <w:t xml:space="preserve"> como pérdidas en el ingreso laboral</w:t>
      </w:r>
      <w:r w:rsidR="00AB2421">
        <w:rPr>
          <w:rFonts w:ascii="Arial" w:hAnsi="Arial" w:cs="Arial"/>
          <w:lang w:val="es-ES"/>
        </w:rPr>
        <w:t xml:space="preserve"> que podrían percibir si estuviesen en libertad</w:t>
      </w:r>
      <w:r w:rsidR="00FF5092">
        <w:rPr>
          <w:rFonts w:ascii="Arial" w:hAnsi="Arial" w:cs="Arial"/>
          <w:lang w:val="es-ES"/>
        </w:rPr>
        <w:t>–</w:t>
      </w:r>
      <w:r w:rsidRPr="000E0AC5">
        <w:rPr>
          <w:rFonts w:ascii="Arial" w:hAnsi="Arial" w:cs="Arial"/>
          <w:lang w:val="es-ES"/>
        </w:rPr>
        <w:t xml:space="preserve"> se asume que la persona en prisión deja de percibir ingresos equivalentes al salario mínimo. El salario mínimo se obtiene </w:t>
      </w:r>
      <w:r w:rsidRPr="000E0AC5" w:rsidR="00444E58">
        <w:rPr>
          <w:rFonts w:ascii="Arial" w:hAnsi="Arial" w:cs="Arial"/>
          <w:lang w:val="es-ES"/>
        </w:rPr>
        <w:t>del Decreto del Salario Mínimo publicado por el Ministerio del Trabajo y Seguridad Social de</w:t>
      </w:r>
      <w:r w:rsidRPr="000E0AC5" w:rsidR="00165802">
        <w:rPr>
          <w:rFonts w:ascii="Arial" w:hAnsi="Arial" w:cs="Arial"/>
          <w:lang w:val="es-ES"/>
        </w:rPr>
        <w:t xml:space="preserve"> Costa Rica</w:t>
      </w:r>
      <w:r w:rsidRPr="000E0AC5">
        <w:rPr>
          <w:rFonts w:ascii="Arial" w:hAnsi="Arial" w:cs="Arial"/>
          <w:lang w:val="es-ES"/>
        </w:rPr>
        <w:t>, que reporta un salario mínimo de $</w:t>
      </w:r>
      <w:r w:rsidRPr="000E0AC5" w:rsidR="00444E58">
        <w:rPr>
          <w:rFonts w:ascii="Arial" w:hAnsi="Arial" w:cs="Arial"/>
          <w:lang w:val="es-ES"/>
        </w:rPr>
        <w:t xml:space="preserve">309,143.11 </w:t>
      </w:r>
      <w:r w:rsidRPr="000E0AC5">
        <w:rPr>
          <w:rFonts w:ascii="Arial" w:hAnsi="Arial" w:cs="Arial"/>
          <w:lang w:val="es-ES"/>
        </w:rPr>
        <w:t xml:space="preserve">colones </w:t>
      </w:r>
      <w:r w:rsidRPr="000E0AC5" w:rsidR="00444E58">
        <w:rPr>
          <w:rFonts w:ascii="Arial" w:hAnsi="Arial" w:cs="Arial"/>
          <w:lang w:val="es-ES"/>
        </w:rPr>
        <w:t>al mes para los trabajadores en ocupación no calificada en 2019</w:t>
      </w:r>
      <w:r w:rsidRPr="000E0AC5">
        <w:rPr>
          <w:rFonts w:ascii="Arial" w:hAnsi="Arial" w:cs="Arial"/>
          <w:lang w:val="es-ES"/>
        </w:rPr>
        <w:t>.</w:t>
      </w:r>
      <w:r w:rsidRPr="000E0AC5" w:rsidR="00D5194C">
        <w:rPr>
          <w:rStyle w:val="FootnoteReference"/>
          <w:rFonts w:ascii="Arial" w:hAnsi="Arial" w:cs="Arial"/>
          <w:lang w:val="es-ES"/>
        </w:rPr>
        <w:footnoteReference w:id="12"/>
      </w:r>
      <w:r w:rsidR="00D5194C">
        <w:rPr>
          <w:rFonts w:ascii="Arial" w:hAnsi="Arial" w:cs="Arial"/>
          <w:lang w:val="es-ES"/>
        </w:rPr>
        <w:t xml:space="preserve"> </w:t>
      </w:r>
      <w:r w:rsidRPr="000E0AC5">
        <w:rPr>
          <w:rFonts w:ascii="Arial" w:hAnsi="Arial" w:cs="Arial"/>
          <w:lang w:val="es-ES"/>
        </w:rPr>
        <w:t>El salario anual asciende a $</w:t>
      </w:r>
      <w:r w:rsidRPr="000E0AC5" w:rsidR="00444E58">
        <w:rPr>
          <w:rFonts w:ascii="Arial" w:hAnsi="Arial" w:cs="Arial"/>
          <w:lang w:val="es-ES"/>
        </w:rPr>
        <w:t>6,064.11</w:t>
      </w:r>
      <w:r w:rsidRPr="000E0AC5">
        <w:rPr>
          <w:rFonts w:ascii="Arial" w:hAnsi="Arial" w:cs="Arial"/>
          <w:lang w:val="es-ES"/>
        </w:rPr>
        <w:t xml:space="preserve"> dólares, y se asume constante para todo el período</w:t>
      </w:r>
      <w:r w:rsidR="00FB42BF">
        <w:rPr>
          <w:rFonts w:ascii="Arial" w:hAnsi="Arial" w:cs="Arial"/>
          <w:lang w:val="es-ES"/>
        </w:rPr>
        <w:t xml:space="preserve">. </w:t>
      </w:r>
      <w:r w:rsidR="006877B7">
        <w:rPr>
          <w:rFonts w:ascii="Arial" w:hAnsi="Arial" w:cs="Arial"/>
          <w:lang w:val="es-ES"/>
        </w:rPr>
        <w:t xml:space="preserve">A este respecto, datos de la </w:t>
      </w:r>
      <w:r w:rsidR="007F1508">
        <w:rPr>
          <w:rFonts w:ascii="Arial" w:hAnsi="Arial" w:cs="Arial"/>
          <w:lang w:val="es-ES"/>
        </w:rPr>
        <w:t xml:space="preserve">Encuesta de las Personas Privadas de Libertad de Costa Rica de 2017 </w:t>
      </w:r>
      <w:r w:rsidR="00AB2421">
        <w:rPr>
          <w:rFonts w:ascii="Arial" w:hAnsi="Arial" w:cs="Arial"/>
          <w:lang w:val="es-ES"/>
        </w:rPr>
        <w:t>reportan</w:t>
      </w:r>
      <w:r w:rsidR="006877B7">
        <w:rPr>
          <w:rFonts w:ascii="Arial" w:hAnsi="Arial" w:cs="Arial"/>
          <w:lang w:val="es-ES"/>
        </w:rPr>
        <w:t xml:space="preserve"> que las personas </w:t>
      </w:r>
      <w:r w:rsidR="00A942F5">
        <w:rPr>
          <w:rFonts w:ascii="Arial" w:hAnsi="Arial" w:cs="Arial"/>
          <w:lang w:val="es-ES"/>
        </w:rPr>
        <w:t xml:space="preserve">privadas de libertad </w:t>
      </w:r>
      <w:r w:rsidR="00AB2421">
        <w:rPr>
          <w:rFonts w:ascii="Arial" w:hAnsi="Arial" w:cs="Arial"/>
          <w:lang w:val="es-ES"/>
        </w:rPr>
        <w:t>que trabajaron</w:t>
      </w:r>
      <w:r w:rsidR="00A942F5">
        <w:rPr>
          <w:rFonts w:ascii="Arial" w:hAnsi="Arial" w:cs="Arial"/>
          <w:lang w:val="es-ES"/>
        </w:rPr>
        <w:t xml:space="preserve"> un mes antes de la detención tenían un ingreso promedio mensual de $434,751 colones, equivalentes a $730 dólares aproximadamente</w:t>
      </w:r>
      <w:r w:rsidR="00AB2421">
        <w:rPr>
          <w:rFonts w:ascii="Arial" w:hAnsi="Arial" w:cs="Arial"/>
          <w:lang w:val="es-ES"/>
        </w:rPr>
        <w:t>,</w:t>
      </w:r>
      <w:r w:rsidR="00A942F5">
        <w:rPr>
          <w:rFonts w:ascii="Arial" w:hAnsi="Arial" w:cs="Arial"/>
          <w:lang w:val="es-ES"/>
        </w:rPr>
        <w:t xml:space="preserve"> o a $8 mil dólares anuales. Más aún, datos de la ENAHO 2016 muestran que el salario promedio mensual de la ocupación principal </w:t>
      </w:r>
      <w:r w:rsidR="00AB2421">
        <w:rPr>
          <w:rFonts w:ascii="Arial" w:hAnsi="Arial" w:cs="Arial"/>
          <w:lang w:val="es-ES"/>
        </w:rPr>
        <w:t>para</w:t>
      </w:r>
      <w:r w:rsidR="00A942F5">
        <w:rPr>
          <w:rFonts w:ascii="Arial" w:hAnsi="Arial" w:cs="Arial"/>
          <w:lang w:val="es-ES"/>
        </w:rPr>
        <w:t xml:space="preserve"> las personas </w:t>
      </w:r>
      <w:r w:rsidR="00AB2421">
        <w:rPr>
          <w:rFonts w:ascii="Arial" w:hAnsi="Arial" w:cs="Arial"/>
          <w:lang w:val="es-ES"/>
        </w:rPr>
        <w:t xml:space="preserve">que trabajan en el sector informal </w:t>
      </w:r>
      <w:r w:rsidR="00720912">
        <w:rPr>
          <w:rFonts w:ascii="Arial" w:hAnsi="Arial" w:cs="Arial"/>
          <w:lang w:val="es-ES"/>
        </w:rPr>
        <w:t xml:space="preserve">y </w:t>
      </w:r>
      <w:r w:rsidR="00AB2421">
        <w:rPr>
          <w:rFonts w:ascii="Arial" w:hAnsi="Arial" w:cs="Arial"/>
          <w:lang w:val="es-ES"/>
        </w:rPr>
        <w:t>que tiene</w:t>
      </w:r>
      <w:r w:rsidR="00720912">
        <w:rPr>
          <w:rFonts w:ascii="Arial" w:hAnsi="Arial" w:cs="Arial"/>
          <w:lang w:val="es-ES"/>
        </w:rPr>
        <w:t>n</w:t>
      </w:r>
      <w:r w:rsidR="00A942F5">
        <w:rPr>
          <w:rFonts w:ascii="Arial" w:hAnsi="Arial" w:cs="Arial"/>
          <w:lang w:val="es-ES"/>
        </w:rPr>
        <w:t xml:space="preserve"> educación secundaria incompleta es de $586 dólares, </w:t>
      </w:r>
      <w:r w:rsidR="00184995">
        <w:rPr>
          <w:rFonts w:ascii="Arial" w:hAnsi="Arial" w:cs="Arial"/>
          <w:lang w:val="es-ES"/>
        </w:rPr>
        <w:t xml:space="preserve">equivalente a $7 mil dólares </w:t>
      </w:r>
      <w:r w:rsidR="00720912">
        <w:rPr>
          <w:rFonts w:ascii="Arial" w:hAnsi="Arial" w:cs="Arial"/>
          <w:lang w:val="es-ES"/>
        </w:rPr>
        <w:t xml:space="preserve">anuales </w:t>
      </w:r>
      <w:r w:rsidR="00184995">
        <w:rPr>
          <w:rFonts w:ascii="Arial" w:hAnsi="Arial" w:cs="Arial"/>
          <w:lang w:val="es-ES"/>
        </w:rPr>
        <w:t xml:space="preserve">aproximadamente. </w:t>
      </w:r>
      <w:r w:rsidR="007F1508">
        <w:rPr>
          <w:rFonts w:ascii="Arial" w:hAnsi="Arial" w:cs="Arial"/>
          <w:lang w:val="es-ES"/>
        </w:rPr>
        <w:t>Considerando</w:t>
      </w:r>
      <w:r w:rsidR="00184995">
        <w:rPr>
          <w:rFonts w:ascii="Arial" w:hAnsi="Arial" w:cs="Arial"/>
          <w:lang w:val="es-ES"/>
        </w:rPr>
        <w:t xml:space="preserve"> esta información resulta razonable utiliza</w:t>
      </w:r>
      <w:r w:rsidR="00567F86">
        <w:rPr>
          <w:rFonts w:ascii="Arial" w:hAnsi="Arial" w:cs="Arial"/>
          <w:lang w:val="es-ES"/>
        </w:rPr>
        <w:t xml:space="preserve">r el salario mínimo como un </w:t>
      </w:r>
      <w:r w:rsidR="00A223EF">
        <w:rPr>
          <w:rFonts w:ascii="Arial" w:hAnsi="Arial" w:cs="Arial"/>
          <w:lang w:val="es-ES"/>
        </w:rPr>
        <w:t>límite</w:t>
      </w:r>
      <w:r w:rsidR="00567F86">
        <w:rPr>
          <w:rFonts w:ascii="Arial" w:hAnsi="Arial" w:cs="Arial"/>
          <w:lang w:val="es-ES"/>
        </w:rPr>
        <w:t xml:space="preserve"> </w:t>
      </w:r>
      <w:r w:rsidR="00A223EF">
        <w:rPr>
          <w:rFonts w:ascii="Arial" w:hAnsi="Arial" w:cs="Arial"/>
          <w:lang w:val="es-ES"/>
        </w:rPr>
        <w:t>inferior</w:t>
      </w:r>
      <w:r w:rsidR="00567F86">
        <w:rPr>
          <w:rFonts w:ascii="Arial" w:hAnsi="Arial" w:cs="Arial"/>
          <w:lang w:val="es-ES"/>
        </w:rPr>
        <w:t>;</w:t>
      </w:r>
      <w:r w:rsidR="00567F86">
        <w:rPr>
          <w:rStyle w:val="FootnoteReference"/>
          <w:rFonts w:ascii="Arial" w:hAnsi="Arial" w:cs="Arial"/>
          <w:lang w:val="es-ES"/>
        </w:rPr>
        <w:footnoteReference w:id="13"/>
      </w:r>
    </w:p>
    <w:p w:rsidRPr="000E0AC5" w:rsidR="00567F86" w:rsidP="006A3FEB" w:rsidRDefault="00567F86" w14:paraId="551CABBA" w14:textId="1B8996B4">
      <w:pPr>
        <w:pStyle w:val="ListParagraph"/>
        <w:numPr>
          <w:ilvl w:val="0"/>
          <w:numId w:val="10"/>
        </w:numPr>
        <w:spacing w:before="240" w:after="0" w:line="360" w:lineRule="auto"/>
        <w:jc w:val="both"/>
        <w:rPr>
          <w:rFonts w:ascii="Arial" w:hAnsi="Arial" w:cs="Arial"/>
          <w:lang w:val="es-ES"/>
        </w:rPr>
      </w:pPr>
      <w:r>
        <w:rPr>
          <w:rFonts w:ascii="Arial" w:hAnsi="Arial" w:cs="Arial"/>
          <w:lang w:val="es-ES"/>
        </w:rPr>
        <w:t xml:space="preserve">Asimismo, </w:t>
      </w:r>
      <w:r w:rsidR="00417A07">
        <w:rPr>
          <w:rFonts w:ascii="Arial" w:hAnsi="Arial" w:cs="Arial"/>
          <w:lang w:val="es-ES"/>
        </w:rPr>
        <w:t>las</w:t>
      </w:r>
      <w:r>
        <w:rPr>
          <w:rFonts w:ascii="Arial" w:hAnsi="Arial" w:cs="Arial"/>
          <w:lang w:val="es-ES"/>
        </w:rPr>
        <w:t xml:space="preserve"> pérdidas de productividad se calculan para el 56% de las personas condenadas por delitos de robo agravado y homicidio</w:t>
      </w:r>
      <w:r w:rsidR="00D5194C">
        <w:rPr>
          <w:rFonts w:ascii="Arial" w:hAnsi="Arial" w:cs="Arial"/>
          <w:lang w:val="es-ES"/>
        </w:rPr>
        <w:t xml:space="preserve"> (las personas condenadas</w:t>
      </w:r>
      <w:r w:rsidR="007F1508">
        <w:rPr>
          <w:rFonts w:ascii="Arial" w:hAnsi="Arial" w:cs="Arial"/>
          <w:lang w:val="es-ES"/>
        </w:rPr>
        <w:t xml:space="preserve"> que van a prisión</w:t>
      </w:r>
      <w:r w:rsidR="00D5194C">
        <w:rPr>
          <w:rFonts w:ascii="Arial" w:hAnsi="Arial" w:cs="Arial"/>
          <w:lang w:val="es-ES"/>
        </w:rPr>
        <w:t xml:space="preserve"> equivalen al 7% del total)</w:t>
      </w:r>
      <w:r>
        <w:rPr>
          <w:rFonts w:ascii="Arial" w:hAnsi="Arial" w:cs="Arial"/>
          <w:lang w:val="es-ES"/>
        </w:rPr>
        <w:t xml:space="preserve">, </w:t>
      </w:r>
      <w:proofErr w:type="gramStart"/>
      <w:r>
        <w:rPr>
          <w:rFonts w:ascii="Arial" w:hAnsi="Arial" w:cs="Arial"/>
          <w:lang w:val="es-ES"/>
        </w:rPr>
        <w:t>ya que</w:t>
      </w:r>
      <w:proofErr w:type="gramEnd"/>
      <w:r>
        <w:rPr>
          <w:rFonts w:ascii="Arial" w:hAnsi="Arial" w:cs="Arial"/>
          <w:lang w:val="es-ES"/>
        </w:rPr>
        <w:t xml:space="preserve"> según datos de la Encuesta de las Personas Privadas de Libertad de Costa Rica de 2017, del total de reclusos</w:t>
      </w:r>
      <w:r w:rsidR="003E4B6D">
        <w:rPr>
          <w:rFonts w:ascii="Arial" w:hAnsi="Arial" w:cs="Arial"/>
          <w:lang w:val="es-ES"/>
        </w:rPr>
        <w:t>,</w:t>
      </w:r>
      <w:r>
        <w:rPr>
          <w:rFonts w:ascii="Arial" w:hAnsi="Arial" w:cs="Arial"/>
          <w:lang w:val="es-ES"/>
        </w:rPr>
        <w:t xml:space="preserve"> </w:t>
      </w:r>
      <w:r w:rsidR="00417A07">
        <w:rPr>
          <w:rFonts w:ascii="Arial" w:hAnsi="Arial" w:cs="Arial"/>
          <w:lang w:val="es-ES"/>
        </w:rPr>
        <w:t>80% señaló trabajar un mes antes de la detención, y 70% indicó que trabajaba 40 horas semanales o más;</w:t>
      </w:r>
    </w:p>
    <w:p w:rsidRPr="000E0AC5" w:rsidR="001C2682" w:rsidP="006A3FEB" w:rsidRDefault="001C2682" w14:paraId="347804D2" w14:textId="7858E2FF">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lastRenderedPageBreak/>
        <w:t xml:space="preserve">Para cuantificar el valor social </w:t>
      </w:r>
      <w:r w:rsidR="00184995">
        <w:rPr>
          <w:rFonts w:ascii="Arial" w:hAnsi="Arial" w:cs="Arial"/>
          <w:lang w:val="es-ES"/>
        </w:rPr>
        <w:t>de la reducción de un homicidio</w:t>
      </w:r>
      <w:r w:rsidRPr="000E0AC5">
        <w:rPr>
          <w:rFonts w:ascii="Arial" w:hAnsi="Arial" w:cs="Arial"/>
          <w:lang w:val="es-ES"/>
        </w:rPr>
        <w:t xml:space="preserve"> se utiliza la estimación de Jaitman </w:t>
      </w:r>
      <w:sdt>
        <w:sdtPr>
          <w:rPr>
            <w:rFonts w:ascii="Arial" w:hAnsi="Arial" w:cs="Arial"/>
            <w:lang w:val="es-ES"/>
          </w:rPr>
          <w:id w:val="2008469418"/>
          <w:citation/>
        </w:sdtPr>
        <w:sdtEndPr/>
        <w:sdtContent>
          <w:r w:rsidRPr="000E0AC5">
            <w:rPr>
              <w:rFonts w:ascii="Arial" w:hAnsi="Arial" w:cs="Arial"/>
              <w:lang w:val="es-ES"/>
            </w:rPr>
            <w:fldChar w:fldCharType="begin"/>
          </w:r>
          <w:r w:rsidRPr="000E0AC5">
            <w:rPr>
              <w:rFonts w:ascii="Arial" w:hAnsi="Arial" w:cs="Arial"/>
              <w:lang w:val="es-ES"/>
            </w:rPr>
            <w:instrText xml:space="preserve">CITATION Jai17 \n  \t  \l 1033 </w:instrText>
          </w:r>
          <w:r w:rsidRPr="000E0AC5">
            <w:rPr>
              <w:rFonts w:ascii="Arial" w:hAnsi="Arial" w:cs="Arial"/>
              <w:lang w:val="es-ES"/>
            </w:rPr>
            <w:fldChar w:fldCharType="separate"/>
          </w:r>
          <w:r w:rsidRPr="000E0AC5" w:rsidR="008C35D8">
            <w:rPr>
              <w:rFonts w:ascii="Arial" w:hAnsi="Arial" w:cs="Arial"/>
              <w:noProof/>
              <w:lang w:val="es-ES"/>
            </w:rPr>
            <w:t>(2017)</w:t>
          </w:r>
          <w:r w:rsidRPr="000E0AC5">
            <w:rPr>
              <w:rFonts w:ascii="Arial" w:hAnsi="Arial" w:cs="Arial"/>
              <w:lang w:val="es-ES"/>
            </w:rPr>
            <w:fldChar w:fldCharType="end"/>
          </w:r>
        </w:sdtContent>
      </w:sdt>
      <w:r w:rsidRPr="000E0AC5">
        <w:rPr>
          <w:rFonts w:ascii="Arial" w:hAnsi="Arial" w:cs="Arial"/>
          <w:lang w:val="es-ES"/>
        </w:rPr>
        <w:t xml:space="preserve"> que asume que el costo social de un homicidio en Costa Rica equivale a 0.18% del PIB –este dato es un promedio para el período 2010-2014.</w:t>
      </w:r>
      <w:r w:rsidR="00F90AE2">
        <w:rPr>
          <w:rFonts w:ascii="Arial" w:hAnsi="Arial" w:cs="Arial"/>
          <w:lang w:val="es-ES"/>
        </w:rPr>
        <w:t xml:space="preserve"> </w:t>
      </w:r>
      <w:r w:rsidRPr="00F90AE2" w:rsidR="00F90AE2">
        <w:rPr>
          <w:rFonts w:ascii="Arial" w:hAnsi="Arial" w:cs="Arial"/>
          <w:lang w:val="es-ES"/>
        </w:rPr>
        <w:t xml:space="preserve">Para estimar el costo social de un homicidio </w:t>
      </w:r>
      <w:r w:rsidR="00F90AE2">
        <w:rPr>
          <w:rFonts w:ascii="Arial" w:hAnsi="Arial" w:cs="Arial"/>
          <w:lang w:val="es-ES"/>
        </w:rPr>
        <w:t>se</w:t>
      </w:r>
      <w:r w:rsidRPr="00F90AE2" w:rsidR="00F90AE2">
        <w:rPr>
          <w:rFonts w:ascii="Arial" w:hAnsi="Arial" w:cs="Arial"/>
          <w:lang w:val="es-ES"/>
        </w:rPr>
        <w:t xml:space="preserve"> cuantifica el ingreso no percibido </w:t>
      </w:r>
      <w:r w:rsidR="00F90AE2">
        <w:rPr>
          <w:rFonts w:ascii="Arial" w:hAnsi="Arial" w:cs="Arial"/>
          <w:lang w:val="es-ES"/>
        </w:rPr>
        <w:t>durante el</w:t>
      </w:r>
      <w:r w:rsidRPr="00F90AE2" w:rsidR="00F90AE2">
        <w:rPr>
          <w:rFonts w:ascii="Arial" w:hAnsi="Arial" w:cs="Arial"/>
          <w:lang w:val="es-ES"/>
        </w:rPr>
        <w:t xml:space="preserve"> número de años de vida potencialmente perdidos a causa de la muerte intencional.</w:t>
      </w:r>
      <w:r w:rsidR="007F1508">
        <w:rPr>
          <w:rFonts w:ascii="Arial" w:hAnsi="Arial" w:cs="Arial"/>
          <w:lang w:val="es-ES"/>
        </w:rPr>
        <w:t xml:space="preserve"> </w:t>
      </w:r>
      <w:r w:rsidR="00600B6F">
        <w:rPr>
          <w:rFonts w:ascii="Arial" w:hAnsi="Arial" w:cs="Arial"/>
          <w:lang w:val="es-ES"/>
        </w:rPr>
        <w:t>Para el período 2020-2023 se utiliza las estimaciones del Fondo Monetario Internacional del PIB corriente en dólares, y para el período 2024-2028 se asume una tasa de crecimiento anual de</w:t>
      </w:r>
      <w:r w:rsidR="00484368">
        <w:rPr>
          <w:rFonts w:ascii="Arial" w:hAnsi="Arial" w:cs="Arial"/>
          <w:lang w:val="es-ES"/>
        </w:rPr>
        <w:t>l PIB de</w:t>
      </w:r>
      <w:r w:rsidR="00600B6F">
        <w:rPr>
          <w:rFonts w:ascii="Arial" w:hAnsi="Arial" w:cs="Arial"/>
          <w:lang w:val="es-ES"/>
        </w:rPr>
        <w:t xml:space="preserve"> 3 por ciento</w:t>
      </w:r>
      <w:r w:rsidRPr="000E0AC5">
        <w:rPr>
          <w:rFonts w:ascii="Arial" w:hAnsi="Arial" w:cs="Arial"/>
          <w:lang w:val="es-ES"/>
        </w:rPr>
        <w:t>.</w:t>
      </w:r>
      <w:r w:rsidRPr="000E0AC5">
        <w:rPr>
          <w:rStyle w:val="FootnoteReference"/>
          <w:rFonts w:ascii="Arial" w:hAnsi="Arial" w:cs="Arial"/>
          <w:lang w:val="es-ES"/>
        </w:rPr>
        <w:footnoteReference w:id="14"/>
      </w:r>
      <w:r w:rsidRPr="000E0AC5">
        <w:rPr>
          <w:rFonts w:ascii="Arial" w:hAnsi="Arial" w:cs="Arial"/>
          <w:lang w:val="es-ES"/>
        </w:rPr>
        <w:t xml:space="preserve"> Otros estudios estiman que el costo social de un homicidio oscila entre $4.4 y $8.9 millones de dólares en Estados Unidos </w:t>
      </w:r>
      <w:sdt>
        <w:sdtPr>
          <w:rPr>
            <w:rFonts w:ascii="Arial" w:hAnsi="Arial" w:cs="Arial"/>
            <w:lang w:val="es-ES"/>
          </w:rPr>
          <w:id w:val="325249975"/>
          <w:citation/>
        </w:sdtPr>
        <w:sdtEndPr/>
        <w:sdtContent>
          <w:r w:rsidRPr="000E0AC5">
            <w:rPr>
              <w:rFonts w:ascii="Arial" w:hAnsi="Arial" w:cs="Arial"/>
              <w:lang w:val="es-ES"/>
            </w:rPr>
            <w:fldChar w:fldCharType="begin"/>
          </w:r>
          <w:r w:rsidRPr="000E0AC5">
            <w:rPr>
              <w:rFonts w:ascii="Arial" w:hAnsi="Arial" w:cs="Arial"/>
              <w:lang w:val="es-ES"/>
            </w:rPr>
            <w:instrText xml:space="preserve"> CITATION McC10 \l 1033 </w:instrText>
          </w:r>
          <w:r w:rsidRPr="000E0AC5">
            <w:rPr>
              <w:rFonts w:ascii="Arial" w:hAnsi="Arial" w:cs="Arial"/>
              <w:lang w:val="es-ES"/>
            </w:rPr>
            <w:fldChar w:fldCharType="separate"/>
          </w:r>
          <w:r w:rsidRPr="000E0AC5" w:rsidR="008C35D8">
            <w:rPr>
              <w:rFonts w:ascii="Arial" w:hAnsi="Arial" w:cs="Arial"/>
              <w:noProof/>
              <w:lang w:val="es-ES"/>
            </w:rPr>
            <w:t>(McCollister, French, &amp; Fang, 2010)</w:t>
          </w:r>
          <w:r w:rsidRPr="000E0AC5">
            <w:rPr>
              <w:rFonts w:ascii="Arial" w:hAnsi="Arial" w:cs="Arial"/>
              <w:lang w:val="es-ES"/>
            </w:rPr>
            <w:fldChar w:fldCharType="end"/>
          </w:r>
        </w:sdtContent>
      </w:sdt>
      <w:r w:rsidRPr="000E0AC5">
        <w:rPr>
          <w:rFonts w:ascii="Arial" w:hAnsi="Arial" w:cs="Arial"/>
          <w:lang w:val="es-ES"/>
        </w:rPr>
        <w:t xml:space="preserve">, mientras que </w:t>
      </w:r>
      <w:proofErr w:type="spellStart"/>
      <w:r w:rsidRPr="000E0AC5">
        <w:rPr>
          <w:rFonts w:ascii="Arial" w:hAnsi="Arial" w:cs="Arial"/>
          <w:lang w:val="es-ES"/>
        </w:rPr>
        <w:t>Aboal</w:t>
      </w:r>
      <w:proofErr w:type="spellEnd"/>
      <w:r w:rsidRPr="000E0AC5">
        <w:rPr>
          <w:rFonts w:ascii="Arial" w:hAnsi="Arial" w:cs="Arial"/>
          <w:lang w:val="es-ES"/>
        </w:rPr>
        <w:t xml:space="preserve">, Campanella, y </w:t>
      </w:r>
      <w:proofErr w:type="spellStart"/>
      <w:r w:rsidRPr="000E0AC5">
        <w:rPr>
          <w:rFonts w:ascii="Arial" w:hAnsi="Arial" w:cs="Arial"/>
          <w:lang w:val="es-ES"/>
        </w:rPr>
        <w:t>Lanzilotta</w:t>
      </w:r>
      <w:proofErr w:type="spellEnd"/>
      <w:r w:rsidRPr="000E0AC5">
        <w:rPr>
          <w:rFonts w:ascii="Arial" w:hAnsi="Arial" w:cs="Arial"/>
          <w:lang w:val="es-ES"/>
        </w:rPr>
        <w:t xml:space="preserve"> </w:t>
      </w:r>
      <w:sdt>
        <w:sdtPr>
          <w:rPr>
            <w:rFonts w:ascii="Arial" w:hAnsi="Arial" w:cs="Arial"/>
            <w:lang w:val="es-ES"/>
          </w:rPr>
          <w:id w:val="-1872286248"/>
          <w:citation/>
        </w:sdtPr>
        <w:sdtEndPr/>
        <w:sdtContent>
          <w:r w:rsidRPr="000E0AC5">
            <w:rPr>
              <w:rFonts w:ascii="Arial" w:hAnsi="Arial" w:cs="Arial"/>
              <w:lang w:val="es-ES"/>
            </w:rPr>
            <w:fldChar w:fldCharType="begin"/>
          </w:r>
          <w:r w:rsidRPr="000E0AC5">
            <w:rPr>
              <w:rFonts w:ascii="Arial" w:hAnsi="Arial" w:cs="Arial"/>
              <w:lang w:val="es-ES"/>
            </w:rPr>
            <w:instrText xml:space="preserve">CITATION Abo13 \n  \t  \l 1033 </w:instrText>
          </w:r>
          <w:r w:rsidRPr="000E0AC5">
            <w:rPr>
              <w:rFonts w:ascii="Arial" w:hAnsi="Arial" w:cs="Arial"/>
              <w:lang w:val="es-ES"/>
            </w:rPr>
            <w:fldChar w:fldCharType="separate"/>
          </w:r>
          <w:r w:rsidRPr="000E0AC5" w:rsidR="008C35D8">
            <w:rPr>
              <w:rFonts w:ascii="Arial" w:hAnsi="Arial" w:cs="Arial"/>
              <w:noProof/>
              <w:lang w:val="es-ES"/>
            </w:rPr>
            <w:t>(2013)</w:t>
          </w:r>
          <w:r w:rsidRPr="000E0AC5">
            <w:rPr>
              <w:rFonts w:ascii="Arial" w:hAnsi="Arial" w:cs="Arial"/>
              <w:lang w:val="es-ES"/>
            </w:rPr>
            <w:fldChar w:fldCharType="end"/>
          </w:r>
        </w:sdtContent>
      </w:sdt>
      <w:r w:rsidRPr="000E0AC5">
        <w:rPr>
          <w:rFonts w:ascii="Arial" w:hAnsi="Arial" w:cs="Arial"/>
          <w:lang w:val="es-ES"/>
        </w:rPr>
        <w:t xml:space="preserve"> estiman que el costo promedio por homicidio asciende a $241,019 dólares para Uruguay</w:t>
      </w:r>
      <w:r w:rsidR="00334FB3">
        <w:rPr>
          <w:rFonts w:ascii="Arial" w:hAnsi="Arial" w:cs="Arial"/>
          <w:lang w:val="es-ES"/>
        </w:rPr>
        <w:t xml:space="preserve"> </w:t>
      </w:r>
      <w:r w:rsidR="003E4B6D">
        <w:rPr>
          <w:rFonts w:ascii="Arial" w:hAnsi="Arial" w:cs="Arial"/>
          <w:lang w:val="es-ES"/>
        </w:rPr>
        <w:t>en</w:t>
      </w:r>
      <w:r w:rsidR="00334FB3">
        <w:rPr>
          <w:rFonts w:ascii="Arial" w:hAnsi="Arial" w:cs="Arial"/>
          <w:lang w:val="es-ES"/>
        </w:rPr>
        <w:t xml:space="preserve"> 2013</w:t>
      </w:r>
      <w:r w:rsidRPr="000E0AC5">
        <w:rPr>
          <w:rFonts w:ascii="Arial" w:hAnsi="Arial" w:cs="Arial"/>
          <w:lang w:val="es-ES"/>
        </w:rPr>
        <w:t>;</w:t>
      </w:r>
      <w:r w:rsidRPr="000E0AC5">
        <w:rPr>
          <w:rStyle w:val="FootnoteReference"/>
          <w:rFonts w:ascii="Arial" w:hAnsi="Arial" w:cs="Arial"/>
          <w:lang w:val="es-ES"/>
        </w:rPr>
        <w:footnoteReference w:id="15"/>
      </w:r>
      <w:r w:rsidRPr="000E0AC5">
        <w:rPr>
          <w:rFonts w:ascii="Arial" w:hAnsi="Arial" w:cs="Arial"/>
          <w:lang w:val="es-ES"/>
        </w:rPr>
        <w:t xml:space="preserve"> </w:t>
      </w:r>
    </w:p>
    <w:p w:rsidRPr="000E0AC5" w:rsidR="001C2682" w:rsidP="006A3FEB" w:rsidRDefault="001C2682" w14:paraId="7B5DB112" w14:textId="77777777">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Se asume que el ahorro del gasto penitenciario y el ahorro en pérdidas de productividad por la privación de libertad de los que comenten homicid</w:t>
      </w:r>
      <w:r w:rsidRPr="000E0AC5" w:rsidR="00157ED1">
        <w:rPr>
          <w:rFonts w:ascii="Arial" w:hAnsi="Arial" w:cs="Arial"/>
          <w:lang w:val="es-ES"/>
        </w:rPr>
        <w:t>i</w:t>
      </w:r>
      <w:r w:rsidR="004A6C4F">
        <w:rPr>
          <w:rFonts w:ascii="Arial" w:hAnsi="Arial" w:cs="Arial"/>
          <w:lang w:val="es-ES"/>
        </w:rPr>
        <w:t>os equivale a ahorros durante 12</w:t>
      </w:r>
      <w:r w:rsidRPr="000E0AC5">
        <w:rPr>
          <w:rFonts w:ascii="Arial" w:hAnsi="Arial" w:cs="Arial"/>
          <w:lang w:val="es-ES"/>
        </w:rPr>
        <w:t xml:space="preserve"> años, ya que esa es la condena </w:t>
      </w:r>
      <w:r w:rsidR="004A6C4F">
        <w:rPr>
          <w:rFonts w:ascii="Arial" w:hAnsi="Arial" w:cs="Arial"/>
          <w:lang w:val="es-ES"/>
        </w:rPr>
        <w:t>mínima</w:t>
      </w:r>
      <w:r w:rsidRPr="000E0AC5">
        <w:rPr>
          <w:rFonts w:ascii="Arial" w:hAnsi="Arial" w:cs="Arial"/>
          <w:lang w:val="es-ES"/>
        </w:rPr>
        <w:t xml:space="preserve"> por homicidio</w:t>
      </w:r>
      <w:r w:rsidR="002C1A3D">
        <w:rPr>
          <w:rFonts w:ascii="Arial" w:hAnsi="Arial" w:cs="Arial"/>
          <w:lang w:val="es-ES"/>
        </w:rPr>
        <w:t xml:space="preserve"> simple</w:t>
      </w:r>
      <w:r w:rsidRPr="000E0AC5">
        <w:rPr>
          <w:rFonts w:ascii="Arial" w:hAnsi="Arial" w:cs="Arial"/>
          <w:lang w:val="es-ES"/>
        </w:rPr>
        <w:t xml:space="preserve"> estipulada en el código penal del país.</w:t>
      </w:r>
      <w:r w:rsidRPr="000E0AC5">
        <w:rPr>
          <w:rStyle w:val="FootnoteReference"/>
          <w:rFonts w:ascii="Arial" w:hAnsi="Arial" w:cs="Arial"/>
          <w:lang w:val="es-ES"/>
        </w:rPr>
        <w:footnoteReference w:id="16"/>
      </w:r>
      <w:r w:rsidRPr="000E0AC5">
        <w:rPr>
          <w:rFonts w:ascii="Arial" w:hAnsi="Arial" w:cs="Arial"/>
          <w:lang w:val="es-ES"/>
        </w:rPr>
        <w:t xml:space="preserve"> </w:t>
      </w:r>
      <w:r w:rsidRPr="000E0AC5" w:rsidR="00157ED1">
        <w:rPr>
          <w:rFonts w:ascii="Arial" w:hAnsi="Arial" w:cs="Arial"/>
          <w:lang w:val="es-ES"/>
        </w:rPr>
        <w:t xml:space="preserve">De igual forma, se asume que el ahorro del gasto penitenciario y el ahorro en pérdidas de productividad por la privación de libertad de los que comenten asaltos equivale a ahorros durante 5 años, que es la pena </w:t>
      </w:r>
      <w:r w:rsidR="004A6C4F">
        <w:rPr>
          <w:rFonts w:ascii="Arial" w:hAnsi="Arial" w:cs="Arial"/>
          <w:lang w:val="es-ES"/>
        </w:rPr>
        <w:t>mínima</w:t>
      </w:r>
      <w:r w:rsidRPr="000E0AC5" w:rsidR="00157ED1">
        <w:rPr>
          <w:rFonts w:ascii="Arial" w:hAnsi="Arial" w:cs="Arial"/>
          <w:lang w:val="es-ES"/>
        </w:rPr>
        <w:t xml:space="preserve"> por el delito de robo agravado. </w:t>
      </w:r>
      <w:r w:rsidRPr="000E0AC5">
        <w:rPr>
          <w:rFonts w:ascii="Arial" w:hAnsi="Arial" w:cs="Arial"/>
          <w:lang w:val="es-ES"/>
        </w:rPr>
        <w:t>Estos valores se descuentan a una tasa de 12%</w:t>
      </w:r>
      <w:r w:rsidR="00FB42BF">
        <w:rPr>
          <w:rFonts w:ascii="Arial" w:hAnsi="Arial" w:cs="Arial"/>
          <w:lang w:val="es-ES"/>
        </w:rPr>
        <w:t>, y solo se estiman para 7% que se asume que va a prisión</w:t>
      </w:r>
      <w:r w:rsidRPr="000E0AC5">
        <w:rPr>
          <w:rFonts w:ascii="Arial" w:hAnsi="Arial" w:cs="Arial"/>
          <w:lang w:val="es-ES"/>
        </w:rPr>
        <w:t>;</w:t>
      </w:r>
      <w:r w:rsidR="004A6C4F">
        <w:rPr>
          <w:rStyle w:val="FootnoteReference"/>
          <w:rFonts w:ascii="Arial" w:hAnsi="Arial" w:cs="Arial"/>
          <w:lang w:val="es-ES"/>
        </w:rPr>
        <w:footnoteReference w:id="17"/>
      </w:r>
    </w:p>
    <w:p w:rsidRPr="000E0AC5" w:rsidR="00027E3C" w:rsidP="00027E3C" w:rsidRDefault="00027E3C" w14:paraId="545EF600" w14:textId="77777777">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 xml:space="preserve">Finalmente, </w:t>
      </w:r>
      <w:r w:rsidRPr="000E0AC5" w:rsidR="0084421C">
        <w:rPr>
          <w:rFonts w:ascii="Arial" w:hAnsi="Arial" w:cs="Arial"/>
          <w:lang w:val="es-ES"/>
        </w:rPr>
        <w:t>se asume</w:t>
      </w:r>
      <w:r w:rsidRPr="000E0AC5">
        <w:rPr>
          <w:rFonts w:ascii="Arial" w:hAnsi="Arial" w:cs="Arial"/>
          <w:lang w:val="es-ES"/>
        </w:rPr>
        <w:t xml:space="preserve"> </w:t>
      </w:r>
      <w:r w:rsidRPr="000E0AC5" w:rsidR="0084421C">
        <w:rPr>
          <w:rFonts w:ascii="Arial" w:hAnsi="Arial" w:cs="Arial"/>
          <w:lang w:val="es-ES"/>
        </w:rPr>
        <w:t>que un</w:t>
      </w:r>
      <w:r w:rsidRPr="000E0AC5">
        <w:rPr>
          <w:rFonts w:ascii="Arial" w:hAnsi="Arial" w:cs="Arial"/>
          <w:lang w:val="es-ES"/>
        </w:rPr>
        <w:t xml:space="preserve"> 13% de la población </w:t>
      </w:r>
      <w:r w:rsidRPr="000E0AC5" w:rsidR="0084421C">
        <w:rPr>
          <w:rFonts w:ascii="Arial" w:hAnsi="Arial" w:cs="Arial"/>
          <w:lang w:val="es-ES"/>
        </w:rPr>
        <w:t xml:space="preserve">total del país vive </w:t>
      </w:r>
      <w:r w:rsidRPr="000E0AC5">
        <w:rPr>
          <w:rFonts w:ascii="Arial" w:hAnsi="Arial" w:cs="Arial"/>
          <w:lang w:val="es-ES"/>
        </w:rPr>
        <w:t xml:space="preserve">en los distritos intervenidos, </w:t>
      </w:r>
      <w:r w:rsidRPr="000E0AC5" w:rsidR="0084421C">
        <w:rPr>
          <w:rFonts w:ascii="Arial" w:hAnsi="Arial" w:cs="Arial"/>
          <w:lang w:val="es-ES"/>
        </w:rPr>
        <w:t xml:space="preserve">según los datos de 2017, </w:t>
      </w:r>
      <w:r w:rsidRPr="000E0AC5">
        <w:rPr>
          <w:rFonts w:ascii="Arial" w:hAnsi="Arial" w:cs="Arial"/>
          <w:lang w:val="es-ES"/>
        </w:rPr>
        <w:t>y se asume que este porcentaje permanece constante por el resto del proyecto;</w:t>
      </w:r>
      <w:r w:rsidRPr="000E0AC5">
        <w:rPr>
          <w:rStyle w:val="FootnoteReference"/>
          <w:rFonts w:ascii="Arial" w:hAnsi="Arial" w:cs="Arial"/>
          <w:lang w:val="es-ES"/>
        </w:rPr>
        <w:footnoteReference w:id="18"/>
      </w:r>
    </w:p>
    <w:p w:rsidRPr="000E0AC5" w:rsidR="001C2682" w:rsidP="006A3FEB" w:rsidRDefault="001C2682" w14:paraId="5A103E95" w14:textId="77777777">
      <w:pPr>
        <w:pStyle w:val="ListParagraph"/>
        <w:numPr>
          <w:ilvl w:val="0"/>
          <w:numId w:val="10"/>
        </w:numPr>
        <w:spacing w:before="240" w:after="0" w:line="360" w:lineRule="auto"/>
        <w:jc w:val="both"/>
        <w:rPr>
          <w:rFonts w:ascii="Arial" w:hAnsi="Arial" w:cs="Arial"/>
          <w:lang w:val="es-ES"/>
        </w:rPr>
      </w:pPr>
      <w:r w:rsidRPr="000E0AC5">
        <w:rPr>
          <w:rFonts w:ascii="Arial" w:hAnsi="Arial" w:cs="Arial"/>
          <w:lang w:val="es-ES"/>
        </w:rPr>
        <w:t>Cada homicidio/</w:t>
      </w:r>
      <w:r w:rsidRPr="000E0AC5" w:rsidR="00845515">
        <w:rPr>
          <w:rFonts w:ascii="Arial" w:hAnsi="Arial" w:cs="Arial"/>
          <w:lang w:val="es-ES"/>
        </w:rPr>
        <w:t>asalto</w:t>
      </w:r>
      <w:r w:rsidRPr="000E0AC5">
        <w:rPr>
          <w:rFonts w:ascii="Arial" w:hAnsi="Arial" w:cs="Arial"/>
          <w:lang w:val="es-ES"/>
        </w:rPr>
        <w:t xml:space="preserve"> involucra a un único agresor.</w:t>
      </w:r>
    </w:p>
    <w:p w:rsidRPr="000E0AC5" w:rsidR="001C2682" w:rsidP="001C2682" w:rsidRDefault="001C2682" w14:paraId="3C3DB923" w14:textId="77777777">
      <w:pPr>
        <w:pStyle w:val="ListParagraph"/>
        <w:ind w:left="720"/>
        <w:rPr>
          <w:rFonts w:ascii="Arial" w:hAnsi="Arial" w:cs="Arial"/>
          <w:lang w:val="es-ES"/>
        </w:rPr>
      </w:pPr>
    </w:p>
    <w:p w:rsidRPr="000E0AC5" w:rsidR="001C2682" w:rsidP="006A3FEB" w:rsidRDefault="001C2682" w14:paraId="26F459D8" w14:textId="7777777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lastRenderedPageBreak/>
        <w:t>En cuanto al Componente II se espera que tenga efecto</w:t>
      </w:r>
      <w:r w:rsidRPr="000E0AC5" w:rsidR="00027E3C">
        <w:rPr>
          <w:rFonts w:ascii="Arial" w:hAnsi="Arial" w:eastAsia="Times New Roman" w:cs="Arial"/>
          <w:color w:val="000000"/>
          <w:lang w:val="es-ES"/>
        </w:rPr>
        <w:t xml:space="preserve"> en</w:t>
      </w:r>
      <w:r w:rsidRPr="000E0AC5">
        <w:rPr>
          <w:rFonts w:ascii="Arial" w:hAnsi="Arial" w:eastAsia="Times New Roman" w:cs="Arial"/>
          <w:color w:val="000000"/>
          <w:lang w:val="es-ES"/>
        </w:rPr>
        <w:t xml:space="preserve"> </w:t>
      </w:r>
      <w:r w:rsidRPr="000E0AC5" w:rsidR="00444E58">
        <w:rPr>
          <w:rFonts w:ascii="Arial" w:hAnsi="Arial" w:eastAsia="Times New Roman" w:cs="Arial"/>
          <w:color w:val="000000"/>
          <w:lang w:val="es-ES"/>
        </w:rPr>
        <w:t xml:space="preserve">la reducción de la </w:t>
      </w:r>
      <w:r w:rsidRPr="000E0AC5" w:rsidR="00D0397F">
        <w:rPr>
          <w:rFonts w:ascii="Arial" w:hAnsi="Arial" w:eastAsia="Times New Roman" w:cs="Arial"/>
          <w:color w:val="000000"/>
          <w:lang w:val="es-ES"/>
        </w:rPr>
        <w:t>exclusión escolar de la población beneficiaria de los CCP</w:t>
      </w:r>
      <w:r w:rsidRPr="000E0AC5" w:rsidR="003A4404">
        <w:rPr>
          <w:rFonts w:ascii="Arial" w:hAnsi="Arial" w:eastAsia="Times New Roman" w:cs="Arial"/>
          <w:color w:val="000000"/>
          <w:lang w:val="es-ES"/>
        </w:rPr>
        <w:t xml:space="preserve">, lo que a la vez incrementa el nivel de escolaridad de los beneficiarios, </w:t>
      </w:r>
      <w:r w:rsidRPr="000E0AC5" w:rsidR="008F412A">
        <w:rPr>
          <w:rFonts w:ascii="Arial" w:hAnsi="Arial" w:eastAsia="Times New Roman" w:cs="Arial"/>
          <w:color w:val="000000"/>
          <w:lang w:val="es-ES"/>
        </w:rPr>
        <w:t>aumentando</w:t>
      </w:r>
      <w:r w:rsidRPr="000E0AC5" w:rsidR="003A4404">
        <w:rPr>
          <w:rFonts w:ascii="Arial" w:hAnsi="Arial" w:eastAsia="Times New Roman" w:cs="Arial"/>
          <w:color w:val="000000"/>
          <w:lang w:val="es-ES"/>
        </w:rPr>
        <w:t xml:space="preserve"> su capital humano e impactando</w:t>
      </w:r>
      <w:r w:rsidRPr="000E0AC5" w:rsidR="008F412A">
        <w:rPr>
          <w:rFonts w:ascii="Arial" w:hAnsi="Arial" w:eastAsia="Times New Roman" w:cs="Arial"/>
          <w:color w:val="000000"/>
          <w:lang w:val="es-ES"/>
        </w:rPr>
        <w:t xml:space="preserve"> en</w:t>
      </w:r>
      <w:r w:rsidRPr="000E0AC5" w:rsidR="003A4404">
        <w:rPr>
          <w:rFonts w:ascii="Arial" w:hAnsi="Arial" w:eastAsia="Times New Roman" w:cs="Arial"/>
          <w:color w:val="000000"/>
          <w:lang w:val="es-ES"/>
        </w:rPr>
        <w:t xml:space="preserve"> el ingreso laboral como resultado </w:t>
      </w:r>
      <w:r w:rsidRPr="000E0AC5" w:rsidR="008F412A">
        <w:rPr>
          <w:rFonts w:ascii="Arial" w:hAnsi="Arial" w:eastAsia="Times New Roman" w:cs="Arial"/>
          <w:color w:val="000000"/>
          <w:lang w:val="es-ES"/>
        </w:rPr>
        <w:t>de finalizar la educación secundaria y contar con</w:t>
      </w:r>
      <w:r w:rsidRPr="000E0AC5" w:rsidR="003A4404">
        <w:rPr>
          <w:rFonts w:ascii="Arial" w:hAnsi="Arial" w:eastAsia="Times New Roman" w:cs="Arial"/>
          <w:color w:val="000000"/>
          <w:lang w:val="es-ES"/>
        </w:rPr>
        <w:t xml:space="preserve"> mayor nivel educativo</w:t>
      </w:r>
      <w:r w:rsidRPr="000E0AC5">
        <w:rPr>
          <w:rFonts w:ascii="Arial" w:hAnsi="Arial" w:eastAsia="Times New Roman" w:cs="Arial"/>
          <w:color w:val="000000"/>
          <w:lang w:val="es-ES"/>
        </w:rPr>
        <w:t xml:space="preserve">. Esta variación se calcula comparando el </w:t>
      </w:r>
      <w:r w:rsidRPr="000E0AC5" w:rsidR="00D0397F">
        <w:rPr>
          <w:rFonts w:ascii="Arial" w:hAnsi="Arial" w:eastAsia="Times New Roman" w:cs="Arial"/>
          <w:color w:val="000000"/>
          <w:lang w:val="es-ES"/>
        </w:rPr>
        <w:t xml:space="preserve">número de beneficiarios que </w:t>
      </w:r>
      <w:r w:rsidRPr="000E0AC5" w:rsidR="006D03D3">
        <w:rPr>
          <w:rFonts w:ascii="Arial" w:hAnsi="Arial" w:eastAsia="Times New Roman" w:cs="Arial"/>
          <w:color w:val="000000"/>
          <w:lang w:val="es-ES"/>
        </w:rPr>
        <w:t>se quedarían</w:t>
      </w:r>
      <w:r w:rsidRPr="000E0AC5" w:rsidR="00D0397F">
        <w:rPr>
          <w:rFonts w:ascii="Arial" w:hAnsi="Arial" w:eastAsia="Times New Roman" w:cs="Arial"/>
          <w:color w:val="000000"/>
          <w:lang w:val="es-ES"/>
        </w:rPr>
        <w:t xml:space="preserve"> fuera del sistema escolar </w:t>
      </w:r>
      <w:r w:rsidRPr="000E0AC5">
        <w:rPr>
          <w:rFonts w:ascii="Arial" w:hAnsi="Arial" w:eastAsia="Times New Roman" w:cs="Arial"/>
          <w:color w:val="000000"/>
          <w:lang w:val="es-ES"/>
        </w:rPr>
        <w:t xml:space="preserve">en el escenario de no-intervención y </w:t>
      </w:r>
      <w:r w:rsidRPr="000E0AC5" w:rsidR="00D0397F">
        <w:rPr>
          <w:rFonts w:ascii="Arial" w:hAnsi="Arial" w:eastAsia="Times New Roman" w:cs="Arial"/>
          <w:color w:val="000000"/>
          <w:lang w:val="es-ES"/>
        </w:rPr>
        <w:t>la reducción esperada como resultado de la intervención</w:t>
      </w:r>
      <w:r w:rsidRPr="000E0AC5">
        <w:rPr>
          <w:rFonts w:ascii="Arial" w:hAnsi="Arial" w:eastAsia="Times New Roman" w:cs="Arial"/>
          <w:color w:val="000000"/>
          <w:lang w:val="es-ES"/>
        </w:rPr>
        <w:t>. Los supuestos para este componente son:</w:t>
      </w:r>
    </w:p>
    <w:p w:rsidRPr="000E0AC5" w:rsidR="003A4404" w:rsidP="1F653389" w:rsidRDefault="003A4404" w14:paraId="07277D0D" w14:textId="348DE66F">
      <w:pPr>
        <w:pStyle w:val="ListParagraph"/>
        <w:numPr>
          <w:ilvl w:val="0"/>
          <w:numId w:val="11"/>
        </w:numPr>
        <w:spacing w:before="240" w:after="0" w:line="360" w:lineRule="auto"/>
        <w:jc w:val="both"/>
        <w:rPr>
          <w:rFonts w:ascii="Arial" w:hAnsi="Arial" w:cs="Arial"/>
          <w:lang w:val="es-ES"/>
        </w:rPr>
      </w:pPr>
      <w:r w:rsidRPr="1F653389" w:rsidR="1F653389">
        <w:rPr>
          <w:rFonts w:ascii="Arial" w:hAnsi="Arial" w:eastAsia="Times New Roman" w:cs="Arial"/>
          <w:color w:val="000000" w:themeColor="text1" w:themeTint="FF" w:themeShade="FF"/>
          <w:lang w:val="es-ES"/>
        </w:rPr>
        <w:t>Para estimar a la población beneficiaria de los CCP se utiliza la estimación de la Secretaría Técnica de los CCP que calcula que en las zonas de influencia la población meta entre 13 y 17 años asciende a 28,967 jóvenes, y se asume que por centro la demanda equivale a 1.5% de la población meta, valor que se incrementa en 0.5% anualmente -según las tendencias poblacionales de crecimiento para la cohorte de 6 a 11 años. Se asume que funcionan 1</w:t>
      </w:r>
      <w:r w:rsidRPr="1F653389" w:rsidR="1F653389">
        <w:rPr>
          <w:rFonts w:ascii="Arial" w:hAnsi="Arial" w:eastAsia="Times New Roman" w:cs="Arial"/>
          <w:color w:val="000000" w:themeColor="text1" w:themeTint="FF" w:themeShade="FF"/>
          <w:lang w:val="es-ES"/>
        </w:rPr>
        <w:t>5</w:t>
      </w:r>
      <w:r w:rsidRPr="1F653389" w:rsidR="1F653389">
        <w:rPr>
          <w:rFonts w:ascii="Arial" w:hAnsi="Arial" w:eastAsia="Times New Roman" w:cs="Arial"/>
          <w:color w:val="000000" w:themeColor="text1" w:themeTint="FF" w:themeShade="FF"/>
          <w:lang w:val="es-ES"/>
        </w:rPr>
        <w:t xml:space="preserve"> centros;</w:t>
      </w:r>
    </w:p>
    <w:p w:rsidRPr="000E0AC5" w:rsidR="00D0397F" w:rsidP="00D0397F" w:rsidRDefault="001C2682" w14:paraId="10F51D70" w14:textId="77777777">
      <w:pPr>
        <w:pStyle w:val="ListParagraph"/>
        <w:numPr>
          <w:ilvl w:val="0"/>
          <w:numId w:val="11"/>
        </w:numPr>
        <w:spacing w:before="240" w:after="0" w:line="360" w:lineRule="auto"/>
        <w:jc w:val="both"/>
        <w:rPr>
          <w:rFonts w:ascii="Arial" w:hAnsi="Arial" w:cs="Arial"/>
          <w:lang w:val="es-ES"/>
        </w:rPr>
      </w:pPr>
      <w:r w:rsidRPr="000E0AC5">
        <w:rPr>
          <w:rFonts w:ascii="Arial" w:hAnsi="Arial" w:cs="Arial"/>
          <w:lang w:val="es-ES"/>
        </w:rPr>
        <w:t>Para estimar el impacto de esta intervención</w:t>
      </w:r>
      <w:r w:rsidRPr="000E0AC5" w:rsidR="00D0397F">
        <w:rPr>
          <w:rFonts w:ascii="Arial" w:hAnsi="Arial" w:cs="Arial"/>
          <w:lang w:val="es-ES"/>
        </w:rPr>
        <w:t xml:space="preserve"> se asume que en el escenario de no-intervención un 9.4% del total de beneficiarios quedaría excluido del sistema escolar, según el dato reportado en la línea de base de la matriz de resultados; mientras que al participar en los CCP se asume una reducción de 3.7 puntos porcentuales en el número de beneficiarios excluidos del sistema escolar</w:t>
      </w:r>
      <w:r w:rsidRPr="000E0AC5" w:rsidR="00486CF5">
        <w:rPr>
          <w:rFonts w:ascii="Arial" w:hAnsi="Arial" w:cs="Arial"/>
          <w:lang w:val="es-ES"/>
        </w:rPr>
        <w:t>. Esta reducción se asume constante para el resto del período</w:t>
      </w:r>
      <w:r w:rsidRPr="000E0AC5" w:rsidR="00D0397F">
        <w:rPr>
          <w:rFonts w:ascii="Arial" w:hAnsi="Arial" w:cs="Arial"/>
          <w:lang w:val="es-ES"/>
        </w:rPr>
        <w:t>;</w:t>
      </w:r>
    </w:p>
    <w:p w:rsidRPr="000E0AC5" w:rsidR="001C2682" w:rsidP="006A3FEB" w:rsidRDefault="001C2682" w14:paraId="267710A1" w14:textId="77777777">
      <w:pPr>
        <w:pStyle w:val="ListParagraph"/>
        <w:numPr>
          <w:ilvl w:val="0"/>
          <w:numId w:val="11"/>
        </w:numPr>
        <w:spacing w:before="240" w:after="0" w:line="360" w:lineRule="auto"/>
        <w:jc w:val="both"/>
        <w:rPr>
          <w:rFonts w:ascii="Arial" w:hAnsi="Arial" w:cs="Arial"/>
          <w:lang w:val="es-ES"/>
        </w:rPr>
      </w:pPr>
      <w:r w:rsidRPr="000E0AC5">
        <w:rPr>
          <w:rFonts w:ascii="Arial" w:hAnsi="Arial" w:cs="Arial"/>
          <w:lang w:val="es-ES"/>
        </w:rPr>
        <w:t>El tipo de cambio equivale al tipo de cambio promedio anua</w:t>
      </w:r>
      <w:r w:rsidRPr="000E0AC5" w:rsidR="00D0397F">
        <w:rPr>
          <w:rFonts w:ascii="Arial" w:hAnsi="Arial" w:cs="Arial"/>
          <w:lang w:val="es-ES"/>
        </w:rPr>
        <w:t>l registrado a diciembre de 2018</w:t>
      </w:r>
      <w:r w:rsidRPr="000E0AC5">
        <w:rPr>
          <w:rFonts w:ascii="Arial" w:hAnsi="Arial" w:cs="Arial"/>
          <w:lang w:val="es-ES"/>
        </w:rPr>
        <w:t xml:space="preserve"> de $</w:t>
      </w:r>
      <w:r w:rsidRPr="000E0AC5" w:rsidR="00D0397F">
        <w:rPr>
          <w:rFonts w:ascii="Arial" w:hAnsi="Arial" w:cs="Arial"/>
          <w:lang w:val="es-ES"/>
        </w:rPr>
        <w:t>611.75</w:t>
      </w:r>
      <w:r w:rsidRPr="000E0AC5">
        <w:rPr>
          <w:rFonts w:ascii="Arial" w:hAnsi="Arial" w:cs="Arial"/>
          <w:lang w:val="es-ES"/>
        </w:rPr>
        <w:t xml:space="preserve"> colones por dólar, que se asume constante para todo el período; </w:t>
      </w:r>
    </w:p>
    <w:p w:rsidR="003803C0" w:rsidP="00EF01A4" w:rsidRDefault="003A4404" w14:paraId="4E32FCB4" w14:textId="2B7D4642">
      <w:pPr>
        <w:pStyle w:val="ListParagraph"/>
        <w:numPr>
          <w:ilvl w:val="0"/>
          <w:numId w:val="11"/>
        </w:numPr>
        <w:spacing w:before="240" w:after="0" w:line="360" w:lineRule="auto"/>
        <w:jc w:val="both"/>
        <w:rPr>
          <w:rFonts w:ascii="Arial" w:hAnsi="Arial" w:cs="Arial"/>
          <w:lang w:val="es-ES"/>
        </w:rPr>
      </w:pPr>
      <w:r w:rsidRPr="000E0AC5">
        <w:rPr>
          <w:rFonts w:ascii="Arial" w:hAnsi="Arial" w:cs="Arial"/>
          <w:lang w:val="es-ES"/>
        </w:rPr>
        <w:t xml:space="preserve">Para estimar el aumento en el ingreso permanente de la población que no deserta del ciclo escolar y logra finalizar la educación secundaria, se utiliza el valor estimado del retorno a educación secundaria de </w:t>
      </w:r>
      <w:r w:rsidR="00604BC1">
        <w:rPr>
          <w:rFonts w:ascii="Arial" w:hAnsi="Arial" w:cs="Arial"/>
          <w:lang w:val="es-ES"/>
        </w:rPr>
        <w:t>44.2</w:t>
      </w:r>
      <w:r w:rsidRPr="000E0AC5">
        <w:rPr>
          <w:rFonts w:ascii="Arial" w:hAnsi="Arial" w:cs="Arial"/>
          <w:lang w:val="es-ES"/>
        </w:rPr>
        <w:t>% –la categoría base</w:t>
      </w:r>
      <w:r w:rsidR="007F1508">
        <w:rPr>
          <w:rFonts w:ascii="Arial" w:hAnsi="Arial" w:cs="Arial"/>
          <w:lang w:val="es-ES"/>
        </w:rPr>
        <w:t xml:space="preserve"> es</w:t>
      </w:r>
      <w:r w:rsidRPr="000E0AC5">
        <w:rPr>
          <w:rFonts w:ascii="Arial" w:hAnsi="Arial" w:cs="Arial"/>
          <w:lang w:val="es-ES"/>
        </w:rPr>
        <w:t xml:space="preserve"> </w:t>
      </w:r>
      <w:r w:rsidR="007F1508">
        <w:rPr>
          <w:rFonts w:ascii="Arial" w:hAnsi="Arial" w:cs="Arial"/>
          <w:lang w:val="es-ES"/>
        </w:rPr>
        <w:t>solo contar con un nivel de escolaridad</w:t>
      </w:r>
      <w:r w:rsidR="00604BC1">
        <w:rPr>
          <w:rFonts w:ascii="Arial" w:hAnsi="Arial" w:cs="Arial"/>
          <w:lang w:val="es-ES"/>
        </w:rPr>
        <w:t xml:space="preserve"> de primaria</w:t>
      </w:r>
      <w:r w:rsidRPr="000E0AC5">
        <w:rPr>
          <w:rFonts w:ascii="Arial" w:hAnsi="Arial" w:cs="Arial"/>
          <w:lang w:val="es-ES"/>
        </w:rPr>
        <w:t>.</w:t>
      </w:r>
      <w:r w:rsidRPr="000E0AC5">
        <w:rPr>
          <w:rStyle w:val="FootnoteReference"/>
          <w:rFonts w:ascii="Arial" w:hAnsi="Arial" w:cs="Arial"/>
          <w:lang w:val="es-ES"/>
        </w:rPr>
        <w:footnoteReference w:id="19"/>
      </w:r>
      <w:r w:rsidRPr="000E0AC5">
        <w:rPr>
          <w:rFonts w:ascii="Arial" w:hAnsi="Arial" w:cs="Arial"/>
          <w:lang w:val="es-ES"/>
        </w:rPr>
        <w:t xml:space="preserve"> Este incremento con respecto al salario mínimo equivale a $</w:t>
      </w:r>
      <w:r w:rsidR="004C449B">
        <w:rPr>
          <w:rFonts w:ascii="Arial" w:hAnsi="Arial" w:cs="Arial"/>
          <w:lang w:val="es-ES"/>
        </w:rPr>
        <w:t>2,678.49 dólares</w:t>
      </w:r>
      <w:r w:rsidRPr="000E0AC5">
        <w:rPr>
          <w:rFonts w:ascii="Arial" w:hAnsi="Arial" w:cs="Arial"/>
          <w:lang w:val="es-ES"/>
        </w:rPr>
        <w:t xml:space="preserve"> anuales</w:t>
      </w:r>
      <w:r w:rsidR="004F3DD9">
        <w:rPr>
          <w:rFonts w:ascii="Arial" w:hAnsi="Arial" w:cs="Arial"/>
          <w:lang w:val="es-ES"/>
        </w:rPr>
        <w:t xml:space="preserve">, </w:t>
      </w:r>
      <w:r w:rsidR="002E7A59">
        <w:rPr>
          <w:rFonts w:ascii="Arial" w:hAnsi="Arial" w:cs="Arial"/>
          <w:lang w:val="es-ES"/>
        </w:rPr>
        <w:t>y</w:t>
      </w:r>
      <w:r w:rsidR="004F3DD9">
        <w:rPr>
          <w:rFonts w:ascii="Arial" w:hAnsi="Arial" w:cs="Arial"/>
          <w:lang w:val="es-ES"/>
        </w:rPr>
        <w:t xml:space="preserve"> </w:t>
      </w:r>
      <w:r w:rsidR="000F74BD">
        <w:rPr>
          <w:rFonts w:ascii="Arial" w:hAnsi="Arial" w:cs="Arial"/>
          <w:lang w:val="es-ES"/>
        </w:rPr>
        <w:t xml:space="preserve">se asume que </w:t>
      </w:r>
      <w:r w:rsidR="004F3DD9">
        <w:rPr>
          <w:rFonts w:ascii="Arial" w:hAnsi="Arial" w:cs="Arial"/>
          <w:lang w:val="es-ES"/>
        </w:rPr>
        <w:t>aumenta 2% anual</w:t>
      </w:r>
      <w:r w:rsidR="002E7A59">
        <w:rPr>
          <w:rFonts w:ascii="Arial" w:hAnsi="Arial" w:cs="Arial"/>
          <w:lang w:val="es-ES"/>
        </w:rPr>
        <w:t xml:space="preserve">mente. </w:t>
      </w:r>
      <w:r w:rsidR="000F74BD">
        <w:rPr>
          <w:rFonts w:ascii="Arial" w:hAnsi="Arial" w:cs="Arial"/>
          <w:lang w:val="es-ES"/>
        </w:rPr>
        <w:t>También s</w:t>
      </w:r>
      <w:r w:rsidRPr="000E0AC5">
        <w:rPr>
          <w:rFonts w:ascii="Arial" w:hAnsi="Arial" w:cs="Arial"/>
          <w:lang w:val="es-ES"/>
        </w:rPr>
        <w:t xml:space="preserve">e </w:t>
      </w:r>
      <w:r w:rsidRPr="000E0AC5">
        <w:rPr>
          <w:rFonts w:ascii="Arial" w:hAnsi="Arial" w:cs="Arial"/>
          <w:lang w:val="es-ES"/>
        </w:rPr>
        <w:lastRenderedPageBreak/>
        <w:t>asume que el individuo se insertará al mercado laboral a los 18 años y trabajará hasta los 60 años, por lo que el ingreso futuro</w:t>
      </w:r>
      <w:r w:rsidRPr="000E0AC5" w:rsidR="006D03D3">
        <w:rPr>
          <w:rFonts w:ascii="Arial" w:hAnsi="Arial" w:cs="Arial"/>
          <w:lang w:val="es-ES"/>
        </w:rPr>
        <w:t xml:space="preserve"> se descuenta a una tasa de 12%.</w:t>
      </w:r>
    </w:p>
    <w:p w:rsidRPr="00EF01A4" w:rsidR="00EF01A4" w:rsidP="00EF01A4" w:rsidRDefault="00EF01A4" w14:paraId="7FFD261E" w14:textId="77777777">
      <w:pPr>
        <w:spacing w:before="240" w:after="0" w:line="360" w:lineRule="auto"/>
        <w:ind w:left="360"/>
        <w:jc w:val="both"/>
        <w:rPr>
          <w:rFonts w:ascii="Arial" w:hAnsi="Arial" w:cs="Arial"/>
          <w:lang w:val="es-ES"/>
        </w:rPr>
      </w:pPr>
    </w:p>
    <w:p w:rsidRPr="003803C0" w:rsidR="007A0E5D" w:rsidP="003803C0" w:rsidRDefault="007A0E5D" w14:paraId="04D49711" w14:textId="6121A8A9">
      <w:pPr>
        <w:numPr>
          <w:ilvl w:val="1"/>
          <w:numId w:val="6"/>
        </w:numPr>
        <w:spacing w:after="0" w:line="360" w:lineRule="auto"/>
        <w:ind w:left="450" w:hanging="450"/>
        <w:jc w:val="both"/>
        <w:textAlignment w:val="top"/>
        <w:rPr>
          <w:rFonts w:ascii="Arial" w:hAnsi="Arial" w:eastAsia="Times New Roman" w:cs="Arial"/>
          <w:color w:val="000000"/>
          <w:lang w:val="es-ES"/>
        </w:rPr>
      </w:pPr>
      <w:r w:rsidRPr="003803C0">
        <w:rPr>
          <w:rFonts w:ascii="Arial" w:hAnsi="Arial" w:eastAsia="Times New Roman" w:cs="Arial"/>
          <w:color w:val="000000"/>
          <w:lang w:val="es-ES"/>
        </w:rPr>
        <w:t>La Tabla 2 resume los principales supuestos para el cálculo de los beneficios considerados en este análisis.</w:t>
      </w:r>
    </w:p>
    <w:p w:rsidRPr="00825BB9" w:rsidR="007A0E5D" w:rsidP="00825BB9" w:rsidRDefault="007A0E5D" w14:paraId="635032AF" w14:textId="684367EA">
      <w:pPr>
        <w:pStyle w:val="ColorfulList-Accent11"/>
        <w:spacing w:after="0" w:line="360" w:lineRule="auto"/>
        <w:ind w:left="0"/>
        <w:jc w:val="center"/>
        <w:rPr>
          <w:rFonts w:ascii="Arial" w:hAnsi="Arial" w:cs="Arial"/>
          <w:sz w:val="20"/>
          <w:szCs w:val="20"/>
          <w:lang w:val="es-ES"/>
        </w:rPr>
      </w:pPr>
      <w:r w:rsidRPr="00825BB9">
        <w:rPr>
          <w:rFonts w:ascii="Arial" w:hAnsi="Arial" w:cs="Arial"/>
          <w:sz w:val="20"/>
          <w:szCs w:val="20"/>
          <w:lang w:val="es-ES"/>
        </w:rPr>
        <w:t>Tabla 2</w:t>
      </w:r>
    </w:p>
    <w:p w:rsidRPr="00825BB9" w:rsidR="007A0E5D" w:rsidP="00825BB9" w:rsidRDefault="007A0E5D" w14:paraId="7CF6673A" w14:textId="4D830285">
      <w:pPr>
        <w:pStyle w:val="ColorfulList-Accent11"/>
        <w:spacing w:after="0" w:line="360" w:lineRule="auto"/>
        <w:ind w:left="0"/>
        <w:jc w:val="center"/>
        <w:rPr>
          <w:rFonts w:ascii="Arial" w:hAnsi="Arial" w:cs="Arial"/>
          <w:sz w:val="20"/>
          <w:szCs w:val="20"/>
          <w:lang w:val="es-ES"/>
        </w:rPr>
      </w:pPr>
      <w:r w:rsidRPr="00825BB9">
        <w:rPr>
          <w:rFonts w:ascii="Arial" w:hAnsi="Arial" w:cs="Arial"/>
          <w:sz w:val="20"/>
          <w:szCs w:val="20"/>
          <w:lang w:val="es-ES"/>
        </w:rPr>
        <w:t>Resumen de supuestos</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2065"/>
        <w:gridCol w:w="2610"/>
        <w:gridCol w:w="2162"/>
        <w:gridCol w:w="2326"/>
      </w:tblGrid>
      <w:tr w:rsidRPr="007A0E5D" w:rsidR="007A0E5D" w:rsidTr="00EF01A4" w14:paraId="05BC0515" w14:textId="77777777">
        <w:trPr>
          <w:trHeight w:val="290"/>
          <w:jc w:val="center"/>
        </w:trPr>
        <w:tc>
          <w:tcPr>
            <w:tcW w:w="2065" w:type="dxa"/>
            <w:shd w:val="clear" w:color="auto" w:fill="auto"/>
            <w:noWrap/>
            <w:vAlign w:val="center"/>
            <w:hideMark/>
          </w:tcPr>
          <w:p w:rsidRPr="007A0E5D" w:rsidR="007A0E5D" w:rsidP="00EF01A4" w:rsidRDefault="007A0E5D" w14:paraId="0E844B89" w14:textId="77777777">
            <w:pPr>
              <w:spacing w:after="0" w:line="240" w:lineRule="auto"/>
              <w:jc w:val="center"/>
              <w:rPr>
                <w:rFonts w:ascii="Arial" w:hAnsi="Arial" w:eastAsia="Times New Roman" w:cs="Arial"/>
                <w:b/>
                <w:bCs/>
                <w:color w:val="000000"/>
                <w:sz w:val="14"/>
                <w:szCs w:val="14"/>
                <w:lang w:val="es-MX" w:eastAsia="es-MX"/>
              </w:rPr>
            </w:pPr>
            <w:r w:rsidRPr="007A0E5D">
              <w:rPr>
                <w:rFonts w:ascii="Arial" w:hAnsi="Arial" w:eastAsia="Times New Roman" w:cs="Arial"/>
                <w:b/>
                <w:bCs/>
                <w:color w:val="000000"/>
                <w:sz w:val="14"/>
                <w:szCs w:val="14"/>
                <w:lang w:val="es-MX" w:eastAsia="es-MX"/>
              </w:rPr>
              <w:t>Beneficios</w:t>
            </w:r>
          </w:p>
        </w:tc>
        <w:tc>
          <w:tcPr>
            <w:tcW w:w="2610" w:type="dxa"/>
            <w:shd w:val="clear" w:color="auto" w:fill="auto"/>
            <w:noWrap/>
            <w:vAlign w:val="center"/>
            <w:hideMark/>
          </w:tcPr>
          <w:p w:rsidRPr="007A0E5D" w:rsidR="007A0E5D" w:rsidP="00EF01A4" w:rsidRDefault="007A0E5D" w14:paraId="04529141" w14:textId="77777777">
            <w:pPr>
              <w:spacing w:after="0" w:line="240" w:lineRule="auto"/>
              <w:jc w:val="center"/>
              <w:rPr>
                <w:rFonts w:ascii="Arial" w:hAnsi="Arial" w:eastAsia="Times New Roman" w:cs="Arial"/>
                <w:b/>
                <w:bCs/>
                <w:color w:val="000000"/>
                <w:sz w:val="14"/>
                <w:szCs w:val="14"/>
                <w:lang w:val="es-MX" w:eastAsia="es-MX"/>
              </w:rPr>
            </w:pPr>
            <w:r w:rsidRPr="007A0E5D">
              <w:rPr>
                <w:rFonts w:ascii="Arial" w:hAnsi="Arial" w:eastAsia="Times New Roman" w:cs="Arial"/>
                <w:b/>
                <w:bCs/>
                <w:color w:val="000000"/>
                <w:sz w:val="14"/>
                <w:szCs w:val="14"/>
                <w:lang w:val="es-MX" w:eastAsia="es-MX"/>
              </w:rPr>
              <w:t>Supuesto</w:t>
            </w:r>
          </w:p>
        </w:tc>
        <w:tc>
          <w:tcPr>
            <w:tcW w:w="2162" w:type="dxa"/>
            <w:shd w:val="clear" w:color="auto" w:fill="auto"/>
            <w:noWrap/>
            <w:vAlign w:val="center"/>
            <w:hideMark/>
          </w:tcPr>
          <w:p w:rsidRPr="007A0E5D" w:rsidR="007A0E5D" w:rsidP="00EF01A4" w:rsidRDefault="007A0E5D" w14:paraId="6E9B0CDA" w14:textId="77777777">
            <w:pPr>
              <w:spacing w:after="0" w:line="240" w:lineRule="auto"/>
              <w:jc w:val="center"/>
              <w:rPr>
                <w:rFonts w:ascii="Arial" w:hAnsi="Arial" w:eastAsia="Times New Roman" w:cs="Arial"/>
                <w:b/>
                <w:bCs/>
                <w:color w:val="000000"/>
                <w:sz w:val="14"/>
                <w:szCs w:val="14"/>
                <w:lang w:val="es-MX" w:eastAsia="es-MX"/>
              </w:rPr>
            </w:pPr>
            <w:r w:rsidRPr="007A0E5D">
              <w:rPr>
                <w:rFonts w:ascii="Arial" w:hAnsi="Arial" w:eastAsia="Times New Roman" w:cs="Arial"/>
                <w:b/>
                <w:bCs/>
                <w:color w:val="000000"/>
                <w:sz w:val="14"/>
                <w:szCs w:val="14"/>
                <w:lang w:val="es-MX" w:eastAsia="es-MX"/>
              </w:rPr>
              <w:t>Valor</w:t>
            </w:r>
          </w:p>
        </w:tc>
        <w:tc>
          <w:tcPr>
            <w:tcW w:w="0" w:type="auto"/>
            <w:shd w:val="clear" w:color="auto" w:fill="auto"/>
            <w:noWrap/>
            <w:vAlign w:val="center"/>
            <w:hideMark/>
          </w:tcPr>
          <w:p w:rsidRPr="007A0E5D" w:rsidR="007A0E5D" w:rsidP="00EF01A4" w:rsidRDefault="007A0E5D" w14:paraId="4D4907C6" w14:textId="77777777">
            <w:pPr>
              <w:spacing w:after="0" w:line="240" w:lineRule="auto"/>
              <w:jc w:val="center"/>
              <w:rPr>
                <w:rFonts w:ascii="Arial" w:hAnsi="Arial" w:eastAsia="Times New Roman" w:cs="Arial"/>
                <w:b/>
                <w:bCs/>
                <w:color w:val="000000"/>
                <w:sz w:val="14"/>
                <w:szCs w:val="14"/>
                <w:lang w:val="es-MX" w:eastAsia="es-MX"/>
              </w:rPr>
            </w:pPr>
            <w:r w:rsidRPr="007A0E5D">
              <w:rPr>
                <w:rFonts w:ascii="Arial" w:hAnsi="Arial" w:eastAsia="Times New Roman" w:cs="Arial"/>
                <w:b/>
                <w:bCs/>
                <w:color w:val="000000"/>
                <w:sz w:val="14"/>
                <w:szCs w:val="14"/>
                <w:lang w:val="es-MX" w:eastAsia="es-MX"/>
              </w:rPr>
              <w:t>Fuente</w:t>
            </w:r>
          </w:p>
        </w:tc>
      </w:tr>
      <w:tr w:rsidRPr="00EF01A4" w:rsidR="007A0E5D" w:rsidTr="00EF01A4" w14:paraId="155D620F" w14:textId="77777777">
        <w:trPr>
          <w:trHeight w:val="377"/>
          <w:jc w:val="center"/>
        </w:trPr>
        <w:tc>
          <w:tcPr>
            <w:tcW w:w="2065" w:type="dxa"/>
            <w:vMerge w:val="restart"/>
            <w:shd w:val="clear" w:color="auto" w:fill="auto"/>
            <w:noWrap/>
            <w:vAlign w:val="center"/>
            <w:hideMark/>
          </w:tcPr>
          <w:p w:rsidRPr="007A0E5D" w:rsidR="007A0E5D" w:rsidP="00EF01A4" w:rsidRDefault="007A0E5D" w14:paraId="191BBB6A"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Supuestos generales</w:t>
            </w:r>
          </w:p>
        </w:tc>
        <w:tc>
          <w:tcPr>
            <w:tcW w:w="2610" w:type="dxa"/>
            <w:shd w:val="clear" w:color="auto" w:fill="auto"/>
            <w:vAlign w:val="center"/>
            <w:hideMark/>
          </w:tcPr>
          <w:p w:rsidRPr="007A0E5D" w:rsidR="007A0E5D" w:rsidP="00EF01A4" w:rsidRDefault="007A0E5D" w14:paraId="57F1A19B"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Reducción de tasas de homicidios y asaltos</w:t>
            </w:r>
          </w:p>
        </w:tc>
        <w:tc>
          <w:tcPr>
            <w:tcW w:w="2162" w:type="dxa"/>
            <w:shd w:val="clear" w:color="auto" w:fill="auto"/>
            <w:noWrap/>
            <w:vAlign w:val="center"/>
            <w:hideMark/>
          </w:tcPr>
          <w:p w:rsidRPr="007A0E5D" w:rsidR="007A0E5D" w:rsidP="00EF01A4" w:rsidRDefault="007A0E5D" w14:paraId="6BD197D0"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10%</w:t>
            </w:r>
          </w:p>
        </w:tc>
        <w:tc>
          <w:tcPr>
            <w:tcW w:w="0" w:type="auto"/>
            <w:shd w:val="clear" w:color="auto" w:fill="auto"/>
            <w:noWrap/>
            <w:vAlign w:val="center"/>
            <w:hideMark/>
          </w:tcPr>
          <w:p w:rsidRPr="007A0E5D" w:rsidR="007A0E5D" w:rsidP="00EF01A4" w:rsidRDefault="007A0E5D" w14:paraId="62BA04F7" w14:textId="092620E5">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Matriz de resultados</w:t>
            </w:r>
            <w:r w:rsidR="009B3784">
              <w:rPr>
                <w:rFonts w:ascii="Arial" w:hAnsi="Arial" w:eastAsia="Times New Roman" w:cs="Arial"/>
                <w:color w:val="000000"/>
                <w:sz w:val="14"/>
                <w:szCs w:val="14"/>
                <w:lang w:val="es-MX" w:eastAsia="es-MX"/>
              </w:rPr>
              <w:t xml:space="preserve"> del Proyecto</w:t>
            </w:r>
          </w:p>
        </w:tc>
      </w:tr>
      <w:tr w:rsidRPr="00EF01A4" w:rsidR="0048361D" w:rsidTr="00EF01A4" w14:paraId="25870120" w14:textId="77777777">
        <w:trPr>
          <w:trHeight w:val="260"/>
          <w:jc w:val="center"/>
        </w:trPr>
        <w:tc>
          <w:tcPr>
            <w:tcW w:w="2065" w:type="dxa"/>
            <w:vMerge/>
            <w:vAlign w:val="center"/>
          </w:tcPr>
          <w:p w:rsidRPr="007A0E5D" w:rsidR="0048361D" w:rsidP="00EF01A4" w:rsidRDefault="0048361D" w14:paraId="498C00BE" w14:textId="77777777">
            <w:pPr>
              <w:spacing w:after="0" w:line="240" w:lineRule="auto"/>
              <w:rPr>
                <w:rFonts w:ascii="Arial" w:hAnsi="Arial" w:eastAsia="Times New Roman" w:cs="Arial"/>
                <w:color w:val="000000"/>
                <w:sz w:val="14"/>
                <w:szCs w:val="14"/>
                <w:lang w:val="es-MX" w:eastAsia="es-MX"/>
              </w:rPr>
            </w:pPr>
          </w:p>
        </w:tc>
        <w:tc>
          <w:tcPr>
            <w:tcW w:w="2610" w:type="dxa"/>
            <w:shd w:val="clear" w:color="auto" w:fill="auto"/>
            <w:noWrap/>
            <w:vAlign w:val="center"/>
          </w:tcPr>
          <w:p w:rsidRPr="007A0E5D" w:rsidR="0048361D" w:rsidP="00EF01A4" w:rsidRDefault="0048361D" w14:paraId="1B05587C" w14:textId="73CC3AEC">
            <w:pPr>
              <w:spacing w:after="0" w:line="240" w:lineRule="auto"/>
              <w:rPr>
                <w:rFonts w:ascii="Arial" w:hAnsi="Arial" w:eastAsia="Times New Roman" w:cs="Arial"/>
                <w:color w:val="000000"/>
                <w:sz w:val="14"/>
                <w:szCs w:val="14"/>
                <w:lang w:val="es-MX" w:eastAsia="es-MX"/>
              </w:rPr>
            </w:pPr>
            <w:r>
              <w:rPr>
                <w:rFonts w:ascii="Arial" w:hAnsi="Arial" w:eastAsia="Times New Roman" w:cs="Arial"/>
                <w:color w:val="000000"/>
                <w:sz w:val="14"/>
                <w:szCs w:val="14"/>
                <w:lang w:val="es-MX" w:eastAsia="es-MX"/>
              </w:rPr>
              <w:t>Reducción en la exclusión escolar</w:t>
            </w:r>
          </w:p>
        </w:tc>
        <w:tc>
          <w:tcPr>
            <w:tcW w:w="2162" w:type="dxa"/>
            <w:shd w:val="clear" w:color="auto" w:fill="auto"/>
            <w:vAlign w:val="center"/>
          </w:tcPr>
          <w:p w:rsidRPr="007A0E5D" w:rsidR="0048361D" w:rsidP="00EF01A4" w:rsidRDefault="0048361D" w14:paraId="37205042" w14:textId="0F2072D2">
            <w:pPr>
              <w:spacing w:after="0" w:line="240" w:lineRule="auto"/>
              <w:jc w:val="center"/>
              <w:rPr>
                <w:rFonts w:ascii="Arial" w:hAnsi="Arial" w:eastAsia="Times New Roman" w:cs="Arial"/>
                <w:color w:val="000000"/>
                <w:sz w:val="14"/>
                <w:szCs w:val="14"/>
                <w:lang w:val="es-MX" w:eastAsia="es-MX"/>
              </w:rPr>
            </w:pPr>
            <w:r>
              <w:rPr>
                <w:rFonts w:ascii="Arial" w:hAnsi="Arial" w:eastAsia="Times New Roman" w:cs="Arial"/>
                <w:color w:val="000000"/>
                <w:sz w:val="14"/>
                <w:szCs w:val="14"/>
                <w:lang w:val="es-MX" w:eastAsia="es-MX"/>
              </w:rPr>
              <w:t>3.7 p.p.</w:t>
            </w:r>
          </w:p>
        </w:tc>
        <w:tc>
          <w:tcPr>
            <w:tcW w:w="0" w:type="auto"/>
            <w:shd w:val="clear" w:color="auto" w:fill="auto"/>
            <w:noWrap/>
            <w:vAlign w:val="center"/>
          </w:tcPr>
          <w:p w:rsidRPr="007A0E5D" w:rsidR="0048361D" w:rsidP="00EF01A4" w:rsidRDefault="0048361D" w14:paraId="6DB3CB31" w14:textId="3A98E86B">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Matriz de resultados</w:t>
            </w:r>
            <w:r>
              <w:rPr>
                <w:rFonts w:ascii="Arial" w:hAnsi="Arial" w:eastAsia="Times New Roman" w:cs="Arial"/>
                <w:color w:val="000000"/>
                <w:sz w:val="14"/>
                <w:szCs w:val="14"/>
                <w:lang w:val="es-MX" w:eastAsia="es-MX"/>
              </w:rPr>
              <w:t xml:space="preserve"> del Proyecto</w:t>
            </w:r>
          </w:p>
        </w:tc>
      </w:tr>
      <w:tr w:rsidRPr="006E463F" w:rsidR="0048361D" w:rsidTr="00EF01A4" w14:paraId="67C53095" w14:textId="77777777">
        <w:trPr>
          <w:trHeight w:val="260"/>
          <w:jc w:val="center"/>
        </w:trPr>
        <w:tc>
          <w:tcPr>
            <w:tcW w:w="2065" w:type="dxa"/>
            <w:vMerge/>
            <w:vAlign w:val="center"/>
            <w:hideMark/>
          </w:tcPr>
          <w:p w:rsidRPr="007A0E5D" w:rsidR="0048361D" w:rsidP="00EF01A4" w:rsidRDefault="0048361D" w14:paraId="3A878343" w14:textId="77777777">
            <w:pPr>
              <w:spacing w:after="0" w:line="240" w:lineRule="auto"/>
              <w:rPr>
                <w:rFonts w:ascii="Arial" w:hAnsi="Arial" w:eastAsia="Times New Roman" w:cs="Arial"/>
                <w:color w:val="000000"/>
                <w:sz w:val="14"/>
                <w:szCs w:val="14"/>
                <w:lang w:val="es-MX" w:eastAsia="es-MX"/>
              </w:rPr>
            </w:pPr>
          </w:p>
        </w:tc>
        <w:tc>
          <w:tcPr>
            <w:tcW w:w="2610" w:type="dxa"/>
            <w:shd w:val="clear" w:color="auto" w:fill="auto"/>
            <w:noWrap/>
            <w:vAlign w:val="center"/>
            <w:hideMark/>
          </w:tcPr>
          <w:p w:rsidRPr="007A0E5D" w:rsidR="0048361D" w:rsidP="00EF01A4" w:rsidRDefault="0048361D" w14:paraId="7BC36273"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Tipo de cambio</w:t>
            </w:r>
          </w:p>
        </w:tc>
        <w:tc>
          <w:tcPr>
            <w:tcW w:w="2162" w:type="dxa"/>
            <w:shd w:val="clear" w:color="auto" w:fill="auto"/>
            <w:vAlign w:val="center"/>
            <w:hideMark/>
          </w:tcPr>
          <w:p w:rsidRPr="007A0E5D" w:rsidR="0048361D" w:rsidP="00EF01A4" w:rsidRDefault="0048361D" w14:paraId="11A4D010"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$611.75 colones por dólar</w:t>
            </w:r>
          </w:p>
        </w:tc>
        <w:tc>
          <w:tcPr>
            <w:tcW w:w="0" w:type="auto"/>
            <w:shd w:val="clear" w:color="auto" w:fill="auto"/>
            <w:noWrap/>
            <w:vAlign w:val="center"/>
            <w:hideMark/>
          </w:tcPr>
          <w:p w:rsidRPr="007A0E5D" w:rsidR="0048361D" w:rsidP="00EF01A4" w:rsidRDefault="0048361D" w14:paraId="7ACEBA12"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Banco Central de Costa Rica</w:t>
            </w:r>
          </w:p>
        </w:tc>
      </w:tr>
      <w:tr w:rsidRPr="007A0E5D" w:rsidR="0048361D" w:rsidTr="00EF01A4" w14:paraId="3E6981CF" w14:textId="77777777">
        <w:trPr>
          <w:trHeight w:val="260"/>
          <w:jc w:val="center"/>
        </w:trPr>
        <w:tc>
          <w:tcPr>
            <w:tcW w:w="2065" w:type="dxa"/>
            <w:vMerge/>
            <w:vAlign w:val="center"/>
            <w:hideMark/>
          </w:tcPr>
          <w:p w:rsidRPr="007A0E5D" w:rsidR="0048361D" w:rsidP="00EF01A4" w:rsidRDefault="0048361D" w14:paraId="12E5C1A3" w14:textId="77777777">
            <w:pPr>
              <w:spacing w:after="0" w:line="240" w:lineRule="auto"/>
              <w:rPr>
                <w:rFonts w:ascii="Arial" w:hAnsi="Arial" w:eastAsia="Times New Roman" w:cs="Arial"/>
                <w:color w:val="000000"/>
                <w:sz w:val="14"/>
                <w:szCs w:val="14"/>
                <w:lang w:val="es-MX" w:eastAsia="es-MX"/>
              </w:rPr>
            </w:pPr>
          </w:p>
        </w:tc>
        <w:tc>
          <w:tcPr>
            <w:tcW w:w="2610" w:type="dxa"/>
            <w:shd w:val="clear" w:color="auto" w:fill="auto"/>
            <w:noWrap/>
            <w:vAlign w:val="center"/>
            <w:hideMark/>
          </w:tcPr>
          <w:p w:rsidRPr="007A0E5D" w:rsidR="0048361D" w:rsidP="00EF01A4" w:rsidRDefault="0048361D" w14:paraId="13424736"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PIB de Costa Rica</w:t>
            </w:r>
          </w:p>
        </w:tc>
        <w:tc>
          <w:tcPr>
            <w:tcW w:w="2162" w:type="dxa"/>
            <w:shd w:val="clear" w:color="auto" w:fill="auto"/>
            <w:vAlign w:val="center"/>
            <w:hideMark/>
          </w:tcPr>
          <w:p w:rsidRPr="007A0E5D" w:rsidR="0048361D" w:rsidP="00EF01A4" w:rsidRDefault="0048361D" w14:paraId="70B2908C"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Serie para Costa Rica</w:t>
            </w:r>
          </w:p>
        </w:tc>
        <w:tc>
          <w:tcPr>
            <w:tcW w:w="0" w:type="auto"/>
            <w:shd w:val="clear" w:color="auto" w:fill="auto"/>
            <w:noWrap/>
            <w:vAlign w:val="center"/>
            <w:hideMark/>
          </w:tcPr>
          <w:p w:rsidRPr="007A0E5D" w:rsidR="0048361D" w:rsidP="00EF01A4" w:rsidRDefault="0048361D" w14:paraId="0D6031F7"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FMI</w:t>
            </w:r>
          </w:p>
        </w:tc>
      </w:tr>
      <w:tr w:rsidRPr="007A0E5D" w:rsidR="0048361D" w:rsidTr="00EF01A4" w14:paraId="54A652F4" w14:textId="77777777">
        <w:trPr>
          <w:trHeight w:val="260"/>
          <w:jc w:val="center"/>
        </w:trPr>
        <w:tc>
          <w:tcPr>
            <w:tcW w:w="2065" w:type="dxa"/>
            <w:vMerge/>
            <w:vAlign w:val="center"/>
            <w:hideMark/>
          </w:tcPr>
          <w:p w:rsidRPr="007A0E5D" w:rsidR="0048361D" w:rsidP="00EF01A4" w:rsidRDefault="0048361D" w14:paraId="70A5BB10" w14:textId="77777777">
            <w:pPr>
              <w:spacing w:after="0" w:line="240" w:lineRule="auto"/>
              <w:rPr>
                <w:rFonts w:ascii="Arial" w:hAnsi="Arial" w:eastAsia="Times New Roman" w:cs="Arial"/>
                <w:color w:val="000000"/>
                <w:sz w:val="14"/>
                <w:szCs w:val="14"/>
                <w:lang w:val="es-MX" w:eastAsia="es-MX"/>
              </w:rPr>
            </w:pPr>
          </w:p>
        </w:tc>
        <w:tc>
          <w:tcPr>
            <w:tcW w:w="2610" w:type="dxa"/>
            <w:shd w:val="clear" w:color="auto" w:fill="auto"/>
            <w:noWrap/>
            <w:vAlign w:val="center"/>
            <w:hideMark/>
          </w:tcPr>
          <w:p w:rsidRPr="007A0E5D" w:rsidR="0048361D" w:rsidP="00EF01A4" w:rsidRDefault="0048361D" w14:paraId="21063EFD"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Tasa de descuento</w:t>
            </w:r>
          </w:p>
        </w:tc>
        <w:tc>
          <w:tcPr>
            <w:tcW w:w="2162" w:type="dxa"/>
            <w:shd w:val="clear" w:color="auto" w:fill="auto"/>
            <w:vAlign w:val="center"/>
            <w:hideMark/>
          </w:tcPr>
          <w:p w:rsidRPr="007A0E5D" w:rsidR="0048361D" w:rsidP="00EF01A4" w:rsidRDefault="0048361D" w14:paraId="07AB323A"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12%</w:t>
            </w:r>
          </w:p>
        </w:tc>
        <w:tc>
          <w:tcPr>
            <w:tcW w:w="0" w:type="auto"/>
            <w:shd w:val="clear" w:color="auto" w:fill="auto"/>
            <w:noWrap/>
            <w:vAlign w:val="center"/>
            <w:hideMark/>
          </w:tcPr>
          <w:p w:rsidRPr="007A0E5D" w:rsidR="0048361D" w:rsidP="00EF01A4" w:rsidRDefault="0048361D" w14:paraId="4DB28508"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BID</w:t>
            </w:r>
          </w:p>
        </w:tc>
      </w:tr>
      <w:tr w:rsidRPr="007A0E5D" w:rsidR="0048361D" w:rsidTr="002D1E9B" w14:paraId="448F9A95" w14:textId="77777777">
        <w:trPr>
          <w:trHeight w:val="310"/>
          <w:jc w:val="center"/>
        </w:trPr>
        <w:tc>
          <w:tcPr>
            <w:tcW w:w="0" w:type="auto"/>
            <w:gridSpan w:val="4"/>
            <w:shd w:val="clear" w:color="auto" w:fill="auto"/>
            <w:noWrap/>
            <w:vAlign w:val="center"/>
            <w:hideMark/>
          </w:tcPr>
          <w:p w:rsidRPr="007A0E5D" w:rsidR="0048361D" w:rsidP="00EF01A4" w:rsidRDefault="0048361D" w14:paraId="0BC94CAF" w14:textId="77777777">
            <w:pPr>
              <w:spacing w:after="0" w:line="240" w:lineRule="auto"/>
              <w:jc w:val="center"/>
              <w:rPr>
                <w:rFonts w:ascii="Arial" w:hAnsi="Arial" w:eastAsia="Times New Roman" w:cs="Arial"/>
                <w:b/>
                <w:bCs/>
                <w:color w:val="000000"/>
                <w:sz w:val="14"/>
                <w:szCs w:val="14"/>
                <w:lang w:val="es-MX" w:eastAsia="es-MX"/>
              </w:rPr>
            </w:pPr>
            <w:r w:rsidRPr="007A0E5D">
              <w:rPr>
                <w:rFonts w:ascii="Arial" w:hAnsi="Arial" w:eastAsia="Times New Roman" w:cs="Arial"/>
                <w:b/>
                <w:bCs/>
                <w:color w:val="000000"/>
                <w:sz w:val="14"/>
                <w:szCs w:val="14"/>
                <w:lang w:val="es-MX" w:eastAsia="es-MX"/>
              </w:rPr>
              <w:t>Componente 1</w:t>
            </w:r>
          </w:p>
        </w:tc>
      </w:tr>
      <w:tr w:rsidRPr="007A0E5D" w:rsidR="0048361D" w:rsidTr="00EF01A4" w14:paraId="603849E3" w14:textId="77777777">
        <w:trPr>
          <w:trHeight w:val="575"/>
          <w:jc w:val="center"/>
        </w:trPr>
        <w:tc>
          <w:tcPr>
            <w:tcW w:w="2065" w:type="dxa"/>
            <w:shd w:val="clear" w:color="auto" w:fill="auto"/>
            <w:vAlign w:val="center"/>
            <w:hideMark/>
          </w:tcPr>
          <w:p w:rsidRPr="007A0E5D" w:rsidR="0048361D" w:rsidP="00EF01A4" w:rsidRDefault="0048361D" w14:paraId="542A2B22"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Ahorro en sistema penitenciario por reducción de homicidios y asaltos</w:t>
            </w:r>
          </w:p>
        </w:tc>
        <w:tc>
          <w:tcPr>
            <w:tcW w:w="2610" w:type="dxa"/>
            <w:shd w:val="clear" w:color="auto" w:fill="auto"/>
            <w:vAlign w:val="center"/>
            <w:hideMark/>
          </w:tcPr>
          <w:p w:rsidRPr="007A0E5D" w:rsidR="0048361D" w:rsidP="00EF01A4" w:rsidRDefault="0048361D" w14:paraId="70C58B7E"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Costo por día por persona recluida en centro penitenciario</w:t>
            </w:r>
          </w:p>
        </w:tc>
        <w:tc>
          <w:tcPr>
            <w:tcW w:w="2162" w:type="dxa"/>
            <w:shd w:val="clear" w:color="auto" w:fill="auto"/>
            <w:noWrap/>
            <w:vAlign w:val="center"/>
            <w:hideMark/>
          </w:tcPr>
          <w:p w:rsidRPr="007A0E5D" w:rsidR="0048361D" w:rsidP="00EF01A4" w:rsidRDefault="0048361D" w14:paraId="6585604D"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$32 dólares</w:t>
            </w:r>
          </w:p>
        </w:tc>
        <w:tc>
          <w:tcPr>
            <w:tcW w:w="0" w:type="auto"/>
            <w:shd w:val="clear" w:color="auto" w:fill="auto"/>
            <w:noWrap/>
            <w:vAlign w:val="center"/>
            <w:hideMark/>
          </w:tcPr>
          <w:p w:rsidRPr="007A0E5D" w:rsidR="0048361D" w:rsidP="00EF01A4" w:rsidRDefault="0048361D" w14:paraId="48CC49CE" w14:textId="77777777">
            <w:pPr>
              <w:spacing w:after="0" w:line="240" w:lineRule="auto"/>
              <w:rPr>
                <w:rFonts w:ascii="Arial" w:hAnsi="Arial" w:eastAsia="Times New Roman" w:cs="Arial"/>
                <w:color w:val="000000"/>
                <w:sz w:val="14"/>
                <w:szCs w:val="14"/>
                <w:lang w:val="es-MX" w:eastAsia="es-MX"/>
              </w:rPr>
            </w:pPr>
            <w:proofErr w:type="gramStart"/>
            <w:r w:rsidRPr="007A0E5D">
              <w:rPr>
                <w:rFonts w:ascii="Arial" w:hAnsi="Arial" w:eastAsia="Times New Roman" w:cs="Arial"/>
                <w:color w:val="000000"/>
                <w:sz w:val="14"/>
                <w:szCs w:val="14"/>
                <w:lang w:val="es-MX" w:eastAsia="es-MX"/>
              </w:rPr>
              <w:t>Vice Ministerio</w:t>
            </w:r>
            <w:proofErr w:type="gramEnd"/>
            <w:r w:rsidRPr="007A0E5D">
              <w:rPr>
                <w:rFonts w:ascii="Arial" w:hAnsi="Arial" w:eastAsia="Times New Roman" w:cs="Arial"/>
                <w:color w:val="000000"/>
                <w:sz w:val="14"/>
                <w:szCs w:val="14"/>
                <w:lang w:val="es-MX" w:eastAsia="es-MX"/>
              </w:rPr>
              <w:t xml:space="preserve"> de Paz</w:t>
            </w:r>
          </w:p>
        </w:tc>
      </w:tr>
      <w:tr w:rsidRPr="007A0E5D" w:rsidR="0048361D" w:rsidTr="00EF01A4" w14:paraId="306AB3EA" w14:textId="77777777">
        <w:trPr>
          <w:trHeight w:val="440"/>
          <w:jc w:val="center"/>
        </w:trPr>
        <w:tc>
          <w:tcPr>
            <w:tcW w:w="2065" w:type="dxa"/>
            <w:shd w:val="clear" w:color="auto" w:fill="auto"/>
            <w:vAlign w:val="center"/>
            <w:hideMark/>
          </w:tcPr>
          <w:p w:rsidRPr="007A0E5D" w:rsidR="0048361D" w:rsidP="00EF01A4" w:rsidRDefault="0048361D" w14:paraId="6A777270"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Costo social de asaltos</w:t>
            </w:r>
          </w:p>
        </w:tc>
        <w:tc>
          <w:tcPr>
            <w:tcW w:w="2610" w:type="dxa"/>
            <w:shd w:val="clear" w:color="auto" w:fill="auto"/>
            <w:vAlign w:val="center"/>
            <w:hideMark/>
          </w:tcPr>
          <w:p w:rsidRPr="007A0E5D" w:rsidR="0048361D" w:rsidP="00EF01A4" w:rsidRDefault="0048361D" w14:paraId="036E1EE3"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Valor de la propiedad robada y costos intangibles para las víctimas</w:t>
            </w:r>
          </w:p>
        </w:tc>
        <w:tc>
          <w:tcPr>
            <w:tcW w:w="2162" w:type="dxa"/>
            <w:shd w:val="clear" w:color="auto" w:fill="auto"/>
            <w:noWrap/>
            <w:vAlign w:val="center"/>
            <w:hideMark/>
          </w:tcPr>
          <w:p w:rsidRPr="007A0E5D" w:rsidR="0048361D" w:rsidP="00EF01A4" w:rsidRDefault="0048361D" w14:paraId="32A3A908" w14:textId="7F2FA528">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ES" w:eastAsia="es-MX"/>
              </w:rPr>
              <w:t>$529 dólares</w:t>
            </w:r>
          </w:p>
        </w:tc>
        <w:tc>
          <w:tcPr>
            <w:tcW w:w="0" w:type="auto"/>
            <w:shd w:val="clear" w:color="auto" w:fill="auto"/>
            <w:vAlign w:val="center"/>
            <w:hideMark/>
          </w:tcPr>
          <w:p w:rsidRPr="007A0E5D" w:rsidR="0048361D" w:rsidP="00EF01A4" w:rsidRDefault="0048361D" w14:paraId="4B986515" w14:textId="77777777">
            <w:pPr>
              <w:spacing w:after="0" w:line="240" w:lineRule="auto"/>
              <w:rPr>
                <w:rFonts w:ascii="Arial" w:hAnsi="Arial" w:eastAsia="Times New Roman" w:cs="Arial"/>
                <w:color w:val="000000"/>
                <w:sz w:val="14"/>
                <w:szCs w:val="14"/>
                <w:lang w:val="es-MX" w:eastAsia="es-MX"/>
              </w:rPr>
            </w:pPr>
            <w:proofErr w:type="spellStart"/>
            <w:r w:rsidRPr="007A0E5D">
              <w:rPr>
                <w:rFonts w:ascii="Arial" w:hAnsi="Arial" w:eastAsia="Times New Roman" w:cs="Arial"/>
                <w:color w:val="000000"/>
                <w:sz w:val="14"/>
                <w:szCs w:val="14"/>
                <w:lang w:val="es-ES" w:eastAsia="es-MX"/>
              </w:rPr>
              <w:t>McCollister</w:t>
            </w:r>
            <w:proofErr w:type="spellEnd"/>
            <w:r w:rsidRPr="007A0E5D">
              <w:rPr>
                <w:rFonts w:ascii="Arial" w:hAnsi="Arial" w:eastAsia="Times New Roman" w:cs="Arial"/>
                <w:color w:val="000000"/>
                <w:sz w:val="14"/>
                <w:szCs w:val="14"/>
                <w:lang w:val="es-ES" w:eastAsia="es-MX"/>
              </w:rPr>
              <w:t xml:space="preserve">, French, y </w:t>
            </w:r>
            <w:proofErr w:type="spellStart"/>
            <w:r w:rsidRPr="007A0E5D">
              <w:rPr>
                <w:rFonts w:ascii="Arial" w:hAnsi="Arial" w:eastAsia="Times New Roman" w:cs="Arial"/>
                <w:color w:val="000000"/>
                <w:sz w:val="14"/>
                <w:szCs w:val="14"/>
                <w:lang w:val="es-ES" w:eastAsia="es-MX"/>
              </w:rPr>
              <w:t>Fang</w:t>
            </w:r>
            <w:proofErr w:type="spellEnd"/>
            <w:r w:rsidRPr="007A0E5D">
              <w:rPr>
                <w:rFonts w:ascii="Arial" w:hAnsi="Arial" w:eastAsia="Times New Roman" w:cs="Arial"/>
                <w:color w:val="000000"/>
                <w:sz w:val="14"/>
                <w:szCs w:val="14"/>
                <w:lang w:val="es-ES" w:eastAsia="es-MX"/>
              </w:rPr>
              <w:t xml:space="preserve"> (2010)</w:t>
            </w:r>
          </w:p>
        </w:tc>
      </w:tr>
      <w:tr w:rsidRPr="007A0E5D" w:rsidR="0048361D" w:rsidTr="00EF01A4" w14:paraId="75AF3988" w14:textId="77777777">
        <w:trPr>
          <w:trHeight w:val="710"/>
          <w:jc w:val="center"/>
        </w:trPr>
        <w:tc>
          <w:tcPr>
            <w:tcW w:w="2065" w:type="dxa"/>
            <w:shd w:val="clear" w:color="auto" w:fill="auto"/>
            <w:vAlign w:val="center"/>
            <w:hideMark/>
          </w:tcPr>
          <w:p w:rsidRPr="007A0E5D" w:rsidR="0048361D" w:rsidP="00EF01A4" w:rsidRDefault="0048361D" w14:paraId="0884F752"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Porcentaje de condenas del sistema judicial de Costa Rica</w:t>
            </w:r>
          </w:p>
        </w:tc>
        <w:tc>
          <w:tcPr>
            <w:tcW w:w="2610" w:type="dxa"/>
            <w:shd w:val="clear" w:color="auto" w:fill="auto"/>
            <w:vAlign w:val="center"/>
            <w:hideMark/>
          </w:tcPr>
          <w:p w:rsidRPr="007A0E5D" w:rsidR="0048361D" w:rsidP="00EF01A4" w:rsidRDefault="0048361D" w14:paraId="7010BA0F"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Del total de personas que un cometieron delito de robo u homicidio solo un % va a la cárcel luego de pasar por el proceso judicial</w:t>
            </w:r>
          </w:p>
        </w:tc>
        <w:tc>
          <w:tcPr>
            <w:tcW w:w="2162" w:type="dxa"/>
            <w:shd w:val="clear" w:color="auto" w:fill="auto"/>
            <w:noWrap/>
            <w:vAlign w:val="center"/>
            <w:hideMark/>
          </w:tcPr>
          <w:p w:rsidRPr="007A0E5D" w:rsidR="0048361D" w:rsidP="00EF01A4" w:rsidRDefault="0048361D" w14:paraId="4CBED745"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7%</w:t>
            </w:r>
          </w:p>
        </w:tc>
        <w:tc>
          <w:tcPr>
            <w:tcW w:w="0" w:type="auto"/>
            <w:shd w:val="clear" w:color="auto" w:fill="auto"/>
            <w:noWrap/>
            <w:vAlign w:val="center"/>
            <w:hideMark/>
          </w:tcPr>
          <w:p w:rsidRPr="007A0E5D" w:rsidR="0048361D" w:rsidP="00EF01A4" w:rsidRDefault="0048361D" w14:paraId="50555BCA"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ES" w:eastAsia="es-MX"/>
              </w:rPr>
              <w:t>Informe de la Justicia (2017)</w:t>
            </w:r>
          </w:p>
        </w:tc>
      </w:tr>
      <w:tr w:rsidRPr="00EF01A4" w:rsidR="0048361D" w:rsidTr="00EF01A4" w14:paraId="11D762DA" w14:textId="77777777">
        <w:trPr>
          <w:trHeight w:val="1070"/>
          <w:jc w:val="center"/>
        </w:trPr>
        <w:tc>
          <w:tcPr>
            <w:tcW w:w="2065" w:type="dxa"/>
            <w:vMerge w:val="restart"/>
            <w:shd w:val="clear" w:color="auto" w:fill="auto"/>
            <w:vAlign w:val="center"/>
            <w:hideMark/>
          </w:tcPr>
          <w:p w:rsidRPr="007A0E5D" w:rsidR="0048361D" w:rsidP="00EF01A4" w:rsidRDefault="0048361D" w14:paraId="5E3F1ED9"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Ahorro en pérdidas de productividad por la privación de la libertad</w:t>
            </w:r>
          </w:p>
        </w:tc>
        <w:tc>
          <w:tcPr>
            <w:tcW w:w="2610" w:type="dxa"/>
            <w:vMerge w:val="restart"/>
            <w:shd w:val="clear" w:color="auto" w:fill="auto"/>
            <w:vAlign w:val="center"/>
            <w:hideMark/>
          </w:tcPr>
          <w:p w:rsidRPr="007A0E5D" w:rsidR="0048361D" w:rsidP="00EF01A4" w:rsidRDefault="0048361D" w14:paraId="368F6232"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Las pérdidas de productividad se aproximan a través de la pérdida del ingreso laboral -utilizando el salario mínimo- que las personas privadas de libertad dejan de percibir como resultado de estar incapacitados en la cárcel. Estas pérdidas se calculan para el porcentaje de la población recluida que trabajaba antes de la detención</w:t>
            </w:r>
          </w:p>
        </w:tc>
        <w:tc>
          <w:tcPr>
            <w:tcW w:w="2162" w:type="dxa"/>
            <w:shd w:val="clear" w:color="auto" w:fill="auto"/>
            <w:vAlign w:val="center"/>
            <w:hideMark/>
          </w:tcPr>
          <w:p w:rsidRPr="007A0E5D" w:rsidR="0048361D" w:rsidP="00EF01A4" w:rsidRDefault="0048361D" w14:paraId="35B6D934"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$309,143.11 colones mensuales</w:t>
            </w:r>
          </w:p>
        </w:tc>
        <w:tc>
          <w:tcPr>
            <w:tcW w:w="0" w:type="auto"/>
            <w:shd w:val="clear" w:color="auto" w:fill="auto"/>
            <w:vAlign w:val="center"/>
            <w:hideMark/>
          </w:tcPr>
          <w:p w:rsidRPr="007A0E5D" w:rsidR="0048361D" w:rsidP="00EF01A4" w:rsidRDefault="0048361D" w14:paraId="42B76CD8"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ES" w:eastAsia="es-MX"/>
              </w:rPr>
              <w:t xml:space="preserve">Ministerio del Trabajo y Seguridad Social </w:t>
            </w:r>
          </w:p>
        </w:tc>
      </w:tr>
      <w:tr w:rsidRPr="00EF01A4" w:rsidR="0048361D" w:rsidTr="00EF01A4" w14:paraId="52DBC0F1" w14:textId="77777777">
        <w:trPr>
          <w:trHeight w:val="395"/>
          <w:jc w:val="center"/>
        </w:trPr>
        <w:tc>
          <w:tcPr>
            <w:tcW w:w="2065" w:type="dxa"/>
            <w:vMerge/>
            <w:vAlign w:val="center"/>
            <w:hideMark/>
          </w:tcPr>
          <w:p w:rsidRPr="007A0E5D" w:rsidR="0048361D" w:rsidP="00EF01A4" w:rsidRDefault="0048361D" w14:paraId="0EF80A82" w14:textId="77777777">
            <w:pPr>
              <w:spacing w:after="0" w:line="240" w:lineRule="auto"/>
              <w:rPr>
                <w:rFonts w:ascii="Arial" w:hAnsi="Arial" w:eastAsia="Times New Roman" w:cs="Arial"/>
                <w:color w:val="000000"/>
                <w:sz w:val="14"/>
                <w:szCs w:val="14"/>
                <w:lang w:val="es-MX" w:eastAsia="es-MX"/>
              </w:rPr>
            </w:pPr>
          </w:p>
        </w:tc>
        <w:tc>
          <w:tcPr>
            <w:tcW w:w="2610" w:type="dxa"/>
            <w:vMerge/>
            <w:vAlign w:val="center"/>
            <w:hideMark/>
          </w:tcPr>
          <w:p w:rsidRPr="007A0E5D" w:rsidR="0048361D" w:rsidP="00EF01A4" w:rsidRDefault="0048361D" w14:paraId="5CB7D160" w14:textId="77777777">
            <w:pPr>
              <w:spacing w:after="0" w:line="240" w:lineRule="auto"/>
              <w:rPr>
                <w:rFonts w:ascii="Arial" w:hAnsi="Arial" w:eastAsia="Times New Roman" w:cs="Arial"/>
                <w:color w:val="000000"/>
                <w:sz w:val="14"/>
                <w:szCs w:val="14"/>
                <w:lang w:val="es-MX" w:eastAsia="es-MX"/>
              </w:rPr>
            </w:pPr>
          </w:p>
        </w:tc>
        <w:tc>
          <w:tcPr>
            <w:tcW w:w="2162" w:type="dxa"/>
            <w:shd w:val="clear" w:color="auto" w:fill="auto"/>
            <w:noWrap/>
            <w:vAlign w:val="center"/>
            <w:hideMark/>
          </w:tcPr>
          <w:p w:rsidRPr="007A0E5D" w:rsidR="0048361D" w:rsidP="00EF01A4" w:rsidRDefault="0048361D" w14:paraId="12E839E7"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56%</w:t>
            </w:r>
          </w:p>
        </w:tc>
        <w:tc>
          <w:tcPr>
            <w:tcW w:w="0" w:type="auto"/>
            <w:shd w:val="clear" w:color="auto" w:fill="auto"/>
            <w:vAlign w:val="center"/>
            <w:hideMark/>
          </w:tcPr>
          <w:p w:rsidRPr="007A0E5D" w:rsidR="0048361D" w:rsidP="00EF01A4" w:rsidRDefault="0048361D" w14:paraId="72020737"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Encuesta de las Personas Privadas de Libertad de Costa Rica de 2017</w:t>
            </w:r>
          </w:p>
        </w:tc>
      </w:tr>
      <w:tr w:rsidRPr="00EF01A4" w:rsidR="0048361D" w:rsidTr="00EF01A4" w14:paraId="1235D12E" w14:textId="77777777">
        <w:trPr>
          <w:trHeight w:val="569"/>
          <w:jc w:val="center"/>
        </w:trPr>
        <w:tc>
          <w:tcPr>
            <w:tcW w:w="2065" w:type="dxa"/>
            <w:shd w:val="clear" w:color="auto" w:fill="auto"/>
            <w:vAlign w:val="center"/>
            <w:hideMark/>
          </w:tcPr>
          <w:p w:rsidRPr="007A0E5D" w:rsidR="0048361D" w:rsidP="00EF01A4" w:rsidRDefault="0048361D" w14:paraId="5385B00C"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Costo social de un homicidio</w:t>
            </w:r>
          </w:p>
        </w:tc>
        <w:tc>
          <w:tcPr>
            <w:tcW w:w="2610" w:type="dxa"/>
            <w:shd w:val="clear" w:color="auto" w:fill="auto"/>
            <w:vAlign w:val="center"/>
            <w:hideMark/>
          </w:tcPr>
          <w:p w:rsidRPr="0048361D" w:rsidR="0048361D" w:rsidP="00EF01A4" w:rsidRDefault="0048361D" w14:paraId="4ABF95AC" w14:textId="66D0F029">
            <w:pPr>
              <w:spacing w:after="0" w:line="240" w:lineRule="auto"/>
              <w:rPr>
                <w:rFonts w:ascii="Arial" w:hAnsi="Arial" w:eastAsia="Times New Roman" w:cs="Arial"/>
                <w:color w:val="000000"/>
                <w:sz w:val="14"/>
                <w:szCs w:val="14"/>
                <w:lang w:val="es-ES" w:eastAsia="es-MX"/>
              </w:rPr>
            </w:pPr>
            <w:r w:rsidRPr="007A0E5D">
              <w:rPr>
                <w:rFonts w:ascii="Arial" w:hAnsi="Arial" w:eastAsia="Times New Roman" w:cs="Arial"/>
                <w:color w:val="000000"/>
                <w:sz w:val="14"/>
                <w:szCs w:val="14"/>
                <w:lang w:val="es-MX" w:eastAsia="es-MX"/>
              </w:rPr>
              <w:t>Valor intangible de la pérdida de la vida humana y valor de la pérdida de productividad de la víctima</w:t>
            </w:r>
            <w:r>
              <w:rPr>
                <w:rFonts w:ascii="Arial" w:hAnsi="Arial" w:eastAsia="Times New Roman" w:cs="Arial"/>
                <w:color w:val="000000"/>
                <w:sz w:val="14"/>
                <w:szCs w:val="14"/>
                <w:lang w:val="es-MX" w:eastAsia="es-MX"/>
              </w:rPr>
              <w:t xml:space="preserve"> medido como el </w:t>
            </w:r>
            <w:r w:rsidRPr="0048361D">
              <w:rPr>
                <w:rFonts w:ascii="Arial" w:hAnsi="Arial" w:eastAsia="Times New Roman" w:cs="Arial"/>
                <w:color w:val="000000"/>
                <w:sz w:val="14"/>
                <w:szCs w:val="14"/>
                <w:lang w:val="es-MX" w:eastAsia="es-MX"/>
              </w:rPr>
              <w:t xml:space="preserve">ingreso no percibido </w:t>
            </w:r>
            <w:r>
              <w:rPr>
                <w:rFonts w:ascii="Arial" w:hAnsi="Arial" w:eastAsia="Times New Roman" w:cs="Arial"/>
                <w:color w:val="000000"/>
                <w:sz w:val="14"/>
                <w:szCs w:val="14"/>
                <w:lang w:val="es-MX" w:eastAsia="es-MX"/>
              </w:rPr>
              <w:t xml:space="preserve">durante </w:t>
            </w:r>
            <w:r w:rsidRPr="0048361D">
              <w:rPr>
                <w:rFonts w:ascii="Arial" w:hAnsi="Arial" w:eastAsia="Times New Roman" w:cs="Arial"/>
                <w:color w:val="000000"/>
                <w:sz w:val="14"/>
                <w:szCs w:val="14"/>
                <w:lang w:val="es-MX" w:eastAsia="es-MX"/>
              </w:rPr>
              <w:t>el número de años de vida potencialmente perdidos a causa de la muerte intencional</w:t>
            </w:r>
          </w:p>
        </w:tc>
        <w:tc>
          <w:tcPr>
            <w:tcW w:w="2162" w:type="dxa"/>
            <w:shd w:val="clear" w:color="auto" w:fill="auto"/>
            <w:noWrap/>
            <w:vAlign w:val="center"/>
            <w:hideMark/>
          </w:tcPr>
          <w:p w:rsidRPr="007A0E5D" w:rsidR="0048361D" w:rsidP="00EF01A4" w:rsidRDefault="0048361D" w14:paraId="32DDD51B"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0.18% del PIB</w:t>
            </w:r>
          </w:p>
        </w:tc>
        <w:tc>
          <w:tcPr>
            <w:tcW w:w="0" w:type="auto"/>
            <w:shd w:val="clear" w:color="auto" w:fill="auto"/>
            <w:vAlign w:val="center"/>
            <w:hideMark/>
          </w:tcPr>
          <w:p w:rsidRPr="007A0E5D" w:rsidR="0048361D" w:rsidP="00EF01A4" w:rsidRDefault="0048361D" w14:paraId="03453CB0"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Jaitman (2017) estimación para Costa Rica</w:t>
            </w:r>
          </w:p>
        </w:tc>
      </w:tr>
      <w:tr w:rsidRPr="00EF01A4" w:rsidR="0048361D" w:rsidTr="00EF01A4" w14:paraId="45F8282A" w14:textId="77777777">
        <w:trPr>
          <w:trHeight w:val="832"/>
          <w:jc w:val="center"/>
        </w:trPr>
        <w:tc>
          <w:tcPr>
            <w:tcW w:w="2065" w:type="dxa"/>
            <w:shd w:val="clear" w:color="auto" w:fill="auto"/>
            <w:vAlign w:val="center"/>
            <w:hideMark/>
          </w:tcPr>
          <w:p w:rsidRPr="007A0E5D" w:rsidR="0048361D" w:rsidP="00EF01A4" w:rsidRDefault="0048361D" w14:paraId="35A68FC1"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 xml:space="preserve">Condenas para homicidios y asaltos </w:t>
            </w:r>
          </w:p>
        </w:tc>
        <w:tc>
          <w:tcPr>
            <w:tcW w:w="2610" w:type="dxa"/>
            <w:shd w:val="clear" w:color="auto" w:fill="auto"/>
            <w:vAlign w:val="center"/>
            <w:hideMark/>
          </w:tcPr>
          <w:p w:rsidRPr="007A0E5D" w:rsidR="0048361D" w:rsidP="00EF01A4" w:rsidRDefault="0048361D" w14:paraId="51E5B8E0"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Ahorro en pérdidas de productividad y ahorro en gasto penitenciario se calculan para la duración de la condena</w:t>
            </w:r>
          </w:p>
        </w:tc>
        <w:tc>
          <w:tcPr>
            <w:tcW w:w="2162" w:type="dxa"/>
            <w:shd w:val="clear" w:color="auto" w:fill="auto"/>
            <w:vAlign w:val="center"/>
            <w:hideMark/>
          </w:tcPr>
          <w:p w:rsidRPr="007A0E5D" w:rsidR="0048361D" w:rsidP="00EF01A4" w:rsidRDefault="0048361D" w14:paraId="74F25A70"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12 años de pena mínima para homicidio simple y 5 años de pena mínima para robo agravado</w:t>
            </w:r>
          </w:p>
        </w:tc>
        <w:tc>
          <w:tcPr>
            <w:tcW w:w="0" w:type="auto"/>
            <w:shd w:val="clear" w:color="auto" w:fill="auto"/>
            <w:vAlign w:val="center"/>
            <w:hideMark/>
          </w:tcPr>
          <w:p w:rsidRPr="00AC03ED" w:rsidR="0048361D" w:rsidP="00EF01A4" w:rsidRDefault="0048361D" w14:paraId="10847E91" w14:textId="77777777">
            <w:pPr>
              <w:spacing w:after="0" w:line="240" w:lineRule="auto"/>
              <w:rPr>
                <w:rFonts w:ascii="Arial" w:hAnsi="Arial" w:eastAsia="Times New Roman" w:cs="Arial"/>
                <w:color w:val="000000"/>
                <w:sz w:val="14"/>
                <w:szCs w:val="14"/>
                <w:lang w:val="pt-BR" w:eastAsia="es-MX"/>
              </w:rPr>
            </w:pPr>
            <w:r w:rsidRPr="00AC03ED">
              <w:rPr>
                <w:rFonts w:ascii="Arial" w:hAnsi="Arial" w:eastAsia="Times New Roman" w:cs="Arial"/>
                <w:color w:val="000000"/>
                <w:sz w:val="14"/>
                <w:szCs w:val="14"/>
                <w:lang w:val="pt-BR" w:eastAsia="es-MX"/>
              </w:rPr>
              <w:t>Código Penal de Costa Rica</w:t>
            </w:r>
          </w:p>
        </w:tc>
      </w:tr>
      <w:tr w:rsidRPr="007A0E5D" w:rsidR="0048361D" w:rsidTr="002D1E9B" w14:paraId="444D1BFD" w14:textId="77777777">
        <w:trPr>
          <w:trHeight w:val="290"/>
          <w:jc w:val="center"/>
        </w:trPr>
        <w:tc>
          <w:tcPr>
            <w:tcW w:w="0" w:type="auto"/>
            <w:gridSpan w:val="4"/>
            <w:shd w:val="clear" w:color="auto" w:fill="auto"/>
            <w:noWrap/>
            <w:vAlign w:val="center"/>
            <w:hideMark/>
          </w:tcPr>
          <w:p w:rsidRPr="007A0E5D" w:rsidR="0048361D" w:rsidP="00EF01A4" w:rsidRDefault="0048361D" w14:paraId="5C29A288" w14:textId="77777777">
            <w:pPr>
              <w:spacing w:after="0" w:line="240" w:lineRule="auto"/>
              <w:jc w:val="center"/>
              <w:rPr>
                <w:rFonts w:ascii="Arial" w:hAnsi="Arial" w:eastAsia="Times New Roman" w:cs="Arial"/>
                <w:b/>
                <w:bCs/>
                <w:color w:val="000000"/>
                <w:sz w:val="14"/>
                <w:szCs w:val="14"/>
                <w:lang w:val="es-MX" w:eastAsia="es-MX"/>
              </w:rPr>
            </w:pPr>
            <w:r w:rsidRPr="007A0E5D">
              <w:rPr>
                <w:rFonts w:ascii="Arial" w:hAnsi="Arial" w:eastAsia="Times New Roman" w:cs="Arial"/>
                <w:b/>
                <w:bCs/>
                <w:color w:val="000000"/>
                <w:sz w:val="14"/>
                <w:szCs w:val="14"/>
                <w:lang w:val="es-MX" w:eastAsia="es-MX"/>
              </w:rPr>
              <w:t>Componente 2</w:t>
            </w:r>
          </w:p>
        </w:tc>
      </w:tr>
      <w:tr w:rsidRPr="00EF01A4" w:rsidR="0048361D" w:rsidTr="00EF01A4" w14:paraId="181869E9" w14:textId="77777777">
        <w:trPr>
          <w:trHeight w:val="1448"/>
          <w:jc w:val="center"/>
        </w:trPr>
        <w:tc>
          <w:tcPr>
            <w:tcW w:w="2065" w:type="dxa"/>
            <w:shd w:val="clear" w:color="auto" w:fill="auto"/>
            <w:vAlign w:val="center"/>
            <w:hideMark/>
          </w:tcPr>
          <w:p w:rsidRPr="007A0E5D" w:rsidR="0048361D" w:rsidP="00EF01A4" w:rsidRDefault="0048361D" w14:paraId="5D3797EB" w14:textId="051434AC">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 xml:space="preserve">La reducción de la exclusión escolar de la población beneficiaria de los CCP incrementa el nivel de escolaridad de los beneficiarios, medido a través de </w:t>
            </w:r>
            <w:r>
              <w:rPr>
                <w:rFonts w:ascii="Arial" w:hAnsi="Arial" w:eastAsia="Times New Roman" w:cs="Arial"/>
                <w:color w:val="000000"/>
                <w:sz w:val="14"/>
                <w:szCs w:val="14"/>
                <w:lang w:val="es-MX" w:eastAsia="es-MX"/>
              </w:rPr>
              <w:t>un incremento</w:t>
            </w:r>
            <w:r w:rsidRPr="007A0E5D">
              <w:rPr>
                <w:rFonts w:ascii="Arial" w:hAnsi="Arial" w:eastAsia="Times New Roman" w:cs="Arial"/>
                <w:color w:val="000000"/>
                <w:sz w:val="14"/>
                <w:szCs w:val="14"/>
                <w:lang w:val="es-MX" w:eastAsia="es-MX"/>
              </w:rPr>
              <w:t xml:space="preserve"> en el ingreso laboral como resultado de más años de educación</w:t>
            </w:r>
          </w:p>
        </w:tc>
        <w:tc>
          <w:tcPr>
            <w:tcW w:w="2610" w:type="dxa"/>
            <w:shd w:val="clear" w:color="auto" w:fill="auto"/>
            <w:vAlign w:val="center"/>
            <w:hideMark/>
          </w:tcPr>
          <w:p w:rsidRPr="007A0E5D" w:rsidR="0048361D" w:rsidP="00EF01A4" w:rsidRDefault="0048361D" w14:paraId="38CBF880"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Retorno educativo de educación secundaria respecto a educación primaria</w:t>
            </w:r>
          </w:p>
        </w:tc>
        <w:tc>
          <w:tcPr>
            <w:tcW w:w="2162" w:type="dxa"/>
            <w:shd w:val="clear" w:color="auto" w:fill="auto"/>
            <w:noWrap/>
            <w:vAlign w:val="center"/>
            <w:hideMark/>
          </w:tcPr>
          <w:p w:rsidRPr="007A0E5D" w:rsidR="0048361D" w:rsidP="00EF01A4" w:rsidRDefault="0048361D" w14:paraId="04091015"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44.20%</w:t>
            </w:r>
          </w:p>
        </w:tc>
        <w:tc>
          <w:tcPr>
            <w:tcW w:w="0" w:type="auto"/>
            <w:shd w:val="clear" w:color="auto" w:fill="auto"/>
            <w:vAlign w:val="center"/>
            <w:hideMark/>
          </w:tcPr>
          <w:p w:rsidRPr="007A0E5D" w:rsidR="0048361D" w:rsidP="00EF01A4" w:rsidRDefault="0048361D" w14:paraId="6ABAB757"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 xml:space="preserve">Estimación de </w:t>
            </w:r>
            <w:proofErr w:type="spellStart"/>
            <w:r w:rsidRPr="007A0E5D">
              <w:rPr>
                <w:rFonts w:ascii="Arial" w:hAnsi="Arial" w:eastAsia="Times New Roman" w:cs="Arial"/>
                <w:color w:val="000000"/>
                <w:sz w:val="14"/>
                <w:szCs w:val="14"/>
                <w:lang w:val="es-MX" w:eastAsia="es-MX"/>
              </w:rPr>
              <w:t>Mincer</w:t>
            </w:r>
            <w:proofErr w:type="spellEnd"/>
            <w:r w:rsidRPr="007A0E5D">
              <w:rPr>
                <w:rFonts w:ascii="Arial" w:hAnsi="Arial" w:eastAsia="Times New Roman" w:cs="Arial"/>
                <w:color w:val="000000"/>
                <w:sz w:val="14"/>
                <w:szCs w:val="14"/>
                <w:lang w:val="es-MX" w:eastAsia="es-MX"/>
              </w:rPr>
              <w:t xml:space="preserve"> con ENAHO 2016</w:t>
            </w:r>
          </w:p>
        </w:tc>
      </w:tr>
      <w:tr w:rsidRPr="00EF01A4" w:rsidR="0048361D" w:rsidTr="00EF01A4" w14:paraId="566DED03" w14:textId="77777777">
        <w:trPr>
          <w:trHeight w:val="440"/>
          <w:jc w:val="center"/>
        </w:trPr>
        <w:tc>
          <w:tcPr>
            <w:tcW w:w="2065" w:type="dxa"/>
            <w:shd w:val="clear" w:color="auto" w:fill="auto"/>
            <w:vAlign w:val="center"/>
            <w:hideMark/>
          </w:tcPr>
          <w:p w:rsidRPr="007A0E5D" w:rsidR="0048361D" w:rsidP="00EF01A4" w:rsidRDefault="0048361D" w14:paraId="7BA3D94C"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Población beneficiaria</w:t>
            </w:r>
          </w:p>
        </w:tc>
        <w:tc>
          <w:tcPr>
            <w:tcW w:w="2610" w:type="dxa"/>
            <w:shd w:val="clear" w:color="auto" w:fill="auto"/>
            <w:noWrap/>
            <w:vAlign w:val="center"/>
            <w:hideMark/>
          </w:tcPr>
          <w:p w:rsidRPr="007A0E5D" w:rsidR="0048361D" w:rsidP="00EF01A4" w:rsidRDefault="0048361D" w14:paraId="57D427A7"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 xml:space="preserve">Se asume 1.5% de la población meta </w:t>
            </w:r>
          </w:p>
        </w:tc>
        <w:tc>
          <w:tcPr>
            <w:tcW w:w="2162" w:type="dxa"/>
            <w:shd w:val="clear" w:color="auto" w:fill="auto"/>
            <w:vAlign w:val="center"/>
            <w:hideMark/>
          </w:tcPr>
          <w:p w:rsidRPr="007A0E5D" w:rsidR="0048361D" w:rsidP="00EF01A4" w:rsidRDefault="0048361D" w14:paraId="01021301" w14:textId="77777777">
            <w:pPr>
              <w:spacing w:after="0" w:line="240" w:lineRule="auto"/>
              <w:jc w:val="center"/>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28,967 jóvenes población meta total</w:t>
            </w:r>
          </w:p>
        </w:tc>
        <w:tc>
          <w:tcPr>
            <w:tcW w:w="0" w:type="auto"/>
            <w:shd w:val="clear" w:color="auto" w:fill="auto"/>
            <w:noWrap/>
            <w:vAlign w:val="center"/>
            <w:hideMark/>
          </w:tcPr>
          <w:p w:rsidRPr="007A0E5D" w:rsidR="0048361D" w:rsidP="00EF01A4" w:rsidRDefault="0048361D" w14:paraId="479FBEF7" w14:textId="77777777">
            <w:pPr>
              <w:spacing w:after="0" w:line="240" w:lineRule="auto"/>
              <w:rPr>
                <w:rFonts w:ascii="Arial" w:hAnsi="Arial" w:eastAsia="Times New Roman" w:cs="Arial"/>
                <w:color w:val="000000"/>
                <w:sz w:val="14"/>
                <w:szCs w:val="14"/>
                <w:lang w:val="es-MX" w:eastAsia="es-MX"/>
              </w:rPr>
            </w:pPr>
            <w:r w:rsidRPr="007A0E5D">
              <w:rPr>
                <w:rFonts w:ascii="Arial" w:hAnsi="Arial" w:eastAsia="Times New Roman" w:cs="Arial"/>
                <w:color w:val="000000"/>
                <w:sz w:val="14"/>
                <w:szCs w:val="14"/>
                <w:lang w:val="es-MX" w:eastAsia="es-MX"/>
              </w:rPr>
              <w:t xml:space="preserve">Secretaría Técnica de los CCP </w:t>
            </w:r>
          </w:p>
        </w:tc>
      </w:tr>
    </w:tbl>
    <w:p w:rsidR="00682D0E" w:rsidP="002D1E9B" w:rsidRDefault="00682D0E" w14:paraId="7C82E61E" w14:textId="1FFC07FD">
      <w:pPr>
        <w:pStyle w:val="ColorfulList-Accent11"/>
        <w:spacing w:after="0" w:line="360" w:lineRule="auto"/>
        <w:jc w:val="center"/>
        <w:rPr>
          <w:rFonts w:ascii="Arial" w:hAnsi="Arial" w:cs="Arial"/>
          <w:lang w:val="es-ES"/>
        </w:rPr>
      </w:pPr>
    </w:p>
    <w:p w:rsidRPr="000E0AC5" w:rsidR="00EF0310" w:rsidP="002D1E9B" w:rsidRDefault="00EF0310" w14:paraId="22CB3700" w14:textId="77777777">
      <w:pPr>
        <w:pStyle w:val="ColorfulList-Accent11"/>
        <w:spacing w:after="0" w:line="360" w:lineRule="auto"/>
        <w:jc w:val="center"/>
        <w:rPr>
          <w:rFonts w:ascii="Arial" w:hAnsi="Arial" w:cs="Arial"/>
          <w:lang w:val="es-ES"/>
        </w:rPr>
      </w:pPr>
    </w:p>
    <w:p w:rsidRPr="000E0AC5" w:rsidR="001B5186" w:rsidP="006A3FEB" w:rsidRDefault="00E2088E" w14:paraId="44C31472" w14:textId="77777777">
      <w:pPr>
        <w:pStyle w:val="ListParagraph"/>
        <w:numPr>
          <w:ilvl w:val="0"/>
          <w:numId w:val="8"/>
        </w:numPr>
        <w:spacing w:after="0" w:line="360" w:lineRule="auto"/>
        <w:jc w:val="both"/>
        <w:rPr>
          <w:rFonts w:ascii="Arial" w:hAnsi="Arial" w:cs="Arial"/>
          <w:b/>
          <w:lang w:val="es-ES"/>
        </w:rPr>
      </w:pPr>
      <w:r w:rsidRPr="000E0AC5">
        <w:rPr>
          <w:rFonts w:ascii="Arial" w:hAnsi="Arial" w:cs="Arial"/>
          <w:b/>
          <w:lang w:val="es-ES"/>
        </w:rPr>
        <w:t>Resultados</w:t>
      </w:r>
    </w:p>
    <w:p w:rsidRPr="000E0AC5" w:rsidR="003F36C8" w:rsidP="003F36C8" w:rsidRDefault="003F36C8" w14:paraId="0AF42386" w14:textId="77777777">
      <w:pPr>
        <w:pStyle w:val="ListParagraph"/>
        <w:spacing w:after="0" w:line="360" w:lineRule="auto"/>
        <w:ind w:left="720"/>
        <w:jc w:val="both"/>
        <w:rPr>
          <w:rFonts w:ascii="Arial" w:hAnsi="Arial" w:cs="Arial"/>
          <w:b/>
          <w:lang w:val="es-ES"/>
        </w:rPr>
      </w:pPr>
    </w:p>
    <w:p w:rsidR="003F36C8" w:rsidP="003803C0" w:rsidRDefault="003F36C8" w14:paraId="53037171" w14:textId="1F91B079">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la </w:t>
      </w:r>
      <w:r w:rsidR="007A0E5D">
        <w:rPr>
          <w:rFonts w:ascii="Arial" w:hAnsi="Arial" w:eastAsia="Times New Roman" w:cs="Arial"/>
          <w:color w:val="000000"/>
          <w:lang w:val="es-ES"/>
        </w:rPr>
        <w:t>3</w:t>
      </w:r>
      <w:r w:rsidRPr="000E0AC5">
        <w:rPr>
          <w:rFonts w:ascii="Arial" w:hAnsi="Arial" w:eastAsia="Times New Roman" w:cs="Arial"/>
          <w:color w:val="000000"/>
          <w:lang w:val="es-ES"/>
        </w:rPr>
        <w:t xml:space="preserve"> se presenta los resultados del análisis de costo-ben</w:t>
      </w:r>
      <w:r w:rsidRPr="000E0AC5" w:rsidR="00875C83">
        <w:rPr>
          <w:rFonts w:ascii="Arial" w:hAnsi="Arial" w:eastAsia="Times New Roman" w:cs="Arial"/>
          <w:color w:val="000000"/>
          <w:lang w:val="es-ES"/>
        </w:rPr>
        <w:t>eficio para el período 2020-203</w:t>
      </w:r>
      <w:r w:rsidRPr="000E0AC5" w:rsidR="008C35D8">
        <w:rPr>
          <w:rFonts w:ascii="Arial" w:hAnsi="Arial" w:eastAsia="Times New Roman" w:cs="Arial"/>
          <w:color w:val="000000"/>
          <w:lang w:val="es-ES"/>
        </w:rPr>
        <w:t>8</w:t>
      </w:r>
      <w:r w:rsidRPr="000E0AC5">
        <w:rPr>
          <w:rFonts w:ascii="Arial" w:hAnsi="Arial" w:eastAsia="Times New Roman" w:cs="Arial"/>
          <w:color w:val="000000"/>
          <w:lang w:val="es-ES"/>
        </w:rPr>
        <w:t>. Con base en los supuestos descritos en el apartado anterior, el beneficio net</w:t>
      </w:r>
      <w:r w:rsidRPr="000E0AC5" w:rsidR="00E17EEA">
        <w:rPr>
          <w:rFonts w:ascii="Arial" w:hAnsi="Arial" w:eastAsia="Times New Roman" w:cs="Arial"/>
          <w:color w:val="000000"/>
          <w:lang w:val="es-ES"/>
        </w:rPr>
        <w:t>o del Programa asciende a $</w:t>
      </w:r>
      <w:r w:rsidR="003C6009">
        <w:rPr>
          <w:rFonts w:ascii="Arial" w:hAnsi="Arial" w:eastAsia="Times New Roman" w:cs="Arial"/>
          <w:color w:val="000000"/>
          <w:lang w:val="es-ES"/>
        </w:rPr>
        <w:t>9</w:t>
      </w:r>
      <w:r w:rsidR="003E4B6D">
        <w:rPr>
          <w:rFonts w:ascii="Arial" w:hAnsi="Arial" w:eastAsia="Times New Roman" w:cs="Arial"/>
          <w:color w:val="000000"/>
          <w:lang w:val="es-ES"/>
        </w:rPr>
        <w:t>7</w:t>
      </w:r>
      <w:r w:rsidRPr="000E0AC5">
        <w:rPr>
          <w:rFonts w:ascii="Arial" w:hAnsi="Arial" w:eastAsia="Times New Roman" w:cs="Arial"/>
          <w:color w:val="000000"/>
          <w:lang w:val="es-ES"/>
        </w:rPr>
        <w:t xml:space="preserve"> millones de dólares,</w:t>
      </w:r>
      <w:r w:rsidRPr="000E0AC5" w:rsidR="00050CFC">
        <w:rPr>
          <w:rFonts w:ascii="Arial" w:hAnsi="Arial" w:eastAsia="Times New Roman" w:cs="Arial"/>
          <w:color w:val="000000"/>
          <w:lang w:val="es-ES"/>
        </w:rPr>
        <w:t xml:space="preserve"> lo que equivale a $</w:t>
      </w:r>
      <w:r w:rsidR="00E66E7B">
        <w:rPr>
          <w:rFonts w:ascii="Arial" w:hAnsi="Arial" w:eastAsia="Times New Roman" w:cs="Arial"/>
          <w:color w:val="000000"/>
          <w:lang w:val="es-ES"/>
        </w:rPr>
        <w:t>1</w:t>
      </w:r>
      <w:r w:rsidR="003E4B6D">
        <w:rPr>
          <w:rFonts w:ascii="Arial" w:hAnsi="Arial" w:eastAsia="Times New Roman" w:cs="Arial"/>
          <w:color w:val="000000"/>
          <w:lang w:val="es-ES"/>
        </w:rPr>
        <w:t>91.2</w:t>
      </w:r>
      <w:r w:rsidRPr="000E0AC5" w:rsidR="008F067E">
        <w:rPr>
          <w:rFonts w:ascii="Arial" w:hAnsi="Arial" w:eastAsia="Times New Roman" w:cs="Arial"/>
          <w:color w:val="000000"/>
          <w:lang w:val="es-ES"/>
        </w:rPr>
        <w:t xml:space="preserve"> </w:t>
      </w:r>
      <w:r w:rsidRPr="000E0AC5" w:rsidR="00050CFC">
        <w:rPr>
          <w:rFonts w:ascii="Arial" w:hAnsi="Arial" w:eastAsia="Times New Roman" w:cs="Arial"/>
          <w:color w:val="000000"/>
          <w:lang w:val="es-ES"/>
        </w:rPr>
        <w:t xml:space="preserve">dólares por beneficiario, </w:t>
      </w:r>
      <w:r w:rsidRPr="000E0AC5">
        <w:rPr>
          <w:rFonts w:ascii="Arial" w:hAnsi="Arial" w:eastAsia="Times New Roman" w:cs="Arial"/>
          <w:color w:val="000000"/>
          <w:lang w:val="es-ES"/>
        </w:rPr>
        <w:t>la ra</w:t>
      </w:r>
      <w:r w:rsidRPr="000E0AC5" w:rsidR="008F067E">
        <w:rPr>
          <w:rFonts w:ascii="Arial" w:hAnsi="Arial" w:eastAsia="Times New Roman" w:cs="Arial"/>
          <w:color w:val="000000"/>
          <w:lang w:val="es-ES"/>
        </w:rPr>
        <w:t>zó</w:t>
      </w:r>
      <w:r w:rsidR="00511A91">
        <w:rPr>
          <w:rFonts w:ascii="Arial" w:hAnsi="Arial" w:eastAsia="Times New Roman" w:cs="Arial"/>
          <w:color w:val="000000"/>
          <w:lang w:val="es-ES"/>
        </w:rPr>
        <w:t>n de costo-beneficio es de $</w:t>
      </w:r>
      <w:r w:rsidR="00B55CAF">
        <w:rPr>
          <w:rFonts w:ascii="Arial" w:hAnsi="Arial" w:eastAsia="Times New Roman" w:cs="Arial"/>
          <w:color w:val="000000"/>
          <w:lang w:val="es-ES"/>
        </w:rPr>
        <w:t>2</w:t>
      </w:r>
      <w:r w:rsidR="001E1470">
        <w:rPr>
          <w:rFonts w:ascii="Arial" w:hAnsi="Arial" w:eastAsia="Times New Roman" w:cs="Arial"/>
          <w:color w:val="000000"/>
          <w:lang w:val="es-ES"/>
        </w:rPr>
        <w:t>.</w:t>
      </w:r>
      <w:r w:rsidR="00E66E7B">
        <w:rPr>
          <w:rFonts w:ascii="Arial" w:hAnsi="Arial" w:eastAsia="Times New Roman" w:cs="Arial"/>
          <w:color w:val="000000"/>
          <w:lang w:val="es-ES"/>
        </w:rPr>
        <w:t>2</w:t>
      </w:r>
      <w:r w:rsidR="003E4B6D">
        <w:rPr>
          <w:rFonts w:ascii="Arial" w:hAnsi="Arial" w:eastAsia="Times New Roman" w:cs="Arial"/>
          <w:color w:val="000000"/>
          <w:lang w:val="es-ES"/>
        </w:rPr>
        <w:t>5</w:t>
      </w:r>
      <w:r w:rsidRPr="000E0AC5">
        <w:rPr>
          <w:rFonts w:ascii="Arial" w:hAnsi="Arial" w:eastAsia="Times New Roman" w:cs="Arial"/>
          <w:color w:val="000000"/>
          <w:lang w:val="es-ES"/>
        </w:rPr>
        <w:t xml:space="preserve"> dólares, lo que </w:t>
      </w:r>
      <w:r w:rsidRPr="000E0AC5" w:rsidR="00050CFC">
        <w:rPr>
          <w:rFonts w:ascii="Arial" w:hAnsi="Arial" w:eastAsia="Times New Roman" w:cs="Arial"/>
          <w:color w:val="000000"/>
          <w:lang w:val="es-ES"/>
        </w:rPr>
        <w:t>i</w:t>
      </w:r>
      <w:r w:rsidRPr="000E0AC5" w:rsidR="008F067E">
        <w:rPr>
          <w:rFonts w:ascii="Arial" w:hAnsi="Arial" w:eastAsia="Times New Roman" w:cs="Arial"/>
          <w:color w:val="000000"/>
          <w:lang w:val="es-ES"/>
        </w:rPr>
        <w:t>ndica que el programa genera $</w:t>
      </w:r>
      <w:r w:rsidR="00B55CAF">
        <w:rPr>
          <w:rFonts w:ascii="Arial" w:hAnsi="Arial" w:eastAsia="Times New Roman" w:cs="Arial"/>
          <w:color w:val="000000"/>
          <w:lang w:val="es-ES"/>
        </w:rPr>
        <w:t>2.</w:t>
      </w:r>
      <w:r w:rsidR="00E66E7B">
        <w:rPr>
          <w:rFonts w:ascii="Arial" w:hAnsi="Arial" w:eastAsia="Times New Roman" w:cs="Arial"/>
          <w:color w:val="000000"/>
          <w:lang w:val="es-ES"/>
        </w:rPr>
        <w:t>2</w:t>
      </w:r>
      <w:r w:rsidR="003E4B6D">
        <w:rPr>
          <w:rFonts w:ascii="Arial" w:hAnsi="Arial" w:eastAsia="Times New Roman" w:cs="Arial"/>
          <w:color w:val="000000"/>
          <w:lang w:val="es-ES"/>
        </w:rPr>
        <w:t>5</w:t>
      </w:r>
      <w:r w:rsidRPr="000E0AC5">
        <w:rPr>
          <w:rFonts w:ascii="Arial" w:hAnsi="Arial" w:eastAsia="Times New Roman" w:cs="Arial"/>
          <w:color w:val="000000"/>
          <w:lang w:val="es-ES"/>
        </w:rPr>
        <w:t xml:space="preserve"> dólares </w:t>
      </w:r>
      <w:r w:rsidRPr="000E0AC5" w:rsidR="006D03D3">
        <w:rPr>
          <w:rFonts w:ascii="Arial" w:hAnsi="Arial" w:eastAsia="Times New Roman" w:cs="Arial"/>
          <w:color w:val="000000"/>
          <w:lang w:val="es-ES"/>
        </w:rPr>
        <w:t xml:space="preserve">por cada dólar invertido </w:t>
      </w:r>
      <w:r w:rsidRPr="000E0AC5">
        <w:rPr>
          <w:rFonts w:ascii="Arial" w:hAnsi="Arial" w:eastAsia="Times New Roman" w:cs="Arial"/>
          <w:color w:val="000000"/>
          <w:lang w:val="es-ES"/>
        </w:rPr>
        <w:t>–a través de la prevención y reducción del crimen</w:t>
      </w:r>
      <w:r w:rsidRPr="000E0AC5" w:rsidR="008C35D8">
        <w:rPr>
          <w:rFonts w:ascii="Arial" w:hAnsi="Arial" w:eastAsia="Times New Roman" w:cs="Arial"/>
          <w:color w:val="000000"/>
          <w:lang w:val="es-ES"/>
        </w:rPr>
        <w:t>, y la reducción en la exclusión escolar</w:t>
      </w:r>
      <w:r w:rsidRPr="000E0AC5" w:rsidR="006D03D3">
        <w:rPr>
          <w:rFonts w:ascii="Arial" w:hAnsi="Arial" w:eastAsia="Times New Roman" w:cs="Arial"/>
          <w:color w:val="000000"/>
          <w:lang w:val="es-ES"/>
        </w:rPr>
        <w:t xml:space="preserve"> del grupo beneficiario</w:t>
      </w:r>
      <w:r w:rsidRPr="000E0AC5">
        <w:rPr>
          <w:rFonts w:ascii="Arial" w:hAnsi="Arial" w:eastAsia="Times New Roman" w:cs="Arial"/>
          <w:color w:val="000000"/>
          <w:lang w:val="es-ES"/>
        </w:rPr>
        <w:t>–</w:t>
      </w:r>
      <w:r w:rsidRPr="000E0AC5" w:rsidR="008C35D8">
        <w:rPr>
          <w:rFonts w:ascii="Arial" w:hAnsi="Arial" w:eastAsia="Times New Roman" w:cs="Arial"/>
          <w:color w:val="000000"/>
          <w:lang w:val="es-ES"/>
        </w:rPr>
        <w:t xml:space="preserve">, sugiriendo que el proyecto tiene </w:t>
      </w:r>
      <w:r w:rsidRPr="003803C0" w:rsidR="008C35D8">
        <w:rPr>
          <w:rFonts w:ascii="Arial" w:hAnsi="Arial" w:eastAsia="Times New Roman" w:cs="Arial"/>
          <w:color w:val="000000"/>
          <w:lang w:val="es-ES"/>
        </w:rPr>
        <w:t>rentabilidad</w:t>
      </w:r>
      <w:r w:rsidRPr="000E0AC5" w:rsidR="008C35D8">
        <w:rPr>
          <w:rFonts w:ascii="Arial" w:hAnsi="Arial" w:eastAsia="Times New Roman" w:cs="Arial"/>
          <w:color w:val="000000"/>
          <w:lang w:val="es-ES"/>
        </w:rPr>
        <w:t xml:space="preserve"> social</w:t>
      </w:r>
      <w:r w:rsidRPr="000E0AC5">
        <w:rPr>
          <w:rFonts w:ascii="Arial" w:hAnsi="Arial" w:eastAsia="Times New Roman" w:cs="Arial"/>
          <w:color w:val="000000"/>
          <w:lang w:val="es-ES"/>
        </w:rPr>
        <w:t xml:space="preserve">. La tasa interna </w:t>
      </w:r>
      <w:r w:rsidRPr="000E0AC5" w:rsidR="008F067E">
        <w:rPr>
          <w:rFonts w:ascii="Arial" w:hAnsi="Arial" w:eastAsia="Times New Roman" w:cs="Arial"/>
          <w:color w:val="000000"/>
          <w:lang w:val="es-ES"/>
        </w:rPr>
        <w:t xml:space="preserve">de retorno (TIR) se estima en </w:t>
      </w:r>
      <w:r w:rsidR="001E1470">
        <w:rPr>
          <w:rFonts w:ascii="Arial" w:hAnsi="Arial" w:eastAsia="Times New Roman" w:cs="Arial"/>
          <w:color w:val="000000"/>
          <w:lang w:val="es-ES"/>
        </w:rPr>
        <w:t>1</w:t>
      </w:r>
      <w:r w:rsidR="003E4B6D">
        <w:rPr>
          <w:rFonts w:ascii="Arial" w:hAnsi="Arial" w:eastAsia="Times New Roman" w:cs="Arial"/>
          <w:color w:val="000000"/>
          <w:lang w:val="es-ES"/>
        </w:rPr>
        <w:t>6</w:t>
      </w:r>
      <w:r w:rsidRPr="000E0AC5" w:rsidR="008C35D8">
        <w:rPr>
          <w:rFonts w:ascii="Arial" w:hAnsi="Arial" w:eastAsia="Times New Roman" w:cs="Arial"/>
          <w:color w:val="000000"/>
          <w:lang w:val="es-ES"/>
        </w:rPr>
        <w:t>%</w:t>
      </w:r>
      <w:r w:rsidRPr="000E0AC5">
        <w:rPr>
          <w:rFonts w:ascii="Arial" w:hAnsi="Arial" w:eastAsia="Times New Roman" w:cs="Arial"/>
          <w:color w:val="000000"/>
          <w:lang w:val="es-ES"/>
        </w:rPr>
        <w:t xml:space="preserve">. </w:t>
      </w:r>
    </w:p>
    <w:p w:rsidRPr="000E0AC5" w:rsidR="002D1E9B" w:rsidP="002D1E9B" w:rsidRDefault="002D1E9B" w14:paraId="6F778BD1" w14:textId="77777777">
      <w:pPr>
        <w:spacing w:after="0" w:line="360" w:lineRule="auto"/>
        <w:ind w:left="450"/>
        <w:jc w:val="both"/>
        <w:textAlignment w:val="top"/>
        <w:rPr>
          <w:rFonts w:ascii="Arial" w:hAnsi="Arial" w:eastAsia="Times New Roman" w:cs="Arial"/>
          <w:color w:val="000000"/>
          <w:lang w:val="es-ES"/>
        </w:rPr>
      </w:pPr>
    </w:p>
    <w:p w:rsidRPr="000E0AC5" w:rsidR="003F36C8" w:rsidP="003F36C8" w:rsidRDefault="003F36C8" w14:paraId="4623EADF" w14:textId="0A2EEC08">
      <w:pPr>
        <w:pStyle w:val="ColorfulList-Accent11"/>
        <w:spacing w:after="0" w:line="360" w:lineRule="auto"/>
        <w:ind w:left="0"/>
        <w:jc w:val="center"/>
        <w:rPr>
          <w:rFonts w:ascii="Arial" w:hAnsi="Arial" w:cs="Arial"/>
          <w:sz w:val="20"/>
          <w:szCs w:val="20"/>
          <w:lang w:val="es-ES"/>
        </w:rPr>
      </w:pPr>
      <w:bookmarkStart w:name="_Ref531098868" w:id="4"/>
      <w:r w:rsidRPr="000E0AC5">
        <w:rPr>
          <w:rFonts w:ascii="Arial" w:hAnsi="Arial" w:cs="Arial"/>
          <w:sz w:val="20"/>
          <w:szCs w:val="20"/>
          <w:lang w:val="es-ES"/>
        </w:rPr>
        <w:t xml:space="preserve">Tabla </w:t>
      </w:r>
      <w:bookmarkEnd w:id="4"/>
      <w:r w:rsidR="007A0E5D">
        <w:rPr>
          <w:rFonts w:ascii="Arial" w:hAnsi="Arial" w:cs="Arial"/>
          <w:sz w:val="20"/>
          <w:szCs w:val="20"/>
          <w:lang w:val="es-ES"/>
        </w:rPr>
        <w:t>3</w:t>
      </w:r>
    </w:p>
    <w:p w:rsidRPr="000E0AC5" w:rsidR="003F36C8" w:rsidP="003F36C8" w:rsidRDefault="003F36C8" w14:paraId="6AF63949" w14:textId="332BCEBA">
      <w:pPr>
        <w:pStyle w:val="ColorfulList-Accent11"/>
        <w:spacing w:after="0" w:line="360" w:lineRule="auto"/>
        <w:ind w:left="0"/>
        <w:jc w:val="center"/>
        <w:rPr>
          <w:rFonts w:ascii="Arial" w:hAnsi="Arial" w:cs="Arial"/>
          <w:sz w:val="20"/>
          <w:szCs w:val="20"/>
          <w:lang w:val="es-ES"/>
        </w:rPr>
      </w:pPr>
      <w:r w:rsidRPr="000E0AC5">
        <w:rPr>
          <w:rFonts w:ascii="Arial" w:hAnsi="Arial" w:cs="Arial"/>
          <w:sz w:val="20"/>
          <w:szCs w:val="20"/>
          <w:lang w:val="es-ES"/>
        </w:rPr>
        <w:t xml:space="preserve"> Costo-Beneficio del programa, en USD </w:t>
      </w:r>
    </w:p>
    <w:tbl>
      <w:tblPr>
        <w:tblW w:w="0" w:type="auto"/>
        <w:jc w:val="center"/>
        <w:tblCellMar>
          <w:left w:w="70" w:type="dxa"/>
          <w:right w:w="70" w:type="dxa"/>
        </w:tblCellMar>
        <w:tblLook w:val="04A0" w:firstRow="1" w:lastRow="0" w:firstColumn="1" w:lastColumn="0" w:noHBand="0" w:noVBand="1"/>
      </w:tblPr>
      <w:tblGrid>
        <w:gridCol w:w="3842"/>
        <w:gridCol w:w="1492"/>
        <w:gridCol w:w="1481"/>
        <w:gridCol w:w="1492"/>
      </w:tblGrid>
      <w:tr w:rsidRPr="003E4B6D" w:rsidR="003E4B6D" w:rsidTr="003E4B6D" w14:paraId="3F52D416" w14:textId="77777777">
        <w:trPr>
          <w:trHeight w:val="290"/>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hideMark/>
          </w:tcPr>
          <w:p w:rsidRPr="00DB4572" w:rsidR="003E4B6D" w:rsidP="003E4B6D" w:rsidRDefault="003E4B6D" w14:paraId="1A78FFBB" w14:textId="77777777">
            <w:pPr>
              <w:spacing w:after="0" w:line="240" w:lineRule="auto"/>
              <w:jc w:val="center"/>
              <w:rPr>
                <w:rFonts w:ascii="Arial" w:hAnsi="Arial"/>
                <w:b/>
                <w:color w:val="000000"/>
                <w:sz w:val="18"/>
                <w:lang w:val="es-MX"/>
              </w:rPr>
            </w:pPr>
            <w:r w:rsidRPr="00DB4572">
              <w:rPr>
                <w:rFonts w:ascii="Arial" w:hAnsi="Arial"/>
                <w:b/>
                <w:color w:val="000000"/>
                <w:sz w:val="18"/>
                <w:lang w:val="es-MX"/>
              </w:rPr>
              <w:t>Concepto</w:t>
            </w:r>
          </w:p>
        </w:tc>
        <w:tc>
          <w:tcPr>
            <w:tcW w:w="0" w:type="auto"/>
            <w:tcBorders>
              <w:top w:val="single" w:color="auto" w:sz="4" w:space="0"/>
              <w:left w:val="nil"/>
              <w:bottom w:val="single" w:color="auto" w:sz="4" w:space="0"/>
              <w:right w:val="single" w:color="auto" w:sz="4" w:space="0"/>
            </w:tcBorders>
            <w:shd w:val="clear" w:color="auto" w:fill="auto"/>
            <w:vAlign w:val="center"/>
            <w:hideMark/>
          </w:tcPr>
          <w:p w:rsidRPr="00DB4572" w:rsidR="003E4B6D" w:rsidP="003E4B6D" w:rsidRDefault="003E4B6D" w14:paraId="2EF75D4F" w14:textId="77777777">
            <w:pPr>
              <w:spacing w:after="0" w:line="240" w:lineRule="auto"/>
              <w:jc w:val="center"/>
              <w:rPr>
                <w:rFonts w:ascii="Arial" w:hAnsi="Arial"/>
                <w:b/>
                <w:color w:val="000000"/>
                <w:sz w:val="18"/>
                <w:lang w:val="es-MX"/>
              </w:rPr>
            </w:pPr>
            <w:r w:rsidRPr="00DB4572">
              <w:rPr>
                <w:rFonts w:ascii="Arial" w:hAnsi="Arial"/>
                <w:b/>
                <w:color w:val="000000"/>
                <w:sz w:val="18"/>
                <w:lang w:val="es-MX"/>
              </w:rPr>
              <w:t>Programa</w:t>
            </w:r>
          </w:p>
        </w:tc>
        <w:tc>
          <w:tcPr>
            <w:tcW w:w="0" w:type="auto"/>
            <w:tcBorders>
              <w:top w:val="single" w:color="auto" w:sz="4" w:space="0"/>
              <w:left w:val="nil"/>
              <w:bottom w:val="single" w:color="auto" w:sz="4" w:space="0"/>
              <w:right w:val="nil"/>
            </w:tcBorders>
            <w:shd w:val="clear" w:color="auto" w:fill="auto"/>
            <w:vAlign w:val="center"/>
            <w:hideMark/>
          </w:tcPr>
          <w:p w:rsidRPr="00DB4572" w:rsidR="003E4B6D" w:rsidP="003E4B6D" w:rsidRDefault="003E4B6D" w14:paraId="62C37843" w14:textId="77777777">
            <w:pPr>
              <w:spacing w:after="0" w:line="240" w:lineRule="auto"/>
              <w:jc w:val="center"/>
              <w:rPr>
                <w:rFonts w:ascii="Arial" w:hAnsi="Arial"/>
                <w:b/>
                <w:color w:val="000000"/>
                <w:sz w:val="18"/>
                <w:lang w:val="es-MX"/>
              </w:rPr>
            </w:pPr>
            <w:r w:rsidRPr="00DB4572">
              <w:rPr>
                <w:rFonts w:ascii="Arial" w:hAnsi="Arial"/>
                <w:b/>
                <w:color w:val="000000"/>
                <w:sz w:val="18"/>
                <w:lang w:val="es-MX"/>
              </w:rPr>
              <w:t>Total 2020-2024</w:t>
            </w:r>
          </w:p>
        </w:tc>
        <w:tc>
          <w:tcPr>
            <w:tcW w:w="0" w:type="auto"/>
            <w:tcBorders>
              <w:top w:val="single" w:color="auto" w:sz="4" w:space="0"/>
              <w:left w:val="nil"/>
              <w:bottom w:val="single" w:color="auto" w:sz="4" w:space="0"/>
              <w:right w:val="single" w:color="auto" w:sz="4" w:space="0"/>
            </w:tcBorders>
            <w:shd w:val="clear" w:color="auto" w:fill="auto"/>
            <w:vAlign w:val="center"/>
            <w:hideMark/>
          </w:tcPr>
          <w:p w:rsidRPr="00DB4572" w:rsidR="003E4B6D" w:rsidP="003E4B6D" w:rsidRDefault="003E4B6D" w14:paraId="7FE99700" w14:textId="77777777">
            <w:pPr>
              <w:spacing w:after="0" w:line="240" w:lineRule="auto"/>
              <w:jc w:val="center"/>
              <w:rPr>
                <w:rFonts w:ascii="Arial" w:hAnsi="Arial"/>
                <w:b/>
                <w:color w:val="000000"/>
                <w:sz w:val="18"/>
                <w:lang w:val="es-MX"/>
              </w:rPr>
            </w:pPr>
            <w:r w:rsidRPr="00DB4572">
              <w:rPr>
                <w:rFonts w:ascii="Arial" w:hAnsi="Arial"/>
                <w:b/>
                <w:color w:val="000000"/>
                <w:sz w:val="18"/>
                <w:lang w:val="es-MX"/>
              </w:rPr>
              <w:t>Total 2025-2038</w:t>
            </w:r>
          </w:p>
        </w:tc>
      </w:tr>
      <w:tr w:rsidRPr="003E4B6D" w:rsidR="003E4B6D" w:rsidTr="003E4B6D" w14:paraId="29704009" w14:textId="77777777">
        <w:trPr>
          <w:trHeight w:val="290"/>
          <w:jc w:val="center"/>
        </w:trPr>
        <w:tc>
          <w:tcPr>
            <w:tcW w:w="0" w:type="auto"/>
            <w:tcBorders>
              <w:top w:val="nil"/>
              <w:left w:val="single" w:color="auto" w:sz="4" w:space="0"/>
              <w:bottom w:val="nil"/>
              <w:right w:val="nil"/>
            </w:tcBorders>
            <w:shd w:val="clear" w:color="auto" w:fill="auto"/>
            <w:noWrap/>
            <w:vAlign w:val="bottom"/>
            <w:hideMark/>
          </w:tcPr>
          <w:p w:rsidRPr="00DB4572" w:rsidR="003E4B6D" w:rsidP="003E4B6D" w:rsidRDefault="003E4B6D" w14:paraId="679F17D9" w14:textId="77777777">
            <w:pPr>
              <w:spacing w:after="0" w:line="240" w:lineRule="auto"/>
              <w:rPr>
                <w:rFonts w:ascii="Arial" w:hAnsi="Arial"/>
                <w:color w:val="000000"/>
                <w:sz w:val="18"/>
                <w:lang w:val="es-MX"/>
              </w:rPr>
            </w:pPr>
            <w:r w:rsidRPr="00DB4572">
              <w:rPr>
                <w:rFonts w:ascii="Arial" w:hAnsi="Arial"/>
                <w:color w:val="000000"/>
                <w:sz w:val="18"/>
                <w:lang w:val="es-MX"/>
              </w:rPr>
              <w:t>Beneficios totales</w:t>
            </w:r>
          </w:p>
        </w:tc>
        <w:tc>
          <w:tcPr>
            <w:tcW w:w="0" w:type="auto"/>
            <w:tcBorders>
              <w:top w:val="nil"/>
              <w:left w:val="single" w:color="auto" w:sz="4" w:space="0"/>
              <w:bottom w:val="nil"/>
              <w:right w:val="single" w:color="auto" w:sz="4" w:space="0"/>
            </w:tcBorders>
            <w:shd w:val="clear" w:color="auto" w:fill="auto"/>
            <w:noWrap/>
            <w:vAlign w:val="bottom"/>
            <w:hideMark/>
          </w:tcPr>
          <w:p w:rsidRPr="00DB4572" w:rsidR="003E4B6D" w:rsidP="003E4B6D" w:rsidRDefault="003E4B6D" w14:paraId="5D62C116" w14:textId="77777777">
            <w:pPr>
              <w:spacing w:after="0" w:line="240" w:lineRule="auto"/>
              <w:jc w:val="center"/>
              <w:rPr>
                <w:rFonts w:ascii="Arial" w:hAnsi="Arial"/>
                <w:b/>
                <w:color w:val="000000"/>
                <w:sz w:val="18"/>
                <w:lang w:val="es-MX"/>
              </w:rPr>
            </w:pPr>
            <w:r w:rsidRPr="00DB4572">
              <w:rPr>
                <w:rFonts w:ascii="Arial" w:hAnsi="Arial"/>
                <w:b/>
                <w:color w:val="000000"/>
                <w:sz w:val="18"/>
                <w:lang w:val="es-MX"/>
              </w:rPr>
              <w:t>$174,952,678.06</w:t>
            </w:r>
          </w:p>
        </w:tc>
        <w:tc>
          <w:tcPr>
            <w:tcW w:w="0" w:type="auto"/>
            <w:tcBorders>
              <w:top w:val="single" w:color="auto" w:sz="4" w:space="0"/>
              <w:left w:val="nil"/>
              <w:bottom w:val="nil"/>
              <w:right w:val="nil"/>
            </w:tcBorders>
            <w:shd w:val="clear" w:color="auto" w:fill="auto"/>
            <w:noWrap/>
            <w:vAlign w:val="bottom"/>
            <w:hideMark/>
          </w:tcPr>
          <w:p w:rsidRPr="00DB4572" w:rsidR="003E4B6D" w:rsidP="003E4B6D" w:rsidRDefault="003E4B6D" w14:paraId="3096605B" w14:textId="77777777">
            <w:pPr>
              <w:spacing w:after="0" w:line="240" w:lineRule="auto"/>
              <w:jc w:val="center"/>
              <w:rPr>
                <w:rFonts w:ascii="Arial" w:hAnsi="Arial"/>
                <w:color w:val="000000"/>
                <w:sz w:val="18"/>
                <w:lang w:val="es-MX"/>
              </w:rPr>
            </w:pPr>
            <w:r w:rsidRPr="00DB4572">
              <w:rPr>
                <w:rFonts w:ascii="Arial" w:hAnsi="Arial"/>
                <w:color w:val="000000"/>
                <w:sz w:val="18"/>
                <w:lang w:val="es-MX"/>
              </w:rPr>
              <w:t>$19,778,795.65</w:t>
            </w:r>
          </w:p>
        </w:tc>
        <w:tc>
          <w:tcPr>
            <w:tcW w:w="0" w:type="auto"/>
            <w:tcBorders>
              <w:top w:val="nil"/>
              <w:left w:val="nil"/>
              <w:bottom w:val="nil"/>
              <w:right w:val="single" w:color="auto" w:sz="4" w:space="0"/>
            </w:tcBorders>
            <w:shd w:val="clear" w:color="auto" w:fill="auto"/>
            <w:noWrap/>
            <w:vAlign w:val="bottom"/>
            <w:hideMark/>
          </w:tcPr>
          <w:p w:rsidRPr="00DB4572" w:rsidR="003E4B6D" w:rsidP="003E4B6D" w:rsidRDefault="003E4B6D" w14:paraId="13FB4419" w14:textId="77777777">
            <w:pPr>
              <w:spacing w:after="0" w:line="240" w:lineRule="auto"/>
              <w:jc w:val="center"/>
              <w:rPr>
                <w:rFonts w:ascii="Arial" w:hAnsi="Arial"/>
                <w:color w:val="000000"/>
                <w:sz w:val="18"/>
                <w:lang w:val="es-MX"/>
              </w:rPr>
            </w:pPr>
            <w:r w:rsidRPr="00DB4572">
              <w:rPr>
                <w:rFonts w:ascii="Arial" w:hAnsi="Arial"/>
                <w:color w:val="000000"/>
                <w:sz w:val="18"/>
                <w:lang w:val="es-MX"/>
              </w:rPr>
              <w:t>$174,952,678.06</w:t>
            </w:r>
          </w:p>
        </w:tc>
      </w:tr>
      <w:tr w:rsidRPr="003E4B6D" w:rsidR="003E4B6D" w:rsidTr="003E4B6D" w14:paraId="42838795" w14:textId="77777777">
        <w:trPr>
          <w:trHeight w:val="290"/>
          <w:jc w:val="center"/>
        </w:trPr>
        <w:tc>
          <w:tcPr>
            <w:tcW w:w="0" w:type="auto"/>
            <w:tcBorders>
              <w:top w:val="nil"/>
              <w:left w:val="single" w:color="auto" w:sz="4" w:space="0"/>
              <w:bottom w:val="nil"/>
              <w:right w:val="nil"/>
            </w:tcBorders>
            <w:shd w:val="clear" w:color="auto" w:fill="auto"/>
            <w:noWrap/>
            <w:vAlign w:val="bottom"/>
            <w:hideMark/>
          </w:tcPr>
          <w:p w:rsidRPr="00DB4572" w:rsidR="003E4B6D" w:rsidP="003E4B6D" w:rsidRDefault="003E4B6D" w14:paraId="525561A6" w14:textId="77777777">
            <w:pPr>
              <w:spacing w:after="0" w:line="240" w:lineRule="auto"/>
              <w:rPr>
                <w:rFonts w:ascii="Arial" w:hAnsi="Arial"/>
                <w:color w:val="000000"/>
                <w:sz w:val="18"/>
                <w:lang w:val="es-MX"/>
              </w:rPr>
            </w:pPr>
            <w:r w:rsidRPr="00DB4572">
              <w:rPr>
                <w:rFonts w:ascii="Arial" w:hAnsi="Arial"/>
                <w:color w:val="000000"/>
                <w:sz w:val="18"/>
                <w:lang w:val="es-MX"/>
              </w:rPr>
              <w:t>Costos</w:t>
            </w:r>
          </w:p>
        </w:tc>
        <w:tc>
          <w:tcPr>
            <w:tcW w:w="0" w:type="auto"/>
            <w:tcBorders>
              <w:top w:val="nil"/>
              <w:left w:val="single" w:color="auto" w:sz="4" w:space="0"/>
              <w:bottom w:val="nil"/>
              <w:right w:val="single" w:color="auto" w:sz="4" w:space="0"/>
            </w:tcBorders>
            <w:shd w:val="clear" w:color="auto" w:fill="auto"/>
            <w:noWrap/>
            <w:vAlign w:val="bottom"/>
            <w:hideMark/>
          </w:tcPr>
          <w:p w:rsidRPr="00DB4572" w:rsidR="003E4B6D" w:rsidP="003E4B6D" w:rsidRDefault="003E4B6D" w14:paraId="309008FA" w14:textId="32A674F6">
            <w:pPr>
              <w:spacing w:after="0" w:line="240" w:lineRule="auto"/>
              <w:jc w:val="center"/>
              <w:rPr>
                <w:rFonts w:ascii="Arial" w:hAnsi="Arial"/>
                <w:b/>
                <w:color w:val="000000"/>
                <w:sz w:val="18"/>
                <w:lang w:val="es-MX"/>
              </w:rPr>
            </w:pPr>
            <w:r w:rsidRPr="00DB4572">
              <w:rPr>
                <w:rFonts w:ascii="Arial" w:hAnsi="Arial"/>
                <w:b/>
                <w:color w:val="000000"/>
                <w:sz w:val="18"/>
                <w:lang w:val="es-MX"/>
              </w:rPr>
              <w:t>$77,</w:t>
            </w:r>
            <w:r w:rsidRPr="003E4B6D">
              <w:rPr>
                <w:rFonts w:ascii="Arial" w:hAnsi="Arial" w:eastAsia="Times New Roman" w:cs="Arial"/>
                <w:b/>
                <w:bCs/>
                <w:color w:val="000000"/>
                <w:sz w:val="18"/>
                <w:szCs w:val="18"/>
                <w:lang w:val="es-MX" w:eastAsia="es-MX"/>
              </w:rPr>
              <w:t>839,598.32</w:t>
            </w:r>
          </w:p>
        </w:tc>
        <w:tc>
          <w:tcPr>
            <w:tcW w:w="0" w:type="auto"/>
            <w:tcBorders>
              <w:top w:val="nil"/>
              <w:left w:val="nil"/>
              <w:bottom w:val="nil"/>
              <w:right w:val="nil"/>
            </w:tcBorders>
            <w:shd w:val="clear" w:color="auto" w:fill="auto"/>
            <w:noWrap/>
            <w:vAlign w:val="bottom"/>
            <w:hideMark/>
          </w:tcPr>
          <w:p w:rsidRPr="00DB4572" w:rsidR="003E4B6D" w:rsidP="003E4B6D" w:rsidRDefault="003E4B6D" w14:paraId="20B53956" w14:textId="36E1CE78">
            <w:pPr>
              <w:spacing w:after="0" w:line="240" w:lineRule="auto"/>
              <w:jc w:val="center"/>
              <w:rPr>
                <w:rFonts w:ascii="Arial" w:hAnsi="Arial"/>
                <w:color w:val="000000"/>
                <w:sz w:val="18"/>
                <w:lang w:val="es-MX"/>
              </w:rPr>
            </w:pPr>
            <w:r w:rsidRPr="003E4B6D">
              <w:rPr>
                <w:rFonts w:ascii="Arial" w:hAnsi="Arial" w:eastAsia="Times New Roman" w:cs="Arial"/>
                <w:color w:val="000000"/>
                <w:sz w:val="18"/>
                <w:szCs w:val="18"/>
                <w:lang w:val="es-MX" w:eastAsia="es-MX"/>
              </w:rPr>
              <w:t>$73,501,819.15</w:t>
            </w:r>
          </w:p>
        </w:tc>
        <w:tc>
          <w:tcPr>
            <w:tcW w:w="0" w:type="auto"/>
            <w:tcBorders>
              <w:top w:val="nil"/>
              <w:left w:val="nil"/>
              <w:bottom w:val="nil"/>
              <w:right w:val="single" w:color="auto" w:sz="4" w:space="0"/>
            </w:tcBorders>
            <w:shd w:val="clear" w:color="auto" w:fill="auto"/>
            <w:noWrap/>
            <w:vAlign w:val="bottom"/>
            <w:hideMark/>
          </w:tcPr>
          <w:p w:rsidRPr="00DB4572" w:rsidR="003E4B6D" w:rsidP="003E4B6D" w:rsidRDefault="003E4B6D" w14:paraId="63655BE7" w14:textId="0FBAA7EA">
            <w:pPr>
              <w:spacing w:after="0" w:line="240" w:lineRule="auto"/>
              <w:jc w:val="center"/>
              <w:rPr>
                <w:rFonts w:ascii="Arial" w:hAnsi="Arial"/>
                <w:color w:val="000000"/>
                <w:sz w:val="18"/>
                <w:lang w:val="es-MX"/>
              </w:rPr>
            </w:pPr>
            <w:r w:rsidRPr="00DB4572">
              <w:rPr>
                <w:rFonts w:ascii="Arial" w:hAnsi="Arial"/>
                <w:color w:val="000000"/>
                <w:sz w:val="18"/>
                <w:lang w:val="es-MX"/>
              </w:rPr>
              <w:t>$3,</w:t>
            </w:r>
            <w:r w:rsidRPr="003E4B6D">
              <w:rPr>
                <w:rFonts w:ascii="Arial" w:hAnsi="Arial" w:eastAsia="Times New Roman" w:cs="Arial"/>
                <w:color w:val="000000"/>
                <w:sz w:val="18"/>
                <w:szCs w:val="18"/>
                <w:lang w:val="es-MX" w:eastAsia="es-MX"/>
              </w:rPr>
              <w:t>818,149.55</w:t>
            </w:r>
          </w:p>
        </w:tc>
      </w:tr>
      <w:tr w:rsidRPr="003E4B6D" w:rsidR="003E4B6D" w:rsidTr="003E4B6D" w14:paraId="7E570E93" w14:textId="77777777">
        <w:trPr>
          <w:trHeight w:val="290"/>
          <w:jc w:val="center"/>
        </w:trPr>
        <w:tc>
          <w:tcPr>
            <w:tcW w:w="0" w:type="auto"/>
            <w:tcBorders>
              <w:top w:val="nil"/>
              <w:left w:val="single" w:color="auto" w:sz="4" w:space="0"/>
              <w:bottom w:val="single" w:color="auto" w:sz="4" w:space="0"/>
              <w:right w:val="nil"/>
            </w:tcBorders>
            <w:shd w:val="clear" w:color="auto" w:fill="auto"/>
            <w:noWrap/>
            <w:vAlign w:val="bottom"/>
            <w:hideMark/>
          </w:tcPr>
          <w:p w:rsidRPr="00DB4572" w:rsidR="003E4B6D" w:rsidP="003E4B6D" w:rsidRDefault="003E4B6D" w14:paraId="4AF530BA" w14:textId="77777777">
            <w:pPr>
              <w:spacing w:after="0" w:line="240" w:lineRule="auto"/>
              <w:rPr>
                <w:rFonts w:ascii="Arial" w:hAnsi="Arial"/>
                <w:color w:val="000000"/>
                <w:sz w:val="18"/>
                <w:lang w:val="es-MX"/>
              </w:rPr>
            </w:pPr>
            <w:r w:rsidRPr="00DB4572">
              <w:rPr>
                <w:rFonts w:ascii="Arial" w:hAnsi="Arial"/>
                <w:color w:val="000000"/>
                <w:sz w:val="18"/>
                <w:lang w:val="es-MX"/>
              </w:rPr>
              <w:t>Beneficio neto</w:t>
            </w: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DB4572" w:rsidR="003E4B6D" w:rsidP="003E4B6D" w:rsidRDefault="003E4B6D" w14:paraId="3B5B21FE" w14:textId="06C87914">
            <w:pPr>
              <w:spacing w:after="0" w:line="240" w:lineRule="auto"/>
              <w:jc w:val="center"/>
              <w:rPr>
                <w:rFonts w:ascii="Arial" w:hAnsi="Arial"/>
                <w:b/>
                <w:color w:val="000000"/>
                <w:sz w:val="18"/>
                <w:lang w:val="es-MX"/>
              </w:rPr>
            </w:pPr>
            <w:r w:rsidRPr="00DB4572">
              <w:rPr>
                <w:rFonts w:ascii="Arial" w:hAnsi="Arial"/>
                <w:b/>
                <w:color w:val="000000"/>
                <w:sz w:val="18"/>
                <w:lang w:val="es-MX"/>
              </w:rPr>
              <w:t>$97,</w:t>
            </w:r>
            <w:r w:rsidRPr="003E4B6D">
              <w:rPr>
                <w:rFonts w:ascii="Arial" w:hAnsi="Arial" w:eastAsia="Times New Roman" w:cs="Arial"/>
                <w:b/>
                <w:bCs/>
                <w:color w:val="000000"/>
                <w:sz w:val="18"/>
                <w:szCs w:val="18"/>
                <w:lang w:val="es-MX" w:eastAsia="es-MX"/>
              </w:rPr>
              <w:t>113,079.75</w:t>
            </w:r>
          </w:p>
        </w:tc>
        <w:tc>
          <w:tcPr>
            <w:tcW w:w="0" w:type="auto"/>
            <w:tcBorders>
              <w:top w:val="nil"/>
              <w:left w:val="single" w:color="auto" w:sz="4" w:space="0"/>
              <w:bottom w:val="single" w:color="auto" w:sz="4" w:space="0"/>
              <w:right w:val="nil"/>
            </w:tcBorders>
            <w:shd w:val="clear" w:color="auto" w:fill="auto"/>
            <w:noWrap/>
            <w:vAlign w:val="bottom"/>
            <w:hideMark/>
          </w:tcPr>
          <w:p w:rsidRPr="00DB4572" w:rsidR="003E4B6D" w:rsidP="003E4B6D" w:rsidRDefault="003E4B6D" w14:paraId="3233DF9F" w14:textId="53D9A92A">
            <w:pPr>
              <w:spacing w:after="0" w:line="240" w:lineRule="auto"/>
              <w:jc w:val="center"/>
              <w:rPr>
                <w:rFonts w:ascii="Arial" w:hAnsi="Arial"/>
                <w:color w:val="9C0006"/>
                <w:sz w:val="18"/>
                <w:lang w:val="es-MX"/>
              </w:rPr>
            </w:pPr>
            <w:r w:rsidRPr="00DB4572">
              <w:rPr>
                <w:rFonts w:ascii="Arial" w:hAnsi="Arial"/>
                <w:color w:val="9C0006"/>
                <w:sz w:val="18"/>
                <w:lang w:val="es-MX"/>
              </w:rPr>
              <w:t>-$</w:t>
            </w:r>
            <w:r w:rsidRPr="003E4B6D">
              <w:rPr>
                <w:rFonts w:ascii="Arial" w:hAnsi="Arial" w:eastAsia="Times New Roman" w:cs="Arial"/>
                <w:color w:val="9C0006"/>
                <w:sz w:val="18"/>
                <w:szCs w:val="18"/>
                <w:lang w:val="es-MX" w:eastAsia="es-MX"/>
              </w:rPr>
              <w:t>53,723,023.50</w:t>
            </w:r>
          </w:p>
        </w:tc>
        <w:tc>
          <w:tcPr>
            <w:tcW w:w="0" w:type="auto"/>
            <w:tcBorders>
              <w:top w:val="nil"/>
              <w:left w:val="nil"/>
              <w:bottom w:val="single" w:color="auto" w:sz="4" w:space="0"/>
              <w:right w:val="single" w:color="auto" w:sz="4" w:space="0"/>
            </w:tcBorders>
            <w:shd w:val="clear" w:color="auto" w:fill="auto"/>
            <w:noWrap/>
            <w:vAlign w:val="bottom"/>
            <w:hideMark/>
          </w:tcPr>
          <w:p w:rsidRPr="00DB4572" w:rsidR="003E4B6D" w:rsidP="003E4B6D" w:rsidRDefault="003E4B6D" w14:paraId="0B16A225" w14:textId="603B933D">
            <w:pPr>
              <w:spacing w:after="0" w:line="240" w:lineRule="auto"/>
              <w:jc w:val="center"/>
              <w:rPr>
                <w:rFonts w:ascii="Arial" w:hAnsi="Arial"/>
                <w:color w:val="000000"/>
                <w:sz w:val="18"/>
                <w:lang w:val="es-MX"/>
              </w:rPr>
            </w:pPr>
            <w:r w:rsidRPr="00DB4572">
              <w:rPr>
                <w:rFonts w:ascii="Arial" w:hAnsi="Arial"/>
                <w:color w:val="000000"/>
                <w:sz w:val="18"/>
                <w:lang w:val="es-MX"/>
              </w:rPr>
              <w:t>$171,</w:t>
            </w:r>
            <w:r w:rsidRPr="003E4B6D">
              <w:rPr>
                <w:rFonts w:ascii="Arial" w:hAnsi="Arial" w:eastAsia="Times New Roman" w:cs="Arial"/>
                <w:color w:val="000000"/>
                <w:sz w:val="18"/>
                <w:szCs w:val="18"/>
                <w:lang w:val="es-MX" w:eastAsia="es-MX"/>
              </w:rPr>
              <w:t>134,528.51</w:t>
            </w:r>
          </w:p>
        </w:tc>
      </w:tr>
      <w:tr w:rsidRPr="003E4B6D" w:rsidR="003E4B6D" w:rsidTr="003E4B6D" w14:paraId="4C2AF35D" w14:textId="77777777">
        <w:trPr>
          <w:trHeight w:val="290"/>
          <w:jc w:val="center"/>
        </w:trPr>
        <w:tc>
          <w:tcPr>
            <w:tcW w:w="0" w:type="auto"/>
            <w:tcBorders>
              <w:top w:val="nil"/>
              <w:left w:val="single" w:color="auto" w:sz="4" w:space="0"/>
              <w:bottom w:val="nil"/>
              <w:right w:val="nil"/>
            </w:tcBorders>
            <w:shd w:val="clear" w:color="auto" w:fill="auto"/>
            <w:noWrap/>
            <w:vAlign w:val="bottom"/>
            <w:hideMark/>
          </w:tcPr>
          <w:p w:rsidRPr="00DB4572" w:rsidR="003E4B6D" w:rsidP="003E4B6D" w:rsidRDefault="003E4B6D" w14:paraId="6CD712E3" w14:textId="77777777">
            <w:pPr>
              <w:spacing w:after="0" w:line="240" w:lineRule="auto"/>
              <w:rPr>
                <w:rFonts w:ascii="Arial" w:hAnsi="Arial"/>
                <w:color w:val="000000"/>
                <w:sz w:val="18"/>
                <w:lang w:val="es-MX"/>
              </w:rPr>
            </w:pPr>
            <w:r w:rsidRPr="00DB4572">
              <w:rPr>
                <w:rFonts w:ascii="Arial" w:hAnsi="Arial"/>
                <w:color w:val="000000"/>
                <w:sz w:val="18"/>
                <w:lang w:val="es-MX"/>
              </w:rPr>
              <w:t>Beneficio neto por beneficiario</w:t>
            </w:r>
          </w:p>
        </w:tc>
        <w:tc>
          <w:tcPr>
            <w:tcW w:w="0" w:type="auto"/>
            <w:tcBorders>
              <w:top w:val="nil"/>
              <w:left w:val="single" w:color="auto" w:sz="4" w:space="0"/>
              <w:bottom w:val="nil"/>
              <w:right w:val="single" w:color="auto" w:sz="4" w:space="0"/>
            </w:tcBorders>
            <w:shd w:val="clear" w:color="auto" w:fill="auto"/>
            <w:noWrap/>
            <w:vAlign w:val="bottom"/>
            <w:hideMark/>
          </w:tcPr>
          <w:p w:rsidRPr="00DB4572" w:rsidR="003E4B6D" w:rsidP="003E4B6D" w:rsidRDefault="003E4B6D" w14:paraId="11FC877A" w14:textId="688C62F9">
            <w:pPr>
              <w:spacing w:after="0" w:line="240" w:lineRule="auto"/>
              <w:jc w:val="center"/>
              <w:rPr>
                <w:rFonts w:ascii="Arial" w:hAnsi="Arial"/>
                <w:b/>
                <w:color w:val="000000"/>
                <w:sz w:val="18"/>
                <w:lang w:val="es-MX"/>
              </w:rPr>
            </w:pPr>
            <w:r w:rsidRPr="00DB4572">
              <w:rPr>
                <w:rFonts w:ascii="Arial" w:hAnsi="Arial"/>
                <w:b/>
                <w:color w:val="000000"/>
                <w:sz w:val="18"/>
                <w:lang w:val="es-MX"/>
              </w:rPr>
              <w:t>$</w:t>
            </w:r>
            <w:r w:rsidRPr="003E4B6D">
              <w:rPr>
                <w:rFonts w:ascii="Arial" w:hAnsi="Arial" w:eastAsia="Times New Roman" w:cs="Arial"/>
                <w:b/>
                <w:bCs/>
                <w:color w:val="000000"/>
                <w:sz w:val="18"/>
                <w:szCs w:val="18"/>
                <w:lang w:val="es-MX" w:eastAsia="es-MX"/>
              </w:rPr>
              <w:t>191.23</w:t>
            </w:r>
          </w:p>
        </w:tc>
        <w:tc>
          <w:tcPr>
            <w:tcW w:w="0" w:type="auto"/>
            <w:tcBorders>
              <w:top w:val="nil"/>
              <w:left w:val="nil"/>
              <w:bottom w:val="nil"/>
              <w:right w:val="nil"/>
            </w:tcBorders>
            <w:shd w:val="clear" w:color="auto" w:fill="auto"/>
            <w:noWrap/>
            <w:vAlign w:val="bottom"/>
            <w:hideMark/>
          </w:tcPr>
          <w:p w:rsidRPr="00DB4572" w:rsidR="003E4B6D" w:rsidP="003E4B6D" w:rsidRDefault="003E4B6D" w14:paraId="1FE61449" w14:textId="77777777">
            <w:pPr>
              <w:spacing w:after="0" w:line="240" w:lineRule="auto"/>
              <w:jc w:val="center"/>
              <w:rPr>
                <w:rFonts w:ascii="Arial" w:hAnsi="Arial"/>
                <w:color w:val="000000"/>
                <w:sz w:val="18"/>
                <w:lang w:val="es-MX"/>
              </w:rPr>
            </w:pPr>
            <w:r w:rsidRPr="00DB4572">
              <w:rPr>
                <w:rFonts w:ascii="Arial" w:hAnsi="Arial"/>
                <w:color w:val="000000"/>
                <w:sz w:val="18"/>
                <w:lang w:val="es-MX"/>
              </w:rPr>
              <w:t> </w:t>
            </w:r>
          </w:p>
        </w:tc>
        <w:tc>
          <w:tcPr>
            <w:tcW w:w="0" w:type="auto"/>
            <w:tcBorders>
              <w:top w:val="nil"/>
              <w:left w:val="nil"/>
              <w:bottom w:val="nil"/>
              <w:right w:val="single" w:color="auto" w:sz="4" w:space="0"/>
            </w:tcBorders>
            <w:shd w:val="clear" w:color="auto" w:fill="auto"/>
            <w:noWrap/>
            <w:vAlign w:val="bottom"/>
            <w:hideMark/>
          </w:tcPr>
          <w:p w:rsidRPr="00DB4572" w:rsidR="003E4B6D" w:rsidP="003E4B6D" w:rsidRDefault="003E4B6D" w14:paraId="58A4FA80" w14:textId="77777777">
            <w:pPr>
              <w:spacing w:after="0" w:line="240" w:lineRule="auto"/>
              <w:jc w:val="center"/>
              <w:rPr>
                <w:rFonts w:ascii="Arial" w:hAnsi="Arial"/>
                <w:color w:val="000000"/>
                <w:sz w:val="18"/>
                <w:lang w:val="es-MX"/>
              </w:rPr>
            </w:pPr>
            <w:r w:rsidRPr="00DB4572">
              <w:rPr>
                <w:rFonts w:ascii="Arial" w:hAnsi="Arial"/>
                <w:color w:val="000000"/>
                <w:sz w:val="18"/>
                <w:lang w:val="es-MX"/>
              </w:rPr>
              <w:t> </w:t>
            </w:r>
          </w:p>
        </w:tc>
      </w:tr>
      <w:tr w:rsidRPr="003E4B6D" w:rsidR="003E4B6D" w:rsidTr="003E4B6D" w14:paraId="4CED464C" w14:textId="77777777">
        <w:trPr>
          <w:trHeight w:val="290"/>
          <w:jc w:val="center"/>
        </w:trPr>
        <w:tc>
          <w:tcPr>
            <w:tcW w:w="0" w:type="auto"/>
            <w:tcBorders>
              <w:top w:val="nil"/>
              <w:left w:val="single" w:color="auto" w:sz="4" w:space="0"/>
              <w:bottom w:val="nil"/>
              <w:right w:val="nil"/>
            </w:tcBorders>
            <w:shd w:val="clear" w:color="auto" w:fill="auto"/>
            <w:noWrap/>
            <w:vAlign w:val="bottom"/>
            <w:hideMark/>
          </w:tcPr>
          <w:p w:rsidRPr="00DB4572" w:rsidR="003E4B6D" w:rsidP="003E4B6D" w:rsidRDefault="003E4B6D" w14:paraId="26C72216" w14:textId="77777777">
            <w:pPr>
              <w:spacing w:after="0" w:line="240" w:lineRule="auto"/>
              <w:rPr>
                <w:rFonts w:ascii="Arial" w:hAnsi="Arial"/>
                <w:color w:val="000000"/>
                <w:sz w:val="18"/>
                <w:lang w:val="es-MX"/>
              </w:rPr>
            </w:pPr>
            <w:r w:rsidRPr="00DB4572">
              <w:rPr>
                <w:rFonts w:ascii="Arial" w:hAnsi="Arial"/>
                <w:color w:val="000000"/>
                <w:sz w:val="18"/>
                <w:lang w:val="es-MX"/>
              </w:rPr>
              <w:t>Razón de Beneficio-Costo (Beneficios/Costos)</w:t>
            </w:r>
          </w:p>
        </w:tc>
        <w:tc>
          <w:tcPr>
            <w:tcW w:w="0" w:type="auto"/>
            <w:tcBorders>
              <w:top w:val="nil"/>
              <w:left w:val="single" w:color="auto" w:sz="4" w:space="0"/>
              <w:bottom w:val="nil"/>
              <w:right w:val="single" w:color="auto" w:sz="4" w:space="0"/>
            </w:tcBorders>
            <w:shd w:val="clear" w:color="auto" w:fill="auto"/>
            <w:noWrap/>
            <w:vAlign w:val="bottom"/>
            <w:hideMark/>
          </w:tcPr>
          <w:p w:rsidRPr="00DB4572" w:rsidR="003E4B6D" w:rsidP="003E4B6D" w:rsidRDefault="003E4B6D" w14:paraId="40735DAA" w14:textId="6CBDE629">
            <w:pPr>
              <w:spacing w:after="0" w:line="240" w:lineRule="auto"/>
              <w:jc w:val="center"/>
              <w:rPr>
                <w:rFonts w:ascii="Arial" w:hAnsi="Arial"/>
                <w:b/>
                <w:color w:val="000000"/>
                <w:sz w:val="18"/>
                <w:lang w:val="es-MX"/>
              </w:rPr>
            </w:pPr>
            <w:r w:rsidRPr="00DB4572">
              <w:rPr>
                <w:rFonts w:ascii="Arial" w:hAnsi="Arial"/>
                <w:b/>
                <w:color w:val="000000"/>
                <w:sz w:val="18"/>
                <w:lang w:val="es-MX"/>
              </w:rPr>
              <w:t>2.</w:t>
            </w:r>
            <w:r w:rsidRPr="003E4B6D">
              <w:rPr>
                <w:rFonts w:ascii="Arial" w:hAnsi="Arial" w:eastAsia="Times New Roman" w:cs="Arial"/>
                <w:b/>
                <w:bCs/>
                <w:color w:val="000000"/>
                <w:sz w:val="18"/>
                <w:szCs w:val="18"/>
                <w:lang w:val="es-MX" w:eastAsia="es-MX"/>
              </w:rPr>
              <w:t>25</w:t>
            </w:r>
          </w:p>
        </w:tc>
        <w:tc>
          <w:tcPr>
            <w:tcW w:w="0" w:type="auto"/>
            <w:tcBorders>
              <w:top w:val="nil"/>
              <w:left w:val="nil"/>
              <w:bottom w:val="nil"/>
              <w:right w:val="nil"/>
            </w:tcBorders>
            <w:shd w:val="clear" w:color="auto" w:fill="auto"/>
            <w:noWrap/>
            <w:vAlign w:val="bottom"/>
            <w:hideMark/>
          </w:tcPr>
          <w:p w:rsidRPr="00DB4572" w:rsidR="003E4B6D" w:rsidP="003E4B6D" w:rsidRDefault="003E4B6D" w14:paraId="24DD1B06" w14:textId="77777777">
            <w:pPr>
              <w:spacing w:after="0" w:line="240" w:lineRule="auto"/>
              <w:jc w:val="center"/>
              <w:rPr>
                <w:rFonts w:ascii="Arial" w:hAnsi="Arial"/>
                <w:color w:val="000000"/>
                <w:sz w:val="18"/>
                <w:lang w:val="es-MX"/>
              </w:rPr>
            </w:pPr>
            <w:r w:rsidRPr="00DB4572">
              <w:rPr>
                <w:rFonts w:ascii="Arial" w:hAnsi="Arial"/>
                <w:color w:val="000000"/>
                <w:sz w:val="18"/>
                <w:lang w:val="es-MX"/>
              </w:rPr>
              <w:t> </w:t>
            </w:r>
          </w:p>
        </w:tc>
        <w:tc>
          <w:tcPr>
            <w:tcW w:w="0" w:type="auto"/>
            <w:tcBorders>
              <w:top w:val="nil"/>
              <w:left w:val="nil"/>
              <w:bottom w:val="nil"/>
              <w:right w:val="single" w:color="auto" w:sz="4" w:space="0"/>
            </w:tcBorders>
            <w:shd w:val="clear" w:color="auto" w:fill="auto"/>
            <w:noWrap/>
            <w:vAlign w:val="bottom"/>
            <w:hideMark/>
          </w:tcPr>
          <w:p w:rsidRPr="00DB4572" w:rsidR="003E4B6D" w:rsidP="003E4B6D" w:rsidRDefault="003E4B6D" w14:paraId="51628DF8" w14:textId="77777777">
            <w:pPr>
              <w:spacing w:after="0" w:line="240" w:lineRule="auto"/>
              <w:jc w:val="center"/>
              <w:rPr>
                <w:rFonts w:ascii="Arial" w:hAnsi="Arial"/>
                <w:color w:val="000000"/>
                <w:sz w:val="18"/>
                <w:lang w:val="es-MX"/>
              </w:rPr>
            </w:pPr>
            <w:r w:rsidRPr="00DB4572">
              <w:rPr>
                <w:rFonts w:ascii="Arial" w:hAnsi="Arial"/>
                <w:color w:val="000000"/>
                <w:sz w:val="18"/>
                <w:lang w:val="es-MX"/>
              </w:rPr>
              <w:t> </w:t>
            </w:r>
          </w:p>
        </w:tc>
      </w:tr>
      <w:tr w:rsidRPr="003E4B6D" w:rsidR="003E4B6D" w:rsidTr="003E4B6D" w14:paraId="411D8D92" w14:textId="77777777">
        <w:trPr>
          <w:trHeight w:val="290"/>
          <w:jc w:val="center"/>
        </w:trPr>
        <w:tc>
          <w:tcPr>
            <w:tcW w:w="0" w:type="auto"/>
            <w:tcBorders>
              <w:top w:val="nil"/>
              <w:left w:val="single" w:color="auto" w:sz="4" w:space="0"/>
              <w:bottom w:val="single" w:color="auto" w:sz="4" w:space="0"/>
              <w:right w:val="nil"/>
            </w:tcBorders>
            <w:shd w:val="clear" w:color="auto" w:fill="auto"/>
            <w:noWrap/>
            <w:vAlign w:val="bottom"/>
            <w:hideMark/>
          </w:tcPr>
          <w:p w:rsidRPr="00DB4572" w:rsidR="003E4B6D" w:rsidP="003E4B6D" w:rsidRDefault="003E4B6D" w14:paraId="45AEBE55" w14:textId="77777777">
            <w:pPr>
              <w:spacing w:after="0" w:line="240" w:lineRule="auto"/>
              <w:rPr>
                <w:rFonts w:ascii="Arial" w:hAnsi="Arial"/>
                <w:color w:val="000000"/>
                <w:sz w:val="18"/>
                <w:lang w:val="es-MX"/>
              </w:rPr>
            </w:pPr>
            <w:r w:rsidRPr="00DB4572">
              <w:rPr>
                <w:rFonts w:ascii="Arial" w:hAnsi="Arial"/>
                <w:color w:val="000000"/>
                <w:sz w:val="18"/>
                <w:lang w:val="es-MX"/>
              </w:rPr>
              <w:t>TIR</w:t>
            </w: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DB4572" w:rsidR="003E4B6D" w:rsidP="003E4B6D" w:rsidRDefault="003E4B6D" w14:paraId="5BC88BDC" w14:textId="4C33AED3">
            <w:pPr>
              <w:spacing w:after="0" w:line="240" w:lineRule="auto"/>
              <w:jc w:val="center"/>
              <w:rPr>
                <w:rFonts w:ascii="Arial" w:hAnsi="Arial"/>
                <w:b/>
                <w:color w:val="000000"/>
                <w:sz w:val="18"/>
                <w:lang w:val="es-MX"/>
              </w:rPr>
            </w:pPr>
            <w:r w:rsidRPr="00DB4572">
              <w:rPr>
                <w:rFonts w:ascii="Arial" w:hAnsi="Arial"/>
                <w:b/>
                <w:color w:val="000000"/>
                <w:sz w:val="18"/>
                <w:lang w:val="es-MX"/>
              </w:rPr>
              <w:t>16%</w:t>
            </w:r>
          </w:p>
        </w:tc>
        <w:tc>
          <w:tcPr>
            <w:tcW w:w="0" w:type="auto"/>
            <w:tcBorders>
              <w:top w:val="nil"/>
              <w:left w:val="nil"/>
              <w:bottom w:val="single" w:color="auto" w:sz="4" w:space="0"/>
              <w:right w:val="nil"/>
            </w:tcBorders>
            <w:shd w:val="clear" w:color="auto" w:fill="auto"/>
            <w:noWrap/>
            <w:vAlign w:val="bottom"/>
            <w:hideMark/>
          </w:tcPr>
          <w:p w:rsidRPr="00DB4572" w:rsidR="003E4B6D" w:rsidP="003E4B6D" w:rsidRDefault="003E4B6D" w14:paraId="37AA4D9D" w14:textId="77777777">
            <w:pPr>
              <w:spacing w:after="0" w:line="240" w:lineRule="auto"/>
              <w:jc w:val="center"/>
              <w:rPr>
                <w:rFonts w:ascii="Arial" w:hAnsi="Arial"/>
                <w:color w:val="000000"/>
                <w:sz w:val="18"/>
                <w:lang w:val="es-MX"/>
              </w:rPr>
            </w:pPr>
            <w:r w:rsidRPr="00DB4572">
              <w:rPr>
                <w:rFonts w:ascii="Arial" w:hAnsi="Arial"/>
                <w:color w:val="000000"/>
                <w:sz w:val="18"/>
                <w:lang w:val="es-MX"/>
              </w:rPr>
              <w:t> </w:t>
            </w:r>
          </w:p>
        </w:tc>
        <w:tc>
          <w:tcPr>
            <w:tcW w:w="0" w:type="auto"/>
            <w:tcBorders>
              <w:top w:val="nil"/>
              <w:left w:val="nil"/>
              <w:bottom w:val="single" w:color="auto" w:sz="4" w:space="0"/>
              <w:right w:val="single" w:color="auto" w:sz="4" w:space="0"/>
            </w:tcBorders>
            <w:shd w:val="clear" w:color="auto" w:fill="auto"/>
            <w:noWrap/>
            <w:vAlign w:val="bottom"/>
            <w:hideMark/>
          </w:tcPr>
          <w:p w:rsidRPr="00DB4572" w:rsidR="003E4B6D" w:rsidP="003E4B6D" w:rsidRDefault="003E4B6D" w14:paraId="1B705FF2" w14:textId="77777777">
            <w:pPr>
              <w:spacing w:after="0" w:line="240" w:lineRule="auto"/>
              <w:jc w:val="center"/>
              <w:rPr>
                <w:rFonts w:ascii="Arial" w:hAnsi="Arial"/>
                <w:color w:val="000000"/>
                <w:sz w:val="18"/>
                <w:lang w:val="es-MX"/>
              </w:rPr>
            </w:pPr>
            <w:r w:rsidRPr="00DB4572">
              <w:rPr>
                <w:rFonts w:ascii="Arial" w:hAnsi="Arial"/>
                <w:color w:val="000000"/>
                <w:sz w:val="18"/>
                <w:lang w:val="es-MX"/>
              </w:rPr>
              <w:t> </w:t>
            </w:r>
          </w:p>
        </w:tc>
      </w:tr>
    </w:tbl>
    <w:p w:rsidR="003C6009" w:rsidP="003F36C8" w:rsidRDefault="003C6009" w14:paraId="4D248D4B" w14:textId="77777777">
      <w:pPr>
        <w:pStyle w:val="fuente"/>
        <w:rPr>
          <w:rFonts w:ascii="Arial" w:hAnsi="Arial" w:cs="Arial"/>
        </w:rPr>
      </w:pPr>
    </w:p>
    <w:p w:rsidRPr="000E0AC5" w:rsidR="003F36C8" w:rsidP="003F36C8" w:rsidRDefault="003F36C8" w14:paraId="436F4AC4" w14:textId="39BE1B28">
      <w:pPr>
        <w:pStyle w:val="fuente"/>
        <w:rPr>
          <w:rFonts w:ascii="Arial" w:hAnsi="Arial" w:cs="Arial"/>
        </w:rPr>
      </w:pPr>
      <w:r w:rsidRPr="000E0AC5">
        <w:rPr>
          <w:rFonts w:ascii="Arial" w:hAnsi="Arial" w:cs="Arial"/>
        </w:rPr>
        <w:t>Fuente: Estimaciones propias.</w:t>
      </w:r>
    </w:p>
    <w:p w:rsidRPr="000E0AC5" w:rsidR="001B5186" w:rsidP="006A3FEB" w:rsidRDefault="00E2088E" w14:paraId="1F940C5C" w14:textId="77777777">
      <w:pPr>
        <w:pStyle w:val="ListParagraph"/>
        <w:numPr>
          <w:ilvl w:val="0"/>
          <w:numId w:val="8"/>
        </w:numPr>
        <w:spacing w:after="0" w:line="360" w:lineRule="auto"/>
        <w:jc w:val="both"/>
        <w:rPr>
          <w:rFonts w:ascii="Arial" w:hAnsi="Arial" w:cs="Arial"/>
          <w:b/>
          <w:lang w:val="es-ES"/>
        </w:rPr>
      </w:pPr>
      <w:r w:rsidRPr="000E0AC5">
        <w:rPr>
          <w:rFonts w:ascii="Arial" w:hAnsi="Arial" w:cs="Arial"/>
          <w:b/>
          <w:lang w:val="es-ES"/>
        </w:rPr>
        <w:t>Análisis de Sensibilidad</w:t>
      </w:r>
    </w:p>
    <w:p w:rsidRPr="000E0AC5" w:rsidR="003F36C8" w:rsidP="003F36C8" w:rsidRDefault="003F36C8" w14:paraId="0DAAE005" w14:textId="77777777">
      <w:pPr>
        <w:pStyle w:val="ListParagraph"/>
        <w:spacing w:after="0" w:line="360" w:lineRule="auto"/>
        <w:ind w:left="720"/>
        <w:jc w:val="both"/>
        <w:rPr>
          <w:rFonts w:ascii="Arial" w:hAnsi="Arial" w:cs="Arial"/>
          <w:b/>
          <w:lang w:val="es-ES"/>
        </w:rPr>
      </w:pPr>
    </w:p>
    <w:p w:rsidR="00EF01A4" w:rsidP="006A3FEB" w:rsidRDefault="003F36C8" w14:paraId="3C20CEEC" w14:textId="77777777">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la </w:t>
      </w:r>
      <w:r w:rsidR="002D1E9B">
        <w:rPr>
          <w:rFonts w:ascii="Arial" w:hAnsi="Arial" w:eastAsia="Times New Roman" w:cs="Arial"/>
          <w:color w:val="000000"/>
          <w:lang w:val="es-ES"/>
        </w:rPr>
        <w:t xml:space="preserve">Tabla </w:t>
      </w:r>
      <w:r w:rsidR="007A0E5D">
        <w:rPr>
          <w:rFonts w:ascii="Arial" w:hAnsi="Arial" w:eastAsia="Times New Roman" w:cs="Arial"/>
          <w:color w:val="000000"/>
          <w:lang w:val="es-ES"/>
        </w:rPr>
        <w:t>4</w:t>
      </w:r>
      <w:r w:rsidRPr="000E0AC5">
        <w:rPr>
          <w:rFonts w:ascii="Arial" w:hAnsi="Arial" w:eastAsia="Times New Roman" w:cs="Arial"/>
          <w:color w:val="000000"/>
          <w:lang w:val="es-ES"/>
        </w:rPr>
        <w:t xml:space="preserve"> se presenta un análisis de sensibilidad asumiendo diversos valores para el impacto del Programa. Las celdas resaltadas en celeste indican el escenario base, que asume un escenari</w:t>
      </w:r>
      <w:r w:rsidRPr="000E0AC5" w:rsidR="00050CFC">
        <w:rPr>
          <w:rFonts w:ascii="Arial" w:hAnsi="Arial" w:eastAsia="Times New Roman" w:cs="Arial"/>
          <w:color w:val="000000"/>
          <w:lang w:val="es-ES"/>
        </w:rPr>
        <w:t>o conservador con reducción de 10</w:t>
      </w:r>
      <w:r w:rsidRPr="000E0AC5">
        <w:rPr>
          <w:rFonts w:ascii="Arial" w:hAnsi="Arial" w:eastAsia="Times New Roman" w:cs="Arial"/>
          <w:color w:val="000000"/>
          <w:lang w:val="es-ES"/>
        </w:rPr>
        <w:t xml:space="preserve">% en los homicidios y </w:t>
      </w:r>
      <w:r w:rsidRPr="000E0AC5" w:rsidR="00845515">
        <w:rPr>
          <w:rFonts w:ascii="Arial" w:hAnsi="Arial" w:eastAsia="Times New Roman" w:cs="Arial"/>
          <w:color w:val="000000"/>
          <w:lang w:val="es-ES"/>
        </w:rPr>
        <w:t>asaltos</w:t>
      </w:r>
      <w:r w:rsidRPr="000E0AC5">
        <w:rPr>
          <w:rFonts w:ascii="Arial" w:hAnsi="Arial" w:eastAsia="Times New Roman" w:cs="Arial"/>
          <w:color w:val="000000"/>
          <w:lang w:val="es-ES"/>
        </w:rPr>
        <w:t xml:space="preserve"> como res</w:t>
      </w:r>
      <w:r w:rsidRPr="000E0AC5" w:rsidR="00050CFC">
        <w:rPr>
          <w:rFonts w:ascii="Arial" w:hAnsi="Arial" w:eastAsia="Times New Roman" w:cs="Arial"/>
          <w:color w:val="000000"/>
          <w:lang w:val="es-ES"/>
        </w:rPr>
        <w:t xml:space="preserve">ultado del componente 1, y </w:t>
      </w:r>
      <w:r w:rsidRPr="000E0AC5" w:rsidR="008C35D8">
        <w:rPr>
          <w:rFonts w:ascii="Arial" w:hAnsi="Arial" w:eastAsia="Times New Roman" w:cs="Arial"/>
          <w:color w:val="000000"/>
          <w:lang w:val="es-ES"/>
        </w:rPr>
        <w:t>una tasa de descuento de 12%</w:t>
      </w:r>
      <w:r w:rsidRPr="000E0AC5">
        <w:rPr>
          <w:rFonts w:ascii="Arial" w:hAnsi="Arial" w:eastAsia="Times New Roman" w:cs="Arial"/>
          <w:color w:val="000000"/>
          <w:lang w:val="es-ES"/>
        </w:rPr>
        <w:t>.</w:t>
      </w:r>
    </w:p>
    <w:p w:rsidRPr="000E0AC5" w:rsidR="003F36C8" w:rsidP="00EF01A4" w:rsidRDefault="003F36C8" w14:paraId="6F60D4F0" w14:textId="41E65392">
      <w:pPr>
        <w:spacing w:after="0" w:line="360" w:lineRule="auto"/>
        <w:ind w:left="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 </w:t>
      </w:r>
    </w:p>
    <w:p w:rsidR="003F36C8" w:rsidP="006A3FEB" w:rsidRDefault="003F36C8" w14:paraId="70D5F312" w14:textId="51AF0721">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El primer conjunto de resultados mantiene constante </w:t>
      </w:r>
      <w:r w:rsidRPr="000E0AC5" w:rsidR="008C35D8">
        <w:rPr>
          <w:rFonts w:ascii="Arial" w:hAnsi="Arial" w:eastAsia="Times New Roman" w:cs="Arial"/>
          <w:color w:val="000000"/>
          <w:lang w:val="es-ES"/>
        </w:rPr>
        <w:t>la tasa de descuento de 12%</w:t>
      </w:r>
      <w:r w:rsidRPr="000E0AC5">
        <w:rPr>
          <w:rFonts w:ascii="Arial" w:hAnsi="Arial" w:eastAsia="Times New Roman" w:cs="Arial"/>
          <w:color w:val="000000"/>
          <w:lang w:val="es-ES"/>
        </w:rPr>
        <w:t>, y modifica los valores del impacto del patrullaje en puntos calientes y de policía orientada a la resolución de proble</w:t>
      </w:r>
      <w:r w:rsidRPr="000E0AC5" w:rsidR="00050CFC">
        <w:rPr>
          <w:rFonts w:ascii="Arial" w:hAnsi="Arial" w:eastAsia="Times New Roman" w:cs="Arial"/>
          <w:color w:val="000000"/>
          <w:lang w:val="es-ES"/>
        </w:rPr>
        <w:t xml:space="preserve">mas. Si se asume un impacto de </w:t>
      </w:r>
      <w:r w:rsidRPr="000E0AC5">
        <w:rPr>
          <w:rFonts w:ascii="Arial" w:hAnsi="Arial" w:eastAsia="Times New Roman" w:cs="Arial"/>
          <w:color w:val="000000"/>
          <w:lang w:val="es-ES"/>
        </w:rPr>
        <w:t>8% para los homicid</w:t>
      </w:r>
      <w:r w:rsidRPr="000E0AC5" w:rsidR="00050CFC">
        <w:rPr>
          <w:rFonts w:ascii="Arial" w:hAnsi="Arial" w:eastAsia="Times New Roman" w:cs="Arial"/>
          <w:color w:val="000000"/>
          <w:lang w:val="es-ES"/>
        </w:rPr>
        <w:t xml:space="preserve">ios y </w:t>
      </w:r>
      <w:r w:rsidRPr="000E0AC5" w:rsidR="00845515">
        <w:rPr>
          <w:rFonts w:ascii="Arial" w:hAnsi="Arial" w:eastAsia="Times New Roman" w:cs="Arial"/>
          <w:color w:val="000000"/>
          <w:lang w:val="es-ES"/>
        </w:rPr>
        <w:t>asaltos</w:t>
      </w:r>
      <w:r w:rsidRPr="000E0AC5" w:rsidR="00050CFC">
        <w:rPr>
          <w:rFonts w:ascii="Arial" w:hAnsi="Arial" w:eastAsia="Times New Roman" w:cs="Arial"/>
          <w:color w:val="000000"/>
          <w:lang w:val="es-ES"/>
        </w:rPr>
        <w:t xml:space="preserve"> el beneficio neto es de $</w:t>
      </w:r>
      <w:r w:rsidR="004217D0">
        <w:rPr>
          <w:rFonts w:ascii="Arial" w:hAnsi="Arial" w:eastAsia="Times New Roman" w:cs="Arial"/>
          <w:color w:val="000000"/>
          <w:lang w:val="es-ES"/>
        </w:rPr>
        <w:t>8</w:t>
      </w:r>
      <w:r w:rsidR="00AE62C4">
        <w:rPr>
          <w:rFonts w:ascii="Arial" w:hAnsi="Arial" w:eastAsia="Times New Roman" w:cs="Arial"/>
          <w:color w:val="000000"/>
          <w:lang w:val="es-ES"/>
        </w:rPr>
        <w:t>6.1</w:t>
      </w:r>
      <w:r w:rsidRPr="000E0AC5">
        <w:rPr>
          <w:rFonts w:ascii="Arial" w:hAnsi="Arial" w:eastAsia="Times New Roman" w:cs="Arial"/>
          <w:color w:val="000000"/>
          <w:lang w:val="es-ES"/>
        </w:rPr>
        <w:t xml:space="preserve"> millones de dólares,</w:t>
      </w:r>
      <w:r w:rsidRPr="000E0AC5" w:rsidR="00050CFC">
        <w:rPr>
          <w:rFonts w:ascii="Arial" w:hAnsi="Arial" w:eastAsia="Times New Roman" w:cs="Arial"/>
          <w:color w:val="000000"/>
          <w:lang w:val="es-ES"/>
        </w:rPr>
        <w:t xml:space="preserve"> lo que equivale a $</w:t>
      </w:r>
      <w:r w:rsidR="004217D0">
        <w:rPr>
          <w:rFonts w:ascii="Arial" w:hAnsi="Arial" w:eastAsia="Times New Roman" w:cs="Arial"/>
          <w:color w:val="000000"/>
          <w:lang w:val="es-ES"/>
        </w:rPr>
        <w:t>1</w:t>
      </w:r>
      <w:r w:rsidR="00A72090">
        <w:rPr>
          <w:rFonts w:ascii="Arial" w:hAnsi="Arial" w:eastAsia="Times New Roman" w:cs="Arial"/>
          <w:color w:val="000000"/>
          <w:lang w:val="es-ES"/>
        </w:rPr>
        <w:t>7</w:t>
      </w:r>
      <w:r w:rsidR="00AE62C4">
        <w:rPr>
          <w:rFonts w:ascii="Arial" w:hAnsi="Arial" w:eastAsia="Times New Roman" w:cs="Arial"/>
          <w:color w:val="000000"/>
          <w:lang w:val="es-ES"/>
        </w:rPr>
        <w:t>8</w:t>
      </w:r>
      <w:r w:rsidR="00B55CAF">
        <w:rPr>
          <w:rFonts w:ascii="Arial" w:hAnsi="Arial" w:eastAsia="Times New Roman" w:cs="Arial"/>
          <w:color w:val="000000"/>
          <w:lang w:val="es-ES"/>
        </w:rPr>
        <w:t xml:space="preserve"> </w:t>
      </w:r>
      <w:r w:rsidRPr="000E0AC5" w:rsidR="00050CFC">
        <w:rPr>
          <w:rFonts w:ascii="Arial" w:hAnsi="Arial" w:eastAsia="Times New Roman" w:cs="Arial"/>
          <w:color w:val="000000"/>
          <w:lang w:val="es-ES"/>
        </w:rPr>
        <w:t xml:space="preserve">por beneficiario, </w:t>
      </w:r>
      <w:r w:rsidRPr="000E0AC5" w:rsidR="00486824">
        <w:rPr>
          <w:rFonts w:ascii="Arial" w:hAnsi="Arial" w:eastAsia="Times New Roman" w:cs="Arial"/>
          <w:color w:val="000000"/>
          <w:lang w:val="es-ES"/>
        </w:rPr>
        <w:t>la razón</w:t>
      </w:r>
      <w:r w:rsidRPr="000E0AC5">
        <w:rPr>
          <w:rFonts w:ascii="Arial" w:hAnsi="Arial" w:eastAsia="Times New Roman" w:cs="Arial"/>
          <w:color w:val="000000"/>
          <w:lang w:val="es-ES"/>
        </w:rPr>
        <w:t xml:space="preserve"> de costo-beneficio </w:t>
      </w:r>
      <w:r w:rsidRPr="000E0AC5" w:rsidR="0031074C">
        <w:rPr>
          <w:rFonts w:ascii="Arial" w:hAnsi="Arial" w:eastAsia="Times New Roman" w:cs="Arial"/>
          <w:color w:val="000000"/>
          <w:lang w:val="es-ES"/>
        </w:rPr>
        <w:t>es de $</w:t>
      </w:r>
      <w:r w:rsidR="00AE62C4">
        <w:rPr>
          <w:rFonts w:ascii="Arial" w:hAnsi="Arial" w:eastAsia="Times New Roman" w:cs="Arial"/>
          <w:color w:val="000000"/>
          <w:lang w:val="es-ES"/>
        </w:rPr>
        <w:t xml:space="preserve">2.11 </w:t>
      </w:r>
      <w:r w:rsidRPr="000E0AC5">
        <w:rPr>
          <w:rFonts w:ascii="Arial" w:hAnsi="Arial" w:eastAsia="Times New Roman" w:cs="Arial"/>
          <w:color w:val="000000"/>
          <w:lang w:val="es-ES"/>
        </w:rPr>
        <w:t xml:space="preserve">y la TIR es de </w:t>
      </w:r>
      <w:r w:rsidR="00F234A0">
        <w:rPr>
          <w:rFonts w:ascii="Arial" w:hAnsi="Arial" w:eastAsia="Times New Roman" w:cs="Arial"/>
          <w:color w:val="000000"/>
          <w:lang w:val="es-ES"/>
        </w:rPr>
        <w:t>1</w:t>
      </w:r>
      <w:r w:rsidR="00AE62C4">
        <w:rPr>
          <w:rFonts w:ascii="Arial" w:hAnsi="Arial" w:eastAsia="Times New Roman" w:cs="Arial"/>
          <w:color w:val="000000"/>
          <w:lang w:val="es-ES"/>
        </w:rPr>
        <w:t>4.4</w:t>
      </w:r>
      <w:r w:rsidRPr="000E0AC5">
        <w:rPr>
          <w:rFonts w:ascii="Arial" w:hAnsi="Arial" w:eastAsia="Times New Roman" w:cs="Arial"/>
          <w:color w:val="000000"/>
          <w:lang w:val="es-ES"/>
        </w:rPr>
        <w:t xml:space="preserve">%. En cambio, un escenario más optimista que asume una reducción de </w:t>
      </w:r>
      <w:r w:rsidRPr="000E0AC5" w:rsidR="00E17EEA">
        <w:rPr>
          <w:rFonts w:ascii="Arial" w:hAnsi="Arial" w:eastAsia="Times New Roman" w:cs="Arial"/>
          <w:color w:val="000000"/>
          <w:lang w:val="es-ES"/>
        </w:rPr>
        <w:t>18</w:t>
      </w:r>
      <w:r w:rsidRPr="000E0AC5">
        <w:rPr>
          <w:rFonts w:ascii="Arial" w:hAnsi="Arial" w:eastAsia="Times New Roman" w:cs="Arial"/>
          <w:color w:val="000000"/>
          <w:lang w:val="es-ES"/>
        </w:rPr>
        <w:t xml:space="preserve">% en los homicidios y </w:t>
      </w:r>
      <w:r w:rsidRPr="000E0AC5" w:rsidR="00050CFC">
        <w:rPr>
          <w:rFonts w:ascii="Arial" w:hAnsi="Arial" w:eastAsia="Times New Roman" w:cs="Arial"/>
          <w:color w:val="000000"/>
          <w:lang w:val="es-ES"/>
        </w:rPr>
        <w:t>19.2</w:t>
      </w:r>
      <w:r w:rsidRPr="000E0AC5">
        <w:rPr>
          <w:rFonts w:ascii="Arial" w:hAnsi="Arial" w:eastAsia="Times New Roman" w:cs="Arial"/>
          <w:color w:val="000000"/>
          <w:lang w:val="es-ES"/>
        </w:rPr>
        <w:t xml:space="preserve">% en los </w:t>
      </w:r>
      <w:r w:rsidRPr="000E0AC5" w:rsidR="00845515">
        <w:rPr>
          <w:rFonts w:ascii="Arial" w:hAnsi="Arial" w:eastAsia="Times New Roman" w:cs="Arial"/>
          <w:color w:val="000000"/>
          <w:lang w:val="es-ES"/>
        </w:rPr>
        <w:t>asaltos</w:t>
      </w:r>
      <w:r w:rsidRPr="000E0AC5">
        <w:rPr>
          <w:rFonts w:ascii="Arial" w:hAnsi="Arial" w:eastAsia="Times New Roman" w:cs="Arial"/>
          <w:color w:val="000000"/>
          <w:lang w:val="es-ES"/>
        </w:rPr>
        <w:t xml:space="preserve"> </w:t>
      </w:r>
      <w:r w:rsidRPr="000E0AC5">
        <w:rPr>
          <w:rFonts w:ascii="Arial" w:hAnsi="Arial" w:eastAsia="Times New Roman" w:cs="Arial"/>
          <w:color w:val="000000"/>
          <w:lang w:val="es-ES"/>
        </w:rPr>
        <w:lastRenderedPageBreak/>
        <w:t>ge</w:t>
      </w:r>
      <w:r w:rsidR="002C1A3D">
        <w:rPr>
          <w:rFonts w:ascii="Arial" w:hAnsi="Arial" w:eastAsia="Times New Roman" w:cs="Arial"/>
          <w:color w:val="000000"/>
          <w:lang w:val="es-ES"/>
        </w:rPr>
        <w:t xml:space="preserve">neraría </w:t>
      </w:r>
      <w:r w:rsidR="00B5149F">
        <w:rPr>
          <w:rFonts w:ascii="Arial" w:hAnsi="Arial" w:eastAsia="Times New Roman" w:cs="Arial"/>
          <w:color w:val="000000"/>
          <w:lang w:val="es-ES"/>
        </w:rPr>
        <w:t>$</w:t>
      </w:r>
      <w:r w:rsidR="00A72090">
        <w:rPr>
          <w:rFonts w:ascii="Arial" w:hAnsi="Arial" w:eastAsia="Times New Roman" w:cs="Arial"/>
          <w:color w:val="000000"/>
          <w:lang w:val="es-ES"/>
        </w:rPr>
        <w:t>24</w:t>
      </w:r>
      <w:r w:rsidR="00AE62C4">
        <w:rPr>
          <w:rFonts w:ascii="Arial" w:hAnsi="Arial" w:eastAsia="Times New Roman" w:cs="Arial"/>
          <w:color w:val="000000"/>
          <w:lang w:val="es-ES"/>
        </w:rPr>
        <w:t>7.2</w:t>
      </w:r>
      <w:r w:rsidRPr="000E0AC5" w:rsidR="00050CFC">
        <w:rPr>
          <w:rFonts w:ascii="Arial" w:hAnsi="Arial" w:eastAsia="Times New Roman" w:cs="Arial"/>
          <w:color w:val="000000"/>
          <w:lang w:val="es-ES"/>
        </w:rPr>
        <w:t xml:space="preserve"> dólares por beneficiario</w:t>
      </w:r>
      <w:r w:rsidRPr="000E0AC5">
        <w:rPr>
          <w:rFonts w:ascii="Arial" w:hAnsi="Arial" w:eastAsia="Times New Roman" w:cs="Arial"/>
          <w:color w:val="000000"/>
          <w:lang w:val="es-ES"/>
        </w:rPr>
        <w:t xml:space="preserve"> y valores de </w:t>
      </w:r>
      <w:r w:rsidRPr="000E0AC5" w:rsidR="0031074C">
        <w:rPr>
          <w:rFonts w:ascii="Arial" w:hAnsi="Arial" w:eastAsia="Times New Roman" w:cs="Arial"/>
          <w:color w:val="000000"/>
          <w:lang w:val="es-ES"/>
        </w:rPr>
        <w:t>$</w:t>
      </w:r>
      <w:r w:rsidR="004217D0">
        <w:rPr>
          <w:rFonts w:ascii="Arial" w:hAnsi="Arial" w:eastAsia="Times New Roman" w:cs="Arial"/>
          <w:color w:val="000000"/>
          <w:lang w:val="es-ES"/>
        </w:rPr>
        <w:t>2.</w:t>
      </w:r>
      <w:r w:rsidR="00A72090">
        <w:rPr>
          <w:rFonts w:ascii="Arial" w:hAnsi="Arial" w:eastAsia="Times New Roman" w:cs="Arial"/>
          <w:color w:val="000000"/>
          <w:lang w:val="es-ES"/>
        </w:rPr>
        <w:t>8</w:t>
      </w:r>
      <w:r w:rsidR="00AE62C4">
        <w:rPr>
          <w:rFonts w:ascii="Arial" w:hAnsi="Arial" w:eastAsia="Times New Roman" w:cs="Arial"/>
          <w:color w:val="000000"/>
          <w:lang w:val="es-ES"/>
        </w:rPr>
        <w:t>4</w:t>
      </w:r>
      <w:r w:rsidRPr="000E0AC5">
        <w:rPr>
          <w:rFonts w:ascii="Arial" w:hAnsi="Arial" w:eastAsia="Times New Roman" w:cs="Arial"/>
          <w:color w:val="000000"/>
          <w:lang w:val="es-ES"/>
        </w:rPr>
        <w:t xml:space="preserve"> y </w:t>
      </w:r>
      <w:r w:rsidR="00A72090">
        <w:rPr>
          <w:rFonts w:ascii="Arial" w:hAnsi="Arial" w:eastAsia="Times New Roman" w:cs="Arial"/>
          <w:color w:val="000000"/>
          <w:lang w:val="es-ES"/>
        </w:rPr>
        <w:t>2</w:t>
      </w:r>
      <w:r w:rsidR="00AE62C4">
        <w:rPr>
          <w:rFonts w:ascii="Arial" w:hAnsi="Arial" w:eastAsia="Times New Roman" w:cs="Arial"/>
          <w:color w:val="000000"/>
          <w:lang w:val="es-ES"/>
        </w:rPr>
        <w:t>2.4</w:t>
      </w:r>
      <w:r w:rsidRPr="000E0AC5">
        <w:rPr>
          <w:rFonts w:ascii="Arial" w:hAnsi="Arial" w:eastAsia="Times New Roman" w:cs="Arial"/>
          <w:color w:val="000000"/>
          <w:lang w:val="es-ES"/>
        </w:rPr>
        <w:t xml:space="preserve">%, para la razón de costo-beneficio y la TIR, respectivamente. </w:t>
      </w:r>
    </w:p>
    <w:p w:rsidRPr="000E0AC5" w:rsidR="00EF01A4" w:rsidP="00EF01A4" w:rsidRDefault="00EF01A4" w14:paraId="42B15D32" w14:textId="77777777">
      <w:pPr>
        <w:spacing w:after="0" w:line="360" w:lineRule="auto"/>
        <w:jc w:val="both"/>
        <w:textAlignment w:val="top"/>
        <w:rPr>
          <w:rFonts w:ascii="Arial" w:hAnsi="Arial" w:eastAsia="Times New Roman" w:cs="Arial"/>
          <w:color w:val="000000"/>
          <w:lang w:val="es-ES"/>
        </w:rPr>
      </w:pPr>
    </w:p>
    <w:p w:rsidR="003F36C8" w:rsidP="006A3FEB" w:rsidRDefault="003F36C8" w14:paraId="5ADAEB5B" w14:textId="29B96609">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cambio, si se asume </w:t>
      </w:r>
      <w:r w:rsidRPr="000E0AC5" w:rsidR="005E1C51">
        <w:rPr>
          <w:rFonts w:ascii="Arial" w:hAnsi="Arial" w:eastAsia="Times New Roman" w:cs="Arial"/>
          <w:color w:val="000000"/>
          <w:lang w:val="es-ES"/>
        </w:rPr>
        <w:t>la tasa de descuento es de 10%</w:t>
      </w:r>
      <w:r w:rsidRPr="000E0AC5">
        <w:rPr>
          <w:rFonts w:ascii="Arial" w:hAnsi="Arial" w:eastAsia="Times New Roman" w:cs="Arial"/>
          <w:color w:val="000000"/>
          <w:lang w:val="es-ES"/>
        </w:rPr>
        <w:t xml:space="preserve">, el beneficio neto </w:t>
      </w:r>
      <w:r w:rsidR="002C1A3D">
        <w:rPr>
          <w:rFonts w:ascii="Arial" w:hAnsi="Arial" w:eastAsia="Times New Roman" w:cs="Arial"/>
          <w:color w:val="000000"/>
          <w:lang w:val="es-ES"/>
        </w:rPr>
        <w:t>por be</w:t>
      </w:r>
      <w:r w:rsidR="00B5149F">
        <w:rPr>
          <w:rFonts w:ascii="Arial" w:hAnsi="Arial" w:eastAsia="Times New Roman" w:cs="Arial"/>
          <w:color w:val="000000"/>
          <w:lang w:val="es-ES"/>
        </w:rPr>
        <w:t>neficiario oscila entre $</w:t>
      </w:r>
      <w:r w:rsidR="007018A9">
        <w:rPr>
          <w:rFonts w:ascii="Arial" w:hAnsi="Arial" w:eastAsia="Times New Roman" w:cs="Arial"/>
          <w:color w:val="000000"/>
          <w:lang w:val="es-ES"/>
        </w:rPr>
        <w:t>2</w:t>
      </w:r>
      <w:r w:rsidR="00AE62C4">
        <w:rPr>
          <w:rFonts w:ascii="Arial" w:hAnsi="Arial" w:eastAsia="Times New Roman" w:cs="Arial"/>
          <w:color w:val="000000"/>
          <w:lang w:val="es-ES"/>
        </w:rPr>
        <w:t>22</w:t>
      </w:r>
      <w:r w:rsidR="00B5149F">
        <w:rPr>
          <w:rFonts w:ascii="Arial" w:hAnsi="Arial" w:eastAsia="Times New Roman" w:cs="Arial"/>
          <w:color w:val="000000"/>
          <w:lang w:val="es-ES"/>
        </w:rPr>
        <w:t xml:space="preserve"> y $</w:t>
      </w:r>
      <w:r w:rsidR="00AE62C4">
        <w:rPr>
          <w:rFonts w:ascii="Arial" w:hAnsi="Arial" w:eastAsia="Times New Roman" w:cs="Arial"/>
          <w:color w:val="000000"/>
          <w:lang w:val="es-ES"/>
        </w:rPr>
        <w:t>304.3</w:t>
      </w:r>
      <w:r w:rsidRPr="000E0AC5">
        <w:rPr>
          <w:rFonts w:ascii="Arial" w:hAnsi="Arial" w:eastAsia="Times New Roman" w:cs="Arial"/>
          <w:color w:val="000000"/>
          <w:lang w:val="es-ES"/>
        </w:rPr>
        <w:t>, mientras que la razón de costo-beneficio se encuentra entre $</w:t>
      </w:r>
      <w:r w:rsidR="004217D0">
        <w:rPr>
          <w:rFonts w:ascii="Arial" w:hAnsi="Arial" w:eastAsia="Times New Roman" w:cs="Arial"/>
          <w:color w:val="000000"/>
          <w:lang w:val="es-ES"/>
        </w:rPr>
        <w:t>2.</w:t>
      </w:r>
      <w:r w:rsidR="00AE62C4">
        <w:rPr>
          <w:rFonts w:ascii="Arial" w:hAnsi="Arial" w:eastAsia="Times New Roman" w:cs="Arial"/>
          <w:color w:val="000000"/>
          <w:lang w:val="es-ES"/>
        </w:rPr>
        <w:t>5</w:t>
      </w:r>
      <w:r w:rsidRPr="000E0AC5">
        <w:rPr>
          <w:rFonts w:ascii="Arial" w:hAnsi="Arial" w:eastAsia="Times New Roman" w:cs="Arial"/>
          <w:color w:val="000000"/>
          <w:lang w:val="es-ES"/>
        </w:rPr>
        <w:t xml:space="preserve"> y $</w:t>
      </w:r>
      <w:r w:rsidR="004217D0">
        <w:rPr>
          <w:rFonts w:ascii="Arial" w:hAnsi="Arial" w:eastAsia="Times New Roman" w:cs="Arial"/>
          <w:color w:val="000000"/>
          <w:lang w:val="es-ES"/>
        </w:rPr>
        <w:t>3.</w:t>
      </w:r>
      <w:r w:rsidR="00A72090">
        <w:rPr>
          <w:rFonts w:ascii="Arial" w:hAnsi="Arial" w:eastAsia="Times New Roman" w:cs="Arial"/>
          <w:color w:val="000000"/>
          <w:lang w:val="es-ES"/>
        </w:rPr>
        <w:t>3</w:t>
      </w:r>
      <w:r w:rsidR="002C1A3D">
        <w:rPr>
          <w:rFonts w:ascii="Arial" w:hAnsi="Arial" w:eastAsia="Times New Roman" w:cs="Arial"/>
          <w:color w:val="000000"/>
          <w:lang w:val="es-ES"/>
        </w:rPr>
        <w:t xml:space="preserve"> dólares</w:t>
      </w:r>
      <w:r w:rsidR="00927705">
        <w:rPr>
          <w:rFonts w:ascii="Arial" w:hAnsi="Arial" w:eastAsia="Times New Roman" w:cs="Arial"/>
          <w:color w:val="000000"/>
          <w:lang w:val="es-ES"/>
        </w:rPr>
        <w:t>.</w:t>
      </w:r>
    </w:p>
    <w:p w:rsidRPr="000E0AC5" w:rsidR="00EF01A4" w:rsidP="00EF01A4" w:rsidRDefault="00EF01A4" w14:paraId="488C2EFA" w14:textId="77777777">
      <w:pPr>
        <w:spacing w:after="0" w:line="360" w:lineRule="auto"/>
        <w:jc w:val="both"/>
        <w:textAlignment w:val="top"/>
        <w:rPr>
          <w:rFonts w:ascii="Arial" w:hAnsi="Arial" w:eastAsia="Times New Roman" w:cs="Arial"/>
          <w:color w:val="000000"/>
          <w:lang w:val="es-ES"/>
        </w:rPr>
      </w:pPr>
    </w:p>
    <w:p w:rsidR="005E1C51" w:rsidP="006A3FEB" w:rsidRDefault="005E1C51" w14:paraId="1B83D89A" w14:textId="231DC2AA">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 xml:space="preserve">En general, el proyecto genera beneficios sociales positivos, ya que </w:t>
      </w:r>
      <w:r w:rsidRPr="000E0AC5" w:rsidR="00486824">
        <w:rPr>
          <w:rFonts w:ascii="Arial" w:hAnsi="Arial" w:eastAsia="Times New Roman" w:cs="Arial"/>
          <w:color w:val="000000"/>
          <w:lang w:val="es-ES"/>
        </w:rPr>
        <w:t>la razón</w:t>
      </w:r>
      <w:r w:rsidRPr="000E0AC5">
        <w:rPr>
          <w:rFonts w:ascii="Arial" w:hAnsi="Arial" w:eastAsia="Times New Roman" w:cs="Arial"/>
          <w:color w:val="000000"/>
          <w:lang w:val="es-ES"/>
        </w:rPr>
        <w:t xml:space="preserve"> beneficio-costo se encuentra por encima de 1 en todos los escenarios y el beneficio neto por beneficiario es positivo</w:t>
      </w:r>
      <w:r w:rsidRPr="000E0AC5" w:rsidR="00214E6E">
        <w:rPr>
          <w:rFonts w:ascii="Arial" w:hAnsi="Arial" w:eastAsia="Times New Roman" w:cs="Arial"/>
          <w:color w:val="000000"/>
          <w:lang w:val="es-ES"/>
        </w:rPr>
        <w:t xml:space="preserve"> bajo todas las combinaciones de parámetros</w:t>
      </w:r>
      <w:r w:rsidRPr="000E0AC5">
        <w:rPr>
          <w:rFonts w:ascii="Arial" w:hAnsi="Arial" w:eastAsia="Times New Roman" w:cs="Arial"/>
          <w:color w:val="000000"/>
          <w:lang w:val="es-ES"/>
        </w:rPr>
        <w:t>.</w:t>
      </w:r>
    </w:p>
    <w:p w:rsidR="002D1E9B" w:rsidP="002D1E9B" w:rsidRDefault="002D1E9B" w14:paraId="47C1C19C" w14:textId="6F2D4CF2">
      <w:pPr>
        <w:spacing w:after="0" w:line="360" w:lineRule="auto"/>
        <w:ind w:left="360"/>
        <w:jc w:val="both"/>
        <w:textAlignment w:val="top"/>
        <w:rPr>
          <w:rFonts w:ascii="Arial" w:hAnsi="Arial" w:eastAsia="Times New Roman" w:cs="Arial"/>
          <w:color w:val="000000"/>
          <w:lang w:val="es-ES"/>
        </w:rPr>
      </w:pPr>
    </w:p>
    <w:p w:rsidRPr="000E0AC5" w:rsidR="003F36C8" w:rsidP="003F36C8" w:rsidRDefault="003F36C8" w14:paraId="2C195DEB" w14:textId="354B67B1">
      <w:pPr>
        <w:pStyle w:val="ColorfulList-Accent11"/>
        <w:spacing w:after="0" w:line="360" w:lineRule="auto"/>
        <w:ind w:left="0"/>
        <w:jc w:val="center"/>
        <w:rPr>
          <w:rFonts w:ascii="Arial" w:hAnsi="Arial" w:cs="Arial"/>
          <w:lang w:val="es-ES"/>
        </w:rPr>
      </w:pPr>
      <w:bookmarkStart w:name="_Ref531103135" w:id="5"/>
      <w:r w:rsidRPr="000E0AC5">
        <w:rPr>
          <w:rFonts w:ascii="Arial" w:hAnsi="Arial" w:cs="Arial"/>
          <w:lang w:val="es-ES"/>
        </w:rPr>
        <w:t xml:space="preserve">Tabla </w:t>
      </w:r>
      <w:bookmarkEnd w:id="5"/>
      <w:r w:rsidR="007A0E5D">
        <w:rPr>
          <w:rFonts w:ascii="Arial" w:hAnsi="Arial" w:cs="Arial"/>
        </w:rPr>
        <w:t>4</w:t>
      </w:r>
    </w:p>
    <w:p w:rsidRPr="000E0AC5" w:rsidR="003F36C8" w:rsidP="003F36C8" w:rsidRDefault="004F434F" w14:paraId="6434CF45" w14:textId="5FAE269D">
      <w:pPr>
        <w:pStyle w:val="ColorfulList-Accent11"/>
        <w:spacing w:after="0" w:line="360" w:lineRule="auto"/>
        <w:ind w:left="0"/>
        <w:jc w:val="center"/>
        <w:rPr>
          <w:rFonts w:ascii="Arial" w:hAnsi="Arial" w:cs="Arial"/>
          <w:lang w:val="es-ES"/>
        </w:rPr>
      </w:pPr>
      <w:r w:rsidRPr="000E0AC5">
        <w:rPr>
          <w:rFonts w:ascii="Arial" w:hAnsi="Arial" w:cs="Arial"/>
          <w:lang w:val="es-ES"/>
        </w:rPr>
        <w:t xml:space="preserve"> Análisis de </w:t>
      </w:r>
      <w:r w:rsidRPr="000E0AC5" w:rsidR="00A72090">
        <w:rPr>
          <w:rFonts w:ascii="Arial" w:hAnsi="Arial" w:cs="Arial"/>
          <w:lang w:val="es-ES"/>
        </w:rPr>
        <w:t>sensibilid</w:t>
      </w:r>
      <w:r w:rsidR="00A72090">
        <w:rPr>
          <w:rFonts w:ascii="Arial" w:hAnsi="Arial" w:cs="Arial"/>
          <w:lang w:val="es-ES"/>
        </w:rPr>
        <w:t>ad</w:t>
      </w:r>
      <w:r w:rsidRPr="000E0AC5">
        <w:rPr>
          <w:rFonts w:ascii="Arial" w:hAnsi="Arial" w:cs="Arial"/>
          <w:lang w:val="es-ES"/>
        </w:rPr>
        <w:t>, 2020-</w:t>
      </w:r>
      <w:r w:rsidRPr="000E0AC5" w:rsidR="005E1C51">
        <w:rPr>
          <w:rFonts w:ascii="Arial" w:hAnsi="Arial" w:cs="Arial"/>
          <w:lang w:val="es-ES"/>
        </w:rPr>
        <w:t>2038</w:t>
      </w:r>
    </w:p>
    <w:tbl>
      <w:tblPr>
        <w:tblW w:w="0" w:type="auto"/>
        <w:tblCellMar>
          <w:left w:w="70" w:type="dxa"/>
          <w:right w:w="70" w:type="dxa"/>
        </w:tblCellMar>
        <w:tblLook w:val="04A0" w:firstRow="1" w:lastRow="0" w:firstColumn="1" w:lastColumn="0" w:noHBand="0" w:noVBand="1"/>
      </w:tblPr>
      <w:tblGrid>
        <w:gridCol w:w="567"/>
        <w:gridCol w:w="1031"/>
        <w:gridCol w:w="1274"/>
        <w:gridCol w:w="1061"/>
        <w:gridCol w:w="869"/>
        <w:gridCol w:w="594"/>
        <w:gridCol w:w="1253"/>
        <w:gridCol w:w="1061"/>
        <w:gridCol w:w="869"/>
        <w:gridCol w:w="594"/>
      </w:tblGrid>
      <w:tr w:rsidRPr="003E4B6D" w:rsidR="003E4B6D" w:rsidTr="00AE62C4" w14:paraId="6C4F4380" w14:textId="77777777">
        <w:trPr>
          <w:trHeight w:val="350"/>
        </w:trPr>
        <w:tc>
          <w:tcPr>
            <w:tcW w:w="567" w:type="dxa"/>
            <w:tcBorders>
              <w:top w:val="nil"/>
              <w:left w:val="nil"/>
              <w:bottom w:val="nil"/>
              <w:right w:val="nil"/>
            </w:tcBorders>
            <w:shd w:val="clear" w:color="auto" w:fill="auto"/>
            <w:noWrap/>
            <w:vAlign w:val="bottom"/>
            <w:hideMark/>
          </w:tcPr>
          <w:p w:rsidRPr="003E4B6D" w:rsidR="003E4B6D" w:rsidP="003E4B6D" w:rsidRDefault="003E4B6D" w14:paraId="3C350B76" w14:textId="77777777">
            <w:pPr>
              <w:spacing w:after="0" w:line="240" w:lineRule="auto"/>
              <w:rPr>
                <w:rFonts w:ascii="Arial" w:hAnsi="Arial" w:eastAsia="Times New Roman" w:cs="Arial"/>
                <w:sz w:val="16"/>
                <w:szCs w:val="16"/>
                <w:lang w:val="es-MX" w:eastAsia="es-MX"/>
              </w:rPr>
            </w:pPr>
          </w:p>
        </w:tc>
        <w:tc>
          <w:tcPr>
            <w:tcW w:w="1031" w:type="dxa"/>
            <w:tcBorders>
              <w:top w:val="nil"/>
              <w:left w:val="nil"/>
              <w:bottom w:val="nil"/>
              <w:right w:val="nil"/>
            </w:tcBorders>
            <w:shd w:val="clear" w:color="auto" w:fill="auto"/>
            <w:noWrap/>
            <w:vAlign w:val="bottom"/>
            <w:hideMark/>
          </w:tcPr>
          <w:p w:rsidRPr="003E4B6D" w:rsidR="003E4B6D" w:rsidP="003E4B6D" w:rsidRDefault="003E4B6D" w14:paraId="5A057619" w14:textId="77777777">
            <w:pPr>
              <w:spacing w:after="0" w:line="240" w:lineRule="auto"/>
              <w:rPr>
                <w:rFonts w:ascii="Arial" w:hAnsi="Arial" w:eastAsia="Times New Roman" w:cs="Arial"/>
                <w:sz w:val="16"/>
                <w:szCs w:val="16"/>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1E907AD2" w14:textId="77777777">
            <w:pPr>
              <w:spacing w:after="0" w:line="240" w:lineRule="auto"/>
              <w:rPr>
                <w:rFonts w:ascii="Arial" w:hAnsi="Arial" w:eastAsia="Times New Roman" w:cs="Arial"/>
                <w:sz w:val="16"/>
                <w:szCs w:val="16"/>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27C486AF" w14:textId="77777777">
            <w:pPr>
              <w:spacing w:after="0" w:line="240" w:lineRule="auto"/>
              <w:rPr>
                <w:rFonts w:ascii="Arial" w:hAnsi="Arial" w:eastAsia="Times New Roman" w:cs="Arial"/>
                <w:sz w:val="16"/>
                <w:szCs w:val="16"/>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396FAA7C" w14:textId="77777777">
            <w:pPr>
              <w:spacing w:after="0" w:line="240" w:lineRule="auto"/>
              <w:rPr>
                <w:rFonts w:ascii="Arial" w:hAnsi="Arial" w:eastAsia="Times New Roman" w:cs="Arial"/>
                <w:sz w:val="16"/>
                <w:szCs w:val="16"/>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0BEC38C2" w14:textId="77777777">
            <w:pPr>
              <w:spacing w:after="0" w:line="240" w:lineRule="auto"/>
              <w:rPr>
                <w:rFonts w:ascii="Arial" w:hAnsi="Arial" w:eastAsia="Times New Roman" w:cs="Arial"/>
                <w:sz w:val="16"/>
                <w:szCs w:val="16"/>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004A1890" w14:textId="77777777">
            <w:pPr>
              <w:spacing w:after="0" w:line="240" w:lineRule="auto"/>
              <w:rPr>
                <w:rFonts w:ascii="Arial" w:hAnsi="Arial" w:eastAsia="Times New Roman" w:cs="Arial"/>
                <w:sz w:val="16"/>
                <w:szCs w:val="16"/>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359CF4A0" w14:textId="77777777">
            <w:pPr>
              <w:spacing w:after="0" w:line="240" w:lineRule="auto"/>
              <w:rPr>
                <w:rFonts w:ascii="Arial" w:hAnsi="Arial" w:eastAsia="Times New Roman" w:cs="Arial"/>
                <w:sz w:val="16"/>
                <w:szCs w:val="16"/>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61616D53" w14:textId="77777777">
            <w:pPr>
              <w:spacing w:after="0" w:line="240" w:lineRule="auto"/>
              <w:rPr>
                <w:rFonts w:ascii="Arial" w:hAnsi="Arial" w:eastAsia="Times New Roman" w:cs="Arial"/>
                <w:sz w:val="16"/>
                <w:szCs w:val="16"/>
                <w:lang w:val="es-MX" w:eastAsia="es-MX"/>
              </w:rPr>
            </w:pPr>
          </w:p>
        </w:tc>
        <w:tc>
          <w:tcPr>
            <w:tcW w:w="0" w:type="auto"/>
            <w:tcBorders>
              <w:top w:val="nil"/>
              <w:left w:val="nil"/>
              <w:bottom w:val="nil"/>
              <w:right w:val="nil"/>
            </w:tcBorders>
            <w:shd w:val="clear" w:color="auto" w:fill="auto"/>
            <w:noWrap/>
            <w:vAlign w:val="bottom"/>
            <w:hideMark/>
          </w:tcPr>
          <w:p w:rsidRPr="003E4B6D" w:rsidR="003E4B6D" w:rsidP="003E4B6D" w:rsidRDefault="003E4B6D" w14:paraId="71ABF126" w14:textId="77777777">
            <w:pPr>
              <w:spacing w:after="0" w:line="240" w:lineRule="auto"/>
              <w:rPr>
                <w:rFonts w:ascii="Arial" w:hAnsi="Arial" w:eastAsia="Times New Roman" w:cs="Arial"/>
                <w:sz w:val="16"/>
                <w:szCs w:val="16"/>
                <w:lang w:val="es-MX" w:eastAsia="es-MX"/>
              </w:rPr>
            </w:pPr>
          </w:p>
        </w:tc>
      </w:tr>
      <w:tr w:rsidRPr="003E4B6D" w:rsidR="003E4B6D" w:rsidTr="00DB4572" w14:paraId="17C51C92" w14:textId="77777777">
        <w:trPr>
          <w:trHeight w:val="260"/>
        </w:trPr>
        <w:tc>
          <w:tcPr>
            <w:tcW w:w="0" w:type="auto"/>
            <w:gridSpan w:val="2"/>
            <w:vMerge w:val="restart"/>
            <w:tcBorders>
              <w:top w:val="nil"/>
              <w:left w:val="nil"/>
              <w:bottom w:val="single" w:color="000000" w:sz="4" w:space="0"/>
              <w:right w:val="single" w:color="000000" w:sz="4" w:space="0"/>
            </w:tcBorders>
            <w:shd w:val="clear" w:color="auto" w:fill="auto"/>
            <w:noWrap/>
            <w:vAlign w:val="bottom"/>
            <w:hideMark/>
          </w:tcPr>
          <w:p w:rsidRPr="00DB4572" w:rsidR="003E4B6D" w:rsidP="003E4B6D" w:rsidRDefault="003E4B6D" w14:paraId="37DD79B7" w14:textId="77777777">
            <w:pPr>
              <w:spacing w:after="0" w:line="240" w:lineRule="auto"/>
              <w:rPr>
                <w:rFonts w:ascii="Arial" w:hAnsi="Arial"/>
                <w:sz w:val="16"/>
                <w:lang w:val="es-MX"/>
              </w:rPr>
            </w:pPr>
          </w:p>
        </w:tc>
        <w:tc>
          <w:tcPr>
            <w:tcW w:w="0" w:type="auto"/>
            <w:gridSpan w:val="8"/>
            <w:tcBorders>
              <w:top w:val="single" w:color="auto" w:sz="4" w:space="0"/>
              <w:left w:val="nil"/>
              <w:bottom w:val="single" w:color="auto" w:sz="4" w:space="0"/>
              <w:right w:val="single" w:color="000000" w:sz="4" w:space="0"/>
            </w:tcBorders>
            <w:shd w:val="clear" w:color="auto" w:fill="auto"/>
            <w:noWrap/>
            <w:vAlign w:val="center"/>
            <w:hideMark/>
          </w:tcPr>
          <w:p w:rsidRPr="00DB4572" w:rsidR="003E4B6D" w:rsidP="003E4B6D" w:rsidRDefault="003E4B6D" w14:paraId="469330D4" w14:textId="77777777">
            <w:pPr>
              <w:spacing w:after="0" w:line="240" w:lineRule="auto"/>
              <w:jc w:val="center"/>
              <w:rPr>
                <w:rFonts w:ascii="Arial" w:hAnsi="Arial"/>
                <w:color w:val="000000"/>
                <w:sz w:val="16"/>
                <w:lang w:val="es-MX"/>
              </w:rPr>
            </w:pPr>
            <w:r w:rsidRPr="00DB4572">
              <w:rPr>
                <w:rFonts w:ascii="Arial" w:hAnsi="Arial"/>
                <w:color w:val="000000"/>
                <w:sz w:val="16"/>
                <w:lang w:val="es-MX"/>
              </w:rPr>
              <w:t>Tasa de descuento</w:t>
            </w:r>
          </w:p>
        </w:tc>
      </w:tr>
      <w:tr w:rsidRPr="003E4B6D" w:rsidR="003F427B" w:rsidTr="003E4B6D" w14:paraId="5F098104" w14:textId="77777777">
        <w:trPr>
          <w:trHeight w:val="460"/>
        </w:trPr>
        <w:tc>
          <w:tcPr>
            <w:tcW w:w="0" w:type="auto"/>
            <w:gridSpan w:val="2"/>
            <w:vMerge/>
            <w:tcBorders>
              <w:top w:val="nil"/>
              <w:left w:val="nil"/>
              <w:bottom w:val="single" w:color="000000" w:sz="4" w:space="0"/>
              <w:right w:val="single" w:color="000000" w:sz="4" w:space="0"/>
            </w:tcBorders>
            <w:vAlign w:val="center"/>
            <w:hideMark/>
          </w:tcPr>
          <w:p w:rsidRPr="00DB4572" w:rsidR="003E4B6D" w:rsidP="003E4B6D" w:rsidRDefault="003E4B6D" w14:paraId="7FE5C18F" w14:textId="77777777">
            <w:pPr>
              <w:spacing w:after="0" w:line="240" w:lineRule="auto"/>
              <w:rPr>
                <w:rFonts w:ascii="Arial" w:hAnsi="Arial"/>
                <w:sz w:val="16"/>
                <w:lang w:val="es-MX"/>
              </w:rPr>
            </w:pPr>
          </w:p>
        </w:tc>
        <w:tc>
          <w:tcPr>
            <w:tcW w:w="0" w:type="auto"/>
            <w:gridSpan w:val="4"/>
            <w:tcBorders>
              <w:top w:val="single" w:color="auto" w:sz="4" w:space="0"/>
              <w:left w:val="nil"/>
              <w:bottom w:val="single" w:color="auto" w:sz="4" w:space="0"/>
              <w:right w:val="single" w:color="000000" w:sz="4" w:space="0"/>
            </w:tcBorders>
            <w:shd w:val="clear" w:color="000000" w:fill="DAEEF3"/>
            <w:noWrap/>
            <w:vAlign w:val="center"/>
            <w:hideMark/>
          </w:tcPr>
          <w:p w:rsidRPr="00DB4572" w:rsidR="003E4B6D" w:rsidP="003E4B6D" w:rsidRDefault="003E4B6D" w14:paraId="2C3F97D1" w14:textId="77777777">
            <w:pPr>
              <w:spacing w:after="0" w:line="240" w:lineRule="auto"/>
              <w:jc w:val="center"/>
              <w:rPr>
                <w:rFonts w:ascii="Arial" w:hAnsi="Arial"/>
                <w:color w:val="000000"/>
                <w:sz w:val="16"/>
                <w:lang w:val="es-MX"/>
              </w:rPr>
            </w:pPr>
            <w:r w:rsidRPr="00DB4572">
              <w:rPr>
                <w:rFonts w:ascii="Arial" w:hAnsi="Arial"/>
                <w:color w:val="000000"/>
                <w:sz w:val="16"/>
                <w:lang w:val="es-MX"/>
              </w:rPr>
              <w:t>12%</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hideMark/>
          </w:tcPr>
          <w:p w:rsidRPr="00DB4572" w:rsidR="003E4B6D" w:rsidP="003E4B6D" w:rsidRDefault="003E4B6D" w14:paraId="1EAFF2FC" w14:textId="77777777">
            <w:pPr>
              <w:spacing w:after="0" w:line="240" w:lineRule="auto"/>
              <w:jc w:val="center"/>
              <w:rPr>
                <w:rFonts w:ascii="Arial" w:hAnsi="Arial"/>
                <w:color w:val="000000"/>
                <w:sz w:val="16"/>
                <w:lang w:val="es-MX"/>
              </w:rPr>
            </w:pPr>
            <w:r w:rsidRPr="00DB4572">
              <w:rPr>
                <w:rFonts w:ascii="Arial" w:hAnsi="Arial"/>
                <w:color w:val="000000"/>
                <w:sz w:val="16"/>
                <w:lang w:val="es-MX"/>
              </w:rPr>
              <w:t>10%</w:t>
            </w:r>
          </w:p>
        </w:tc>
      </w:tr>
      <w:tr w:rsidRPr="003E4B6D" w:rsidR="003F427B" w:rsidTr="003E4B6D" w14:paraId="06CA3DEC" w14:textId="77777777">
        <w:trPr>
          <w:trHeight w:val="930"/>
        </w:trPr>
        <w:tc>
          <w:tcPr>
            <w:tcW w:w="0" w:type="auto"/>
            <w:gridSpan w:val="2"/>
            <w:vMerge/>
            <w:tcBorders>
              <w:top w:val="nil"/>
              <w:left w:val="nil"/>
              <w:bottom w:val="single" w:color="000000" w:sz="4" w:space="0"/>
              <w:right w:val="single" w:color="000000" w:sz="4" w:space="0"/>
            </w:tcBorders>
            <w:vAlign w:val="center"/>
            <w:hideMark/>
          </w:tcPr>
          <w:p w:rsidRPr="00DB4572" w:rsidR="003E4B6D" w:rsidP="003E4B6D" w:rsidRDefault="003E4B6D" w14:paraId="0AA75DA2" w14:textId="77777777">
            <w:pPr>
              <w:spacing w:after="0" w:line="240" w:lineRule="auto"/>
              <w:rPr>
                <w:rFonts w:ascii="Arial" w:hAnsi="Arial"/>
                <w:sz w:val="16"/>
                <w:lang w:val="es-MX"/>
              </w:rPr>
            </w:pPr>
          </w:p>
        </w:tc>
        <w:tc>
          <w:tcPr>
            <w:tcW w:w="0" w:type="auto"/>
            <w:tcBorders>
              <w:top w:val="nil"/>
              <w:left w:val="nil"/>
              <w:bottom w:val="single" w:color="auto" w:sz="4" w:space="0"/>
              <w:right w:val="nil"/>
            </w:tcBorders>
            <w:shd w:val="clear" w:color="auto" w:fill="auto"/>
            <w:vAlign w:val="center"/>
            <w:hideMark/>
          </w:tcPr>
          <w:p w:rsidRPr="00DB4572" w:rsidR="003E4B6D" w:rsidP="003E4B6D" w:rsidRDefault="003E4B6D" w14:paraId="51BFC7E6" w14:textId="77777777">
            <w:pPr>
              <w:spacing w:after="0" w:line="240" w:lineRule="auto"/>
              <w:jc w:val="center"/>
              <w:rPr>
                <w:rFonts w:ascii="Arial" w:hAnsi="Arial"/>
                <w:color w:val="000000"/>
                <w:sz w:val="16"/>
                <w:lang w:val="es-MX"/>
              </w:rPr>
            </w:pPr>
            <w:r w:rsidRPr="00DB4572">
              <w:rPr>
                <w:rFonts w:ascii="Arial" w:hAnsi="Arial"/>
                <w:color w:val="000000"/>
                <w:sz w:val="16"/>
                <w:lang w:val="es-MX"/>
              </w:rPr>
              <w:t>Beneficio total Neto</w:t>
            </w:r>
          </w:p>
        </w:tc>
        <w:tc>
          <w:tcPr>
            <w:tcW w:w="0" w:type="auto"/>
            <w:tcBorders>
              <w:top w:val="nil"/>
              <w:left w:val="nil"/>
              <w:bottom w:val="single" w:color="auto" w:sz="4" w:space="0"/>
              <w:right w:val="nil"/>
            </w:tcBorders>
            <w:shd w:val="clear" w:color="auto" w:fill="auto"/>
            <w:vAlign w:val="center"/>
            <w:hideMark/>
          </w:tcPr>
          <w:p w:rsidRPr="00DB4572" w:rsidR="003E4B6D" w:rsidP="003E4B6D" w:rsidRDefault="003E4B6D" w14:paraId="4564974C" w14:textId="77777777">
            <w:pPr>
              <w:spacing w:after="0" w:line="240" w:lineRule="auto"/>
              <w:jc w:val="center"/>
              <w:rPr>
                <w:rFonts w:ascii="Arial" w:hAnsi="Arial"/>
                <w:color w:val="000000"/>
                <w:sz w:val="16"/>
                <w:lang w:val="es-MX"/>
              </w:rPr>
            </w:pPr>
            <w:r w:rsidRPr="00DB4572">
              <w:rPr>
                <w:rFonts w:ascii="Arial" w:hAnsi="Arial"/>
                <w:color w:val="000000"/>
                <w:sz w:val="16"/>
                <w:lang w:val="es-MX"/>
              </w:rPr>
              <w:t>Beneficio neto por beneficiario</w:t>
            </w:r>
          </w:p>
        </w:tc>
        <w:tc>
          <w:tcPr>
            <w:tcW w:w="0" w:type="auto"/>
            <w:tcBorders>
              <w:top w:val="nil"/>
              <w:left w:val="nil"/>
              <w:bottom w:val="single" w:color="auto" w:sz="4" w:space="0"/>
              <w:right w:val="nil"/>
            </w:tcBorders>
            <w:shd w:val="clear" w:color="auto" w:fill="auto"/>
            <w:vAlign w:val="center"/>
            <w:hideMark/>
          </w:tcPr>
          <w:p w:rsidRPr="00DB4572" w:rsidR="003E4B6D" w:rsidP="003E4B6D" w:rsidRDefault="003E4B6D" w14:paraId="3F0D2928" w14:textId="77777777">
            <w:pPr>
              <w:spacing w:after="0" w:line="240" w:lineRule="auto"/>
              <w:jc w:val="center"/>
              <w:rPr>
                <w:rFonts w:ascii="Arial" w:hAnsi="Arial"/>
                <w:color w:val="000000"/>
                <w:sz w:val="16"/>
                <w:lang w:val="es-MX"/>
              </w:rPr>
            </w:pPr>
            <w:r w:rsidRPr="00DB4572">
              <w:rPr>
                <w:rFonts w:ascii="Arial" w:hAnsi="Arial"/>
                <w:color w:val="000000"/>
                <w:sz w:val="16"/>
                <w:lang w:val="es-MX"/>
              </w:rPr>
              <w:t>Razón de costo beneficio</w:t>
            </w:r>
          </w:p>
        </w:tc>
        <w:tc>
          <w:tcPr>
            <w:tcW w:w="0" w:type="auto"/>
            <w:tcBorders>
              <w:top w:val="nil"/>
              <w:left w:val="nil"/>
              <w:bottom w:val="single" w:color="auto" w:sz="4" w:space="0"/>
              <w:right w:val="single" w:color="auto" w:sz="4" w:space="0"/>
            </w:tcBorders>
            <w:shd w:val="clear" w:color="auto" w:fill="auto"/>
            <w:vAlign w:val="center"/>
            <w:hideMark/>
          </w:tcPr>
          <w:p w:rsidRPr="00DB4572" w:rsidR="003E4B6D" w:rsidP="003E4B6D" w:rsidRDefault="003E4B6D" w14:paraId="76F0C89B" w14:textId="77777777">
            <w:pPr>
              <w:spacing w:after="0" w:line="240" w:lineRule="auto"/>
              <w:jc w:val="center"/>
              <w:rPr>
                <w:rFonts w:ascii="Arial" w:hAnsi="Arial"/>
                <w:color w:val="000000"/>
                <w:sz w:val="16"/>
                <w:lang w:val="es-MX"/>
              </w:rPr>
            </w:pPr>
            <w:r w:rsidRPr="00DB4572">
              <w:rPr>
                <w:rFonts w:ascii="Arial" w:hAnsi="Arial"/>
                <w:color w:val="000000"/>
                <w:sz w:val="16"/>
                <w:lang w:val="es-MX"/>
              </w:rPr>
              <w:t xml:space="preserve">TIR </w:t>
            </w:r>
          </w:p>
        </w:tc>
        <w:tc>
          <w:tcPr>
            <w:tcW w:w="0" w:type="auto"/>
            <w:tcBorders>
              <w:top w:val="nil"/>
              <w:left w:val="nil"/>
              <w:bottom w:val="single" w:color="auto" w:sz="4" w:space="0"/>
              <w:right w:val="nil"/>
            </w:tcBorders>
            <w:shd w:val="clear" w:color="auto" w:fill="auto"/>
            <w:vAlign w:val="center"/>
            <w:hideMark/>
          </w:tcPr>
          <w:p w:rsidRPr="00DB4572" w:rsidR="003E4B6D" w:rsidP="003E4B6D" w:rsidRDefault="003E4B6D" w14:paraId="0E4CE3CA" w14:textId="77777777">
            <w:pPr>
              <w:spacing w:after="0" w:line="240" w:lineRule="auto"/>
              <w:jc w:val="center"/>
              <w:rPr>
                <w:rFonts w:ascii="Arial" w:hAnsi="Arial"/>
                <w:color w:val="000000"/>
                <w:sz w:val="16"/>
                <w:lang w:val="es-MX"/>
              </w:rPr>
            </w:pPr>
            <w:r w:rsidRPr="00DB4572">
              <w:rPr>
                <w:rFonts w:ascii="Arial" w:hAnsi="Arial"/>
                <w:color w:val="000000"/>
                <w:sz w:val="16"/>
                <w:lang w:val="es-MX"/>
              </w:rPr>
              <w:t>Beneficio Neto</w:t>
            </w:r>
          </w:p>
        </w:tc>
        <w:tc>
          <w:tcPr>
            <w:tcW w:w="0" w:type="auto"/>
            <w:tcBorders>
              <w:top w:val="nil"/>
              <w:left w:val="nil"/>
              <w:bottom w:val="single" w:color="auto" w:sz="4" w:space="0"/>
              <w:right w:val="nil"/>
            </w:tcBorders>
            <w:shd w:val="clear" w:color="auto" w:fill="auto"/>
            <w:vAlign w:val="center"/>
            <w:hideMark/>
          </w:tcPr>
          <w:p w:rsidRPr="00DB4572" w:rsidR="003E4B6D" w:rsidP="003E4B6D" w:rsidRDefault="003E4B6D" w14:paraId="36CB6B10" w14:textId="77777777">
            <w:pPr>
              <w:spacing w:after="0" w:line="240" w:lineRule="auto"/>
              <w:jc w:val="center"/>
              <w:rPr>
                <w:rFonts w:ascii="Arial" w:hAnsi="Arial"/>
                <w:color w:val="000000"/>
                <w:sz w:val="16"/>
                <w:lang w:val="es-MX"/>
              </w:rPr>
            </w:pPr>
            <w:r w:rsidRPr="00DB4572">
              <w:rPr>
                <w:rFonts w:ascii="Arial" w:hAnsi="Arial"/>
                <w:color w:val="000000"/>
                <w:sz w:val="16"/>
                <w:lang w:val="es-MX"/>
              </w:rPr>
              <w:t>Beneficio neto por beneficiario</w:t>
            </w:r>
          </w:p>
        </w:tc>
        <w:tc>
          <w:tcPr>
            <w:tcW w:w="0" w:type="auto"/>
            <w:tcBorders>
              <w:top w:val="nil"/>
              <w:left w:val="nil"/>
              <w:bottom w:val="single" w:color="auto" w:sz="4" w:space="0"/>
              <w:right w:val="nil"/>
            </w:tcBorders>
            <w:shd w:val="clear" w:color="auto" w:fill="auto"/>
            <w:vAlign w:val="center"/>
            <w:hideMark/>
          </w:tcPr>
          <w:p w:rsidRPr="00DB4572" w:rsidR="003E4B6D" w:rsidP="003E4B6D" w:rsidRDefault="003E4B6D" w14:paraId="34D724DF" w14:textId="77777777">
            <w:pPr>
              <w:spacing w:after="0" w:line="240" w:lineRule="auto"/>
              <w:jc w:val="center"/>
              <w:rPr>
                <w:rFonts w:ascii="Arial" w:hAnsi="Arial"/>
                <w:color w:val="000000"/>
                <w:sz w:val="16"/>
                <w:lang w:val="es-MX"/>
              </w:rPr>
            </w:pPr>
            <w:r w:rsidRPr="00DB4572">
              <w:rPr>
                <w:rFonts w:ascii="Arial" w:hAnsi="Arial"/>
                <w:color w:val="000000"/>
                <w:sz w:val="16"/>
                <w:lang w:val="es-MX"/>
              </w:rPr>
              <w:t>Razón de costo beneficio</w:t>
            </w:r>
          </w:p>
        </w:tc>
        <w:tc>
          <w:tcPr>
            <w:tcW w:w="0" w:type="auto"/>
            <w:tcBorders>
              <w:top w:val="nil"/>
              <w:left w:val="nil"/>
              <w:bottom w:val="single" w:color="auto" w:sz="4" w:space="0"/>
              <w:right w:val="single" w:color="auto" w:sz="4" w:space="0"/>
            </w:tcBorders>
            <w:shd w:val="clear" w:color="auto" w:fill="auto"/>
            <w:vAlign w:val="center"/>
            <w:hideMark/>
          </w:tcPr>
          <w:p w:rsidRPr="00DB4572" w:rsidR="003E4B6D" w:rsidP="003E4B6D" w:rsidRDefault="003E4B6D" w14:paraId="3CAE539B" w14:textId="77777777">
            <w:pPr>
              <w:spacing w:after="0" w:line="240" w:lineRule="auto"/>
              <w:jc w:val="center"/>
              <w:rPr>
                <w:rFonts w:ascii="Arial" w:hAnsi="Arial"/>
                <w:color w:val="000000"/>
                <w:sz w:val="16"/>
                <w:lang w:val="es-MX"/>
              </w:rPr>
            </w:pPr>
            <w:r w:rsidRPr="00DB4572">
              <w:rPr>
                <w:rFonts w:ascii="Arial" w:hAnsi="Arial"/>
                <w:color w:val="000000"/>
                <w:sz w:val="16"/>
                <w:lang w:val="es-MX"/>
              </w:rPr>
              <w:t xml:space="preserve">TIR </w:t>
            </w:r>
          </w:p>
        </w:tc>
      </w:tr>
      <w:tr w:rsidRPr="003E4B6D" w:rsidR="003F427B" w:rsidTr="00AE62C4" w14:paraId="1A66D19A" w14:textId="77777777">
        <w:trPr>
          <w:trHeight w:val="740"/>
        </w:trPr>
        <w:tc>
          <w:tcPr>
            <w:tcW w:w="567" w:type="dxa"/>
            <w:vMerge w:val="restart"/>
            <w:tcBorders>
              <w:top w:val="nil"/>
              <w:left w:val="single" w:color="auto" w:sz="4" w:space="0"/>
              <w:bottom w:val="single" w:color="000000" w:sz="4" w:space="0"/>
              <w:right w:val="nil"/>
            </w:tcBorders>
            <w:shd w:val="clear" w:color="auto" w:fill="auto"/>
            <w:textDirection w:val="btLr"/>
            <w:vAlign w:val="center"/>
            <w:hideMark/>
          </w:tcPr>
          <w:p w:rsidRPr="00DB4572" w:rsidR="003E4B6D" w:rsidP="003E4B6D" w:rsidRDefault="003E4B6D" w14:paraId="17B64DB2" w14:textId="77777777">
            <w:pPr>
              <w:spacing w:after="0" w:line="240" w:lineRule="auto"/>
              <w:jc w:val="center"/>
              <w:rPr>
                <w:rFonts w:ascii="Arial" w:hAnsi="Arial"/>
                <w:color w:val="000000"/>
                <w:sz w:val="16"/>
                <w:lang w:val="es-MX"/>
              </w:rPr>
            </w:pPr>
            <w:r w:rsidRPr="00DB4572">
              <w:rPr>
                <w:rFonts w:ascii="Arial" w:hAnsi="Arial"/>
                <w:color w:val="000000"/>
                <w:sz w:val="16"/>
                <w:lang w:val="es-MX"/>
              </w:rPr>
              <w:t xml:space="preserve">Impacto de las estrategias de </w:t>
            </w:r>
            <w:proofErr w:type="spellStart"/>
            <w:r w:rsidRPr="00DB4572">
              <w:rPr>
                <w:rFonts w:ascii="Arial" w:hAnsi="Arial"/>
                <w:color w:val="000000"/>
                <w:sz w:val="16"/>
                <w:lang w:val="es-MX"/>
              </w:rPr>
              <w:t>hot</w:t>
            </w:r>
            <w:proofErr w:type="spellEnd"/>
            <w:r w:rsidRPr="00DB4572">
              <w:rPr>
                <w:rFonts w:ascii="Arial" w:hAnsi="Arial"/>
                <w:color w:val="000000"/>
                <w:sz w:val="16"/>
                <w:lang w:val="es-MX"/>
              </w:rPr>
              <w:t xml:space="preserve"> spot </w:t>
            </w:r>
            <w:proofErr w:type="spellStart"/>
            <w:r w:rsidRPr="00DB4572">
              <w:rPr>
                <w:rFonts w:ascii="Arial" w:hAnsi="Arial"/>
                <w:color w:val="000000"/>
                <w:sz w:val="16"/>
                <w:lang w:val="es-MX"/>
              </w:rPr>
              <w:t>policing</w:t>
            </w:r>
            <w:proofErr w:type="spellEnd"/>
            <w:r w:rsidRPr="00DB4572">
              <w:rPr>
                <w:rFonts w:ascii="Arial" w:hAnsi="Arial"/>
                <w:color w:val="000000"/>
                <w:sz w:val="16"/>
                <w:lang w:val="es-MX"/>
              </w:rPr>
              <w:t xml:space="preserve"> y POP en homicidios y asaltos</w:t>
            </w:r>
          </w:p>
        </w:tc>
        <w:tc>
          <w:tcPr>
            <w:tcW w:w="1031" w:type="dxa"/>
            <w:tcBorders>
              <w:top w:val="nil"/>
              <w:left w:val="nil"/>
              <w:bottom w:val="nil"/>
              <w:right w:val="nil"/>
            </w:tcBorders>
            <w:shd w:val="clear" w:color="auto" w:fill="auto"/>
            <w:vAlign w:val="center"/>
            <w:hideMark/>
          </w:tcPr>
          <w:p w:rsidRPr="00DB4572" w:rsidR="003E4B6D" w:rsidP="003E4B6D" w:rsidRDefault="003E4B6D" w14:paraId="47CF59AA" w14:textId="77777777">
            <w:pPr>
              <w:spacing w:after="0" w:line="240" w:lineRule="auto"/>
              <w:rPr>
                <w:rFonts w:ascii="Arial" w:hAnsi="Arial"/>
                <w:color w:val="000000"/>
                <w:sz w:val="16"/>
                <w:lang w:val="es-MX"/>
              </w:rPr>
            </w:pPr>
            <w:r w:rsidRPr="00DB4572">
              <w:rPr>
                <w:rFonts w:ascii="Arial" w:hAnsi="Arial"/>
                <w:color w:val="000000"/>
                <w:sz w:val="16"/>
                <w:lang w:val="es-MX"/>
              </w:rPr>
              <w:t>Escenario conservador 8% en homicidios y robos</w:t>
            </w:r>
          </w:p>
        </w:tc>
        <w:tc>
          <w:tcPr>
            <w:tcW w:w="0" w:type="auto"/>
            <w:tcBorders>
              <w:top w:val="nil"/>
              <w:left w:val="single" w:color="auto" w:sz="4" w:space="0"/>
              <w:bottom w:val="nil"/>
              <w:right w:val="nil"/>
            </w:tcBorders>
            <w:shd w:val="clear" w:color="auto" w:fill="auto"/>
            <w:noWrap/>
            <w:vAlign w:val="center"/>
            <w:hideMark/>
          </w:tcPr>
          <w:p w:rsidRPr="00DB4572" w:rsidR="003E4B6D" w:rsidP="003E4B6D" w:rsidRDefault="003E4B6D" w14:paraId="78AFAAD7" w14:textId="11C9F9CB">
            <w:pPr>
              <w:spacing w:after="0" w:line="240" w:lineRule="auto"/>
              <w:jc w:val="center"/>
              <w:rPr>
                <w:rFonts w:ascii="Arial" w:hAnsi="Arial"/>
                <w:color w:val="000000"/>
                <w:sz w:val="16"/>
                <w:lang w:val="es-MX"/>
              </w:rPr>
            </w:pPr>
            <w:r w:rsidRPr="00DB4572">
              <w:rPr>
                <w:rFonts w:ascii="Arial" w:hAnsi="Arial"/>
                <w:color w:val="000000"/>
                <w:sz w:val="16"/>
                <w:lang w:val="es-MX"/>
              </w:rPr>
              <w:t>$86,</w:t>
            </w:r>
            <w:r w:rsidRPr="003E4B6D">
              <w:rPr>
                <w:rFonts w:ascii="Arial" w:hAnsi="Arial" w:eastAsia="Times New Roman" w:cs="Arial"/>
                <w:color w:val="000000"/>
                <w:sz w:val="16"/>
                <w:szCs w:val="16"/>
                <w:lang w:val="es-MX" w:eastAsia="es-MX"/>
              </w:rPr>
              <w:t>184,661.0</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063A0361" w14:textId="0C80AB14">
            <w:pPr>
              <w:spacing w:after="0" w:line="240" w:lineRule="auto"/>
              <w:jc w:val="center"/>
              <w:rPr>
                <w:rFonts w:ascii="Arial" w:hAnsi="Arial"/>
                <w:color w:val="000000"/>
                <w:sz w:val="16"/>
                <w:lang w:val="es-MX"/>
              </w:rPr>
            </w:pPr>
            <w:r w:rsidRPr="00DB4572">
              <w:rPr>
                <w:rFonts w:ascii="Arial" w:hAnsi="Arial"/>
                <w:color w:val="000000"/>
                <w:sz w:val="16"/>
                <w:lang w:val="es-MX"/>
              </w:rPr>
              <w:t>$</w:t>
            </w:r>
            <w:r w:rsidRPr="003E4B6D">
              <w:rPr>
                <w:rFonts w:ascii="Arial" w:hAnsi="Arial" w:eastAsia="Times New Roman" w:cs="Arial"/>
                <w:color w:val="000000"/>
                <w:sz w:val="16"/>
                <w:szCs w:val="16"/>
                <w:lang w:val="es-MX" w:eastAsia="es-MX"/>
              </w:rPr>
              <w:t>178</w:t>
            </w:r>
            <w:r w:rsidRPr="00DB4572">
              <w:rPr>
                <w:rFonts w:ascii="Arial" w:hAnsi="Arial"/>
                <w:color w:val="000000"/>
                <w:sz w:val="16"/>
                <w:lang w:val="es-MX"/>
              </w:rPr>
              <w:t>.0</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7AA04AB8" w14:textId="3F2FD8EF">
            <w:pPr>
              <w:spacing w:after="0" w:line="240" w:lineRule="auto"/>
              <w:jc w:val="center"/>
              <w:rPr>
                <w:rFonts w:ascii="Arial" w:hAnsi="Arial"/>
                <w:color w:val="000000"/>
                <w:sz w:val="16"/>
                <w:lang w:val="es-MX"/>
              </w:rPr>
            </w:pPr>
            <w:r w:rsidRPr="00DB4572">
              <w:rPr>
                <w:rFonts w:ascii="Arial" w:hAnsi="Arial"/>
                <w:color w:val="000000"/>
                <w:sz w:val="16"/>
                <w:lang w:val="es-MX"/>
              </w:rPr>
              <w:t>2.</w:t>
            </w:r>
            <w:r w:rsidRPr="003E4B6D">
              <w:rPr>
                <w:rFonts w:ascii="Arial" w:hAnsi="Arial" w:eastAsia="Times New Roman" w:cs="Arial"/>
                <w:color w:val="000000"/>
                <w:sz w:val="16"/>
                <w:szCs w:val="16"/>
                <w:lang w:val="es-MX" w:eastAsia="es-MX"/>
              </w:rPr>
              <w:t>11</w:t>
            </w:r>
          </w:p>
        </w:tc>
        <w:tc>
          <w:tcPr>
            <w:tcW w:w="0" w:type="auto"/>
            <w:tcBorders>
              <w:top w:val="nil"/>
              <w:left w:val="nil"/>
              <w:bottom w:val="nil"/>
              <w:right w:val="single" w:color="auto" w:sz="4" w:space="0"/>
            </w:tcBorders>
            <w:shd w:val="clear" w:color="auto" w:fill="auto"/>
            <w:noWrap/>
            <w:vAlign w:val="center"/>
            <w:hideMark/>
          </w:tcPr>
          <w:p w:rsidRPr="00DB4572" w:rsidR="003E4B6D" w:rsidP="003E4B6D" w:rsidRDefault="003E4B6D" w14:paraId="725F74AB" w14:textId="29A22B48">
            <w:pPr>
              <w:spacing w:after="0" w:line="240" w:lineRule="auto"/>
              <w:jc w:val="center"/>
              <w:rPr>
                <w:rFonts w:ascii="Arial" w:hAnsi="Arial"/>
                <w:color w:val="000000"/>
                <w:sz w:val="16"/>
                <w:lang w:val="es-MX"/>
              </w:rPr>
            </w:pPr>
            <w:r w:rsidRPr="003E4B6D">
              <w:rPr>
                <w:rFonts w:ascii="Arial" w:hAnsi="Arial" w:eastAsia="Times New Roman" w:cs="Arial"/>
                <w:color w:val="000000"/>
                <w:sz w:val="16"/>
                <w:szCs w:val="16"/>
                <w:lang w:val="es-MX" w:eastAsia="es-MX"/>
              </w:rPr>
              <w:t>14.4</w:t>
            </w:r>
            <w:r w:rsidRPr="00DB4572">
              <w:rPr>
                <w:rFonts w:ascii="Arial" w:hAnsi="Arial"/>
                <w:color w:val="000000"/>
                <w:sz w:val="16"/>
                <w:lang w:val="es-MX"/>
              </w:rPr>
              <w:t>%</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530BBFD4" w14:textId="4D63368F">
            <w:pPr>
              <w:spacing w:after="0" w:line="240" w:lineRule="auto"/>
              <w:jc w:val="center"/>
              <w:rPr>
                <w:rFonts w:ascii="Arial" w:hAnsi="Arial"/>
                <w:color w:val="000000"/>
                <w:sz w:val="16"/>
                <w:lang w:val="es-MX"/>
              </w:rPr>
            </w:pPr>
            <w:r w:rsidRPr="003E4B6D">
              <w:rPr>
                <w:rFonts w:ascii="Arial" w:hAnsi="Arial" w:eastAsia="Times New Roman" w:cs="Arial"/>
                <w:color w:val="000000"/>
                <w:sz w:val="16"/>
                <w:szCs w:val="16"/>
                <w:lang w:val="es-MX" w:eastAsia="es-MX"/>
              </w:rPr>
              <w:t>$123,694,975.7</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04CAFDAA" w14:textId="7230D7C6">
            <w:pPr>
              <w:spacing w:after="0" w:line="240" w:lineRule="auto"/>
              <w:jc w:val="center"/>
              <w:rPr>
                <w:rFonts w:ascii="Arial" w:hAnsi="Arial"/>
                <w:color w:val="000000"/>
                <w:sz w:val="16"/>
                <w:lang w:val="es-MX"/>
              </w:rPr>
            </w:pPr>
            <w:r w:rsidRPr="00DB4572">
              <w:rPr>
                <w:rFonts w:ascii="Arial" w:hAnsi="Arial"/>
                <w:color w:val="000000"/>
                <w:sz w:val="16"/>
                <w:lang w:val="es-MX"/>
              </w:rPr>
              <w:t>$</w:t>
            </w:r>
            <w:r w:rsidRPr="003E4B6D">
              <w:rPr>
                <w:rFonts w:ascii="Arial" w:hAnsi="Arial" w:eastAsia="Times New Roman" w:cs="Arial"/>
                <w:color w:val="000000"/>
                <w:sz w:val="16"/>
                <w:szCs w:val="16"/>
                <w:lang w:val="es-MX" w:eastAsia="es-MX"/>
              </w:rPr>
              <w:t>222.0</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7A720778" w14:textId="56D2C03D">
            <w:pPr>
              <w:spacing w:after="0" w:line="240" w:lineRule="auto"/>
              <w:jc w:val="center"/>
              <w:rPr>
                <w:rFonts w:ascii="Arial" w:hAnsi="Arial"/>
                <w:color w:val="000000"/>
                <w:sz w:val="16"/>
                <w:lang w:val="es-MX"/>
              </w:rPr>
            </w:pPr>
            <w:r w:rsidRPr="00DB4572">
              <w:rPr>
                <w:rFonts w:ascii="Arial" w:hAnsi="Arial"/>
                <w:color w:val="000000"/>
                <w:sz w:val="16"/>
                <w:lang w:val="es-MX"/>
              </w:rPr>
              <w:t>2.</w:t>
            </w:r>
            <w:r w:rsidRPr="003E4B6D">
              <w:rPr>
                <w:rFonts w:ascii="Arial" w:hAnsi="Arial" w:eastAsia="Times New Roman" w:cs="Arial"/>
                <w:color w:val="000000"/>
                <w:sz w:val="16"/>
                <w:szCs w:val="16"/>
                <w:lang w:val="es-MX" w:eastAsia="es-MX"/>
              </w:rPr>
              <w:t>50</w:t>
            </w:r>
          </w:p>
        </w:tc>
        <w:tc>
          <w:tcPr>
            <w:tcW w:w="0" w:type="auto"/>
            <w:tcBorders>
              <w:top w:val="nil"/>
              <w:left w:val="nil"/>
              <w:bottom w:val="nil"/>
              <w:right w:val="single" w:color="auto" w:sz="4" w:space="0"/>
            </w:tcBorders>
            <w:shd w:val="clear" w:color="auto" w:fill="auto"/>
            <w:noWrap/>
            <w:vAlign w:val="center"/>
            <w:hideMark/>
          </w:tcPr>
          <w:p w:rsidRPr="00DB4572" w:rsidR="003E4B6D" w:rsidP="003E4B6D" w:rsidRDefault="003E4B6D" w14:paraId="039586F3" w14:textId="6E25C0FE">
            <w:pPr>
              <w:spacing w:after="0" w:line="240" w:lineRule="auto"/>
              <w:jc w:val="center"/>
              <w:rPr>
                <w:rFonts w:ascii="Arial" w:hAnsi="Arial"/>
                <w:color w:val="000000"/>
                <w:sz w:val="16"/>
                <w:lang w:val="es-MX"/>
              </w:rPr>
            </w:pPr>
            <w:r w:rsidRPr="003E4B6D">
              <w:rPr>
                <w:rFonts w:ascii="Arial" w:hAnsi="Arial" w:eastAsia="Times New Roman" w:cs="Arial"/>
                <w:color w:val="000000"/>
                <w:sz w:val="16"/>
                <w:szCs w:val="16"/>
                <w:lang w:val="es-MX" w:eastAsia="es-MX"/>
              </w:rPr>
              <w:t>17.9</w:t>
            </w:r>
            <w:r w:rsidRPr="00DB4572">
              <w:rPr>
                <w:rFonts w:ascii="Arial" w:hAnsi="Arial"/>
                <w:color w:val="000000"/>
                <w:sz w:val="16"/>
                <w:lang w:val="es-MX"/>
              </w:rPr>
              <w:t>%</w:t>
            </w:r>
          </w:p>
        </w:tc>
      </w:tr>
      <w:tr w:rsidRPr="003E4B6D" w:rsidR="003F427B" w:rsidTr="00AE62C4" w14:paraId="31776297" w14:textId="77777777">
        <w:trPr>
          <w:trHeight w:val="990"/>
        </w:trPr>
        <w:tc>
          <w:tcPr>
            <w:tcW w:w="567" w:type="dxa"/>
            <w:vMerge/>
            <w:tcBorders>
              <w:top w:val="nil"/>
              <w:left w:val="single" w:color="auto" w:sz="4" w:space="0"/>
              <w:bottom w:val="single" w:color="000000" w:sz="4" w:space="0"/>
              <w:right w:val="nil"/>
            </w:tcBorders>
            <w:vAlign w:val="center"/>
            <w:hideMark/>
          </w:tcPr>
          <w:p w:rsidRPr="00DB4572" w:rsidR="003E4B6D" w:rsidP="003E4B6D" w:rsidRDefault="003E4B6D" w14:paraId="7583B2B2" w14:textId="77777777">
            <w:pPr>
              <w:spacing w:after="0" w:line="240" w:lineRule="auto"/>
              <w:rPr>
                <w:rFonts w:ascii="Arial" w:hAnsi="Arial"/>
                <w:color w:val="000000"/>
                <w:sz w:val="16"/>
                <w:lang w:val="es-MX"/>
              </w:rPr>
            </w:pPr>
          </w:p>
        </w:tc>
        <w:tc>
          <w:tcPr>
            <w:tcW w:w="1031" w:type="dxa"/>
            <w:tcBorders>
              <w:top w:val="nil"/>
              <w:left w:val="nil"/>
              <w:bottom w:val="nil"/>
              <w:right w:val="nil"/>
            </w:tcBorders>
            <w:shd w:val="clear" w:color="000000" w:fill="DAEEF3"/>
            <w:vAlign w:val="center"/>
            <w:hideMark/>
          </w:tcPr>
          <w:p w:rsidRPr="00DB4572" w:rsidR="003E4B6D" w:rsidP="003E4B6D" w:rsidRDefault="003E4B6D" w14:paraId="586B47E1" w14:textId="77777777">
            <w:pPr>
              <w:spacing w:after="0" w:line="240" w:lineRule="auto"/>
              <w:rPr>
                <w:rFonts w:ascii="Arial" w:hAnsi="Arial"/>
                <w:color w:val="000000"/>
                <w:sz w:val="16"/>
                <w:lang w:val="es-MX"/>
              </w:rPr>
            </w:pPr>
            <w:r w:rsidRPr="00DB4572">
              <w:rPr>
                <w:rFonts w:ascii="Arial" w:hAnsi="Arial"/>
                <w:color w:val="000000"/>
                <w:sz w:val="16"/>
                <w:lang w:val="es-MX"/>
              </w:rPr>
              <w:t>Escenario intermedio 10% en homicidios y robos</w:t>
            </w:r>
          </w:p>
        </w:tc>
        <w:tc>
          <w:tcPr>
            <w:tcW w:w="0" w:type="auto"/>
            <w:tcBorders>
              <w:top w:val="nil"/>
              <w:left w:val="single" w:color="auto" w:sz="4" w:space="0"/>
              <w:bottom w:val="nil"/>
              <w:right w:val="nil"/>
            </w:tcBorders>
            <w:shd w:val="clear" w:color="auto" w:fill="auto"/>
            <w:noWrap/>
            <w:vAlign w:val="center"/>
            <w:hideMark/>
          </w:tcPr>
          <w:p w:rsidRPr="00DB4572" w:rsidR="003E4B6D" w:rsidP="003E4B6D" w:rsidRDefault="003E4B6D" w14:paraId="26B16E43" w14:textId="3969D280">
            <w:pPr>
              <w:spacing w:after="0" w:line="240" w:lineRule="auto"/>
              <w:jc w:val="center"/>
              <w:rPr>
                <w:rFonts w:ascii="Arial" w:hAnsi="Arial"/>
                <w:b/>
                <w:color w:val="000000"/>
                <w:sz w:val="16"/>
                <w:lang w:val="es-MX"/>
              </w:rPr>
            </w:pPr>
            <w:r w:rsidRPr="00DB4572">
              <w:rPr>
                <w:rFonts w:ascii="Arial" w:hAnsi="Arial"/>
                <w:b/>
                <w:color w:val="000000"/>
                <w:sz w:val="16"/>
                <w:lang w:val="es-MX"/>
              </w:rPr>
              <w:t>$97,</w:t>
            </w:r>
            <w:r w:rsidRPr="003E4B6D">
              <w:rPr>
                <w:rFonts w:ascii="Arial" w:hAnsi="Arial" w:eastAsia="Times New Roman" w:cs="Arial"/>
                <w:b/>
                <w:bCs/>
                <w:color w:val="000000"/>
                <w:sz w:val="16"/>
                <w:szCs w:val="16"/>
                <w:lang w:val="es-MX" w:eastAsia="es-MX"/>
              </w:rPr>
              <w:t>113,079.0</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7FDFCCEA" w14:textId="2BBD46A7">
            <w:pPr>
              <w:spacing w:after="0" w:line="240" w:lineRule="auto"/>
              <w:jc w:val="center"/>
              <w:rPr>
                <w:rFonts w:ascii="Arial" w:hAnsi="Arial"/>
                <w:b/>
                <w:color w:val="000000"/>
                <w:sz w:val="16"/>
                <w:lang w:val="es-MX"/>
              </w:rPr>
            </w:pPr>
            <w:r w:rsidRPr="00DB4572">
              <w:rPr>
                <w:rFonts w:ascii="Arial" w:hAnsi="Arial"/>
                <w:b/>
                <w:color w:val="000000"/>
                <w:sz w:val="16"/>
                <w:lang w:val="es-MX"/>
              </w:rPr>
              <w:t>$</w:t>
            </w:r>
            <w:r w:rsidRPr="003E4B6D">
              <w:rPr>
                <w:rFonts w:ascii="Arial" w:hAnsi="Arial" w:eastAsia="Times New Roman" w:cs="Arial"/>
                <w:b/>
                <w:bCs/>
                <w:color w:val="000000"/>
                <w:sz w:val="16"/>
                <w:szCs w:val="16"/>
                <w:lang w:val="es-MX" w:eastAsia="es-MX"/>
              </w:rPr>
              <w:t>191</w:t>
            </w:r>
            <w:r w:rsidRPr="00DB4572">
              <w:rPr>
                <w:rFonts w:ascii="Arial" w:hAnsi="Arial"/>
                <w:b/>
                <w:color w:val="000000"/>
                <w:sz w:val="16"/>
                <w:lang w:val="es-MX"/>
              </w:rPr>
              <w:t>.2</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47C51F46" w14:textId="174C3974">
            <w:pPr>
              <w:spacing w:after="0" w:line="240" w:lineRule="auto"/>
              <w:jc w:val="center"/>
              <w:rPr>
                <w:rFonts w:ascii="Arial" w:hAnsi="Arial"/>
                <w:b/>
                <w:color w:val="000000"/>
                <w:sz w:val="16"/>
                <w:lang w:val="es-MX"/>
              </w:rPr>
            </w:pPr>
            <w:r w:rsidRPr="00DB4572">
              <w:rPr>
                <w:rFonts w:ascii="Arial" w:hAnsi="Arial"/>
                <w:b/>
                <w:color w:val="000000"/>
                <w:sz w:val="16"/>
                <w:lang w:val="es-MX"/>
              </w:rPr>
              <w:t>2.</w:t>
            </w:r>
            <w:r w:rsidRPr="003E4B6D">
              <w:rPr>
                <w:rFonts w:ascii="Arial" w:hAnsi="Arial" w:eastAsia="Times New Roman" w:cs="Arial"/>
                <w:b/>
                <w:bCs/>
                <w:color w:val="000000"/>
                <w:sz w:val="16"/>
                <w:szCs w:val="16"/>
                <w:lang w:val="es-MX" w:eastAsia="es-MX"/>
              </w:rPr>
              <w:t>25</w:t>
            </w:r>
          </w:p>
        </w:tc>
        <w:tc>
          <w:tcPr>
            <w:tcW w:w="0" w:type="auto"/>
            <w:tcBorders>
              <w:top w:val="nil"/>
              <w:left w:val="nil"/>
              <w:bottom w:val="nil"/>
              <w:right w:val="single" w:color="auto" w:sz="4" w:space="0"/>
            </w:tcBorders>
            <w:shd w:val="clear" w:color="auto" w:fill="auto"/>
            <w:noWrap/>
            <w:vAlign w:val="center"/>
            <w:hideMark/>
          </w:tcPr>
          <w:p w:rsidRPr="00DB4572" w:rsidR="003E4B6D" w:rsidP="003E4B6D" w:rsidRDefault="003E4B6D" w14:paraId="704D9A6A" w14:textId="6244E73D">
            <w:pPr>
              <w:spacing w:after="0" w:line="240" w:lineRule="auto"/>
              <w:jc w:val="center"/>
              <w:rPr>
                <w:rFonts w:ascii="Arial" w:hAnsi="Arial"/>
                <w:b/>
                <w:color w:val="000000"/>
                <w:sz w:val="16"/>
                <w:lang w:val="es-MX"/>
              </w:rPr>
            </w:pPr>
            <w:r w:rsidRPr="003E4B6D">
              <w:rPr>
                <w:rFonts w:ascii="Arial" w:hAnsi="Arial" w:eastAsia="Times New Roman" w:cs="Arial"/>
                <w:b/>
                <w:bCs/>
                <w:color w:val="000000"/>
                <w:sz w:val="16"/>
                <w:szCs w:val="16"/>
                <w:lang w:val="es-MX" w:eastAsia="es-MX"/>
              </w:rPr>
              <w:t>16.0</w:t>
            </w:r>
            <w:r w:rsidRPr="00DB4572">
              <w:rPr>
                <w:rFonts w:ascii="Arial" w:hAnsi="Arial"/>
                <w:b/>
                <w:color w:val="000000"/>
                <w:sz w:val="16"/>
                <w:lang w:val="es-MX"/>
              </w:rPr>
              <w:t>%</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6C29DA7A" w14:textId="0867EFAC">
            <w:pPr>
              <w:spacing w:after="0" w:line="240" w:lineRule="auto"/>
              <w:jc w:val="center"/>
              <w:rPr>
                <w:rFonts w:ascii="Arial" w:hAnsi="Arial"/>
                <w:color w:val="000000"/>
                <w:sz w:val="16"/>
                <w:lang w:val="es-MX"/>
              </w:rPr>
            </w:pPr>
            <w:r w:rsidRPr="003E4B6D">
              <w:rPr>
                <w:rFonts w:ascii="Arial" w:hAnsi="Arial" w:eastAsia="Times New Roman" w:cs="Arial"/>
                <w:color w:val="000000"/>
                <w:sz w:val="16"/>
                <w:szCs w:val="16"/>
                <w:lang w:val="es-MX" w:eastAsia="es-MX"/>
              </w:rPr>
              <w:t>$136,951,954.1</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1CAF71D5" w14:textId="16624B2A">
            <w:pPr>
              <w:spacing w:after="0" w:line="240" w:lineRule="auto"/>
              <w:jc w:val="center"/>
              <w:rPr>
                <w:rFonts w:ascii="Arial" w:hAnsi="Arial"/>
                <w:color w:val="000000"/>
                <w:sz w:val="16"/>
                <w:lang w:val="es-MX"/>
              </w:rPr>
            </w:pPr>
            <w:r w:rsidRPr="00DB4572">
              <w:rPr>
                <w:rFonts w:ascii="Arial" w:hAnsi="Arial"/>
                <w:color w:val="000000"/>
                <w:sz w:val="16"/>
                <w:lang w:val="es-MX"/>
              </w:rPr>
              <w:t>$</w:t>
            </w:r>
            <w:r w:rsidRPr="003E4B6D">
              <w:rPr>
                <w:rFonts w:ascii="Arial" w:hAnsi="Arial" w:eastAsia="Times New Roman" w:cs="Arial"/>
                <w:color w:val="000000"/>
                <w:sz w:val="16"/>
                <w:szCs w:val="16"/>
                <w:lang w:val="es-MX" w:eastAsia="es-MX"/>
              </w:rPr>
              <w:t>237.7</w:t>
            </w:r>
          </w:p>
        </w:tc>
        <w:tc>
          <w:tcPr>
            <w:tcW w:w="0" w:type="auto"/>
            <w:tcBorders>
              <w:top w:val="nil"/>
              <w:left w:val="nil"/>
              <w:bottom w:val="nil"/>
              <w:right w:val="nil"/>
            </w:tcBorders>
            <w:shd w:val="clear" w:color="auto" w:fill="auto"/>
            <w:noWrap/>
            <w:vAlign w:val="center"/>
            <w:hideMark/>
          </w:tcPr>
          <w:p w:rsidRPr="00DB4572" w:rsidR="003E4B6D" w:rsidP="003E4B6D" w:rsidRDefault="003E4B6D" w14:paraId="11AEC76E" w14:textId="53EA4E24">
            <w:pPr>
              <w:spacing w:after="0" w:line="240" w:lineRule="auto"/>
              <w:jc w:val="center"/>
              <w:rPr>
                <w:rFonts w:ascii="Arial" w:hAnsi="Arial"/>
                <w:color w:val="000000"/>
                <w:sz w:val="16"/>
                <w:lang w:val="es-MX"/>
              </w:rPr>
            </w:pPr>
            <w:r w:rsidRPr="00DB4572">
              <w:rPr>
                <w:rFonts w:ascii="Arial" w:hAnsi="Arial"/>
                <w:color w:val="000000"/>
                <w:sz w:val="16"/>
                <w:lang w:val="es-MX"/>
              </w:rPr>
              <w:t>2.</w:t>
            </w:r>
            <w:r w:rsidRPr="003E4B6D">
              <w:rPr>
                <w:rFonts w:ascii="Arial" w:hAnsi="Arial" w:eastAsia="Times New Roman" w:cs="Arial"/>
                <w:color w:val="000000"/>
                <w:sz w:val="16"/>
                <w:szCs w:val="16"/>
                <w:lang w:val="es-MX" w:eastAsia="es-MX"/>
              </w:rPr>
              <w:t>66</w:t>
            </w:r>
          </w:p>
        </w:tc>
        <w:tc>
          <w:tcPr>
            <w:tcW w:w="0" w:type="auto"/>
            <w:tcBorders>
              <w:top w:val="nil"/>
              <w:left w:val="nil"/>
              <w:bottom w:val="nil"/>
              <w:right w:val="single" w:color="auto" w:sz="4" w:space="0"/>
            </w:tcBorders>
            <w:shd w:val="clear" w:color="auto" w:fill="auto"/>
            <w:noWrap/>
            <w:vAlign w:val="center"/>
            <w:hideMark/>
          </w:tcPr>
          <w:p w:rsidRPr="00DB4572" w:rsidR="003E4B6D" w:rsidP="003E4B6D" w:rsidRDefault="003E4B6D" w14:paraId="792592A3" w14:textId="5EC4AAA5">
            <w:pPr>
              <w:spacing w:after="0" w:line="240" w:lineRule="auto"/>
              <w:jc w:val="center"/>
              <w:rPr>
                <w:rFonts w:ascii="Arial" w:hAnsi="Arial"/>
                <w:color w:val="000000"/>
                <w:sz w:val="16"/>
                <w:lang w:val="es-MX"/>
              </w:rPr>
            </w:pPr>
            <w:r w:rsidRPr="003E4B6D">
              <w:rPr>
                <w:rFonts w:ascii="Arial" w:hAnsi="Arial" w:eastAsia="Times New Roman" w:cs="Arial"/>
                <w:color w:val="000000"/>
                <w:sz w:val="16"/>
                <w:szCs w:val="16"/>
                <w:lang w:val="es-MX" w:eastAsia="es-MX"/>
              </w:rPr>
              <w:t>19.5</w:t>
            </w:r>
            <w:r w:rsidRPr="00DB4572">
              <w:rPr>
                <w:rFonts w:ascii="Arial" w:hAnsi="Arial"/>
                <w:color w:val="000000"/>
                <w:sz w:val="16"/>
                <w:lang w:val="es-MX"/>
              </w:rPr>
              <w:t>%</w:t>
            </w:r>
          </w:p>
        </w:tc>
      </w:tr>
      <w:tr w:rsidRPr="003E4B6D" w:rsidR="003F427B" w:rsidTr="00AE62C4" w14:paraId="6CDF1C05" w14:textId="77777777">
        <w:trPr>
          <w:trHeight w:val="960"/>
        </w:trPr>
        <w:tc>
          <w:tcPr>
            <w:tcW w:w="567" w:type="dxa"/>
            <w:vMerge/>
            <w:tcBorders>
              <w:top w:val="nil"/>
              <w:left w:val="single" w:color="auto" w:sz="4" w:space="0"/>
              <w:bottom w:val="single" w:color="000000" w:sz="4" w:space="0"/>
              <w:right w:val="nil"/>
            </w:tcBorders>
            <w:vAlign w:val="center"/>
            <w:hideMark/>
          </w:tcPr>
          <w:p w:rsidRPr="00DB4572" w:rsidR="003E4B6D" w:rsidP="003E4B6D" w:rsidRDefault="003E4B6D" w14:paraId="4C0DF992" w14:textId="77777777">
            <w:pPr>
              <w:spacing w:after="0" w:line="240" w:lineRule="auto"/>
              <w:rPr>
                <w:rFonts w:ascii="Arial" w:hAnsi="Arial"/>
                <w:color w:val="000000"/>
                <w:sz w:val="16"/>
                <w:lang w:val="es-MX"/>
              </w:rPr>
            </w:pPr>
          </w:p>
        </w:tc>
        <w:tc>
          <w:tcPr>
            <w:tcW w:w="1031" w:type="dxa"/>
            <w:tcBorders>
              <w:top w:val="nil"/>
              <w:left w:val="nil"/>
              <w:bottom w:val="single" w:color="auto" w:sz="4" w:space="0"/>
              <w:right w:val="nil"/>
            </w:tcBorders>
            <w:shd w:val="clear" w:color="auto" w:fill="auto"/>
            <w:vAlign w:val="center"/>
            <w:hideMark/>
          </w:tcPr>
          <w:p w:rsidRPr="00DB4572" w:rsidR="003E4B6D" w:rsidP="003E4B6D" w:rsidRDefault="003E4B6D" w14:paraId="4F2C3127" w14:textId="77777777">
            <w:pPr>
              <w:spacing w:after="0" w:line="240" w:lineRule="auto"/>
              <w:rPr>
                <w:rFonts w:ascii="Arial" w:hAnsi="Arial"/>
                <w:color w:val="000000"/>
                <w:sz w:val="16"/>
                <w:lang w:val="es-MX"/>
              </w:rPr>
            </w:pPr>
            <w:r w:rsidRPr="00DB4572">
              <w:rPr>
                <w:rFonts w:ascii="Arial" w:hAnsi="Arial"/>
                <w:color w:val="000000"/>
                <w:sz w:val="16"/>
                <w:lang w:val="es-MX"/>
              </w:rPr>
              <w:t>Escenario optimista 18% en homicidios y 19.2% en robos</w:t>
            </w:r>
          </w:p>
        </w:tc>
        <w:tc>
          <w:tcPr>
            <w:tcW w:w="0" w:type="auto"/>
            <w:tcBorders>
              <w:top w:val="nil"/>
              <w:left w:val="single" w:color="auto" w:sz="4" w:space="0"/>
              <w:bottom w:val="single" w:color="auto" w:sz="4" w:space="0"/>
              <w:right w:val="nil"/>
            </w:tcBorders>
            <w:shd w:val="clear" w:color="auto" w:fill="auto"/>
            <w:noWrap/>
            <w:vAlign w:val="center"/>
            <w:hideMark/>
          </w:tcPr>
          <w:p w:rsidRPr="00DB4572" w:rsidR="003E4B6D" w:rsidP="003E4B6D" w:rsidRDefault="003E4B6D" w14:paraId="6D667A36" w14:textId="39D3678A">
            <w:pPr>
              <w:spacing w:after="0" w:line="240" w:lineRule="auto"/>
              <w:jc w:val="center"/>
              <w:rPr>
                <w:rFonts w:ascii="Arial" w:hAnsi="Arial"/>
                <w:color w:val="000000"/>
                <w:sz w:val="16"/>
                <w:lang w:val="es-MX"/>
              </w:rPr>
            </w:pPr>
            <w:r w:rsidRPr="003E4B6D">
              <w:rPr>
                <w:rFonts w:ascii="Arial" w:hAnsi="Arial" w:eastAsia="Times New Roman" w:cs="Arial"/>
                <w:color w:val="000000"/>
                <w:sz w:val="16"/>
                <w:szCs w:val="16"/>
                <w:lang w:val="es-MX" w:eastAsia="es-MX"/>
              </w:rPr>
              <w:t>$143,484,811.8</w:t>
            </w:r>
          </w:p>
        </w:tc>
        <w:tc>
          <w:tcPr>
            <w:tcW w:w="0" w:type="auto"/>
            <w:tcBorders>
              <w:top w:val="nil"/>
              <w:left w:val="nil"/>
              <w:bottom w:val="single" w:color="auto" w:sz="4" w:space="0"/>
              <w:right w:val="nil"/>
            </w:tcBorders>
            <w:shd w:val="clear" w:color="auto" w:fill="auto"/>
            <w:noWrap/>
            <w:vAlign w:val="center"/>
            <w:hideMark/>
          </w:tcPr>
          <w:p w:rsidRPr="00DB4572" w:rsidR="003E4B6D" w:rsidP="003E4B6D" w:rsidRDefault="003E4B6D" w14:paraId="0F6B49AE" w14:textId="7E37ECAD">
            <w:pPr>
              <w:spacing w:after="0" w:line="240" w:lineRule="auto"/>
              <w:jc w:val="center"/>
              <w:rPr>
                <w:rFonts w:ascii="Arial" w:hAnsi="Arial"/>
                <w:color w:val="000000"/>
                <w:sz w:val="16"/>
                <w:lang w:val="es-MX"/>
              </w:rPr>
            </w:pPr>
            <w:r w:rsidRPr="00DB4572">
              <w:rPr>
                <w:rFonts w:ascii="Arial" w:hAnsi="Arial"/>
                <w:color w:val="000000"/>
                <w:sz w:val="16"/>
                <w:lang w:val="es-MX"/>
              </w:rPr>
              <w:t>$</w:t>
            </w:r>
            <w:r w:rsidRPr="003E4B6D">
              <w:rPr>
                <w:rFonts w:ascii="Arial" w:hAnsi="Arial" w:eastAsia="Times New Roman" w:cs="Arial"/>
                <w:color w:val="000000"/>
                <w:sz w:val="16"/>
                <w:szCs w:val="16"/>
                <w:lang w:val="es-MX" w:eastAsia="es-MX"/>
              </w:rPr>
              <w:t>247.2</w:t>
            </w:r>
          </w:p>
        </w:tc>
        <w:tc>
          <w:tcPr>
            <w:tcW w:w="0" w:type="auto"/>
            <w:tcBorders>
              <w:top w:val="nil"/>
              <w:left w:val="nil"/>
              <w:bottom w:val="single" w:color="auto" w:sz="4" w:space="0"/>
              <w:right w:val="nil"/>
            </w:tcBorders>
            <w:shd w:val="clear" w:color="auto" w:fill="auto"/>
            <w:noWrap/>
            <w:vAlign w:val="center"/>
            <w:hideMark/>
          </w:tcPr>
          <w:p w:rsidRPr="00DB4572" w:rsidR="003E4B6D" w:rsidP="003E4B6D" w:rsidRDefault="003E4B6D" w14:paraId="21F64698" w14:textId="427F96FE">
            <w:pPr>
              <w:spacing w:after="0" w:line="240" w:lineRule="auto"/>
              <w:jc w:val="center"/>
              <w:rPr>
                <w:rFonts w:ascii="Arial" w:hAnsi="Arial"/>
                <w:color w:val="000000"/>
                <w:sz w:val="16"/>
                <w:lang w:val="es-MX"/>
              </w:rPr>
            </w:pPr>
            <w:r w:rsidRPr="00DB4572">
              <w:rPr>
                <w:rFonts w:ascii="Arial" w:hAnsi="Arial"/>
                <w:color w:val="000000"/>
                <w:sz w:val="16"/>
                <w:lang w:val="es-MX"/>
              </w:rPr>
              <w:t>2.</w:t>
            </w:r>
            <w:r w:rsidRPr="003E4B6D">
              <w:rPr>
                <w:rFonts w:ascii="Arial" w:hAnsi="Arial" w:eastAsia="Times New Roman" w:cs="Arial"/>
                <w:color w:val="000000"/>
                <w:sz w:val="16"/>
                <w:szCs w:val="16"/>
                <w:lang w:val="es-MX" w:eastAsia="es-MX"/>
              </w:rPr>
              <w:t>84</w:t>
            </w:r>
          </w:p>
        </w:tc>
        <w:tc>
          <w:tcPr>
            <w:tcW w:w="0" w:type="auto"/>
            <w:tcBorders>
              <w:top w:val="nil"/>
              <w:left w:val="nil"/>
              <w:bottom w:val="single" w:color="auto" w:sz="4" w:space="0"/>
              <w:right w:val="single" w:color="auto" w:sz="4" w:space="0"/>
            </w:tcBorders>
            <w:shd w:val="clear" w:color="auto" w:fill="auto"/>
            <w:noWrap/>
            <w:vAlign w:val="center"/>
            <w:hideMark/>
          </w:tcPr>
          <w:p w:rsidRPr="00DB4572" w:rsidR="003E4B6D" w:rsidP="003E4B6D" w:rsidRDefault="003E4B6D" w14:paraId="7FFEF966" w14:textId="33D068B7">
            <w:pPr>
              <w:spacing w:after="0" w:line="240" w:lineRule="auto"/>
              <w:jc w:val="center"/>
              <w:rPr>
                <w:rFonts w:ascii="Arial" w:hAnsi="Arial"/>
                <w:color w:val="000000"/>
                <w:sz w:val="16"/>
                <w:lang w:val="es-MX"/>
              </w:rPr>
            </w:pPr>
            <w:r w:rsidRPr="003E4B6D">
              <w:rPr>
                <w:rFonts w:ascii="Arial" w:hAnsi="Arial" w:eastAsia="Times New Roman" w:cs="Arial"/>
                <w:color w:val="000000"/>
                <w:sz w:val="16"/>
                <w:szCs w:val="16"/>
                <w:lang w:val="es-MX" w:eastAsia="es-MX"/>
              </w:rPr>
              <w:t>22.4</w:t>
            </w:r>
            <w:r w:rsidRPr="00DB4572">
              <w:rPr>
                <w:rFonts w:ascii="Arial" w:hAnsi="Arial"/>
                <w:color w:val="000000"/>
                <w:sz w:val="16"/>
                <w:lang w:val="es-MX"/>
              </w:rPr>
              <w:t>%</w:t>
            </w:r>
          </w:p>
        </w:tc>
        <w:tc>
          <w:tcPr>
            <w:tcW w:w="0" w:type="auto"/>
            <w:tcBorders>
              <w:top w:val="nil"/>
              <w:left w:val="nil"/>
              <w:bottom w:val="single" w:color="auto" w:sz="4" w:space="0"/>
              <w:right w:val="nil"/>
            </w:tcBorders>
            <w:shd w:val="clear" w:color="auto" w:fill="auto"/>
            <w:noWrap/>
            <w:vAlign w:val="center"/>
            <w:hideMark/>
          </w:tcPr>
          <w:p w:rsidRPr="00DB4572" w:rsidR="003E4B6D" w:rsidP="003E4B6D" w:rsidRDefault="003E4B6D" w14:paraId="73B2C97E" w14:textId="5D4DF12C">
            <w:pPr>
              <w:spacing w:after="0" w:line="240" w:lineRule="auto"/>
              <w:jc w:val="center"/>
              <w:rPr>
                <w:rFonts w:ascii="Arial" w:hAnsi="Arial"/>
                <w:color w:val="000000"/>
                <w:sz w:val="16"/>
                <w:lang w:val="es-MX"/>
              </w:rPr>
            </w:pPr>
            <w:r w:rsidRPr="00DB4572">
              <w:rPr>
                <w:rFonts w:ascii="Arial" w:hAnsi="Arial"/>
                <w:color w:val="000000"/>
                <w:sz w:val="16"/>
                <w:lang w:val="es-MX"/>
              </w:rPr>
              <w:t>$193,</w:t>
            </w:r>
            <w:r w:rsidRPr="003E4B6D">
              <w:rPr>
                <w:rFonts w:ascii="Arial" w:hAnsi="Arial" w:eastAsia="Times New Roman" w:cs="Arial"/>
                <w:color w:val="000000"/>
                <w:sz w:val="16"/>
                <w:szCs w:val="16"/>
                <w:lang w:val="es-MX" w:eastAsia="es-MX"/>
              </w:rPr>
              <w:t>284,376.7</w:t>
            </w:r>
          </w:p>
        </w:tc>
        <w:tc>
          <w:tcPr>
            <w:tcW w:w="0" w:type="auto"/>
            <w:tcBorders>
              <w:top w:val="nil"/>
              <w:left w:val="nil"/>
              <w:bottom w:val="single" w:color="auto" w:sz="4" w:space="0"/>
              <w:right w:val="nil"/>
            </w:tcBorders>
            <w:shd w:val="clear" w:color="auto" w:fill="auto"/>
            <w:noWrap/>
            <w:vAlign w:val="center"/>
            <w:hideMark/>
          </w:tcPr>
          <w:p w:rsidRPr="00DB4572" w:rsidR="003E4B6D" w:rsidP="003E4B6D" w:rsidRDefault="003E4B6D" w14:paraId="2CE8E853" w14:textId="122A03C6">
            <w:pPr>
              <w:spacing w:after="0" w:line="240" w:lineRule="auto"/>
              <w:jc w:val="center"/>
              <w:rPr>
                <w:rFonts w:ascii="Arial" w:hAnsi="Arial"/>
                <w:color w:val="000000"/>
                <w:sz w:val="16"/>
                <w:lang w:val="es-MX"/>
              </w:rPr>
            </w:pPr>
            <w:r w:rsidRPr="00DB4572">
              <w:rPr>
                <w:rFonts w:ascii="Arial" w:hAnsi="Arial"/>
                <w:color w:val="000000"/>
                <w:sz w:val="16"/>
                <w:lang w:val="es-MX"/>
              </w:rPr>
              <w:t>$</w:t>
            </w:r>
            <w:r w:rsidRPr="003E4B6D">
              <w:rPr>
                <w:rFonts w:ascii="Arial" w:hAnsi="Arial" w:eastAsia="Times New Roman" w:cs="Arial"/>
                <w:color w:val="000000"/>
                <w:sz w:val="16"/>
                <w:szCs w:val="16"/>
                <w:lang w:val="es-MX" w:eastAsia="es-MX"/>
              </w:rPr>
              <w:t>304.3</w:t>
            </w:r>
          </w:p>
        </w:tc>
        <w:tc>
          <w:tcPr>
            <w:tcW w:w="0" w:type="auto"/>
            <w:tcBorders>
              <w:top w:val="nil"/>
              <w:left w:val="nil"/>
              <w:bottom w:val="single" w:color="auto" w:sz="4" w:space="0"/>
              <w:right w:val="nil"/>
            </w:tcBorders>
            <w:shd w:val="clear" w:color="auto" w:fill="auto"/>
            <w:noWrap/>
            <w:vAlign w:val="center"/>
            <w:hideMark/>
          </w:tcPr>
          <w:p w:rsidRPr="00DB4572" w:rsidR="003E4B6D" w:rsidP="003E4B6D" w:rsidRDefault="003E4B6D" w14:paraId="7E25943C" w14:textId="70DF6DC9">
            <w:pPr>
              <w:spacing w:after="0" w:line="240" w:lineRule="auto"/>
              <w:jc w:val="center"/>
              <w:rPr>
                <w:rFonts w:ascii="Arial" w:hAnsi="Arial"/>
                <w:color w:val="000000"/>
                <w:sz w:val="16"/>
                <w:lang w:val="es-MX"/>
              </w:rPr>
            </w:pPr>
            <w:r w:rsidRPr="00DB4572">
              <w:rPr>
                <w:rFonts w:ascii="Arial" w:hAnsi="Arial"/>
                <w:color w:val="000000"/>
                <w:sz w:val="16"/>
                <w:lang w:val="es-MX"/>
              </w:rPr>
              <w:t>3.</w:t>
            </w:r>
            <w:r w:rsidRPr="003E4B6D">
              <w:rPr>
                <w:rFonts w:ascii="Arial" w:hAnsi="Arial" w:eastAsia="Times New Roman" w:cs="Arial"/>
                <w:color w:val="000000"/>
                <w:sz w:val="16"/>
                <w:szCs w:val="16"/>
                <w:lang w:val="es-MX" w:eastAsia="es-MX"/>
              </w:rPr>
              <w:t>35</w:t>
            </w:r>
          </w:p>
        </w:tc>
        <w:tc>
          <w:tcPr>
            <w:tcW w:w="0" w:type="auto"/>
            <w:tcBorders>
              <w:top w:val="nil"/>
              <w:left w:val="nil"/>
              <w:bottom w:val="single" w:color="auto" w:sz="4" w:space="0"/>
              <w:right w:val="single" w:color="auto" w:sz="4" w:space="0"/>
            </w:tcBorders>
            <w:shd w:val="clear" w:color="auto" w:fill="auto"/>
            <w:noWrap/>
            <w:vAlign w:val="center"/>
            <w:hideMark/>
          </w:tcPr>
          <w:p w:rsidRPr="00DB4572" w:rsidR="003E4B6D" w:rsidP="003E4B6D" w:rsidRDefault="003E4B6D" w14:paraId="02B4CB12" w14:textId="4683B453">
            <w:pPr>
              <w:spacing w:after="0" w:line="240" w:lineRule="auto"/>
              <w:jc w:val="center"/>
              <w:rPr>
                <w:rFonts w:ascii="Arial" w:hAnsi="Arial"/>
                <w:color w:val="000000"/>
                <w:sz w:val="16"/>
                <w:lang w:val="es-MX"/>
              </w:rPr>
            </w:pPr>
            <w:r w:rsidRPr="003E4B6D">
              <w:rPr>
                <w:rFonts w:ascii="Arial" w:hAnsi="Arial" w:eastAsia="Times New Roman" w:cs="Arial"/>
                <w:color w:val="000000"/>
                <w:sz w:val="16"/>
                <w:szCs w:val="16"/>
                <w:lang w:val="es-MX" w:eastAsia="es-MX"/>
              </w:rPr>
              <w:t>26.0</w:t>
            </w:r>
            <w:r w:rsidRPr="00DB4572">
              <w:rPr>
                <w:rFonts w:ascii="Arial" w:hAnsi="Arial"/>
                <w:color w:val="000000"/>
                <w:sz w:val="16"/>
                <w:lang w:val="es-MX"/>
              </w:rPr>
              <w:t>%</w:t>
            </w:r>
          </w:p>
        </w:tc>
      </w:tr>
    </w:tbl>
    <w:p w:rsidRPr="000E0AC5" w:rsidR="005E1C51" w:rsidP="00E32D69" w:rsidRDefault="005E1C51" w14:paraId="5BCD4A6B" w14:textId="77777777">
      <w:pPr>
        <w:pStyle w:val="fuente"/>
        <w:rPr>
          <w:rFonts w:ascii="Arial" w:hAnsi="Arial" w:cs="Arial"/>
        </w:rPr>
      </w:pPr>
    </w:p>
    <w:p w:rsidRPr="000E0AC5" w:rsidR="001B5186" w:rsidP="00E32D69" w:rsidRDefault="00E32D69" w14:paraId="6DACCCA6" w14:textId="77777777">
      <w:pPr>
        <w:pStyle w:val="fuente"/>
        <w:rPr>
          <w:rFonts w:ascii="Arial" w:hAnsi="Arial" w:eastAsia="Times New Roman" w:cs="Arial"/>
          <w:color w:val="000000"/>
        </w:rPr>
      </w:pPr>
      <w:r w:rsidRPr="000E0AC5">
        <w:rPr>
          <w:rFonts w:ascii="Arial" w:hAnsi="Arial" w:cs="Arial"/>
        </w:rPr>
        <w:t>Fuente: Estimación propia.</w:t>
      </w:r>
    </w:p>
    <w:p w:rsidRPr="000E0AC5" w:rsidR="00C152BF" w:rsidP="00E42E98" w:rsidRDefault="00E2088E" w14:paraId="1933FE15" w14:textId="77777777">
      <w:pPr>
        <w:pStyle w:val="ColorfulList-Accent11"/>
        <w:numPr>
          <w:ilvl w:val="0"/>
          <w:numId w:val="2"/>
        </w:numPr>
        <w:spacing w:after="0" w:line="360" w:lineRule="auto"/>
        <w:ind w:left="720" w:hanging="578"/>
        <w:jc w:val="both"/>
        <w:rPr>
          <w:rFonts w:ascii="Arial" w:hAnsi="Arial" w:cs="Arial"/>
          <w:b/>
          <w:lang w:val="es-ES"/>
        </w:rPr>
      </w:pPr>
      <w:r w:rsidRPr="000E0AC5">
        <w:rPr>
          <w:rFonts w:ascii="Arial" w:hAnsi="Arial" w:cs="Arial"/>
          <w:b/>
          <w:lang w:val="es-ES"/>
        </w:rPr>
        <w:t>Conclusiones</w:t>
      </w:r>
    </w:p>
    <w:p w:rsidRPr="000E0AC5" w:rsidR="00C152BF" w:rsidP="00C152BF" w:rsidRDefault="00C152BF" w14:paraId="7AA7362E" w14:textId="77777777">
      <w:pPr>
        <w:pStyle w:val="ColorfulList-Accent11"/>
        <w:tabs>
          <w:tab w:val="left" w:pos="450"/>
        </w:tabs>
        <w:spacing w:after="0" w:line="360" w:lineRule="auto"/>
        <w:jc w:val="both"/>
        <w:rPr>
          <w:rFonts w:ascii="Arial" w:hAnsi="Arial" w:cs="Arial"/>
          <w:b/>
          <w:highlight w:val="yellow"/>
          <w:lang w:val="es-ES"/>
        </w:rPr>
      </w:pPr>
    </w:p>
    <w:p w:rsidR="001B5186" w:rsidP="006A3FEB" w:rsidRDefault="003F36C8" w14:paraId="7BD678A5" w14:textId="646D7C0F">
      <w:pPr>
        <w:numPr>
          <w:ilvl w:val="1"/>
          <w:numId w:val="6"/>
        </w:numPr>
        <w:spacing w:after="0" w:line="360" w:lineRule="auto"/>
        <w:ind w:left="450" w:hanging="450"/>
        <w:jc w:val="both"/>
        <w:textAlignment w:val="top"/>
        <w:rPr>
          <w:rFonts w:ascii="Arial" w:hAnsi="Arial" w:eastAsia="Times New Roman" w:cs="Arial"/>
          <w:color w:val="000000"/>
          <w:lang w:val="es-ES"/>
        </w:rPr>
      </w:pPr>
      <w:r w:rsidRPr="000E0AC5">
        <w:rPr>
          <w:rFonts w:ascii="Arial" w:hAnsi="Arial" w:eastAsia="Times New Roman" w:cs="Arial"/>
          <w:color w:val="000000"/>
          <w:lang w:val="es-ES"/>
        </w:rPr>
        <w:t>En este documento se presenta un análisis económico ex–ante del Programa de Seguridad Ciudadana y Prevención de Violencia (CR-L1137) en Costo Rica, mediante un análisis de costo-ben</w:t>
      </w:r>
      <w:r w:rsidRPr="000E0AC5" w:rsidR="0096382B">
        <w:rPr>
          <w:rFonts w:ascii="Arial" w:hAnsi="Arial" w:eastAsia="Times New Roman" w:cs="Arial"/>
          <w:color w:val="000000"/>
          <w:lang w:val="es-ES"/>
        </w:rPr>
        <w:t>eficio para el período 2020-2038</w:t>
      </w:r>
      <w:r w:rsidRPr="000E0AC5">
        <w:rPr>
          <w:rFonts w:ascii="Arial" w:hAnsi="Arial" w:eastAsia="Times New Roman" w:cs="Arial"/>
          <w:color w:val="000000"/>
          <w:lang w:val="es-ES"/>
        </w:rPr>
        <w:t xml:space="preserve">. A partir del escenario base que tiene supuestos más conservadores, se observa que el Programa tiene altos beneficios </w:t>
      </w:r>
      <w:r w:rsidRPr="000E0AC5">
        <w:rPr>
          <w:rFonts w:ascii="Arial" w:hAnsi="Arial" w:eastAsia="Times New Roman" w:cs="Arial"/>
          <w:color w:val="000000"/>
          <w:lang w:val="es-ES"/>
        </w:rPr>
        <w:lastRenderedPageBreak/>
        <w:t xml:space="preserve">sociales, con una </w:t>
      </w:r>
      <w:r w:rsidRPr="000E0AC5" w:rsidR="0031074C">
        <w:rPr>
          <w:rFonts w:ascii="Arial" w:hAnsi="Arial" w:eastAsia="Times New Roman" w:cs="Arial"/>
          <w:color w:val="000000"/>
          <w:lang w:val="es-ES"/>
        </w:rPr>
        <w:t>r</w:t>
      </w:r>
      <w:r w:rsidRPr="000E0AC5" w:rsidR="009722EC">
        <w:rPr>
          <w:rFonts w:ascii="Arial" w:hAnsi="Arial" w:eastAsia="Times New Roman" w:cs="Arial"/>
          <w:color w:val="000000"/>
          <w:lang w:val="es-ES"/>
        </w:rPr>
        <w:t>elación costo-beneficio de $</w:t>
      </w:r>
      <w:r w:rsidR="00B55CAF">
        <w:rPr>
          <w:rFonts w:ascii="Arial" w:hAnsi="Arial" w:eastAsia="Times New Roman" w:cs="Arial"/>
          <w:color w:val="000000"/>
          <w:lang w:val="es-ES"/>
        </w:rPr>
        <w:t>2.</w:t>
      </w:r>
      <w:r w:rsidR="00A72090">
        <w:rPr>
          <w:rFonts w:ascii="Arial" w:hAnsi="Arial" w:eastAsia="Times New Roman" w:cs="Arial"/>
          <w:color w:val="000000"/>
          <w:lang w:val="es-ES"/>
        </w:rPr>
        <w:t>2</w:t>
      </w:r>
      <w:r w:rsidR="00AE62C4">
        <w:rPr>
          <w:rFonts w:ascii="Arial" w:hAnsi="Arial" w:eastAsia="Times New Roman" w:cs="Arial"/>
          <w:color w:val="000000"/>
          <w:lang w:val="es-ES"/>
        </w:rPr>
        <w:t>5</w:t>
      </w:r>
      <w:r w:rsidRPr="000E0AC5">
        <w:rPr>
          <w:rFonts w:ascii="Arial" w:hAnsi="Arial" w:eastAsia="Times New Roman" w:cs="Arial"/>
          <w:color w:val="000000"/>
          <w:lang w:val="es-ES"/>
        </w:rPr>
        <w:t xml:space="preserve"> dólares por cada dólar invertido, y </w:t>
      </w:r>
      <w:r w:rsidRPr="000E0AC5" w:rsidR="0096382B">
        <w:rPr>
          <w:rFonts w:ascii="Arial" w:hAnsi="Arial" w:eastAsia="Times New Roman" w:cs="Arial"/>
          <w:color w:val="000000"/>
          <w:lang w:val="es-ES"/>
        </w:rPr>
        <w:t>un benefici</w:t>
      </w:r>
      <w:r w:rsidR="00511A91">
        <w:rPr>
          <w:rFonts w:ascii="Arial" w:hAnsi="Arial" w:eastAsia="Times New Roman" w:cs="Arial"/>
          <w:color w:val="000000"/>
          <w:lang w:val="es-ES"/>
        </w:rPr>
        <w:t>o neto por beneficiario de $</w:t>
      </w:r>
      <w:r w:rsidR="00D849E0">
        <w:rPr>
          <w:rFonts w:ascii="Arial" w:hAnsi="Arial" w:eastAsia="Times New Roman" w:cs="Arial"/>
          <w:color w:val="000000"/>
          <w:lang w:val="es-ES"/>
        </w:rPr>
        <w:t>1</w:t>
      </w:r>
      <w:r w:rsidR="00AE62C4">
        <w:rPr>
          <w:rFonts w:ascii="Arial" w:hAnsi="Arial" w:eastAsia="Times New Roman" w:cs="Arial"/>
          <w:color w:val="000000"/>
          <w:lang w:val="es-ES"/>
        </w:rPr>
        <w:t>91.2</w:t>
      </w:r>
      <w:r w:rsidRPr="000E0AC5" w:rsidR="0096382B">
        <w:rPr>
          <w:rFonts w:ascii="Arial" w:hAnsi="Arial" w:eastAsia="Times New Roman" w:cs="Arial"/>
          <w:color w:val="000000"/>
          <w:lang w:val="es-ES"/>
        </w:rPr>
        <w:t>.</w:t>
      </w:r>
      <w:r w:rsidRPr="000E0AC5">
        <w:rPr>
          <w:rFonts w:ascii="Arial" w:hAnsi="Arial" w:eastAsia="Times New Roman" w:cs="Arial"/>
          <w:color w:val="000000"/>
          <w:lang w:val="es-ES"/>
        </w:rPr>
        <w:t xml:space="preserve"> </w:t>
      </w:r>
    </w:p>
    <w:p w:rsidRPr="000E0AC5" w:rsidR="00927705" w:rsidP="00927705" w:rsidRDefault="00927705" w14:paraId="6DDF4E8B" w14:textId="77777777">
      <w:pPr>
        <w:spacing w:after="0" w:line="360" w:lineRule="auto"/>
        <w:jc w:val="both"/>
        <w:textAlignment w:val="top"/>
        <w:rPr>
          <w:rFonts w:ascii="Arial" w:hAnsi="Arial" w:eastAsia="Times New Roman" w:cs="Arial"/>
          <w:color w:val="000000"/>
          <w:lang w:val="es-ES"/>
        </w:rPr>
      </w:pPr>
    </w:p>
    <w:p w:rsidR="00927705" w:rsidRDefault="00927705" w14:paraId="2AD52D66" w14:textId="77777777">
      <w:pPr>
        <w:spacing w:after="0" w:line="240" w:lineRule="auto"/>
        <w:rPr>
          <w:rFonts w:ascii="Arial" w:hAnsi="Arial" w:eastAsia="Times New Roman" w:cs="Arial"/>
          <w:color w:val="000000"/>
          <w:lang w:val="es-ES"/>
        </w:rPr>
      </w:pPr>
      <w:r>
        <w:rPr>
          <w:rFonts w:ascii="Arial" w:hAnsi="Arial" w:eastAsia="Times New Roman" w:cs="Arial"/>
          <w:color w:val="000000"/>
          <w:lang w:val="es-ES"/>
        </w:rPr>
        <w:br w:type="page"/>
      </w:r>
    </w:p>
    <w:p w:rsidR="000E0AC5" w:rsidP="000E0AC5" w:rsidRDefault="000E0AC5" w14:paraId="4F3B621E" w14:textId="77777777">
      <w:pPr>
        <w:spacing w:after="0" w:line="240" w:lineRule="auto"/>
        <w:rPr>
          <w:rFonts w:ascii="Arial" w:hAnsi="Arial" w:eastAsia="Times New Roman" w:cs="Arial"/>
          <w:color w:val="000000"/>
          <w:lang w:val="es-ES"/>
        </w:rPr>
      </w:pPr>
    </w:p>
    <w:sdt>
      <w:sdtPr>
        <w:rPr>
          <w:rFonts w:ascii="Arial" w:hAnsi="Arial" w:cs="Arial"/>
          <w:b/>
          <w:bCs/>
          <w:sz w:val="24"/>
        </w:rPr>
        <w:id w:val="-1980681342"/>
        <w:docPartObj>
          <w:docPartGallery w:val="Bibliographies"/>
          <w:docPartUnique/>
        </w:docPartObj>
      </w:sdtPr>
      <w:sdtEndPr>
        <w:rPr>
          <w:b w:val="0"/>
          <w:bCs w:val="0"/>
          <w:sz w:val="22"/>
        </w:rPr>
      </w:sdtEndPr>
      <w:sdtContent>
        <w:p w:rsidRPr="00AC03ED" w:rsidR="003F36C8" w:rsidP="000E0AC5" w:rsidRDefault="003F36C8" w14:paraId="342FFE5A" w14:textId="77777777">
          <w:pPr>
            <w:spacing w:after="0" w:line="240" w:lineRule="auto"/>
            <w:rPr>
              <w:rFonts w:ascii="Arial" w:hAnsi="Arial" w:eastAsia="Times New Roman" w:cs="Arial"/>
              <w:color w:val="000000"/>
            </w:rPr>
          </w:pPr>
          <w:proofErr w:type="spellStart"/>
          <w:r w:rsidRPr="00AC03ED">
            <w:rPr>
              <w:rFonts w:ascii="Arial" w:hAnsi="Arial" w:cs="Arial"/>
              <w:sz w:val="24"/>
            </w:rPr>
            <w:t>Referencias</w:t>
          </w:r>
          <w:proofErr w:type="spellEnd"/>
        </w:p>
        <w:p w:rsidRPr="00AC03ED" w:rsidR="00E6163C" w:rsidP="00E6163C" w:rsidRDefault="00E6163C" w14:paraId="303D9A4A" w14:textId="77777777">
          <w:pPr>
            <w:rPr>
              <w:rFonts w:ascii="Arial" w:hAnsi="Arial" w:cs="Arial"/>
              <w:lang w:eastAsia="ja-JP"/>
            </w:rPr>
          </w:pPr>
        </w:p>
        <w:sdt>
          <w:sdtPr>
            <w:rPr>
              <w:rFonts w:ascii="Arial" w:hAnsi="Arial" w:cs="Arial"/>
            </w:rPr>
            <w:id w:val="111145805"/>
            <w:bibliography/>
          </w:sdtPr>
          <w:sdtEndPr/>
          <w:sdtContent>
            <w:p w:rsidRPr="000E0AC5" w:rsidR="008C35D8" w:rsidP="008C35D8" w:rsidRDefault="003F36C8" w14:paraId="4654C952" w14:textId="77777777">
              <w:pPr>
                <w:pStyle w:val="Bibliography"/>
                <w:ind w:left="720" w:hanging="720"/>
                <w:rPr>
                  <w:rFonts w:ascii="Arial" w:hAnsi="Arial" w:cs="Arial"/>
                  <w:noProof/>
                </w:rPr>
              </w:pPr>
              <w:r w:rsidRPr="000E0AC5">
                <w:rPr>
                  <w:rFonts w:ascii="Arial" w:hAnsi="Arial" w:cs="Arial"/>
                </w:rPr>
                <w:fldChar w:fldCharType="begin"/>
              </w:r>
              <w:r w:rsidRPr="003F427B">
                <w:rPr>
                  <w:rFonts w:ascii="Arial" w:hAnsi="Arial" w:cs="Arial"/>
                </w:rPr>
                <w:instrText xml:space="preserve"> BIBLIOGRAPHY </w:instrText>
              </w:r>
              <w:r w:rsidRPr="000E0AC5">
                <w:rPr>
                  <w:rFonts w:ascii="Arial" w:hAnsi="Arial" w:cs="Arial"/>
                </w:rPr>
                <w:fldChar w:fldCharType="separate"/>
              </w:r>
              <w:r w:rsidRPr="003F427B" w:rsidR="008C35D8">
                <w:rPr>
                  <w:rFonts w:ascii="Arial" w:hAnsi="Arial" w:cs="Arial"/>
                  <w:noProof/>
                </w:rPr>
                <w:t xml:space="preserve">Aboal, D., Campanella, J., &amp; Lanzilotta, B. (2013). </w:t>
              </w:r>
              <w:r w:rsidRPr="000E0AC5" w:rsidR="008C35D8">
                <w:rPr>
                  <w:rFonts w:ascii="Arial" w:hAnsi="Arial" w:cs="Arial"/>
                  <w:i/>
                  <w:iCs/>
                  <w:noProof/>
                </w:rPr>
                <w:t>The cost of crime in Uruguay.</w:t>
              </w:r>
              <w:r w:rsidRPr="000E0AC5" w:rsidR="008C35D8">
                <w:rPr>
                  <w:rFonts w:ascii="Arial" w:hAnsi="Arial" w:cs="Arial"/>
                  <w:noProof/>
                </w:rPr>
                <w:t xml:space="preserve"> Inter-American Development Bank, Research Department.</w:t>
              </w:r>
            </w:p>
            <w:p w:rsidRPr="000E0AC5" w:rsidR="008C35D8" w:rsidP="008C35D8" w:rsidRDefault="008C35D8" w14:paraId="3DBC30B9" w14:textId="77777777">
              <w:pPr>
                <w:pStyle w:val="Bibliography"/>
                <w:ind w:left="720" w:hanging="720"/>
                <w:rPr>
                  <w:rFonts w:ascii="Arial" w:hAnsi="Arial" w:cs="Arial"/>
                  <w:noProof/>
                </w:rPr>
              </w:pPr>
              <w:r w:rsidRPr="000E0AC5">
                <w:rPr>
                  <w:rFonts w:ascii="Arial" w:hAnsi="Arial" w:cs="Arial"/>
                  <w:noProof/>
                </w:rPr>
                <w:t xml:space="preserve">Blattman, C., Green, D., Ortega, D., &amp; Tobón, S. (2018). </w:t>
              </w:r>
              <w:r w:rsidRPr="000E0AC5">
                <w:rPr>
                  <w:rFonts w:ascii="Arial" w:hAnsi="Arial" w:cs="Arial"/>
                  <w:i/>
                  <w:iCs/>
                  <w:noProof/>
                </w:rPr>
                <w:t>Hotspots interventions at scale: the direct and spillover effects of policing and city services on crime in Bogotá.</w:t>
              </w:r>
              <w:r w:rsidRPr="000E0AC5">
                <w:rPr>
                  <w:rFonts w:ascii="Arial" w:hAnsi="Arial" w:cs="Arial"/>
                  <w:noProof/>
                </w:rPr>
                <w:t xml:space="preserve"> New Delhi: International Initiative for Impact Evaluation.</w:t>
              </w:r>
            </w:p>
            <w:p w:rsidRPr="000E0AC5" w:rsidR="008C35D8" w:rsidP="00DB4572" w:rsidRDefault="008C35D8" w14:paraId="77A5EC31" w14:textId="77777777">
              <w:pPr>
                <w:pStyle w:val="Bibliography"/>
                <w:ind w:left="720" w:hanging="720"/>
                <w:jc w:val="both"/>
                <w:rPr>
                  <w:rFonts w:ascii="Arial" w:hAnsi="Arial" w:cs="Arial"/>
                  <w:noProof/>
                </w:rPr>
              </w:pPr>
              <w:r w:rsidRPr="000E0AC5">
                <w:rPr>
                  <w:rFonts w:ascii="Arial" w:hAnsi="Arial" w:cs="Arial"/>
                  <w:noProof/>
                </w:rPr>
                <w:t xml:space="preserve">Braga, A. A., Hureau, D. M., &amp; Papachristos, A. V. (2012). An Ex Post Facto Evaluation Framework for Place-Based Police Interventions. </w:t>
              </w:r>
              <w:r w:rsidRPr="000E0AC5">
                <w:rPr>
                  <w:rFonts w:ascii="Arial" w:hAnsi="Arial" w:cs="Arial"/>
                  <w:i/>
                  <w:iCs/>
                  <w:noProof/>
                </w:rPr>
                <w:t>Evaluation Review, 35</w:t>
              </w:r>
              <w:r w:rsidRPr="000E0AC5">
                <w:rPr>
                  <w:rFonts w:ascii="Arial" w:hAnsi="Arial" w:cs="Arial"/>
                  <w:noProof/>
                </w:rPr>
                <w:t>(6), 592–626.</w:t>
              </w:r>
            </w:p>
            <w:p w:rsidRPr="000E0AC5" w:rsidR="008C35D8" w:rsidP="008C35D8" w:rsidRDefault="008C35D8" w14:paraId="3362FC7A" w14:textId="77777777">
              <w:pPr>
                <w:pStyle w:val="Bibliography"/>
                <w:ind w:left="720" w:hanging="720"/>
                <w:rPr>
                  <w:rFonts w:ascii="Arial" w:hAnsi="Arial" w:cs="Arial"/>
                  <w:noProof/>
                  <w:lang w:val="es-ES"/>
                </w:rPr>
              </w:pPr>
              <w:r w:rsidRPr="000E0AC5">
                <w:rPr>
                  <w:rFonts w:ascii="Arial" w:hAnsi="Arial" w:cs="Arial"/>
                  <w:noProof/>
                </w:rPr>
                <w:t xml:space="preserve">Braga, A. A., Papachristos, A. V., &amp; Hureau, D. M. (2014). The effects of hot spots policing on crime: An updated systematic review and meta-analysis. </w:t>
              </w:r>
              <w:r w:rsidRPr="000E0AC5">
                <w:rPr>
                  <w:rFonts w:ascii="Arial" w:hAnsi="Arial" w:cs="Arial"/>
                  <w:i/>
                  <w:iCs/>
                  <w:noProof/>
                  <w:lang w:val="es-ES"/>
                </w:rPr>
                <w:t>Justice quarterly, 31</w:t>
              </w:r>
              <w:r w:rsidRPr="000E0AC5">
                <w:rPr>
                  <w:rFonts w:ascii="Arial" w:hAnsi="Arial" w:cs="Arial"/>
                  <w:noProof/>
                  <w:lang w:val="es-ES"/>
                </w:rPr>
                <w:t>(4), 633-663.</w:t>
              </w:r>
            </w:p>
            <w:p w:rsidRPr="000E0AC5" w:rsidR="008C35D8" w:rsidP="008C35D8" w:rsidRDefault="008C35D8" w14:paraId="777CA4B7" w14:textId="77777777">
              <w:pPr>
                <w:pStyle w:val="Bibliography"/>
                <w:ind w:left="720" w:hanging="720"/>
                <w:rPr>
                  <w:rFonts w:ascii="Arial" w:hAnsi="Arial" w:cs="Arial"/>
                  <w:noProof/>
                  <w:lang w:val="es-ES"/>
                </w:rPr>
              </w:pPr>
              <w:r w:rsidRPr="000E0AC5">
                <w:rPr>
                  <w:rFonts w:ascii="Arial" w:hAnsi="Arial" w:cs="Arial"/>
                  <w:noProof/>
                  <w:lang w:val="es-ES"/>
                </w:rPr>
                <w:t xml:space="preserve">Bulla, P., Beltrán, I., Sánchez, F., Escobedo, R., Guarín, S., Ramírez, B., y otros. (2012). </w:t>
              </w:r>
              <w:r w:rsidRPr="000E0AC5">
                <w:rPr>
                  <w:rFonts w:ascii="Arial" w:hAnsi="Arial" w:cs="Arial"/>
                  <w:i/>
                  <w:iCs/>
                  <w:noProof/>
                  <w:lang w:val="es-ES"/>
                </w:rPr>
                <w:t>Evaluacion del impacto del plan nacional de vigilancia comunitaria por cuadrantes.</w:t>
              </w:r>
              <w:r w:rsidRPr="000E0AC5">
                <w:rPr>
                  <w:rFonts w:ascii="Arial" w:hAnsi="Arial" w:cs="Arial"/>
                  <w:noProof/>
                  <w:lang w:val="es-ES"/>
                </w:rPr>
                <w:t xml:space="preserve"> Bogotá: Fundación Ideas para la Paz.</w:t>
              </w:r>
            </w:p>
            <w:p w:rsidRPr="000E0AC5" w:rsidR="008C35D8" w:rsidP="008C35D8" w:rsidRDefault="008C35D8" w14:paraId="03C7FCDE" w14:textId="77777777">
              <w:pPr>
                <w:pStyle w:val="Bibliography"/>
                <w:ind w:left="720" w:hanging="720"/>
                <w:rPr>
                  <w:rFonts w:ascii="Arial" w:hAnsi="Arial" w:cs="Arial"/>
                  <w:noProof/>
                </w:rPr>
              </w:pPr>
              <w:r w:rsidRPr="000E0AC5">
                <w:rPr>
                  <w:rFonts w:ascii="Arial" w:hAnsi="Arial" w:cs="Arial"/>
                  <w:noProof/>
                  <w:lang w:val="es-ES"/>
                </w:rPr>
                <w:t xml:space="preserve">Chainey, S., Serrano, R., &amp; Veneri, F. (2018). Evaluando el impacto del Programa de Alta Dedicación Operativa (PADO) en la reducción de robos violentos en Montevideo, Uruguay. En B. y. Interior (Ed.), </w:t>
              </w:r>
              <w:r w:rsidRPr="000E0AC5">
                <w:rPr>
                  <w:rFonts w:ascii="Arial" w:hAnsi="Arial" w:cs="Arial"/>
                  <w:i/>
                  <w:iCs/>
                  <w:noProof/>
                  <w:lang w:val="es-ES"/>
                </w:rPr>
                <w:t>¿Cómo evitar el delito urbano? El Programa de Alta Dedicación Operativa en la Nueva Policía Uruguaya</w:t>
              </w:r>
              <w:r w:rsidRPr="000E0AC5">
                <w:rPr>
                  <w:rFonts w:ascii="Arial" w:hAnsi="Arial" w:cs="Arial"/>
                  <w:noProof/>
                  <w:lang w:val="es-ES"/>
                </w:rPr>
                <w:t xml:space="preserve"> (págs. </w:t>
              </w:r>
              <w:r w:rsidRPr="000E0AC5">
                <w:rPr>
                  <w:rFonts w:ascii="Arial" w:hAnsi="Arial" w:cs="Arial"/>
                  <w:noProof/>
                </w:rPr>
                <w:t>155-179). Inter-American Development Bank y Ministerio del Interior de Uruguay.</w:t>
              </w:r>
            </w:p>
            <w:p w:rsidRPr="000E0AC5" w:rsidR="008C35D8" w:rsidP="008C35D8" w:rsidRDefault="008C35D8" w14:paraId="2A3C71D8" w14:textId="77777777">
              <w:pPr>
                <w:pStyle w:val="Bibliography"/>
                <w:ind w:left="720" w:hanging="720"/>
                <w:rPr>
                  <w:rFonts w:ascii="Arial" w:hAnsi="Arial" w:cs="Arial"/>
                  <w:noProof/>
                </w:rPr>
              </w:pPr>
              <w:r w:rsidRPr="000E0AC5">
                <w:rPr>
                  <w:rFonts w:ascii="Arial" w:hAnsi="Arial" w:cs="Arial"/>
                  <w:noProof/>
                </w:rPr>
                <w:t xml:space="preserve">Heller, S. B., Shah, A. K., Guryan, J., Ludwig, J., Mullainathan, S., &amp; Pollack, H. A. (2017). Thinking, fast and slow? Some field experiments to reduce crime and dropout in Chicago. </w:t>
              </w:r>
              <w:r w:rsidRPr="000E0AC5">
                <w:rPr>
                  <w:rFonts w:ascii="Arial" w:hAnsi="Arial" w:cs="Arial"/>
                  <w:i/>
                  <w:iCs/>
                  <w:noProof/>
                </w:rPr>
                <w:t>The Quarterly Journal of Economics, 132</w:t>
              </w:r>
              <w:r w:rsidRPr="000E0AC5">
                <w:rPr>
                  <w:rFonts w:ascii="Arial" w:hAnsi="Arial" w:cs="Arial"/>
                  <w:noProof/>
                </w:rPr>
                <w:t>(1), 1-54.</w:t>
              </w:r>
            </w:p>
            <w:p w:rsidRPr="000E0AC5" w:rsidR="008C35D8" w:rsidP="008C35D8" w:rsidRDefault="008C35D8" w14:paraId="6BE830DA" w14:textId="77777777">
              <w:pPr>
                <w:pStyle w:val="Bibliography"/>
                <w:ind w:left="720" w:hanging="720"/>
                <w:rPr>
                  <w:rFonts w:ascii="Arial" w:hAnsi="Arial" w:cs="Arial"/>
                  <w:noProof/>
                  <w:lang w:val="es-ES"/>
                </w:rPr>
              </w:pPr>
              <w:r w:rsidRPr="000E0AC5">
                <w:rPr>
                  <w:rFonts w:ascii="Arial" w:hAnsi="Arial" w:cs="Arial"/>
                  <w:noProof/>
                </w:rPr>
                <w:t xml:space="preserve">Higginson, A., Mazerolle, L., Sydes, M. D., &amp; Mengersen, K. (2015). </w:t>
              </w:r>
              <w:r w:rsidRPr="000E0AC5">
                <w:rPr>
                  <w:rFonts w:ascii="Arial" w:hAnsi="Arial" w:cs="Arial"/>
                  <w:i/>
                  <w:iCs/>
                  <w:noProof/>
                </w:rPr>
                <w:t>Policing interventions for targeting interpersonal violence in developing countries: A systematic review.</w:t>
              </w:r>
              <w:r w:rsidRPr="000E0AC5">
                <w:rPr>
                  <w:rFonts w:ascii="Arial" w:hAnsi="Arial" w:cs="Arial"/>
                  <w:noProof/>
                </w:rPr>
                <w:t xml:space="preserve"> </w:t>
              </w:r>
              <w:r w:rsidRPr="000E0AC5">
                <w:rPr>
                  <w:rFonts w:ascii="Arial" w:hAnsi="Arial" w:cs="Arial"/>
                  <w:noProof/>
                  <w:lang w:val="es-ES"/>
                </w:rPr>
                <w:t>London: International Initiative for Impact Evaluation.</w:t>
              </w:r>
            </w:p>
            <w:p w:rsidRPr="000E0AC5" w:rsidR="008C35D8" w:rsidP="008C35D8" w:rsidRDefault="008C35D8" w14:paraId="45A6FCAD" w14:textId="77777777">
              <w:pPr>
                <w:pStyle w:val="Bibliography"/>
                <w:ind w:left="720" w:hanging="720"/>
                <w:rPr>
                  <w:rFonts w:ascii="Arial" w:hAnsi="Arial" w:cs="Arial"/>
                  <w:noProof/>
                </w:rPr>
              </w:pPr>
              <w:r w:rsidRPr="000E0AC5">
                <w:rPr>
                  <w:rFonts w:ascii="Arial" w:hAnsi="Arial" w:cs="Arial"/>
                  <w:noProof/>
                  <w:lang w:val="es-ES"/>
                </w:rPr>
                <w:t xml:space="preserve">Jaitman, L. (2017). </w:t>
              </w:r>
              <w:r w:rsidRPr="000E0AC5">
                <w:rPr>
                  <w:rFonts w:ascii="Arial" w:hAnsi="Arial" w:cs="Arial"/>
                  <w:i/>
                  <w:iCs/>
                  <w:noProof/>
                  <w:lang w:val="es-ES"/>
                </w:rPr>
                <w:t>Los costos del crimen y de la violencia: nueva evidencia y hallazgos en América Latina y el Caribe.</w:t>
              </w:r>
              <w:r w:rsidRPr="000E0AC5">
                <w:rPr>
                  <w:rFonts w:ascii="Arial" w:hAnsi="Arial" w:cs="Arial"/>
                  <w:noProof/>
                  <w:lang w:val="es-ES"/>
                </w:rPr>
                <w:t xml:space="preserve"> </w:t>
              </w:r>
              <w:r w:rsidRPr="000E0AC5">
                <w:rPr>
                  <w:rFonts w:ascii="Arial" w:hAnsi="Arial" w:cs="Arial"/>
                  <w:noProof/>
                </w:rPr>
                <w:t>Washington, D.C.: IDB.</w:t>
              </w:r>
            </w:p>
            <w:p w:rsidRPr="000E0AC5" w:rsidR="008C35D8" w:rsidP="008C35D8" w:rsidRDefault="008C35D8" w14:paraId="32385ED4" w14:textId="77777777">
              <w:pPr>
                <w:pStyle w:val="Bibliography"/>
                <w:ind w:left="720" w:hanging="720"/>
                <w:rPr>
                  <w:rFonts w:ascii="Arial" w:hAnsi="Arial" w:cs="Arial"/>
                  <w:noProof/>
                </w:rPr>
              </w:pPr>
              <w:r w:rsidRPr="000E0AC5">
                <w:rPr>
                  <w:rFonts w:ascii="Arial" w:hAnsi="Arial" w:cs="Arial"/>
                  <w:noProof/>
                </w:rPr>
                <w:t xml:space="preserve">Manning, M. W., T.W.G., &amp; Vorsina, M. (2017). </w:t>
              </w:r>
              <w:r w:rsidRPr="000E0AC5">
                <w:rPr>
                  <w:rFonts w:ascii="Arial" w:hAnsi="Arial" w:cs="Arial"/>
                  <w:i/>
                  <w:iCs/>
                  <w:noProof/>
                </w:rPr>
                <w:t>Manning Cost-Benefit Tool.</w:t>
              </w:r>
              <w:r w:rsidRPr="000E0AC5">
                <w:rPr>
                  <w:rFonts w:ascii="Arial" w:hAnsi="Arial" w:cs="Arial"/>
                  <w:noProof/>
                </w:rPr>
                <w:t xml:space="preserve"> Canberra: ANU Centre for Social Research and Methods, The Australian National University.</w:t>
              </w:r>
            </w:p>
            <w:p w:rsidRPr="000E0AC5" w:rsidR="008C35D8" w:rsidP="008C35D8" w:rsidRDefault="008C35D8" w14:paraId="379AA6A9" w14:textId="77777777">
              <w:pPr>
                <w:pStyle w:val="Bibliography"/>
                <w:ind w:left="720" w:hanging="720"/>
                <w:rPr>
                  <w:rFonts w:ascii="Arial" w:hAnsi="Arial" w:cs="Arial"/>
                  <w:noProof/>
                </w:rPr>
              </w:pPr>
              <w:r w:rsidRPr="000E0AC5">
                <w:rPr>
                  <w:rFonts w:ascii="Arial" w:hAnsi="Arial" w:cs="Arial"/>
                  <w:noProof/>
                </w:rPr>
                <w:t xml:space="preserve">McCollister, K. E., French, M. T., &amp; Fang, H. (2010). The cost of crime to society: New crime-specific estimates for policy and program evaluation. </w:t>
              </w:r>
              <w:r w:rsidRPr="000E0AC5">
                <w:rPr>
                  <w:rFonts w:ascii="Arial" w:hAnsi="Arial" w:cs="Arial"/>
                  <w:i/>
                  <w:iCs/>
                  <w:noProof/>
                </w:rPr>
                <w:t>Drug and alcohol dependence, 108</w:t>
              </w:r>
              <w:r w:rsidRPr="000E0AC5">
                <w:rPr>
                  <w:rFonts w:ascii="Arial" w:hAnsi="Arial" w:cs="Arial"/>
                  <w:noProof/>
                </w:rPr>
                <w:t>(1), 98-109.</w:t>
              </w:r>
            </w:p>
            <w:p w:rsidRPr="000E0AC5" w:rsidR="008C35D8" w:rsidP="008C35D8" w:rsidRDefault="008C35D8" w14:paraId="42F86B59" w14:textId="77777777">
              <w:pPr>
                <w:pStyle w:val="Bibliography"/>
                <w:ind w:left="720" w:hanging="720"/>
                <w:rPr>
                  <w:rFonts w:ascii="Arial" w:hAnsi="Arial" w:cs="Arial"/>
                  <w:noProof/>
                  <w:lang w:val="es-ES"/>
                </w:rPr>
              </w:pPr>
              <w:r w:rsidRPr="000E0AC5">
                <w:rPr>
                  <w:rFonts w:ascii="Arial" w:hAnsi="Arial" w:cs="Arial"/>
                  <w:noProof/>
                </w:rPr>
                <w:lastRenderedPageBreak/>
                <w:t xml:space="preserve">Muggah, R., Garzón, J. C., &amp; Suárez, M. (2018). </w:t>
              </w:r>
              <w:r w:rsidRPr="000E0AC5">
                <w:rPr>
                  <w:rFonts w:ascii="Arial" w:hAnsi="Arial" w:cs="Arial"/>
                  <w:i/>
                  <w:iCs/>
                  <w:noProof/>
                  <w:lang w:val="es-ES"/>
                </w:rPr>
                <w:t>La "Mano Dura": Los costos de la represión y los beneficios de la prevención para los jóvenes en América Latina.</w:t>
              </w:r>
              <w:r w:rsidRPr="000E0AC5">
                <w:rPr>
                  <w:rFonts w:ascii="Arial" w:hAnsi="Arial" w:cs="Arial"/>
                  <w:noProof/>
                  <w:lang w:val="es-ES"/>
                </w:rPr>
                <w:t xml:space="preserve"> Río de Janerio: Instituto Igarapé.</w:t>
              </w:r>
            </w:p>
            <w:p w:rsidRPr="000E0AC5" w:rsidR="008C35D8" w:rsidP="008C35D8" w:rsidRDefault="008C35D8" w14:paraId="4F3B19E3" w14:textId="77777777">
              <w:pPr>
                <w:pStyle w:val="Bibliography"/>
                <w:ind w:left="720" w:hanging="720"/>
                <w:rPr>
                  <w:rFonts w:ascii="Arial" w:hAnsi="Arial" w:cs="Arial"/>
                  <w:noProof/>
                  <w:lang w:val="es-ES"/>
                </w:rPr>
              </w:pPr>
              <w:r w:rsidRPr="000E0AC5">
                <w:rPr>
                  <w:rFonts w:ascii="Arial" w:hAnsi="Arial" w:cs="Arial"/>
                  <w:noProof/>
                  <w:lang w:val="es-ES"/>
                </w:rPr>
                <w:t xml:space="preserve">Murphy, T. (2016). </w:t>
              </w:r>
              <w:r w:rsidRPr="000E0AC5">
                <w:rPr>
                  <w:rFonts w:ascii="Arial" w:hAnsi="Arial" w:cs="Arial"/>
                  <w:i/>
                  <w:iCs/>
                  <w:noProof/>
                  <w:lang w:val="es-ES"/>
                </w:rPr>
                <w:t>Argentina Federal Security Programme: Ex-ante Economic Analysis.</w:t>
              </w:r>
              <w:r w:rsidRPr="000E0AC5">
                <w:rPr>
                  <w:rFonts w:ascii="Arial" w:hAnsi="Arial" w:cs="Arial"/>
                  <w:noProof/>
                  <w:lang w:val="es-ES"/>
                </w:rPr>
                <w:t xml:space="preserve"> </w:t>
              </w:r>
            </w:p>
            <w:p w:rsidRPr="000E0AC5" w:rsidR="008C35D8" w:rsidP="008C35D8" w:rsidRDefault="008C35D8" w14:paraId="295CEA2A" w14:textId="77777777">
              <w:pPr>
                <w:pStyle w:val="Bibliography"/>
                <w:ind w:left="720" w:hanging="720"/>
                <w:rPr>
                  <w:rFonts w:ascii="Arial" w:hAnsi="Arial" w:cs="Arial"/>
                  <w:noProof/>
                  <w:lang w:val="es-ES"/>
                </w:rPr>
              </w:pPr>
              <w:r w:rsidRPr="000E0AC5">
                <w:rPr>
                  <w:rFonts w:ascii="Arial" w:hAnsi="Arial" w:cs="Arial"/>
                  <w:noProof/>
                  <w:lang w:val="es-ES"/>
                </w:rPr>
                <w:t xml:space="preserve">Rossi, M. (2011). </w:t>
              </w:r>
              <w:r w:rsidRPr="000E0AC5">
                <w:rPr>
                  <w:rFonts w:ascii="Arial" w:hAnsi="Arial" w:cs="Arial"/>
                  <w:i/>
                  <w:iCs/>
                  <w:noProof/>
                  <w:lang w:val="es-ES"/>
                </w:rPr>
                <w:t>Análisis Económico CR- L1031 Programa para la Prevención de la Violencia y Promoción de la Inclusión Social.</w:t>
              </w:r>
              <w:r w:rsidRPr="000E0AC5">
                <w:rPr>
                  <w:rFonts w:ascii="Arial" w:hAnsi="Arial" w:cs="Arial"/>
                  <w:noProof/>
                  <w:lang w:val="es-ES"/>
                </w:rPr>
                <w:t xml:space="preserve"> </w:t>
              </w:r>
            </w:p>
            <w:p w:rsidRPr="00AC03ED" w:rsidR="008C35D8" w:rsidP="008C35D8" w:rsidRDefault="008C35D8" w14:paraId="6C9018C8" w14:textId="77777777">
              <w:pPr>
                <w:pStyle w:val="Bibliography"/>
                <w:ind w:left="720" w:hanging="720"/>
                <w:rPr>
                  <w:rFonts w:ascii="Arial" w:hAnsi="Arial" w:cs="Arial"/>
                  <w:noProof/>
                  <w:lang w:val="pt-BR"/>
                </w:rPr>
              </w:pPr>
              <w:r w:rsidRPr="00AC03ED">
                <w:rPr>
                  <w:rFonts w:ascii="Arial" w:hAnsi="Arial" w:cs="Arial"/>
                  <w:noProof/>
                  <w:lang w:val="pt-BR"/>
                </w:rPr>
                <w:t xml:space="preserve">Silveira, A. M., Assunção, R. M., Silva, B. A., &amp; Beato Filho, C. C. (2010). </w:t>
              </w:r>
              <w:r w:rsidRPr="000E0AC5">
                <w:rPr>
                  <w:rFonts w:ascii="Arial" w:hAnsi="Arial" w:cs="Arial"/>
                  <w:noProof/>
                </w:rPr>
                <w:t xml:space="preserve">Impact of the Staying Alive Program on the reduction of homicides in a community in Belo Horizonte. </w:t>
              </w:r>
              <w:r w:rsidRPr="00AC03ED">
                <w:rPr>
                  <w:rFonts w:ascii="Arial" w:hAnsi="Arial" w:cs="Arial"/>
                  <w:i/>
                  <w:iCs/>
                  <w:noProof/>
                  <w:lang w:val="pt-BR"/>
                </w:rPr>
                <w:t>Revista de Saúde Pública, 44</w:t>
              </w:r>
              <w:r w:rsidRPr="00AC03ED">
                <w:rPr>
                  <w:rFonts w:ascii="Arial" w:hAnsi="Arial" w:cs="Arial"/>
                  <w:noProof/>
                  <w:lang w:val="pt-BR"/>
                </w:rPr>
                <w:t>(3), 496-502.</w:t>
              </w:r>
            </w:p>
            <w:p w:rsidRPr="000E0AC5" w:rsidR="008C35D8" w:rsidP="008C35D8" w:rsidRDefault="008C35D8" w14:paraId="6F13B474" w14:textId="77777777">
              <w:pPr>
                <w:pStyle w:val="Bibliography"/>
                <w:ind w:left="720" w:hanging="720"/>
                <w:rPr>
                  <w:rFonts w:ascii="Arial" w:hAnsi="Arial" w:cs="Arial"/>
                  <w:noProof/>
                </w:rPr>
              </w:pPr>
              <w:r w:rsidRPr="00AC03ED">
                <w:rPr>
                  <w:rFonts w:ascii="Arial" w:hAnsi="Arial" w:cs="Arial"/>
                  <w:noProof/>
                  <w:lang w:val="pt-BR"/>
                </w:rPr>
                <w:t xml:space="preserve">Taylor, B., Koper, C. S., &amp; Woods, D. J. (2011). </w:t>
              </w:r>
              <w:r w:rsidRPr="000E0AC5">
                <w:rPr>
                  <w:rFonts w:ascii="Arial" w:hAnsi="Arial" w:cs="Arial"/>
                  <w:noProof/>
                </w:rPr>
                <w:t xml:space="preserve">A randomized controlled trial of different policing strategies at hot spots of violent crime. </w:t>
              </w:r>
              <w:r w:rsidRPr="000E0AC5">
                <w:rPr>
                  <w:rFonts w:ascii="Arial" w:hAnsi="Arial" w:cs="Arial"/>
                  <w:i/>
                  <w:iCs/>
                  <w:noProof/>
                </w:rPr>
                <w:t>Journal of Experimental Criminology, 7</w:t>
              </w:r>
              <w:r w:rsidRPr="000E0AC5">
                <w:rPr>
                  <w:rFonts w:ascii="Arial" w:hAnsi="Arial" w:cs="Arial"/>
                  <w:noProof/>
                </w:rPr>
                <w:t>(2), 149-181.</w:t>
              </w:r>
            </w:p>
            <w:p w:rsidRPr="000E0AC5" w:rsidR="008C35D8" w:rsidP="008C35D8" w:rsidRDefault="008C35D8" w14:paraId="61FEB376" w14:textId="77777777">
              <w:pPr>
                <w:pStyle w:val="Bibliography"/>
                <w:ind w:left="720" w:hanging="720"/>
                <w:rPr>
                  <w:rFonts w:ascii="Arial" w:hAnsi="Arial" w:cs="Arial"/>
                  <w:noProof/>
                  <w:lang w:val="es-ES"/>
                </w:rPr>
              </w:pPr>
              <w:r w:rsidRPr="000E0AC5">
                <w:rPr>
                  <w:rFonts w:ascii="Arial" w:hAnsi="Arial" w:cs="Arial"/>
                  <w:noProof/>
                </w:rPr>
                <w:t xml:space="preserve">Wilson, S. J., Tanner-Smith, E. E., Lipsey, M. W., Steinka-Fry, K., &amp; Morrison, J. (2011). </w:t>
              </w:r>
              <w:r w:rsidRPr="000E0AC5">
                <w:rPr>
                  <w:rFonts w:ascii="Arial" w:hAnsi="Arial" w:cs="Arial"/>
                  <w:i/>
                  <w:iCs/>
                  <w:noProof/>
                </w:rPr>
                <w:t>Dropout Prevention and Intervention Programs: Effects on School Completion and Dropout among School-Aged Children and Youth.</w:t>
              </w:r>
              <w:r w:rsidRPr="000E0AC5">
                <w:rPr>
                  <w:rFonts w:ascii="Arial" w:hAnsi="Arial" w:cs="Arial"/>
                  <w:noProof/>
                </w:rPr>
                <w:t xml:space="preserve"> </w:t>
              </w:r>
              <w:r w:rsidRPr="000E0AC5">
                <w:rPr>
                  <w:rFonts w:ascii="Arial" w:hAnsi="Arial" w:cs="Arial"/>
                  <w:noProof/>
                  <w:lang w:val="es-ES"/>
                </w:rPr>
                <w:t>Campbell Systematic Reviews.</w:t>
              </w:r>
            </w:p>
            <w:p w:rsidRPr="000E0AC5" w:rsidR="003F36C8" w:rsidP="008C35D8" w:rsidRDefault="003F36C8" w14:paraId="0337904F" w14:textId="77777777">
              <w:pPr>
                <w:rPr>
                  <w:rFonts w:ascii="Arial" w:hAnsi="Arial" w:cs="Arial"/>
                </w:rPr>
              </w:pPr>
              <w:r w:rsidRPr="000E0AC5">
                <w:rPr>
                  <w:rFonts w:ascii="Arial" w:hAnsi="Arial" w:cs="Arial"/>
                  <w:b/>
                  <w:bCs/>
                  <w:noProof/>
                </w:rPr>
                <w:fldChar w:fldCharType="end"/>
              </w:r>
            </w:p>
          </w:sdtContent>
        </w:sdt>
      </w:sdtContent>
    </w:sdt>
    <w:p w:rsidRPr="000E0AC5" w:rsidR="003F36C8" w:rsidP="001B5186" w:rsidRDefault="003F36C8" w14:paraId="05A7E365" w14:textId="77777777">
      <w:pPr>
        <w:spacing w:after="0" w:line="360" w:lineRule="auto"/>
        <w:rPr>
          <w:rFonts w:ascii="Arial" w:hAnsi="Arial" w:cs="Arial"/>
          <w:b/>
          <w:lang w:val="es-ES"/>
        </w:rPr>
      </w:pPr>
    </w:p>
    <w:sectPr w:rsidRPr="000E0AC5" w:rsidR="003F36C8" w:rsidSect="003803C0">
      <w:headerReference w:type="default" r:id="rId15"/>
      <w:footerReference w:type="default" r:id="rId16"/>
      <w:pgSz w:w="12240" w:h="15840" w:orient="portrait"/>
      <w:pgMar w:top="1440" w:right="1627"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55F" w:rsidP="001B5186" w:rsidRDefault="0055755F" w14:paraId="1136A96D" w14:textId="77777777">
      <w:pPr>
        <w:spacing w:after="0" w:line="240" w:lineRule="auto"/>
      </w:pPr>
      <w:r>
        <w:separator/>
      </w:r>
    </w:p>
  </w:endnote>
  <w:endnote w:type="continuationSeparator" w:id="0">
    <w:p w:rsidR="0055755F" w:rsidP="001B5186" w:rsidRDefault="0055755F" w14:paraId="384E6FD6" w14:textId="77777777">
      <w:pPr>
        <w:spacing w:after="0" w:line="240" w:lineRule="auto"/>
      </w:pPr>
      <w:r>
        <w:continuationSeparator/>
      </w:r>
    </w:p>
  </w:endnote>
  <w:endnote w:type="continuationNotice" w:id="1">
    <w:p w:rsidR="0055755F" w:rsidRDefault="0055755F" w14:paraId="11F0420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6766461"/>
      <w:docPartObj>
        <w:docPartGallery w:val="Page Numbers (Bottom of Page)"/>
        <w:docPartUnique/>
      </w:docPartObj>
    </w:sdtPr>
    <w:sdtEndPr>
      <w:rPr>
        <w:noProof/>
      </w:rPr>
    </w:sdtEndPr>
    <w:sdtContent>
      <w:p w:rsidR="003E4B6D" w:rsidRDefault="003E4B6D" w14:paraId="7C2130B8" w14:textId="77777777">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E4B6D" w:rsidRDefault="003E4B6D" w14:paraId="2057095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55F" w:rsidP="001B5186" w:rsidRDefault="0055755F" w14:paraId="16ABB158" w14:textId="77777777">
      <w:pPr>
        <w:spacing w:after="0" w:line="240" w:lineRule="auto"/>
      </w:pPr>
      <w:r>
        <w:separator/>
      </w:r>
    </w:p>
  </w:footnote>
  <w:footnote w:type="continuationSeparator" w:id="0">
    <w:p w:rsidR="0055755F" w:rsidP="001B5186" w:rsidRDefault="0055755F" w14:paraId="68D4D588" w14:textId="77777777">
      <w:pPr>
        <w:spacing w:after="0" w:line="240" w:lineRule="auto"/>
      </w:pPr>
      <w:r>
        <w:continuationSeparator/>
      </w:r>
    </w:p>
  </w:footnote>
  <w:footnote w:type="continuationNotice" w:id="1">
    <w:p w:rsidR="0055755F" w:rsidRDefault="0055755F" w14:paraId="444C0043" w14:textId="77777777">
      <w:pPr>
        <w:spacing w:after="0" w:line="240" w:lineRule="auto"/>
      </w:pPr>
    </w:p>
  </w:footnote>
  <w:footnote w:id="2">
    <w:p w:rsidRPr="00EF01A4" w:rsidR="003E4B6D" w:rsidP="00EF01A4" w:rsidRDefault="003E4B6D" w14:paraId="087665C3" w14:textId="63F23E0A">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 xml:space="preserve">El Center for </w:t>
      </w:r>
      <w:proofErr w:type="spellStart"/>
      <w:r w:rsidRPr="00EF01A4">
        <w:rPr>
          <w:szCs w:val="18"/>
        </w:rPr>
        <w:t>Evidence-Based</w:t>
      </w:r>
      <w:proofErr w:type="spellEnd"/>
      <w:r w:rsidRPr="00EF01A4">
        <w:rPr>
          <w:szCs w:val="18"/>
        </w:rPr>
        <w:t xml:space="preserve"> </w:t>
      </w:r>
      <w:proofErr w:type="spellStart"/>
      <w:r w:rsidRPr="00EF01A4">
        <w:rPr>
          <w:szCs w:val="18"/>
        </w:rPr>
        <w:t>Crime</w:t>
      </w:r>
      <w:proofErr w:type="spellEnd"/>
      <w:r w:rsidRPr="00EF01A4">
        <w:rPr>
          <w:szCs w:val="18"/>
        </w:rPr>
        <w:t xml:space="preserve"> </w:t>
      </w:r>
      <w:proofErr w:type="spellStart"/>
      <w:r w:rsidRPr="00EF01A4">
        <w:rPr>
          <w:szCs w:val="18"/>
        </w:rPr>
        <w:t>policy</w:t>
      </w:r>
      <w:proofErr w:type="spellEnd"/>
      <w:r w:rsidRPr="00EF01A4">
        <w:rPr>
          <w:szCs w:val="18"/>
        </w:rPr>
        <w:t xml:space="preserve"> (</w:t>
      </w:r>
      <w:hyperlink w:history="1" r:id="rId1">
        <w:r w:rsidRPr="00EF01A4">
          <w:rPr>
            <w:rStyle w:val="Hyperlink"/>
            <w:szCs w:val="18"/>
          </w:rPr>
          <w:t>https://cebcp.org/evidence-based-policing/what-works-in-policing/research-evidence-review/</w:t>
        </w:r>
      </w:hyperlink>
      <w:r w:rsidRPr="00EF01A4">
        <w:rPr>
          <w:szCs w:val="18"/>
        </w:rPr>
        <w:t>) presenta una compilación de estudios que analizan una serie de estrategias policiales para reducir el crimen en Estados Unidos.</w:t>
      </w:r>
    </w:p>
  </w:footnote>
  <w:footnote w:id="3">
    <w:p w:rsidRPr="00EF01A4" w:rsidR="003E4B6D" w:rsidP="00EF01A4" w:rsidRDefault="003E4B6D" w14:paraId="412A9AB1" w14:textId="1B347D66">
      <w:pPr>
        <w:pStyle w:val="FootnoteText"/>
        <w:spacing w:after="0"/>
        <w:ind w:left="270" w:hanging="270"/>
        <w:rPr>
          <w:rFonts w:ascii="Arial" w:hAnsi="Arial" w:cs="Arial"/>
          <w:sz w:val="18"/>
          <w:szCs w:val="18"/>
          <w:lang w:val="es-ES"/>
        </w:rPr>
      </w:pPr>
      <w:r w:rsidRPr="00EF01A4">
        <w:rPr>
          <w:rStyle w:val="FootnoteReference"/>
          <w:rFonts w:ascii="Arial" w:hAnsi="Arial" w:cs="Arial"/>
          <w:sz w:val="18"/>
          <w:szCs w:val="18"/>
        </w:rPr>
        <w:footnoteRef/>
      </w:r>
      <w:r w:rsidRPr="00EF01A4">
        <w:rPr>
          <w:rFonts w:ascii="Arial" w:hAnsi="Arial" w:cs="Arial"/>
          <w:sz w:val="18"/>
          <w:szCs w:val="18"/>
          <w:lang w:val="es-ES"/>
        </w:rPr>
        <w:t xml:space="preserve"> </w:t>
      </w:r>
      <w:r w:rsidR="00EF01A4">
        <w:rPr>
          <w:rFonts w:ascii="Arial" w:hAnsi="Arial" w:cs="Arial"/>
          <w:sz w:val="18"/>
          <w:szCs w:val="18"/>
          <w:lang w:val="es-ES"/>
        </w:rPr>
        <w:tab/>
      </w:r>
      <w:r w:rsidRPr="00EF01A4">
        <w:rPr>
          <w:rFonts w:ascii="Arial" w:hAnsi="Arial" w:cs="Arial"/>
          <w:sz w:val="18"/>
          <w:szCs w:val="18"/>
          <w:lang w:val="es-ES"/>
        </w:rPr>
        <w:t xml:space="preserve">Para más información ver </w:t>
      </w:r>
      <w:hyperlink w:history="1" r:id="rId2">
        <w:r w:rsidRPr="00EF01A4">
          <w:rPr>
            <w:rStyle w:val="Hyperlink"/>
            <w:rFonts w:ascii="Arial" w:hAnsi="Arial" w:cs="Arial"/>
            <w:sz w:val="18"/>
            <w:szCs w:val="18"/>
            <w:lang w:val="es-ES"/>
          </w:rPr>
          <w:t>http://www.wsipp.wa.gov/BenefitCost/Program/535</w:t>
        </w:r>
      </w:hyperlink>
    </w:p>
  </w:footnote>
  <w:footnote w:id="4">
    <w:p w:rsidRPr="00EF01A4" w:rsidR="003E4B6D" w:rsidP="00EF01A4" w:rsidRDefault="003E4B6D" w14:paraId="1A7D62A0" w14:textId="33BEFCE4">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 xml:space="preserve">Los datos provienen de </w:t>
      </w:r>
      <w:hyperlink w:history="1" r:id="rId3">
        <w:r w:rsidRPr="00EF01A4">
          <w:rPr>
            <w:rStyle w:val="Hyperlink"/>
            <w:color w:val="auto"/>
            <w:szCs w:val="18"/>
            <w:u w:val="none"/>
          </w:rPr>
          <w:t>https://data.unodc.org/</w:t>
        </w:r>
      </w:hyperlink>
      <w:r w:rsidRPr="00EF01A4">
        <w:rPr>
          <w:szCs w:val="18"/>
        </w:rPr>
        <w:t>. La definición de homicidio que se utiliza es “homicidio intencional” que implica infligir intencionalmente la muerte a otra persona. Incluye salto grave que lleve a la muerte y la muerte como resultado de un ataque terrorista.</w:t>
      </w:r>
    </w:p>
  </w:footnote>
  <w:footnote w:id="5">
    <w:p w:rsidRPr="00EF01A4" w:rsidR="003E4B6D" w:rsidP="00EF01A4" w:rsidRDefault="003E4B6D" w14:paraId="573D644C" w14:textId="40F89337">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 xml:space="preserve">Los asaltos corresponden a la cantidad de denuncias por Asalto (exceptuando el asalto a viviendas). Los datos provienen de </w:t>
      </w:r>
      <w:hyperlink w:history="1" r:id="rId4">
        <w:r w:rsidRPr="00EF01A4" w:rsidR="00EF01A4">
          <w:rPr>
            <w:rStyle w:val="Hyperlink"/>
            <w:szCs w:val="18"/>
          </w:rPr>
          <w:t>https://sitiooij.poder-judicial.go.cr/index.php/component/phocadownload/category/34-memoria-institucional-oij</w:t>
        </w:r>
      </w:hyperlink>
      <w:r w:rsidRPr="00EF01A4" w:rsidR="00EF01A4">
        <w:rPr>
          <w:szCs w:val="18"/>
        </w:rPr>
        <w:t xml:space="preserve"> </w:t>
      </w:r>
    </w:p>
  </w:footnote>
  <w:footnote w:id="6">
    <w:p w:rsidRPr="00EF01A4" w:rsidR="003E4B6D" w:rsidP="00EF01A4" w:rsidRDefault="003E4B6D" w14:paraId="49A3ADD5" w14:textId="716E68FF">
      <w:pPr>
        <w:pStyle w:val="FootnoteText"/>
        <w:tabs>
          <w:tab w:val="left" w:pos="1695"/>
        </w:tabs>
        <w:spacing w:after="0"/>
        <w:ind w:left="270" w:hanging="270"/>
        <w:rPr>
          <w:rFonts w:ascii="Arial" w:hAnsi="Arial" w:cs="Arial"/>
          <w:sz w:val="18"/>
          <w:szCs w:val="18"/>
          <w:lang w:val="es-MX"/>
        </w:rPr>
      </w:pPr>
      <w:r w:rsidRPr="00EF01A4">
        <w:rPr>
          <w:rStyle w:val="FootnoteReference"/>
          <w:rFonts w:ascii="Arial" w:hAnsi="Arial" w:cs="Arial"/>
          <w:sz w:val="18"/>
          <w:szCs w:val="18"/>
        </w:rPr>
        <w:footnoteRef/>
      </w:r>
      <w:r w:rsidRPr="00EF01A4">
        <w:rPr>
          <w:rFonts w:ascii="Arial" w:hAnsi="Arial" w:cs="Arial"/>
          <w:sz w:val="18"/>
          <w:szCs w:val="18"/>
          <w:lang w:val="es-MX"/>
        </w:rPr>
        <w:t xml:space="preserve"> </w:t>
      </w:r>
      <w:r w:rsidR="00EF01A4">
        <w:rPr>
          <w:rFonts w:ascii="Arial" w:hAnsi="Arial" w:cs="Arial"/>
          <w:sz w:val="18"/>
          <w:szCs w:val="18"/>
          <w:lang w:val="es-MX"/>
        </w:rPr>
        <w:tab/>
      </w:r>
      <w:r w:rsidRPr="00EF01A4">
        <w:rPr>
          <w:rFonts w:ascii="Arial" w:hAnsi="Arial" w:cs="Arial"/>
          <w:sz w:val="18"/>
          <w:szCs w:val="18"/>
          <w:lang w:val="es-MX"/>
        </w:rPr>
        <w:t xml:space="preserve">Según el BCCR la meta de inflación es de 3% con un rango de </w:t>
      </w:r>
      <m:oMath>
        <m:r>
          <w:rPr>
            <w:rFonts w:ascii="Cambria Math" w:hAnsi="Cambria Math" w:cs="Arial"/>
            <w:sz w:val="18"/>
            <w:szCs w:val="18"/>
            <w:lang w:val="es-MX"/>
          </w:rPr>
          <m:t>±1%.</m:t>
        </m:r>
      </m:oMath>
    </w:p>
  </w:footnote>
  <w:footnote w:id="7">
    <w:p w:rsidRPr="00EF01A4" w:rsidR="003E4B6D" w:rsidP="00EF01A4" w:rsidRDefault="003E4B6D" w14:paraId="7C0CE2E9" w14:textId="689684B8">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 xml:space="preserve">En el período de la crisis económica de 2008-2009 las tasas de criminalidad se incrementaron sustancialmente, por lo que no se incluye este período en el cálculo. En el archivo Excel, se puede escoger como alternativa para construir el escenario contrafactual la tasa de variación promedio anual del período previo a la crisis 2003-2007. </w:t>
      </w:r>
    </w:p>
  </w:footnote>
  <w:footnote w:id="8">
    <w:p w:rsidRPr="00EF01A4" w:rsidR="003E4B6D" w:rsidP="00EF01A4" w:rsidRDefault="003E4B6D" w14:paraId="1569EF45" w14:textId="599DE5EB">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Datos del Banco Central de Costa Rica.</w:t>
      </w:r>
    </w:p>
  </w:footnote>
  <w:footnote w:id="9">
    <w:p w:rsidRPr="00EF01A4" w:rsidR="003E4B6D" w:rsidP="00EF01A4" w:rsidRDefault="003E4B6D" w14:paraId="1C0CEFD4" w14:textId="198A41F3">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 xml:space="preserve">Otros estudios utilizar un valor promedio de las pérdidas económicas de $1,056 para Costa Rica </w:t>
      </w:r>
      <w:sdt>
        <w:sdtPr>
          <w:rPr>
            <w:szCs w:val="18"/>
          </w:rPr>
          <w:id w:val="667525440"/>
          <w:citation/>
        </w:sdtPr>
        <w:sdtEndPr/>
        <w:sdtContent>
          <w:r w:rsidRPr="00EF01A4">
            <w:rPr>
              <w:szCs w:val="18"/>
            </w:rPr>
            <w:fldChar w:fldCharType="begin"/>
          </w:r>
          <w:r w:rsidRPr="00EF01A4">
            <w:rPr>
              <w:szCs w:val="18"/>
            </w:rPr>
            <w:instrText xml:space="preserve"> CITATION Ros11 \l 1033 </w:instrText>
          </w:r>
          <w:r w:rsidRPr="00EF01A4">
            <w:rPr>
              <w:szCs w:val="18"/>
            </w:rPr>
            <w:fldChar w:fldCharType="separate"/>
          </w:r>
          <w:r w:rsidRPr="00EF01A4">
            <w:rPr>
              <w:noProof/>
              <w:szCs w:val="18"/>
            </w:rPr>
            <w:t>(Rossi, 2011)</w:t>
          </w:r>
          <w:r w:rsidRPr="00EF01A4">
            <w:rPr>
              <w:szCs w:val="18"/>
            </w:rPr>
            <w:fldChar w:fldCharType="end"/>
          </w:r>
        </w:sdtContent>
      </w:sdt>
      <w:r w:rsidRPr="00EF01A4">
        <w:rPr>
          <w:szCs w:val="18"/>
        </w:rPr>
        <w:t xml:space="preserve">. Manning, et al., </w:t>
      </w:r>
      <w:sdt>
        <w:sdtPr>
          <w:rPr>
            <w:szCs w:val="18"/>
          </w:rPr>
          <w:id w:val="1946427101"/>
          <w:citation/>
        </w:sdtPr>
        <w:sdtEndPr/>
        <w:sdtContent>
          <w:r w:rsidRPr="00EF01A4">
            <w:rPr>
              <w:szCs w:val="18"/>
            </w:rPr>
            <w:fldChar w:fldCharType="begin"/>
          </w:r>
          <w:r w:rsidRPr="00EF01A4">
            <w:rPr>
              <w:szCs w:val="18"/>
            </w:rPr>
            <w:instrText xml:space="preserve">CITATION Man17 \n  \t  \l 1033 </w:instrText>
          </w:r>
          <w:r w:rsidRPr="00EF01A4">
            <w:rPr>
              <w:szCs w:val="18"/>
            </w:rPr>
            <w:fldChar w:fldCharType="separate"/>
          </w:r>
          <w:r w:rsidRPr="00EF01A4">
            <w:rPr>
              <w:noProof/>
              <w:szCs w:val="18"/>
            </w:rPr>
            <w:t>(2017)</w:t>
          </w:r>
          <w:r w:rsidRPr="00EF01A4">
            <w:rPr>
              <w:szCs w:val="18"/>
            </w:rPr>
            <w:fldChar w:fldCharType="end"/>
          </w:r>
        </w:sdtContent>
      </w:sdt>
      <w:r w:rsidRPr="00EF01A4">
        <w:rPr>
          <w:szCs w:val="18"/>
        </w:rPr>
        <w:t xml:space="preserve"> estiman que el costo social de un robo en Australia asciende a $2,000 dólares, mientras que Murphy </w:t>
      </w:r>
      <w:sdt>
        <w:sdtPr>
          <w:rPr>
            <w:szCs w:val="18"/>
          </w:rPr>
          <w:id w:val="-558712457"/>
          <w:citation/>
        </w:sdtPr>
        <w:sdtEndPr/>
        <w:sdtContent>
          <w:r w:rsidRPr="00EF01A4">
            <w:rPr>
              <w:szCs w:val="18"/>
            </w:rPr>
            <w:fldChar w:fldCharType="begin"/>
          </w:r>
          <w:r w:rsidRPr="00EF01A4">
            <w:rPr>
              <w:szCs w:val="18"/>
            </w:rPr>
            <w:instrText xml:space="preserve">CITATION Mur17 \n  \t  \l 1033 </w:instrText>
          </w:r>
          <w:r w:rsidRPr="00EF01A4">
            <w:rPr>
              <w:szCs w:val="18"/>
            </w:rPr>
            <w:fldChar w:fldCharType="separate"/>
          </w:r>
          <w:r w:rsidRPr="00EF01A4">
            <w:rPr>
              <w:noProof/>
              <w:szCs w:val="18"/>
            </w:rPr>
            <w:t>(2016)</w:t>
          </w:r>
          <w:r w:rsidRPr="00EF01A4">
            <w:rPr>
              <w:szCs w:val="18"/>
            </w:rPr>
            <w:fldChar w:fldCharType="end"/>
          </w:r>
        </w:sdtContent>
      </w:sdt>
      <w:r w:rsidRPr="00EF01A4">
        <w:rPr>
          <w:szCs w:val="18"/>
        </w:rPr>
        <w:t xml:space="preserve"> utiliza un valor de $500 dólares para Argentina.</w:t>
      </w:r>
    </w:p>
  </w:footnote>
  <w:footnote w:id="10">
    <w:p w:rsidRPr="00EF01A4" w:rsidR="003E4B6D" w:rsidP="00EF01A4" w:rsidRDefault="003E4B6D" w14:paraId="106E3083" w14:textId="6810D3B4">
      <w:pPr>
        <w:pStyle w:val="FootnoteText"/>
        <w:spacing w:after="0"/>
        <w:ind w:left="270" w:hanging="270"/>
        <w:rPr>
          <w:rFonts w:ascii="Arial" w:hAnsi="Arial" w:cs="Arial"/>
          <w:sz w:val="18"/>
          <w:szCs w:val="18"/>
          <w:lang w:val="es-MX"/>
        </w:rPr>
      </w:pPr>
      <w:r w:rsidRPr="00EF01A4">
        <w:rPr>
          <w:rStyle w:val="FootnoteReference"/>
          <w:rFonts w:ascii="Arial" w:hAnsi="Arial" w:cs="Arial"/>
          <w:sz w:val="18"/>
          <w:szCs w:val="18"/>
        </w:rPr>
        <w:footnoteRef/>
      </w:r>
      <w:r w:rsidRPr="00EF01A4">
        <w:rPr>
          <w:rFonts w:ascii="Arial" w:hAnsi="Arial" w:cs="Arial"/>
          <w:sz w:val="18"/>
          <w:szCs w:val="18"/>
          <w:lang w:val="es-MX"/>
        </w:rPr>
        <w:t xml:space="preserve"> </w:t>
      </w:r>
      <w:r w:rsidR="00EF01A4">
        <w:rPr>
          <w:rFonts w:ascii="Arial" w:hAnsi="Arial" w:cs="Arial"/>
          <w:sz w:val="18"/>
          <w:szCs w:val="18"/>
          <w:lang w:val="es-MX"/>
        </w:rPr>
        <w:tab/>
      </w:r>
      <w:r w:rsidRPr="00EF01A4">
        <w:rPr>
          <w:rStyle w:val="FootnoteReference"/>
          <w:rFonts w:ascii="Arial" w:hAnsi="Arial" w:cs="Arial"/>
          <w:sz w:val="18"/>
          <w:szCs w:val="18"/>
          <w:vertAlign w:val="baseline"/>
          <w:lang w:val="es-MX"/>
        </w:rPr>
        <w:t>Asimismo, datos de la Encuesta muestran que</w:t>
      </w:r>
      <w:r w:rsidRPr="00EF01A4">
        <w:rPr>
          <w:rFonts w:ascii="Arial" w:hAnsi="Arial" w:cs="Arial"/>
          <w:sz w:val="18"/>
          <w:szCs w:val="18"/>
          <w:lang w:val="es-MX"/>
        </w:rPr>
        <w:t xml:space="preserve"> el</w:t>
      </w:r>
      <w:r w:rsidRPr="00EF01A4">
        <w:rPr>
          <w:rStyle w:val="FootnoteReference"/>
          <w:rFonts w:ascii="Arial" w:hAnsi="Arial" w:cs="Arial"/>
          <w:sz w:val="18"/>
          <w:szCs w:val="18"/>
          <w:vertAlign w:val="baseline"/>
          <w:lang w:val="es-MX"/>
        </w:rPr>
        <w:t xml:space="preserve"> valor</w:t>
      </w:r>
      <w:r w:rsidRPr="00EF01A4">
        <w:rPr>
          <w:rFonts w:ascii="Arial" w:hAnsi="Arial" w:cs="Arial"/>
          <w:sz w:val="18"/>
          <w:szCs w:val="18"/>
          <w:lang w:val="es-MX"/>
        </w:rPr>
        <w:t xml:space="preserve"> promedio de la propiedad privada de las personas condenadas por robo es de hasta $9,000 dólares aproximadamente. Tomando en cuenta la varianza de los datos se optó por utilizar la estimación de </w:t>
      </w:r>
      <w:proofErr w:type="spellStart"/>
      <w:r w:rsidRPr="00EF01A4">
        <w:rPr>
          <w:rFonts w:ascii="Arial" w:hAnsi="Arial" w:cs="Arial"/>
          <w:sz w:val="18"/>
          <w:szCs w:val="18"/>
          <w:lang w:val="es-MX"/>
        </w:rPr>
        <w:t>McCollister</w:t>
      </w:r>
      <w:proofErr w:type="spellEnd"/>
      <w:r w:rsidRPr="00EF01A4">
        <w:rPr>
          <w:rFonts w:ascii="Arial" w:hAnsi="Arial" w:cs="Arial"/>
          <w:sz w:val="18"/>
          <w:szCs w:val="18"/>
          <w:lang w:val="es-MX"/>
        </w:rPr>
        <w:t xml:space="preserve">, French, y </w:t>
      </w:r>
      <w:proofErr w:type="spellStart"/>
      <w:r w:rsidRPr="00EF01A4">
        <w:rPr>
          <w:rFonts w:ascii="Arial" w:hAnsi="Arial" w:cs="Arial"/>
          <w:sz w:val="18"/>
          <w:szCs w:val="18"/>
          <w:lang w:val="es-MX"/>
        </w:rPr>
        <w:t>Fang</w:t>
      </w:r>
      <w:proofErr w:type="spellEnd"/>
      <w:r w:rsidRPr="00EF01A4">
        <w:rPr>
          <w:rFonts w:ascii="Arial" w:hAnsi="Arial" w:cs="Arial"/>
          <w:sz w:val="18"/>
          <w:szCs w:val="18"/>
          <w:lang w:val="es-MX"/>
        </w:rPr>
        <w:t xml:space="preserve"> (2010) como un valor conservador.</w:t>
      </w:r>
    </w:p>
  </w:footnote>
  <w:footnote w:id="11">
    <w:p w:rsidRPr="00EF01A4" w:rsidR="003E4B6D" w:rsidP="00EF01A4" w:rsidRDefault="003E4B6D" w14:paraId="37594F9D" w14:textId="537E5932">
      <w:pPr>
        <w:pStyle w:val="FootnoteText"/>
        <w:spacing w:after="0"/>
        <w:ind w:left="270" w:hanging="270"/>
        <w:rPr>
          <w:rFonts w:ascii="Arial" w:hAnsi="Arial" w:cs="Arial"/>
          <w:sz w:val="18"/>
          <w:szCs w:val="18"/>
          <w:lang w:val="es-ES"/>
        </w:rPr>
      </w:pPr>
      <w:r w:rsidRPr="00EF01A4">
        <w:rPr>
          <w:rStyle w:val="FootnoteReference"/>
          <w:rFonts w:ascii="Arial" w:hAnsi="Arial" w:cs="Arial"/>
          <w:sz w:val="18"/>
          <w:szCs w:val="18"/>
        </w:rPr>
        <w:footnoteRef/>
      </w:r>
      <w:r w:rsidRPr="00EF01A4">
        <w:rPr>
          <w:rFonts w:ascii="Arial" w:hAnsi="Arial" w:cs="Arial"/>
          <w:sz w:val="18"/>
          <w:szCs w:val="18"/>
          <w:lang w:val="es-ES"/>
        </w:rPr>
        <w:t xml:space="preserve"> </w:t>
      </w:r>
      <w:r w:rsidR="00EF01A4">
        <w:rPr>
          <w:rFonts w:ascii="Arial" w:hAnsi="Arial" w:cs="Arial"/>
          <w:sz w:val="18"/>
          <w:szCs w:val="18"/>
          <w:lang w:val="es-ES"/>
        </w:rPr>
        <w:tab/>
      </w:r>
      <w:r w:rsidRPr="00EF01A4">
        <w:rPr>
          <w:rFonts w:ascii="Arial" w:hAnsi="Arial" w:cs="Arial"/>
          <w:sz w:val="18"/>
          <w:szCs w:val="18"/>
          <w:lang w:val="es-ES"/>
        </w:rPr>
        <w:t>Ver https://www.estadonacion.or.cr/files/biblioteca_virtual/justicia/COMPLETO-2017.pdf</w:t>
      </w:r>
    </w:p>
  </w:footnote>
  <w:footnote w:id="12">
    <w:p w:rsidRPr="00EF01A4" w:rsidR="003E4B6D" w:rsidP="00EF01A4" w:rsidRDefault="003E4B6D" w14:paraId="1F7698B5" w14:textId="19A37A61">
      <w:pPr>
        <w:pStyle w:val="nota"/>
        <w:spacing w:after="0"/>
        <w:ind w:left="270" w:hanging="270"/>
        <w:rPr>
          <w:szCs w:val="18"/>
        </w:rPr>
      </w:pPr>
      <w:r w:rsidRPr="00EF01A4">
        <w:rPr>
          <w:rStyle w:val="FootnoteReference"/>
          <w:szCs w:val="18"/>
        </w:rPr>
        <w:footnoteRef/>
      </w:r>
      <w:r w:rsidR="00EF01A4">
        <w:rPr>
          <w:szCs w:val="18"/>
        </w:rPr>
        <w:t>   </w:t>
      </w:r>
      <w:r w:rsidRPr="00EF01A4">
        <w:rPr>
          <w:szCs w:val="18"/>
        </w:rPr>
        <w:t xml:space="preserve">Los datos del salario mínimo provienen </w:t>
      </w:r>
      <w:hyperlink w:history="1" r:id="rId5">
        <w:r w:rsidRPr="00EF01A4">
          <w:rPr>
            <w:rStyle w:val="Hyperlink"/>
            <w:szCs w:val="18"/>
          </w:rPr>
          <w:t>http://www.mtss.go.cr/temas-laborales/salarios/decretos/Decreto_salarios_2019.pdf</w:t>
        </w:r>
      </w:hyperlink>
      <w:r w:rsidRPr="00EF01A4">
        <w:rPr>
          <w:szCs w:val="18"/>
        </w:rPr>
        <w:t xml:space="preserve"> </w:t>
      </w:r>
      <w:r w:rsidRPr="00EF01A4" w:rsidR="00EF01A4">
        <w:rPr>
          <w:szCs w:val="18"/>
        </w:rPr>
        <w:t xml:space="preserve"> </w:t>
      </w:r>
    </w:p>
  </w:footnote>
  <w:footnote w:id="13">
    <w:p w:rsidRPr="00EF01A4" w:rsidR="003E4B6D" w:rsidP="00EF01A4" w:rsidRDefault="003E4B6D" w14:paraId="7823154A" w14:textId="2F9A9DA1">
      <w:pPr>
        <w:pStyle w:val="FootnoteText"/>
        <w:spacing w:after="0"/>
        <w:ind w:left="270" w:hanging="270"/>
        <w:rPr>
          <w:rFonts w:ascii="Arial" w:hAnsi="Arial" w:cs="Arial"/>
          <w:sz w:val="18"/>
          <w:szCs w:val="18"/>
          <w:lang w:val="es-MX"/>
        </w:rPr>
      </w:pPr>
      <w:r w:rsidRPr="00EF01A4">
        <w:rPr>
          <w:rStyle w:val="FootnoteReference"/>
          <w:rFonts w:ascii="Arial" w:hAnsi="Arial" w:cs="Arial"/>
          <w:sz w:val="18"/>
          <w:szCs w:val="18"/>
        </w:rPr>
        <w:footnoteRef/>
      </w:r>
      <w:r w:rsidRPr="00EF01A4">
        <w:rPr>
          <w:rFonts w:ascii="Arial" w:hAnsi="Arial" w:cs="Arial"/>
          <w:sz w:val="18"/>
          <w:szCs w:val="18"/>
          <w:lang w:val="es-MX"/>
        </w:rPr>
        <w:t xml:space="preserve"> </w:t>
      </w:r>
      <w:r w:rsidR="00EF01A4">
        <w:rPr>
          <w:rFonts w:ascii="Arial" w:hAnsi="Arial" w:cs="Arial"/>
          <w:sz w:val="18"/>
          <w:szCs w:val="18"/>
          <w:lang w:val="es-MX"/>
        </w:rPr>
        <w:tab/>
      </w:r>
      <w:r w:rsidRPr="00EF01A4">
        <w:rPr>
          <w:rFonts w:ascii="Arial" w:hAnsi="Arial" w:cs="Arial"/>
          <w:sz w:val="18"/>
          <w:szCs w:val="18"/>
          <w:lang w:val="es-MX"/>
        </w:rPr>
        <w:t xml:space="preserve">Jaitman (2017) estima el costo social de las pérdidas de ingreso por privación de libertad para un conjunto de países de América Latina utilizando datos de las encuestas de empleo, y asumiendo que cada persona privada de libertad deja de percibir el ingreso laboral promedio de una persona con la misma edad y sexo. Para Costa Rica estimó que las pérdidas por privación de libertad representan el 0.28% del PIB para 2010-2014, lo que equivale a $141 millones de dólares. </w:t>
      </w:r>
    </w:p>
  </w:footnote>
  <w:footnote w:id="14">
    <w:p w:rsidRPr="00EF01A4" w:rsidR="003E4B6D" w:rsidP="00EF01A4" w:rsidRDefault="003E4B6D" w14:paraId="04256038" w14:textId="77777777">
      <w:pPr>
        <w:pStyle w:val="nota"/>
        <w:spacing w:after="0"/>
        <w:ind w:left="270" w:hanging="270"/>
        <w:jc w:val="both"/>
        <w:rPr>
          <w:szCs w:val="18"/>
        </w:rPr>
      </w:pPr>
      <w:r w:rsidRPr="00EF01A4">
        <w:rPr>
          <w:rStyle w:val="FootnoteReference"/>
          <w:szCs w:val="18"/>
        </w:rPr>
        <w:footnoteRef/>
      </w:r>
      <w:r w:rsidRPr="00EF01A4">
        <w:rPr>
          <w:szCs w:val="18"/>
        </w:rPr>
        <w:t xml:space="preserve"> Los datos del PIB son estimaciones del </w:t>
      </w:r>
      <w:proofErr w:type="spellStart"/>
      <w:r w:rsidRPr="00EF01A4">
        <w:rPr>
          <w:szCs w:val="18"/>
        </w:rPr>
        <w:t>World</w:t>
      </w:r>
      <w:proofErr w:type="spellEnd"/>
      <w:r w:rsidRPr="00EF01A4">
        <w:rPr>
          <w:szCs w:val="18"/>
        </w:rPr>
        <w:t xml:space="preserve"> </w:t>
      </w:r>
      <w:proofErr w:type="spellStart"/>
      <w:r w:rsidRPr="00EF01A4">
        <w:rPr>
          <w:szCs w:val="18"/>
        </w:rPr>
        <w:t>Economic</w:t>
      </w:r>
      <w:proofErr w:type="spellEnd"/>
      <w:r w:rsidRPr="00EF01A4">
        <w:rPr>
          <w:szCs w:val="18"/>
        </w:rPr>
        <w:t xml:space="preserve"> Outlook del Fondo Monetario Internacional </w:t>
      </w:r>
      <w:hyperlink w:history="1" r:id="rId6">
        <w:r w:rsidRPr="00EF01A4">
          <w:rPr>
            <w:rStyle w:val="Hyperlink"/>
            <w:szCs w:val="18"/>
          </w:rPr>
          <w:t>https://www.imf.org/external/datamapper/NGDP_RPCH@WEO/OEMDC/ADVEC/WEOWORLD</w:t>
        </w:r>
      </w:hyperlink>
      <w:r w:rsidRPr="00EF01A4">
        <w:rPr>
          <w:szCs w:val="18"/>
        </w:rPr>
        <w:t xml:space="preserve"> </w:t>
      </w:r>
    </w:p>
  </w:footnote>
  <w:footnote w:id="15">
    <w:p w:rsidRPr="00EF01A4" w:rsidR="003E4B6D" w:rsidP="00EF01A4" w:rsidRDefault="003E4B6D" w14:paraId="28E8E7DD" w14:textId="36B49DE7">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 xml:space="preserve">En el Excel es posible cambiar el valor del costo social, utilizando la estimación de </w:t>
      </w:r>
      <w:proofErr w:type="spellStart"/>
      <w:r w:rsidRPr="00EF01A4">
        <w:rPr>
          <w:szCs w:val="18"/>
        </w:rPr>
        <w:t>Aboal</w:t>
      </w:r>
      <w:proofErr w:type="spellEnd"/>
      <w:r w:rsidRPr="00EF01A4">
        <w:rPr>
          <w:szCs w:val="18"/>
        </w:rPr>
        <w:t>, et al., (2013) de $241,019 dólares, así como un valor intermedio de $200,000 mil dólares.</w:t>
      </w:r>
    </w:p>
  </w:footnote>
  <w:footnote w:id="16">
    <w:p w:rsidRPr="00EF01A4" w:rsidR="003E4B6D" w:rsidP="00EF01A4" w:rsidRDefault="003E4B6D" w14:paraId="0A13C083" w14:textId="4A1A845A">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 xml:space="preserve">El código penal está disponible en </w:t>
      </w:r>
      <w:hyperlink w:history="1" r:id="rId7">
        <w:r w:rsidRPr="00EF01A4">
          <w:rPr>
            <w:rStyle w:val="Hyperlink"/>
            <w:szCs w:val="18"/>
          </w:rPr>
          <w:t>http://www.oas.org/dil/esp/codigo_penal_costa_rica.pdf</w:t>
        </w:r>
      </w:hyperlink>
      <w:r w:rsidRPr="00EF01A4">
        <w:rPr>
          <w:szCs w:val="18"/>
        </w:rPr>
        <w:t xml:space="preserve"> </w:t>
      </w:r>
    </w:p>
  </w:footnote>
  <w:footnote w:id="17">
    <w:p w:rsidRPr="00EF01A4" w:rsidR="003E4B6D" w:rsidP="00EF01A4" w:rsidRDefault="003E4B6D" w14:paraId="32CD100C" w14:textId="76545DF0">
      <w:pPr>
        <w:pStyle w:val="FootnoteText"/>
        <w:spacing w:after="0"/>
        <w:ind w:left="270" w:hanging="270"/>
        <w:rPr>
          <w:rFonts w:ascii="Arial" w:hAnsi="Arial" w:cs="Arial"/>
          <w:sz w:val="18"/>
          <w:szCs w:val="18"/>
          <w:lang w:val="es-ES"/>
        </w:rPr>
      </w:pPr>
      <w:r w:rsidRPr="00EF01A4">
        <w:rPr>
          <w:rStyle w:val="FootnoteReference"/>
          <w:rFonts w:ascii="Arial" w:hAnsi="Arial" w:cs="Arial"/>
          <w:sz w:val="18"/>
          <w:szCs w:val="18"/>
        </w:rPr>
        <w:footnoteRef/>
      </w:r>
      <w:r w:rsidRPr="00EF01A4">
        <w:rPr>
          <w:rFonts w:ascii="Arial" w:hAnsi="Arial" w:cs="Arial"/>
          <w:sz w:val="18"/>
          <w:szCs w:val="18"/>
          <w:lang w:val="es-ES"/>
        </w:rPr>
        <w:t xml:space="preserve"> </w:t>
      </w:r>
      <w:r w:rsidR="00EF01A4">
        <w:rPr>
          <w:rFonts w:ascii="Arial" w:hAnsi="Arial" w:cs="Arial"/>
          <w:sz w:val="18"/>
          <w:szCs w:val="18"/>
          <w:lang w:val="es-ES"/>
        </w:rPr>
        <w:tab/>
      </w:r>
      <w:r w:rsidRPr="00EF01A4">
        <w:rPr>
          <w:rFonts w:ascii="Arial" w:hAnsi="Arial" w:cs="Arial"/>
          <w:sz w:val="18"/>
          <w:szCs w:val="18"/>
          <w:lang w:val="es-ES"/>
        </w:rPr>
        <w:t>También se realizó una estimación utilizando las penas máximas de 18 y 15 años para los delitos de homicidio simple y robo agravado, respectivamente, pero los resultados no varían sustancialmente del escenario base, el beneficio neto asciende a $199.1 millones, la razón beneficio-costo es $3.81 y la TIR 28%.</w:t>
      </w:r>
    </w:p>
  </w:footnote>
  <w:footnote w:id="18">
    <w:p w:rsidRPr="00EF01A4" w:rsidR="003E4B6D" w:rsidP="00EF01A4" w:rsidRDefault="003E4B6D" w14:paraId="7FED6782" w14:textId="1DA4B9F3">
      <w:pPr>
        <w:pStyle w:val="FootnoteText"/>
        <w:spacing w:after="0"/>
        <w:ind w:left="270" w:hanging="270"/>
        <w:rPr>
          <w:rFonts w:ascii="Arial" w:hAnsi="Arial" w:cs="Arial"/>
          <w:sz w:val="18"/>
          <w:szCs w:val="18"/>
          <w:lang w:val="es-ES"/>
        </w:rPr>
      </w:pPr>
      <w:r w:rsidRPr="00EF01A4">
        <w:rPr>
          <w:rStyle w:val="FootnoteReference"/>
          <w:rFonts w:ascii="Arial" w:hAnsi="Arial" w:cs="Arial"/>
          <w:sz w:val="18"/>
          <w:szCs w:val="18"/>
        </w:rPr>
        <w:footnoteRef/>
      </w:r>
      <w:r w:rsidRPr="00EF01A4">
        <w:rPr>
          <w:rFonts w:ascii="Arial" w:hAnsi="Arial" w:cs="Arial"/>
          <w:sz w:val="18"/>
          <w:szCs w:val="18"/>
          <w:lang w:val="es-ES"/>
        </w:rPr>
        <w:t xml:space="preserve"> </w:t>
      </w:r>
      <w:r w:rsidR="00EF01A4">
        <w:rPr>
          <w:rFonts w:ascii="Arial" w:hAnsi="Arial" w:cs="Arial"/>
          <w:sz w:val="18"/>
          <w:szCs w:val="18"/>
          <w:lang w:val="es-ES"/>
        </w:rPr>
        <w:tab/>
      </w:r>
      <w:r w:rsidRPr="00EF01A4">
        <w:rPr>
          <w:rFonts w:ascii="Arial" w:hAnsi="Arial" w:cs="Arial"/>
          <w:sz w:val="18"/>
          <w:szCs w:val="18"/>
          <w:lang w:val="es-ES"/>
        </w:rPr>
        <w:t>Dato de la población beneficiaria del componente 1 proviene de información del Proyecto.</w:t>
      </w:r>
    </w:p>
  </w:footnote>
  <w:footnote w:id="19">
    <w:p w:rsidRPr="00EF01A4" w:rsidR="003E4B6D" w:rsidP="00EF01A4" w:rsidRDefault="003E4B6D" w14:paraId="51A8ED8C" w14:textId="5E9935DF">
      <w:pPr>
        <w:pStyle w:val="nota"/>
        <w:spacing w:after="0"/>
        <w:ind w:left="270" w:hanging="270"/>
        <w:jc w:val="both"/>
        <w:rPr>
          <w:szCs w:val="18"/>
        </w:rPr>
      </w:pPr>
      <w:r w:rsidRPr="00EF01A4">
        <w:rPr>
          <w:rStyle w:val="FootnoteReference"/>
          <w:szCs w:val="18"/>
        </w:rPr>
        <w:footnoteRef/>
      </w:r>
      <w:r w:rsidRPr="00EF01A4">
        <w:rPr>
          <w:szCs w:val="18"/>
        </w:rPr>
        <w:t xml:space="preserve"> </w:t>
      </w:r>
      <w:r w:rsidR="00EF01A4">
        <w:rPr>
          <w:szCs w:val="18"/>
        </w:rPr>
        <w:tab/>
      </w:r>
      <w:r w:rsidRPr="00EF01A4">
        <w:rPr>
          <w:szCs w:val="18"/>
        </w:rPr>
        <w:t>Estimación a partir de la ENAHO 2016. La variable dependiente es el logaritmo natural del ingreso por hora de la ocupación principal. Las variables explicativas consideran son características observables de la población. Para la variable de nivel educativo se construyeron variables categóricas para las siguientes categorías: sin escolaridad, primaria -que es la categoría base- secundaria, educación media y educación superior. Asimismo, para aproximar la experiencia se incluye una variable continua de edad y la edad</w:t>
      </w:r>
      <w:r w:rsidRPr="00EF01A4">
        <w:rPr>
          <w:szCs w:val="18"/>
          <w:vertAlign w:val="superscript"/>
        </w:rPr>
        <w:t>2</w:t>
      </w:r>
      <w:r w:rsidRPr="00EF01A4">
        <w:rPr>
          <w:szCs w:val="18"/>
        </w:rPr>
        <w:t xml:space="preserve"> para controlar por no linealidades. Finalmente, se incluyó una variable dicotómica para controlar por el sexo de la persona (1=hombre).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27B" w:rsidRDefault="003F427B" w14:paraId="0C7402F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141AF"/>
    <w:multiLevelType w:val="multilevel"/>
    <w:tmpl w:val="309670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0B5256"/>
    <w:multiLevelType w:val="hybridMultilevel"/>
    <w:tmpl w:val="CF2E96F8"/>
    <w:lvl w:ilvl="0" w:tplc="B0AAF4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6A62E6"/>
    <w:multiLevelType w:val="hybridMultilevel"/>
    <w:tmpl w:val="BF387940"/>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8D928D7E">
      <w:start w:val="3"/>
      <w:numFmt w:val="lowerLetter"/>
      <w:lvlText w:val="(%5)"/>
      <w:lvlJc w:val="left"/>
      <w:pPr>
        <w:ind w:left="3600" w:hanging="360"/>
      </w:pPr>
      <w:rPr>
        <w:rFonts w:hint="default"/>
      </w:rPr>
    </w:lvl>
    <w:lvl w:ilvl="5" w:tplc="1FA8C60C">
      <w:start w:val="4"/>
      <w:numFmt w:val="low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8C1D07"/>
    <w:multiLevelType w:val="multilevel"/>
    <w:tmpl w:val="A0AEA3F6"/>
    <w:lvl w:ilvl="0">
      <w:start w:val="1"/>
      <w:numFmt w:val="bullet"/>
      <w:lvlText w:val=""/>
      <w:lvlJc w:val="left"/>
      <w:pPr>
        <w:tabs>
          <w:tab w:val="num" w:pos="720"/>
        </w:tabs>
        <w:ind w:left="720" w:hanging="360"/>
      </w:pPr>
      <w:rPr>
        <w:rFonts w:hint="default" w:ascii="Symbol" w:hAnsi="Symbol"/>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start w:val="1"/>
      <w:numFmt w:val="lowerRoman"/>
      <w:lvlText w:val="(%5)"/>
      <w:lvlJc w:val="left"/>
      <w:pPr>
        <w:ind w:left="3960" w:hanging="720"/>
      </w:pPr>
      <w:rPr>
        <w:rFonts w:hint="default"/>
        <w:b w:val="0"/>
        <w:u w:val="none"/>
      </w:rPr>
    </w:lvl>
    <w:lvl w:ilvl="5">
      <w:start w:val="1"/>
      <w:numFmt w:val="lowerLetter"/>
      <w:lvlText w:val="(%6)"/>
      <w:lvlJc w:val="left"/>
      <w:pPr>
        <w:ind w:left="4320" w:hanging="360"/>
      </w:pPr>
      <w:rPr>
        <w:rFonts w:hint="default"/>
      </w:rPr>
    </w:lvl>
    <w:lvl w:ilvl="6">
      <w:start w:val="3"/>
      <w:numFmt w:val="decimal"/>
      <w:lvlText w:val="%7)"/>
      <w:lvlJc w:val="left"/>
      <w:pPr>
        <w:ind w:left="5040" w:hanging="360"/>
      </w:pPr>
      <w:rPr>
        <w:rFonts w:hint="default"/>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4AEC00F1"/>
    <w:multiLevelType w:val="hybridMultilevel"/>
    <w:tmpl w:val="CF2E96F8"/>
    <w:lvl w:ilvl="0" w:tplc="B0AAF4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235ACC"/>
    <w:multiLevelType w:val="hybridMultilevel"/>
    <w:tmpl w:val="0E40F232"/>
    <w:lvl w:ilvl="0" w:tplc="31F608B0">
      <w:start w:val="1"/>
      <w:numFmt w:val="lowerLetter"/>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B32488B"/>
    <w:multiLevelType w:val="hybridMultilevel"/>
    <w:tmpl w:val="9BEAFBF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0" w15:restartNumberingAfterBreak="0">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3"/>
  </w:num>
  <w:num w:numId="3">
    <w:abstractNumId w:val="4"/>
  </w:num>
  <w:num w:numId="4">
    <w:abstractNumId w:val="10"/>
  </w:num>
  <w:num w:numId="5">
    <w:abstractNumId w:val="1"/>
  </w:num>
  <w:num w:numId="6">
    <w:abstractNumId w:val="0"/>
  </w:num>
  <w:num w:numId="7">
    <w:abstractNumId w:val="9"/>
  </w:num>
  <w:num w:numId="8">
    <w:abstractNumId w:val="6"/>
  </w:num>
  <w:num w:numId="9">
    <w:abstractNumId w:val="7"/>
  </w:num>
  <w:num w:numId="10">
    <w:abstractNumId w:val="5"/>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6B5F"/>
    <w:rsid w:val="00013F10"/>
    <w:rsid w:val="00027E3C"/>
    <w:rsid w:val="00030389"/>
    <w:rsid w:val="00031AF6"/>
    <w:rsid w:val="00033B89"/>
    <w:rsid w:val="000348E2"/>
    <w:rsid w:val="00037C23"/>
    <w:rsid w:val="0004377C"/>
    <w:rsid w:val="000502B9"/>
    <w:rsid w:val="00050CFC"/>
    <w:rsid w:val="00061764"/>
    <w:rsid w:val="000676EB"/>
    <w:rsid w:val="000834A0"/>
    <w:rsid w:val="00085551"/>
    <w:rsid w:val="00090304"/>
    <w:rsid w:val="000918CD"/>
    <w:rsid w:val="000A2578"/>
    <w:rsid w:val="000D25EA"/>
    <w:rsid w:val="000E0AC5"/>
    <w:rsid w:val="000E0EE9"/>
    <w:rsid w:val="000E3CD3"/>
    <w:rsid w:val="000E74F4"/>
    <w:rsid w:val="000F17F5"/>
    <w:rsid w:val="000F74BD"/>
    <w:rsid w:val="00105AFA"/>
    <w:rsid w:val="00113E0A"/>
    <w:rsid w:val="00116BE5"/>
    <w:rsid w:val="00117014"/>
    <w:rsid w:val="0012048C"/>
    <w:rsid w:val="001316D6"/>
    <w:rsid w:val="0013470B"/>
    <w:rsid w:val="00136E35"/>
    <w:rsid w:val="00136F64"/>
    <w:rsid w:val="00145F1F"/>
    <w:rsid w:val="001564D6"/>
    <w:rsid w:val="001565FB"/>
    <w:rsid w:val="00157ED1"/>
    <w:rsid w:val="0016408E"/>
    <w:rsid w:val="00165802"/>
    <w:rsid w:val="0017571D"/>
    <w:rsid w:val="00184995"/>
    <w:rsid w:val="0019318D"/>
    <w:rsid w:val="001A1062"/>
    <w:rsid w:val="001A2008"/>
    <w:rsid w:val="001B1B35"/>
    <w:rsid w:val="001B5186"/>
    <w:rsid w:val="001B599C"/>
    <w:rsid w:val="001C2682"/>
    <w:rsid w:val="001C7FA2"/>
    <w:rsid w:val="001D07B7"/>
    <w:rsid w:val="001E1470"/>
    <w:rsid w:val="001E50F2"/>
    <w:rsid w:val="001E6FA6"/>
    <w:rsid w:val="001F5DEC"/>
    <w:rsid w:val="00202BFA"/>
    <w:rsid w:val="00205062"/>
    <w:rsid w:val="0020707A"/>
    <w:rsid w:val="00214E6E"/>
    <w:rsid w:val="002161DB"/>
    <w:rsid w:val="00216784"/>
    <w:rsid w:val="0021729C"/>
    <w:rsid w:val="00235B96"/>
    <w:rsid w:val="00241055"/>
    <w:rsid w:val="0024380C"/>
    <w:rsid w:val="00245A35"/>
    <w:rsid w:val="0025113B"/>
    <w:rsid w:val="0026417C"/>
    <w:rsid w:val="00286C85"/>
    <w:rsid w:val="002A0624"/>
    <w:rsid w:val="002A4D0A"/>
    <w:rsid w:val="002B0D4F"/>
    <w:rsid w:val="002C1A3D"/>
    <w:rsid w:val="002D1E9B"/>
    <w:rsid w:val="002E7A59"/>
    <w:rsid w:val="002F09DF"/>
    <w:rsid w:val="002F1612"/>
    <w:rsid w:val="002F1938"/>
    <w:rsid w:val="002F4544"/>
    <w:rsid w:val="002F7F01"/>
    <w:rsid w:val="00304A06"/>
    <w:rsid w:val="0030589C"/>
    <w:rsid w:val="00306095"/>
    <w:rsid w:val="0031074C"/>
    <w:rsid w:val="00331B2F"/>
    <w:rsid w:val="00333E62"/>
    <w:rsid w:val="003342AD"/>
    <w:rsid w:val="00334FB3"/>
    <w:rsid w:val="0033575C"/>
    <w:rsid w:val="00340384"/>
    <w:rsid w:val="0034133F"/>
    <w:rsid w:val="00372C8E"/>
    <w:rsid w:val="003803C0"/>
    <w:rsid w:val="00395040"/>
    <w:rsid w:val="00395BFC"/>
    <w:rsid w:val="00397B5D"/>
    <w:rsid w:val="003A1610"/>
    <w:rsid w:val="003A4404"/>
    <w:rsid w:val="003A4F35"/>
    <w:rsid w:val="003B1A8E"/>
    <w:rsid w:val="003B606D"/>
    <w:rsid w:val="003C6009"/>
    <w:rsid w:val="003D17BD"/>
    <w:rsid w:val="003D4981"/>
    <w:rsid w:val="003E1AA9"/>
    <w:rsid w:val="003E4B6D"/>
    <w:rsid w:val="003E7C50"/>
    <w:rsid w:val="003F36C8"/>
    <w:rsid w:val="003F427B"/>
    <w:rsid w:val="003F6F0E"/>
    <w:rsid w:val="00410ADD"/>
    <w:rsid w:val="00414031"/>
    <w:rsid w:val="004167EE"/>
    <w:rsid w:val="00417A07"/>
    <w:rsid w:val="004217D0"/>
    <w:rsid w:val="004238F8"/>
    <w:rsid w:val="00430EE2"/>
    <w:rsid w:val="00435508"/>
    <w:rsid w:val="00444E58"/>
    <w:rsid w:val="004456F6"/>
    <w:rsid w:val="00452F6B"/>
    <w:rsid w:val="0047020D"/>
    <w:rsid w:val="004731DE"/>
    <w:rsid w:val="004744BD"/>
    <w:rsid w:val="0048361D"/>
    <w:rsid w:val="00484368"/>
    <w:rsid w:val="00486824"/>
    <w:rsid w:val="00486CF5"/>
    <w:rsid w:val="00496B4C"/>
    <w:rsid w:val="004A6C4F"/>
    <w:rsid w:val="004A7DB6"/>
    <w:rsid w:val="004B16FE"/>
    <w:rsid w:val="004C180C"/>
    <w:rsid w:val="004C449B"/>
    <w:rsid w:val="004C60FF"/>
    <w:rsid w:val="004C74A2"/>
    <w:rsid w:val="004C7A59"/>
    <w:rsid w:val="004D2307"/>
    <w:rsid w:val="004D3C9D"/>
    <w:rsid w:val="004E4D87"/>
    <w:rsid w:val="004E6622"/>
    <w:rsid w:val="004F17B1"/>
    <w:rsid w:val="004F3DD9"/>
    <w:rsid w:val="004F434F"/>
    <w:rsid w:val="00500393"/>
    <w:rsid w:val="00511A91"/>
    <w:rsid w:val="005121F0"/>
    <w:rsid w:val="005143E5"/>
    <w:rsid w:val="00515F54"/>
    <w:rsid w:val="005305F2"/>
    <w:rsid w:val="00542EE8"/>
    <w:rsid w:val="0055755F"/>
    <w:rsid w:val="0056446E"/>
    <w:rsid w:val="00567F86"/>
    <w:rsid w:val="005802A4"/>
    <w:rsid w:val="0058485D"/>
    <w:rsid w:val="00592BB1"/>
    <w:rsid w:val="005A4703"/>
    <w:rsid w:val="005A55AE"/>
    <w:rsid w:val="005A6114"/>
    <w:rsid w:val="005B6955"/>
    <w:rsid w:val="005C0B4A"/>
    <w:rsid w:val="005C4B7B"/>
    <w:rsid w:val="005E09E4"/>
    <w:rsid w:val="005E1C51"/>
    <w:rsid w:val="005E32C3"/>
    <w:rsid w:val="00600B6F"/>
    <w:rsid w:val="00604BC1"/>
    <w:rsid w:val="00606F1F"/>
    <w:rsid w:val="00617D94"/>
    <w:rsid w:val="0062484F"/>
    <w:rsid w:val="006339E0"/>
    <w:rsid w:val="006372F5"/>
    <w:rsid w:val="00640F21"/>
    <w:rsid w:val="00642B68"/>
    <w:rsid w:val="00646AAB"/>
    <w:rsid w:val="0064799E"/>
    <w:rsid w:val="0066001B"/>
    <w:rsid w:val="00661046"/>
    <w:rsid w:val="00661EA5"/>
    <w:rsid w:val="0066332D"/>
    <w:rsid w:val="006657CB"/>
    <w:rsid w:val="00676120"/>
    <w:rsid w:val="0067674E"/>
    <w:rsid w:val="00682D0E"/>
    <w:rsid w:val="006877B7"/>
    <w:rsid w:val="00696060"/>
    <w:rsid w:val="006A3FEB"/>
    <w:rsid w:val="006A62D4"/>
    <w:rsid w:val="006B2E64"/>
    <w:rsid w:val="006B3BC4"/>
    <w:rsid w:val="006B690D"/>
    <w:rsid w:val="006C22BD"/>
    <w:rsid w:val="006C78B6"/>
    <w:rsid w:val="006D03D3"/>
    <w:rsid w:val="006E463F"/>
    <w:rsid w:val="006E7197"/>
    <w:rsid w:val="007018A9"/>
    <w:rsid w:val="00702C17"/>
    <w:rsid w:val="00711F79"/>
    <w:rsid w:val="00720912"/>
    <w:rsid w:val="00726727"/>
    <w:rsid w:val="007333C5"/>
    <w:rsid w:val="007416F3"/>
    <w:rsid w:val="00745152"/>
    <w:rsid w:val="00753261"/>
    <w:rsid w:val="00774095"/>
    <w:rsid w:val="00787E9F"/>
    <w:rsid w:val="00795BA5"/>
    <w:rsid w:val="007A0E5D"/>
    <w:rsid w:val="007A2B53"/>
    <w:rsid w:val="007A75D6"/>
    <w:rsid w:val="007B3635"/>
    <w:rsid w:val="007C3E11"/>
    <w:rsid w:val="007C65DB"/>
    <w:rsid w:val="007E012F"/>
    <w:rsid w:val="007E4BCF"/>
    <w:rsid w:val="007F0EC9"/>
    <w:rsid w:val="007F1508"/>
    <w:rsid w:val="00800107"/>
    <w:rsid w:val="00821F75"/>
    <w:rsid w:val="00825BB9"/>
    <w:rsid w:val="00835C70"/>
    <w:rsid w:val="00841EEC"/>
    <w:rsid w:val="0084421C"/>
    <w:rsid w:val="00845515"/>
    <w:rsid w:val="00853DF5"/>
    <w:rsid w:val="00870617"/>
    <w:rsid w:val="0087230E"/>
    <w:rsid w:val="00875C83"/>
    <w:rsid w:val="008812CD"/>
    <w:rsid w:val="008836AC"/>
    <w:rsid w:val="0088409B"/>
    <w:rsid w:val="00891AD9"/>
    <w:rsid w:val="0089554D"/>
    <w:rsid w:val="0089653E"/>
    <w:rsid w:val="008A4376"/>
    <w:rsid w:val="008A4406"/>
    <w:rsid w:val="008C35D8"/>
    <w:rsid w:val="008C4857"/>
    <w:rsid w:val="008C4908"/>
    <w:rsid w:val="008D37C1"/>
    <w:rsid w:val="008D596C"/>
    <w:rsid w:val="008F067E"/>
    <w:rsid w:val="008F412A"/>
    <w:rsid w:val="008F68CD"/>
    <w:rsid w:val="00902281"/>
    <w:rsid w:val="00903384"/>
    <w:rsid w:val="00927705"/>
    <w:rsid w:val="00930818"/>
    <w:rsid w:val="00934DE2"/>
    <w:rsid w:val="0094168F"/>
    <w:rsid w:val="00957211"/>
    <w:rsid w:val="0096382B"/>
    <w:rsid w:val="009722EC"/>
    <w:rsid w:val="00975F85"/>
    <w:rsid w:val="00985E06"/>
    <w:rsid w:val="009879DE"/>
    <w:rsid w:val="009B23A1"/>
    <w:rsid w:val="009B368C"/>
    <w:rsid w:val="009B3784"/>
    <w:rsid w:val="009E1CE1"/>
    <w:rsid w:val="009E3699"/>
    <w:rsid w:val="009E6E4B"/>
    <w:rsid w:val="009F55E7"/>
    <w:rsid w:val="009F7607"/>
    <w:rsid w:val="009F7C1F"/>
    <w:rsid w:val="00A030AF"/>
    <w:rsid w:val="00A0598F"/>
    <w:rsid w:val="00A102A9"/>
    <w:rsid w:val="00A16452"/>
    <w:rsid w:val="00A223EF"/>
    <w:rsid w:val="00A23B04"/>
    <w:rsid w:val="00A27AAF"/>
    <w:rsid w:val="00A34063"/>
    <w:rsid w:val="00A358CC"/>
    <w:rsid w:val="00A44C67"/>
    <w:rsid w:val="00A51411"/>
    <w:rsid w:val="00A63016"/>
    <w:rsid w:val="00A7175E"/>
    <w:rsid w:val="00A72090"/>
    <w:rsid w:val="00A85679"/>
    <w:rsid w:val="00A860FC"/>
    <w:rsid w:val="00A942F5"/>
    <w:rsid w:val="00A95B54"/>
    <w:rsid w:val="00AA24F6"/>
    <w:rsid w:val="00AA48CE"/>
    <w:rsid w:val="00AA7837"/>
    <w:rsid w:val="00AB2421"/>
    <w:rsid w:val="00AC03ED"/>
    <w:rsid w:val="00AE62C4"/>
    <w:rsid w:val="00AF4157"/>
    <w:rsid w:val="00AF438E"/>
    <w:rsid w:val="00B1765F"/>
    <w:rsid w:val="00B2015B"/>
    <w:rsid w:val="00B221C2"/>
    <w:rsid w:val="00B22594"/>
    <w:rsid w:val="00B25A92"/>
    <w:rsid w:val="00B411A5"/>
    <w:rsid w:val="00B4443E"/>
    <w:rsid w:val="00B5149F"/>
    <w:rsid w:val="00B55CAF"/>
    <w:rsid w:val="00B62A59"/>
    <w:rsid w:val="00B76499"/>
    <w:rsid w:val="00B76F77"/>
    <w:rsid w:val="00B7748D"/>
    <w:rsid w:val="00B85BB0"/>
    <w:rsid w:val="00B93E57"/>
    <w:rsid w:val="00BA0FEF"/>
    <w:rsid w:val="00BB226D"/>
    <w:rsid w:val="00BD28FB"/>
    <w:rsid w:val="00BD7201"/>
    <w:rsid w:val="00BD7636"/>
    <w:rsid w:val="00BF3581"/>
    <w:rsid w:val="00C01DE3"/>
    <w:rsid w:val="00C10DFB"/>
    <w:rsid w:val="00C131F1"/>
    <w:rsid w:val="00C152BF"/>
    <w:rsid w:val="00C16016"/>
    <w:rsid w:val="00C218EA"/>
    <w:rsid w:val="00C3294D"/>
    <w:rsid w:val="00C32A84"/>
    <w:rsid w:val="00C332B1"/>
    <w:rsid w:val="00C3606F"/>
    <w:rsid w:val="00C4184A"/>
    <w:rsid w:val="00C44550"/>
    <w:rsid w:val="00C46D8A"/>
    <w:rsid w:val="00C63A92"/>
    <w:rsid w:val="00C653AB"/>
    <w:rsid w:val="00C737A2"/>
    <w:rsid w:val="00C74815"/>
    <w:rsid w:val="00C75D1D"/>
    <w:rsid w:val="00C807B5"/>
    <w:rsid w:val="00C81A59"/>
    <w:rsid w:val="00C950C9"/>
    <w:rsid w:val="00CA2F42"/>
    <w:rsid w:val="00CA323B"/>
    <w:rsid w:val="00CB18D7"/>
    <w:rsid w:val="00CC7A9C"/>
    <w:rsid w:val="00CD0C94"/>
    <w:rsid w:val="00CE5198"/>
    <w:rsid w:val="00D0397F"/>
    <w:rsid w:val="00D07EB2"/>
    <w:rsid w:val="00D20C0D"/>
    <w:rsid w:val="00D20E95"/>
    <w:rsid w:val="00D2681A"/>
    <w:rsid w:val="00D30CBD"/>
    <w:rsid w:val="00D4072E"/>
    <w:rsid w:val="00D5194C"/>
    <w:rsid w:val="00D57406"/>
    <w:rsid w:val="00D6628F"/>
    <w:rsid w:val="00D73D90"/>
    <w:rsid w:val="00D849E0"/>
    <w:rsid w:val="00D919E2"/>
    <w:rsid w:val="00D97A3F"/>
    <w:rsid w:val="00DA0BE3"/>
    <w:rsid w:val="00DB173D"/>
    <w:rsid w:val="00DB4572"/>
    <w:rsid w:val="00DC1AB1"/>
    <w:rsid w:val="00DE01E5"/>
    <w:rsid w:val="00DF182D"/>
    <w:rsid w:val="00E03ACC"/>
    <w:rsid w:val="00E17EEA"/>
    <w:rsid w:val="00E2088E"/>
    <w:rsid w:val="00E32D69"/>
    <w:rsid w:val="00E42CD1"/>
    <w:rsid w:val="00E42E98"/>
    <w:rsid w:val="00E60915"/>
    <w:rsid w:val="00E6163C"/>
    <w:rsid w:val="00E66E7B"/>
    <w:rsid w:val="00E70DBF"/>
    <w:rsid w:val="00E84B0D"/>
    <w:rsid w:val="00E862DB"/>
    <w:rsid w:val="00E9074B"/>
    <w:rsid w:val="00E94FC4"/>
    <w:rsid w:val="00EA74E1"/>
    <w:rsid w:val="00EF01A4"/>
    <w:rsid w:val="00EF0310"/>
    <w:rsid w:val="00EF0C8F"/>
    <w:rsid w:val="00EF6E97"/>
    <w:rsid w:val="00F03CF9"/>
    <w:rsid w:val="00F1091B"/>
    <w:rsid w:val="00F2018D"/>
    <w:rsid w:val="00F234A0"/>
    <w:rsid w:val="00F32AFF"/>
    <w:rsid w:val="00F361CC"/>
    <w:rsid w:val="00F45D0C"/>
    <w:rsid w:val="00F54A24"/>
    <w:rsid w:val="00F728AB"/>
    <w:rsid w:val="00F90AE2"/>
    <w:rsid w:val="00F95569"/>
    <w:rsid w:val="00FA544C"/>
    <w:rsid w:val="00FA6DB5"/>
    <w:rsid w:val="00FB42BF"/>
    <w:rsid w:val="00FC4A76"/>
    <w:rsid w:val="00FD0CC7"/>
    <w:rsid w:val="00FD476D"/>
    <w:rsid w:val="00FD491C"/>
    <w:rsid w:val="00FD5EC3"/>
    <w:rsid w:val="00FE6E98"/>
    <w:rsid w:val="00FF5092"/>
    <w:rsid w:val="1F6533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842CC"/>
  <w15:docId w15:val="{D2E89A13-9150-4A08-B69E-B4B5964A2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Calibri"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2682"/>
    <w:pPr>
      <w:spacing w:after="200" w:line="276" w:lineRule="auto"/>
    </w:pPr>
    <w:rPr>
      <w:rFonts w:ascii="Times New Roman" w:hAnsi="Times New Roman"/>
      <w:sz w:val="22"/>
      <w:szCs w:val="22"/>
      <w:lang w:val="en-US" w:eastAsia="en-US"/>
    </w:rPr>
  </w:style>
  <w:style w:type="paragraph" w:styleId="Heading1">
    <w:name w:val="heading 1"/>
    <w:basedOn w:val="Normal"/>
    <w:next w:val="Normal"/>
    <w:link w:val="Heading1Char"/>
    <w:uiPriority w:val="9"/>
    <w:qFormat/>
    <w:rsid w:val="003F36C8"/>
    <w:pPr>
      <w:keepNext/>
      <w:keepLines/>
      <w:spacing w:before="480" w:after="0"/>
      <w:outlineLvl w:val="0"/>
    </w:pPr>
    <w:rPr>
      <w:rFonts w:asciiTheme="majorHAnsi" w:hAnsiTheme="majorHAnsi" w:eastAsiaTheme="majorEastAsia" w:cstheme="majorBidi"/>
      <w:b/>
      <w:bCs/>
      <w:color w:val="365F91" w:themeColor="accent1" w:themeShade="BF"/>
      <w:sz w:val="28"/>
      <w:szCs w:val="28"/>
      <w:lang w:eastAsia="ja-JP"/>
    </w:rPr>
  </w:style>
  <w:style w:type="paragraph" w:styleId="Heading2">
    <w:name w:val="heading 2"/>
    <w:basedOn w:val="Normal"/>
    <w:next w:val="Normal"/>
    <w:link w:val="Heading2Char"/>
    <w:qFormat/>
    <w:rsid w:val="00816867"/>
    <w:pPr>
      <w:keepNext/>
      <w:numPr>
        <w:ilvl w:val="1"/>
        <w:numId w:val="7"/>
      </w:numPr>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qFormat/>
    <w:rsid w:val="00816867"/>
    <w:pPr>
      <w:keepNext/>
      <w:numPr>
        <w:ilvl w:val="2"/>
        <w:numId w:val="7"/>
      </w:numPr>
      <w:spacing w:before="240" w:after="60"/>
      <w:outlineLvl w:val="2"/>
    </w:pPr>
    <w:rPr>
      <w:rFonts w:ascii="Cambria" w:hAnsi="Cambria" w:eastAsia="Times New Roman"/>
      <w:b/>
      <w:bCs/>
      <w:sz w:val="26"/>
      <w:szCs w:val="26"/>
    </w:rPr>
  </w:style>
  <w:style w:type="paragraph" w:styleId="Heading4">
    <w:name w:val="heading 4"/>
    <w:basedOn w:val="Normal"/>
    <w:next w:val="Normal"/>
    <w:link w:val="Heading4Char"/>
    <w:qFormat/>
    <w:rsid w:val="00816867"/>
    <w:pPr>
      <w:keepNext/>
      <w:numPr>
        <w:ilvl w:val="3"/>
        <w:numId w:val="7"/>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7"/>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7"/>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7"/>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7"/>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7"/>
      </w:numPr>
      <w:spacing w:before="240" w:after="60"/>
      <w:outlineLvl w:val="8"/>
    </w:pPr>
    <w:rPr>
      <w:rFonts w:ascii="Cambria" w:hAnsi="Cambria" w:eastAsia="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lorfulList-Accent11" w:customStyle="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semiHidden/>
    <w:rsid w:val="00FC0621"/>
    <w:pPr>
      <w:spacing w:after="0" w:line="240" w:lineRule="auto"/>
    </w:pPr>
    <w:rPr>
      <w:rFonts w:ascii="Tahoma" w:hAnsi="Tahoma" w:eastAsia="Times New Roman" w:cs="Tahoma"/>
      <w:sz w:val="16"/>
      <w:szCs w:val="16"/>
    </w:rPr>
  </w:style>
  <w:style w:type="character" w:styleId="BalloonTextChar" w:customStyle="1">
    <w:name w:val="Balloon Text Char"/>
    <w:link w:val="BalloonText"/>
    <w:semiHidden/>
    <w:rsid w:val="00FC0621"/>
    <w:rPr>
      <w:rFonts w:ascii="Tahoma" w:hAnsi="Tahoma" w:eastAsia="Times New Roman" w:cs="Tahoma"/>
      <w:sz w:val="16"/>
      <w:szCs w:val="16"/>
    </w:rPr>
  </w:style>
  <w:style w:type="paragraph" w:styleId="FootnoteText">
    <w:name w:val="footnote text"/>
    <w:basedOn w:val="Normal"/>
    <w:link w:val="FootnoteTextChar"/>
    <w:uiPriority w:val="99"/>
    <w:semiHidden/>
    <w:unhideWhenUsed/>
    <w:rsid w:val="00902F77"/>
    <w:pPr>
      <w:keepNext/>
      <w:keepLines/>
      <w:spacing w:after="120" w:line="240" w:lineRule="auto"/>
      <w:ind w:left="288" w:hanging="288"/>
      <w:jc w:val="both"/>
    </w:pPr>
    <w:rPr>
      <w:spacing w:val="-3"/>
      <w:sz w:val="20"/>
      <w:szCs w:val="24"/>
    </w:rPr>
  </w:style>
  <w:style w:type="character" w:styleId="FootnoteTextChar" w:customStyle="1">
    <w:name w:val="Footnote Text Char"/>
    <w:link w:val="FootnoteText"/>
    <w:uiPriority w:val="99"/>
    <w:semiHidden/>
    <w:rsid w:val="00902F77"/>
    <w:rPr>
      <w:rFonts w:ascii="Times New Roman" w:hAnsi="Times New Roman"/>
      <w:spacing w:val="-3"/>
      <w:szCs w:val="24"/>
    </w:rPr>
  </w:style>
  <w:style w:type="character" w:styleId="FootnoteReference">
    <w:name w:val="footnote reference"/>
    <w:uiPriority w:val="99"/>
    <w:semiHidden/>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styleId="HeaderChar" w:customStyle="1">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styleId="FooterChar" w:customStyle="1">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eastAsia="Times New Roman"/>
      <w:sz w:val="24"/>
      <w:szCs w:val="20"/>
    </w:rPr>
  </w:style>
  <w:style w:type="character" w:styleId="TitleChar" w:customStyle="1">
    <w:name w:val="Title Char"/>
    <w:link w:val="Title"/>
    <w:rsid w:val="00402F2E"/>
    <w:rPr>
      <w:rFonts w:ascii="Times New Roman" w:hAnsi="Times New Roman" w:eastAsia="Times New Roman"/>
      <w:sz w:val="24"/>
    </w:rPr>
  </w:style>
  <w:style w:type="paragraph" w:styleId="Newpage" w:customStyle="1">
    <w:name w:val="Newpage"/>
    <w:basedOn w:val="Normal"/>
    <w:rsid w:val="00B52681"/>
    <w:pPr>
      <w:tabs>
        <w:tab w:val="left" w:pos="1440"/>
        <w:tab w:val="left" w:pos="3060"/>
      </w:tabs>
      <w:spacing w:after="0" w:line="240" w:lineRule="auto"/>
      <w:jc w:val="center"/>
    </w:pPr>
    <w:rPr>
      <w:rFonts w:eastAsia="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eastAsia="Times New Roman"/>
      <w:sz w:val="24"/>
      <w:szCs w:val="20"/>
    </w:rPr>
  </w:style>
  <w:style w:type="character" w:styleId="BodyTextChar" w:customStyle="1">
    <w:name w:val="Body Text Char"/>
    <w:link w:val="BodyText"/>
    <w:rsid w:val="00B52681"/>
    <w:rPr>
      <w:rFonts w:ascii="Times New Roman" w:hAnsi="Times New Roman" w:eastAsia="Times New Roman"/>
      <w:sz w:val="24"/>
    </w:rPr>
  </w:style>
  <w:style w:type="character" w:styleId="gt-icon-text1" w:customStyle="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color="auto" w:sz="6" w:space="1"/>
      </w:pBdr>
      <w:spacing w:after="0" w:line="240" w:lineRule="auto"/>
      <w:jc w:val="center"/>
    </w:pPr>
    <w:rPr>
      <w:rFonts w:ascii="Arial" w:hAnsi="Arial" w:eastAsia="Times New Roman" w:cs="Arial"/>
      <w:vanish/>
      <w:sz w:val="16"/>
      <w:szCs w:val="16"/>
    </w:rPr>
  </w:style>
  <w:style w:type="character" w:styleId="z-TopofFormChar" w:customStyle="1">
    <w:name w:val="z-Top of Form Char"/>
    <w:link w:val="z-TopofForm"/>
    <w:uiPriority w:val="99"/>
    <w:rsid w:val="00B463BF"/>
    <w:rPr>
      <w:rFonts w:ascii="Arial" w:hAnsi="Arial" w:eastAsia="Times New Roman"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color="auto" w:sz="6" w:space="1"/>
      </w:pBdr>
      <w:spacing w:after="0" w:line="240" w:lineRule="auto"/>
      <w:jc w:val="center"/>
    </w:pPr>
    <w:rPr>
      <w:rFonts w:ascii="Arial" w:hAnsi="Arial" w:eastAsia="Times New Roman" w:cs="Arial"/>
      <w:vanish/>
      <w:sz w:val="16"/>
      <w:szCs w:val="16"/>
    </w:rPr>
  </w:style>
  <w:style w:type="character" w:styleId="z-BottomofFormChar" w:customStyle="1">
    <w:name w:val="z-Bottom of Form Char"/>
    <w:link w:val="z-BottomofForm"/>
    <w:uiPriority w:val="99"/>
    <w:rsid w:val="00B463BF"/>
    <w:rPr>
      <w:rFonts w:ascii="Arial" w:hAnsi="Arial" w:eastAsia="Times New Roman"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styleId="CommentTextChar" w:customStyle="1">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styleId="CommentSubjectChar" w:customStyle="1">
    <w:name w:val="Comment Subject Char"/>
    <w:link w:val="CommentSubject"/>
    <w:rsid w:val="001E55D5"/>
    <w:rPr>
      <w:b/>
      <w:bCs/>
    </w:rPr>
  </w:style>
  <w:style w:type="paragraph" w:styleId="Chapter" w:customStyle="1">
    <w:name w:val="Chapter"/>
    <w:basedOn w:val="Normal"/>
    <w:next w:val="Normal"/>
    <w:link w:val="ChapterChar"/>
    <w:rsid w:val="00816867"/>
    <w:pPr>
      <w:keepNext/>
      <w:numPr>
        <w:numId w:val="7"/>
      </w:numPr>
      <w:tabs>
        <w:tab w:val="num" w:pos="648"/>
        <w:tab w:val="left" w:pos="1440"/>
      </w:tabs>
      <w:spacing w:before="240" w:after="240" w:line="240" w:lineRule="auto"/>
      <w:ind w:left="0" w:firstLine="288"/>
      <w:jc w:val="center"/>
    </w:pPr>
    <w:rPr>
      <w:b/>
      <w:smallCaps/>
      <w:sz w:val="24"/>
    </w:rPr>
  </w:style>
  <w:style w:type="character" w:styleId="ColorfulList-Accent1Char" w:customStyle="1">
    <w:name w:val="Colorful List - Accent 1 Char"/>
    <w:link w:val="ColorfulList-Accent11"/>
    <w:uiPriority w:val="34"/>
    <w:rsid w:val="00816867"/>
    <w:rPr>
      <w:sz w:val="22"/>
      <w:szCs w:val="22"/>
    </w:rPr>
  </w:style>
  <w:style w:type="character" w:styleId="ChapterChar" w:customStyle="1">
    <w:name w:val="Chapter Char"/>
    <w:link w:val="Chapter"/>
    <w:rsid w:val="00816867"/>
    <w:rPr>
      <w:rFonts w:ascii="Times New Roman" w:hAnsi="Times New Roman"/>
      <w:b/>
      <w:smallCaps/>
      <w:sz w:val="24"/>
      <w:szCs w:val="22"/>
      <w:lang w:val="en-US" w:eastAsia="en-US"/>
    </w:rPr>
  </w:style>
  <w:style w:type="paragraph" w:styleId="FirstHeading" w:customStyle="1">
    <w:name w:val="FirstHeading"/>
    <w:basedOn w:val="Normal"/>
    <w:next w:val="Normal"/>
    <w:link w:val="FirstHeadingChar"/>
    <w:rsid w:val="00816867"/>
    <w:pPr>
      <w:keepNext/>
      <w:tabs>
        <w:tab w:val="left" w:pos="0"/>
        <w:tab w:val="left" w:pos="86"/>
      </w:tabs>
      <w:spacing w:before="120" w:after="120" w:line="240" w:lineRule="auto"/>
      <w:ind w:hanging="720"/>
    </w:pPr>
    <w:rPr>
      <w:b/>
      <w:sz w:val="24"/>
    </w:rPr>
  </w:style>
  <w:style w:type="character" w:styleId="FirstHeadingChar" w:customStyle="1">
    <w:name w:val="FirstHeading Char"/>
    <w:link w:val="FirstHeading"/>
    <w:rsid w:val="00816867"/>
    <w:rPr>
      <w:rFonts w:ascii="Times New Roman" w:hAnsi="Times New Roman"/>
      <w:b/>
      <w:sz w:val="24"/>
      <w:szCs w:val="22"/>
    </w:rPr>
  </w:style>
  <w:style w:type="paragraph" w:styleId="SecHeading" w:customStyle="1">
    <w:name w:val="SecHeading"/>
    <w:basedOn w:val="Normal"/>
    <w:next w:val="Paragraph"/>
    <w:link w:val="SecHeadingChar"/>
    <w:rsid w:val="00816867"/>
    <w:pPr>
      <w:keepNext/>
      <w:tabs>
        <w:tab w:val="num" w:pos="1296"/>
      </w:tabs>
      <w:spacing w:before="120" w:after="120" w:line="240" w:lineRule="auto"/>
      <w:ind w:left="1296" w:hanging="576"/>
    </w:pPr>
    <w:rPr>
      <w:b/>
      <w:sz w:val="24"/>
    </w:rPr>
  </w:style>
  <w:style w:type="character" w:styleId="SecHeadingChar" w:customStyle="1">
    <w:name w:val="SecHeading Char"/>
    <w:link w:val="SecHeading"/>
    <w:rsid w:val="00816867"/>
    <w:rPr>
      <w:rFonts w:ascii="Times New Roman" w:hAnsi="Times New Roman"/>
      <w:b/>
      <w:sz w:val="24"/>
      <w:szCs w:val="22"/>
    </w:rPr>
  </w:style>
  <w:style w:type="paragraph" w:styleId="SubHeading1" w:customStyle="1">
    <w:name w:val="SubHeading1"/>
    <w:basedOn w:val="SecHeading"/>
    <w:link w:val="SubHeading1Char"/>
    <w:rsid w:val="00816867"/>
    <w:pPr>
      <w:tabs>
        <w:tab w:val="clear" w:pos="1296"/>
        <w:tab w:val="num" w:pos="1872"/>
      </w:tabs>
      <w:ind w:left="1872"/>
    </w:pPr>
  </w:style>
  <w:style w:type="character" w:styleId="SubHeading1Char" w:customStyle="1">
    <w:name w:val="SubHeading1 Char"/>
    <w:link w:val="SubHeading1"/>
    <w:rsid w:val="00816867"/>
    <w:rPr>
      <w:rFonts w:ascii="Times New Roman" w:hAnsi="Times New Roman"/>
      <w:b/>
      <w:sz w:val="24"/>
      <w:szCs w:val="22"/>
    </w:rPr>
  </w:style>
  <w:style w:type="paragraph" w:styleId="Subheading2" w:customStyle="1">
    <w:name w:val="Subheading2"/>
    <w:basedOn w:val="SecHeading"/>
    <w:link w:val="Subheading2Char"/>
    <w:rsid w:val="00816867"/>
    <w:pPr>
      <w:tabs>
        <w:tab w:val="clear" w:pos="1296"/>
        <w:tab w:val="num" w:pos="2376"/>
      </w:tabs>
      <w:ind w:left="2376" w:hanging="288"/>
    </w:pPr>
  </w:style>
  <w:style w:type="character" w:styleId="Subheading2Char" w:customStyle="1">
    <w:name w:val="Subheading2 Char"/>
    <w:link w:val="Subheading2"/>
    <w:rsid w:val="00816867"/>
    <w:rPr>
      <w:rFonts w:ascii="Times New Roman" w:hAnsi="Times New Roman"/>
      <w:b/>
      <w:sz w:val="24"/>
      <w:szCs w:val="22"/>
    </w:rPr>
  </w:style>
  <w:style w:type="paragraph" w:styleId="Paragraph" w:customStyle="1">
    <w:name w:val="Paragraph"/>
    <w:basedOn w:val="BodyTextIndent"/>
    <w:link w:val="ParagraphChar"/>
    <w:rsid w:val="00816867"/>
    <w:pPr>
      <w:tabs>
        <w:tab w:val="num" w:pos="720"/>
      </w:tabs>
      <w:spacing w:before="120"/>
      <w:ind w:hanging="720"/>
      <w:jc w:val="both"/>
      <w:outlineLvl w:val="1"/>
    </w:pPr>
  </w:style>
  <w:style w:type="character" w:styleId="ParagraphChar" w:customStyle="1">
    <w:name w:val="Paragraph Char"/>
    <w:link w:val="Paragraph"/>
    <w:rsid w:val="00816867"/>
    <w:rPr>
      <w:rFonts w:ascii="Times New Roman" w:hAnsi="Times New Roman"/>
      <w:sz w:val="24"/>
      <w:szCs w:val="22"/>
    </w:rPr>
  </w:style>
  <w:style w:type="paragraph" w:styleId="subpar" w:customStyle="1">
    <w:name w:val="subpar"/>
    <w:basedOn w:val="BodyTextIndent3"/>
    <w:link w:val="subparChar"/>
    <w:rsid w:val="00816867"/>
    <w:pPr>
      <w:tabs>
        <w:tab w:val="num" w:pos="1152"/>
      </w:tabs>
      <w:spacing w:before="120"/>
      <w:ind w:left="1152" w:hanging="432"/>
      <w:jc w:val="both"/>
      <w:outlineLvl w:val="2"/>
    </w:pPr>
  </w:style>
  <w:style w:type="character" w:styleId="subparChar" w:customStyle="1">
    <w:name w:val="subpar Char"/>
    <w:link w:val="subpar"/>
    <w:rsid w:val="00816867"/>
    <w:rPr>
      <w:rFonts w:ascii="Times New Roman" w:hAnsi="Times New Roman"/>
      <w:sz w:val="24"/>
      <w:szCs w:val="16"/>
    </w:rPr>
  </w:style>
  <w:style w:type="paragraph" w:styleId="SubSubPar" w:customStyle="1">
    <w:name w:val="SubSubPar"/>
    <w:basedOn w:val="subpar"/>
    <w:link w:val="SubSubParChar"/>
    <w:rsid w:val="00816867"/>
    <w:pPr>
      <w:tabs>
        <w:tab w:val="left" w:pos="0"/>
        <w:tab w:val="num" w:pos="1296"/>
      </w:tabs>
      <w:ind w:left="1296" w:hanging="288"/>
    </w:pPr>
  </w:style>
  <w:style w:type="character" w:styleId="SubSubParChar" w:customStyle="1">
    <w:name w:val="SubSubPar Char"/>
    <w:link w:val="SubSubPar"/>
    <w:rsid w:val="00816867"/>
    <w:rPr>
      <w:rFonts w:ascii="Times New Roman" w:hAnsi="Times New Roman"/>
      <w:sz w:val="24"/>
      <w:szCs w:val="16"/>
    </w:rPr>
  </w:style>
  <w:style w:type="paragraph" w:styleId="Regtable" w:customStyle="1">
    <w:name w:val="Regtable"/>
    <w:basedOn w:val="Normal"/>
    <w:link w:val="RegtableChar"/>
    <w:rsid w:val="00816867"/>
    <w:pPr>
      <w:keepLines/>
      <w:framePr w:wrap="around" w:hAnchor="text" w:vAnchor="text" w:y="1"/>
      <w:spacing w:before="20" w:after="20" w:line="240" w:lineRule="auto"/>
    </w:pPr>
    <w:rPr>
      <w:sz w:val="20"/>
    </w:rPr>
  </w:style>
  <w:style w:type="character" w:styleId="RegtableChar" w:customStyle="1">
    <w:name w:val="Regtable Char"/>
    <w:link w:val="Regtable"/>
    <w:rsid w:val="00816867"/>
    <w:rPr>
      <w:rFonts w:ascii="Times New Roman" w:hAnsi="Times New Roman"/>
      <w:sz w:val="22"/>
      <w:szCs w:val="22"/>
    </w:rPr>
  </w:style>
  <w:style w:type="paragraph" w:styleId="TableTitle" w:customStyle="1">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styleId="TableTitleChar" w:customStyle="1">
    <w:name w:val="TableTitle Char"/>
    <w:link w:val="TableTitle"/>
    <w:rsid w:val="00816867"/>
    <w:rPr>
      <w:rFonts w:ascii="Times New Roman Bold" w:hAnsi="Times New Roman Bold"/>
      <w:b/>
      <w:spacing w:val="-3"/>
      <w:sz w:val="22"/>
      <w:szCs w:val="22"/>
    </w:rPr>
  </w:style>
  <w:style w:type="character" w:styleId="Heading2Char" w:customStyle="1">
    <w:name w:val="Heading 2 Char"/>
    <w:link w:val="Heading2"/>
    <w:rsid w:val="00816867"/>
    <w:rPr>
      <w:rFonts w:ascii="Cambria" w:hAnsi="Cambria" w:eastAsia="Times New Roman"/>
      <w:b/>
      <w:bCs/>
      <w:i/>
      <w:iCs/>
      <w:sz w:val="28"/>
      <w:szCs w:val="28"/>
      <w:lang w:val="en-US" w:eastAsia="en-US"/>
    </w:rPr>
  </w:style>
  <w:style w:type="character" w:styleId="Heading3Char" w:customStyle="1">
    <w:name w:val="Heading 3 Char"/>
    <w:link w:val="Heading3"/>
    <w:rsid w:val="00816867"/>
    <w:rPr>
      <w:rFonts w:ascii="Cambria" w:hAnsi="Cambria" w:eastAsia="Times New Roman"/>
      <w:b/>
      <w:bCs/>
      <w:sz w:val="26"/>
      <w:szCs w:val="26"/>
      <w:lang w:val="en-US" w:eastAsia="en-US"/>
    </w:rPr>
  </w:style>
  <w:style w:type="character" w:styleId="Heading4Char" w:customStyle="1">
    <w:name w:val="Heading 4 Char"/>
    <w:link w:val="Heading4"/>
    <w:rsid w:val="00816867"/>
    <w:rPr>
      <w:rFonts w:ascii="Times New Roman" w:hAnsi="Times New Roman" w:eastAsia="Times New Roman"/>
      <w:b/>
      <w:bCs/>
      <w:sz w:val="28"/>
      <w:szCs w:val="28"/>
      <w:lang w:val="en-US" w:eastAsia="en-US"/>
    </w:rPr>
  </w:style>
  <w:style w:type="character" w:styleId="Heading5Char" w:customStyle="1">
    <w:name w:val="Heading 5 Char"/>
    <w:link w:val="Heading5"/>
    <w:rsid w:val="00816867"/>
    <w:rPr>
      <w:rFonts w:ascii="Times New Roman" w:hAnsi="Times New Roman" w:eastAsia="Times New Roman"/>
      <w:b/>
      <w:bCs/>
      <w:i/>
      <w:iCs/>
      <w:sz w:val="26"/>
      <w:szCs w:val="26"/>
      <w:lang w:val="en-US" w:eastAsia="en-US"/>
    </w:rPr>
  </w:style>
  <w:style w:type="character" w:styleId="Heading6Char" w:customStyle="1">
    <w:name w:val="Heading 6 Char"/>
    <w:link w:val="Heading6"/>
    <w:rsid w:val="00816867"/>
    <w:rPr>
      <w:rFonts w:ascii="Times New Roman" w:hAnsi="Times New Roman" w:eastAsia="Times New Roman"/>
      <w:b/>
      <w:bCs/>
      <w:sz w:val="22"/>
      <w:szCs w:val="22"/>
      <w:lang w:val="en-US" w:eastAsia="en-US"/>
    </w:rPr>
  </w:style>
  <w:style w:type="character" w:styleId="Heading7Char" w:customStyle="1">
    <w:name w:val="Heading 7 Char"/>
    <w:link w:val="Heading7"/>
    <w:rsid w:val="00816867"/>
    <w:rPr>
      <w:rFonts w:ascii="Times New Roman" w:hAnsi="Times New Roman" w:eastAsia="Times New Roman"/>
      <w:sz w:val="24"/>
      <w:szCs w:val="24"/>
      <w:lang w:val="en-US" w:eastAsia="en-US"/>
    </w:rPr>
  </w:style>
  <w:style w:type="character" w:styleId="Heading8Char" w:customStyle="1">
    <w:name w:val="Heading 8 Char"/>
    <w:link w:val="Heading8"/>
    <w:rsid w:val="00816867"/>
    <w:rPr>
      <w:rFonts w:ascii="Times New Roman" w:hAnsi="Times New Roman" w:eastAsia="Times New Roman"/>
      <w:i/>
      <w:iCs/>
      <w:sz w:val="24"/>
      <w:szCs w:val="24"/>
      <w:lang w:val="en-US" w:eastAsia="en-US"/>
    </w:rPr>
  </w:style>
  <w:style w:type="character" w:styleId="Heading9Char" w:customStyle="1">
    <w:name w:val="Heading 9 Char"/>
    <w:link w:val="Heading9"/>
    <w:rsid w:val="00816867"/>
    <w:rPr>
      <w:rFonts w:ascii="Cambria" w:hAnsi="Cambria" w:eastAsia="Times New Roman"/>
      <w:sz w:val="22"/>
      <w:szCs w:val="22"/>
      <w:lang w:val="en-US" w:eastAsia="en-US"/>
    </w:rPr>
  </w:style>
  <w:style w:type="paragraph" w:styleId="BodyTextIndent">
    <w:name w:val="Body Text Indent"/>
    <w:basedOn w:val="Normal"/>
    <w:link w:val="BodyTextIndentChar"/>
    <w:rsid w:val="00816867"/>
    <w:pPr>
      <w:spacing w:after="120" w:line="240" w:lineRule="auto"/>
      <w:ind w:left="360"/>
    </w:pPr>
    <w:rPr>
      <w:sz w:val="24"/>
    </w:rPr>
  </w:style>
  <w:style w:type="character" w:styleId="BodyTextIndentChar" w:customStyle="1">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sz w:val="24"/>
      <w:szCs w:val="16"/>
    </w:rPr>
  </w:style>
  <w:style w:type="character" w:styleId="BodyTextIndent3Char" w:customStyle="1">
    <w:name w:val="Body Text Indent 3 Char"/>
    <w:link w:val="BodyTextIndent3"/>
    <w:rsid w:val="00816867"/>
    <w:rPr>
      <w:rFonts w:ascii="Times New Roman" w:hAnsi="Times New Roman"/>
      <w:sz w:val="24"/>
      <w:szCs w:val="16"/>
    </w:rPr>
  </w:style>
  <w:style w:type="character" w:styleId="Hyperlink">
    <w:name w:val="Hyperlink"/>
    <w:uiPriority w:val="99"/>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basedOn w:val="Normal"/>
    <w:uiPriority w:val="34"/>
    <w:qFormat/>
    <w:rsid w:val="00500393"/>
    <w:pPr>
      <w:ind w:left="708"/>
    </w:pPr>
  </w:style>
  <w:style w:type="paragraph" w:styleId="Caption">
    <w:name w:val="caption"/>
    <w:basedOn w:val="Normal"/>
    <w:next w:val="Normal"/>
    <w:unhideWhenUsed/>
    <w:qFormat/>
    <w:rsid w:val="00085551"/>
    <w:pPr>
      <w:spacing w:before="240" w:after="120" w:line="240" w:lineRule="auto"/>
      <w:jc w:val="center"/>
    </w:pPr>
    <w:rPr>
      <w:rFonts w:ascii="Arial" w:hAnsi="Arial"/>
      <w:b/>
      <w:bCs/>
      <w:sz w:val="20"/>
      <w:szCs w:val="18"/>
    </w:rPr>
  </w:style>
  <w:style w:type="paragraph" w:styleId="fuente" w:customStyle="1">
    <w:name w:val="fuente"/>
    <w:basedOn w:val="ListParagraph"/>
    <w:autoRedefine/>
    <w:qFormat/>
    <w:rsid w:val="003F36C8"/>
    <w:pPr>
      <w:spacing w:after="240" w:line="240" w:lineRule="auto"/>
      <w:ind w:left="720"/>
      <w:contextualSpacing/>
      <w:jc w:val="center"/>
      <w:textAlignment w:val="top"/>
    </w:pPr>
    <w:rPr>
      <w:sz w:val="18"/>
      <w:lang w:val="es-ES"/>
    </w:rPr>
  </w:style>
  <w:style w:type="paragraph" w:styleId="nota" w:customStyle="1">
    <w:name w:val="nota"/>
    <w:basedOn w:val="FootnoteText"/>
    <w:autoRedefine/>
    <w:qFormat/>
    <w:rsid w:val="00EF01A4"/>
    <w:pPr>
      <w:ind w:left="0" w:firstLine="0"/>
      <w:jc w:val="left"/>
    </w:pPr>
    <w:rPr>
      <w:rFonts w:ascii="Arial" w:hAnsi="Arial" w:cs="Arial"/>
      <w:sz w:val="18"/>
      <w:szCs w:val="20"/>
      <w:lang w:val="es-ES"/>
    </w:rPr>
  </w:style>
  <w:style w:type="character" w:styleId="tlid-translation" w:customStyle="1">
    <w:name w:val="tlid-translation"/>
    <w:basedOn w:val="DefaultParagraphFont"/>
    <w:rsid w:val="004C60FF"/>
  </w:style>
  <w:style w:type="character" w:styleId="Heading1Char" w:customStyle="1">
    <w:name w:val="Heading 1 Char"/>
    <w:basedOn w:val="DefaultParagraphFont"/>
    <w:link w:val="Heading1"/>
    <w:uiPriority w:val="9"/>
    <w:rsid w:val="003F36C8"/>
    <w:rPr>
      <w:rFonts w:asciiTheme="majorHAnsi" w:hAnsiTheme="majorHAnsi" w:eastAsiaTheme="majorEastAsia" w:cstheme="majorBidi"/>
      <w:b/>
      <w:bCs/>
      <w:color w:val="365F91" w:themeColor="accent1" w:themeShade="BF"/>
      <w:sz w:val="28"/>
      <w:szCs w:val="28"/>
      <w:lang w:val="en-US" w:eastAsia="ja-JP"/>
    </w:rPr>
  </w:style>
  <w:style w:type="paragraph" w:styleId="Bibliography">
    <w:name w:val="Bibliography"/>
    <w:basedOn w:val="Normal"/>
    <w:next w:val="Normal"/>
    <w:rsid w:val="003F36C8"/>
  </w:style>
  <w:style w:type="character" w:styleId="PlaceholderText">
    <w:name w:val="Placeholder Text"/>
    <w:basedOn w:val="DefaultParagraphFont"/>
    <w:rsid w:val="003C6009"/>
    <w:rPr>
      <w:color w:val="808080"/>
    </w:rPr>
  </w:style>
  <w:style w:type="character" w:styleId="UnresolvedMention">
    <w:name w:val="Unresolved Mention"/>
    <w:basedOn w:val="DefaultParagraphFont"/>
    <w:uiPriority w:val="99"/>
    <w:semiHidden/>
    <w:unhideWhenUsed/>
    <w:rsid w:val="00EF0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4267">
      <w:bodyDiv w:val="1"/>
      <w:marLeft w:val="0"/>
      <w:marRight w:val="0"/>
      <w:marTop w:val="0"/>
      <w:marBottom w:val="0"/>
      <w:divBdr>
        <w:top w:val="none" w:sz="0" w:space="0" w:color="auto"/>
        <w:left w:val="none" w:sz="0" w:space="0" w:color="auto"/>
        <w:bottom w:val="none" w:sz="0" w:space="0" w:color="auto"/>
        <w:right w:val="none" w:sz="0" w:space="0" w:color="auto"/>
      </w:divBdr>
    </w:div>
    <w:div w:id="142089759">
      <w:bodyDiv w:val="1"/>
      <w:marLeft w:val="0"/>
      <w:marRight w:val="0"/>
      <w:marTop w:val="0"/>
      <w:marBottom w:val="0"/>
      <w:divBdr>
        <w:top w:val="none" w:sz="0" w:space="0" w:color="auto"/>
        <w:left w:val="none" w:sz="0" w:space="0" w:color="auto"/>
        <w:bottom w:val="none" w:sz="0" w:space="0" w:color="auto"/>
        <w:right w:val="none" w:sz="0" w:space="0" w:color="auto"/>
      </w:divBdr>
    </w:div>
    <w:div w:id="169638567">
      <w:bodyDiv w:val="1"/>
      <w:marLeft w:val="0"/>
      <w:marRight w:val="0"/>
      <w:marTop w:val="0"/>
      <w:marBottom w:val="0"/>
      <w:divBdr>
        <w:top w:val="none" w:sz="0" w:space="0" w:color="auto"/>
        <w:left w:val="none" w:sz="0" w:space="0" w:color="auto"/>
        <w:bottom w:val="none" w:sz="0" w:space="0" w:color="auto"/>
        <w:right w:val="none" w:sz="0" w:space="0" w:color="auto"/>
      </w:divBdr>
    </w:div>
    <w:div w:id="191114579">
      <w:bodyDiv w:val="1"/>
      <w:marLeft w:val="0"/>
      <w:marRight w:val="0"/>
      <w:marTop w:val="0"/>
      <w:marBottom w:val="0"/>
      <w:divBdr>
        <w:top w:val="none" w:sz="0" w:space="0" w:color="auto"/>
        <w:left w:val="none" w:sz="0" w:space="0" w:color="auto"/>
        <w:bottom w:val="none" w:sz="0" w:space="0" w:color="auto"/>
        <w:right w:val="none" w:sz="0" w:space="0" w:color="auto"/>
      </w:divBdr>
    </w:div>
    <w:div w:id="192421817">
      <w:bodyDiv w:val="1"/>
      <w:marLeft w:val="0"/>
      <w:marRight w:val="0"/>
      <w:marTop w:val="0"/>
      <w:marBottom w:val="0"/>
      <w:divBdr>
        <w:top w:val="none" w:sz="0" w:space="0" w:color="auto"/>
        <w:left w:val="none" w:sz="0" w:space="0" w:color="auto"/>
        <w:bottom w:val="none" w:sz="0" w:space="0" w:color="auto"/>
        <w:right w:val="none" w:sz="0" w:space="0" w:color="auto"/>
      </w:divBdr>
    </w:div>
    <w:div w:id="381247484">
      <w:bodyDiv w:val="1"/>
      <w:marLeft w:val="0"/>
      <w:marRight w:val="0"/>
      <w:marTop w:val="0"/>
      <w:marBottom w:val="0"/>
      <w:divBdr>
        <w:top w:val="none" w:sz="0" w:space="0" w:color="auto"/>
        <w:left w:val="none" w:sz="0" w:space="0" w:color="auto"/>
        <w:bottom w:val="none" w:sz="0" w:space="0" w:color="auto"/>
        <w:right w:val="none" w:sz="0" w:space="0" w:color="auto"/>
      </w:divBdr>
    </w:div>
    <w:div w:id="394865205">
      <w:bodyDiv w:val="1"/>
      <w:marLeft w:val="0"/>
      <w:marRight w:val="0"/>
      <w:marTop w:val="0"/>
      <w:marBottom w:val="0"/>
      <w:divBdr>
        <w:top w:val="none" w:sz="0" w:space="0" w:color="auto"/>
        <w:left w:val="none" w:sz="0" w:space="0" w:color="auto"/>
        <w:bottom w:val="none" w:sz="0" w:space="0" w:color="auto"/>
        <w:right w:val="none" w:sz="0" w:space="0" w:color="auto"/>
      </w:divBdr>
    </w:div>
    <w:div w:id="395511328">
      <w:bodyDiv w:val="1"/>
      <w:marLeft w:val="0"/>
      <w:marRight w:val="0"/>
      <w:marTop w:val="0"/>
      <w:marBottom w:val="0"/>
      <w:divBdr>
        <w:top w:val="none" w:sz="0" w:space="0" w:color="auto"/>
        <w:left w:val="none" w:sz="0" w:space="0" w:color="auto"/>
        <w:bottom w:val="none" w:sz="0" w:space="0" w:color="auto"/>
        <w:right w:val="none" w:sz="0" w:space="0" w:color="auto"/>
      </w:divBdr>
      <w:divsChild>
        <w:div w:id="1666784906">
          <w:marLeft w:val="0"/>
          <w:marRight w:val="0"/>
          <w:marTop w:val="0"/>
          <w:marBottom w:val="0"/>
          <w:divBdr>
            <w:top w:val="none" w:sz="0" w:space="0" w:color="auto"/>
            <w:left w:val="none" w:sz="0" w:space="0" w:color="auto"/>
            <w:bottom w:val="none" w:sz="0" w:space="0" w:color="auto"/>
            <w:right w:val="none" w:sz="0" w:space="0" w:color="auto"/>
          </w:divBdr>
          <w:divsChild>
            <w:div w:id="134751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7241093">
      <w:bodyDiv w:val="1"/>
      <w:marLeft w:val="0"/>
      <w:marRight w:val="0"/>
      <w:marTop w:val="0"/>
      <w:marBottom w:val="0"/>
      <w:divBdr>
        <w:top w:val="none" w:sz="0" w:space="0" w:color="auto"/>
        <w:left w:val="none" w:sz="0" w:space="0" w:color="auto"/>
        <w:bottom w:val="none" w:sz="0" w:space="0" w:color="auto"/>
        <w:right w:val="none" w:sz="0" w:space="0" w:color="auto"/>
      </w:divBdr>
    </w:div>
    <w:div w:id="467631687">
      <w:bodyDiv w:val="1"/>
      <w:marLeft w:val="0"/>
      <w:marRight w:val="0"/>
      <w:marTop w:val="0"/>
      <w:marBottom w:val="0"/>
      <w:divBdr>
        <w:top w:val="none" w:sz="0" w:space="0" w:color="auto"/>
        <w:left w:val="none" w:sz="0" w:space="0" w:color="auto"/>
        <w:bottom w:val="none" w:sz="0" w:space="0" w:color="auto"/>
        <w:right w:val="none" w:sz="0" w:space="0" w:color="auto"/>
      </w:divBdr>
    </w:div>
    <w:div w:id="507721869">
      <w:bodyDiv w:val="1"/>
      <w:marLeft w:val="0"/>
      <w:marRight w:val="0"/>
      <w:marTop w:val="0"/>
      <w:marBottom w:val="0"/>
      <w:divBdr>
        <w:top w:val="none" w:sz="0" w:space="0" w:color="auto"/>
        <w:left w:val="none" w:sz="0" w:space="0" w:color="auto"/>
        <w:bottom w:val="none" w:sz="0" w:space="0" w:color="auto"/>
        <w:right w:val="none" w:sz="0" w:space="0" w:color="auto"/>
      </w:divBdr>
    </w:div>
    <w:div w:id="521282070">
      <w:bodyDiv w:val="1"/>
      <w:marLeft w:val="0"/>
      <w:marRight w:val="0"/>
      <w:marTop w:val="0"/>
      <w:marBottom w:val="0"/>
      <w:divBdr>
        <w:top w:val="none" w:sz="0" w:space="0" w:color="auto"/>
        <w:left w:val="none" w:sz="0" w:space="0" w:color="auto"/>
        <w:bottom w:val="none" w:sz="0" w:space="0" w:color="auto"/>
        <w:right w:val="none" w:sz="0" w:space="0" w:color="auto"/>
      </w:divBdr>
    </w:div>
    <w:div w:id="556236241">
      <w:bodyDiv w:val="1"/>
      <w:marLeft w:val="0"/>
      <w:marRight w:val="0"/>
      <w:marTop w:val="0"/>
      <w:marBottom w:val="0"/>
      <w:divBdr>
        <w:top w:val="none" w:sz="0" w:space="0" w:color="auto"/>
        <w:left w:val="none" w:sz="0" w:space="0" w:color="auto"/>
        <w:bottom w:val="none" w:sz="0" w:space="0" w:color="auto"/>
        <w:right w:val="none" w:sz="0" w:space="0" w:color="auto"/>
      </w:divBdr>
    </w:div>
    <w:div w:id="602761696">
      <w:bodyDiv w:val="1"/>
      <w:marLeft w:val="0"/>
      <w:marRight w:val="0"/>
      <w:marTop w:val="0"/>
      <w:marBottom w:val="0"/>
      <w:divBdr>
        <w:top w:val="none" w:sz="0" w:space="0" w:color="auto"/>
        <w:left w:val="none" w:sz="0" w:space="0" w:color="auto"/>
        <w:bottom w:val="none" w:sz="0" w:space="0" w:color="auto"/>
        <w:right w:val="none" w:sz="0" w:space="0" w:color="auto"/>
      </w:divBdr>
    </w:div>
    <w:div w:id="619191734">
      <w:bodyDiv w:val="1"/>
      <w:marLeft w:val="0"/>
      <w:marRight w:val="0"/>
      <w:marTop w:val="0"/>
      <w:marBottom w:val="0"/>
      <w:divBdr>
        <w:top w:val="none" w:sz="0" w:space="0" w:color="auto"/>
        <w:left w:val="none" w:sz="0" w:space="0" w:color="auto"/>
        <w:bottom w:val="none" w:sz="0" w:space="0" w:color="auto"/>
        <w:right w:val="none" w:sz="0" w:space="0" w:color="auto"/>
      </w:divBdr>
    </w:div>
    <w:div w:id="680544501">
      <w:bodyDiv w:val="1"/>
      <w:marLeft w:val="0"/>
      <w:marRight w:val="0"/>
      <w:marTop w:val="0"/>
      <w:marBottom w:val="0"/>
      <w:divBdr>
        <w:top w:val="none" w:sz="0" w:space="0" w:color="auto"/>
        <w:left w:val="none" w:sz="0" w:space="0" w:color="auto"/>
        <w:bottom w:val="none" w:sz="0" w:space="0" w:color="auto"/>
        <w:right w:val="none" w:sz="0" w:space="0" w:color="auto"/>
      </w:divBdr>
    </w:div>
    <w:div w:id="698049274">
      <w:bodyDiv w:val="1"/>
      <w:marLeft w:val="0"/>
      <w:marRight w:val="0"/>
      <w:marTop w:val="0"/>
      <w:marBottom w:val="0"/>
      <w:divBdr>
        <w:top w:val="none" w:sz="0" w:space="0" w:color="auto"/>
        <w:left w:val="none" w:sz="0" w:space="0" w:color="auto"/>
        <w:bottom w:val="none" w:sz="0" w:space="0" w:color="auto"/>
        <w:right w:val="none" w:sz="0" w:space="0" w:color="auto"/>
      </w:divBdr>
    </w:div>
    <w:div w:id="701444426">
      <w:bodyDiv w:val="1"/>
      <w:marLeft w:val="0"/>
      <w:marRight w:val="0"/>
      <w:marTop w:val="0"/>
      <w:marBottom w:val="0"/>
      <w:divBdr>
        <w:top w:val="none" w:sz="0" w:space="0" w:color="auto"/>
        <w:left w:val="none" w:sz="0" w:space="0" w:color="auto"/>
        <w:bottom w:val="none" w:sz="0" w:space="0" w:color="auto"/>
        <w:right w:val="none" w:sz="0" w:space="0" w:color="auto"/>
      </w:divBdr>
    </w:div>
    <w:div w:id="707341190">
      <w:bodyDiv w:val="1"/>
      <w:marLeft w:val="0"/>
      <w:marRight w:val="0"/>
      <w:marTop w:val="0"/>
      <w:marBottom w:val="0"/>
      <w:divBdr>
        <w:top w:val="none" w:sz="0" w:space="0" w:color="auto"/>
        <w:left w:val="none" w:sz="0" w:space="0" w:color="auto"/>
        <w:bottom w:val="none" w:sz="0" w:space="0" w:color="auto"/>
        <w:right w:val="none" w:sz="0" w:space="0" w:color="auto"/>
      </w:divBdr>
    </w:div>
    <w:div w:id="780607669">
      <w:bodyDiv w:val="1"/>
      <w:marLeft w:val="0"/>
      <w:marRight w:val="0"/>
      <w:marTop w:val="0"/>
      <w:marBottom w:val="0"/>
      <w:divBdr>
        <w:top w:val="none" w:sz="0" w:space="0" w:color="auto"/>
        <w:left w:val="none" w:sz="0" w:space="0" w:color="auto"/>
        <w:bottom w:val="none" w:sz="0" w:space="0" w:color="auto"/>
        <w:right w:val="none" w:sz="0" w:space="0" w:color="auto"/>
      </w:divBdr>
    </w:div>
    <w:div w:id="791630859">
      <w:bodyDiv w:val="1"/>
      <w:marLeft w:val="0"/>
      <w:marRight w:val="0"/>
      <w:marTop w:val="0"/>
      <w:marBottom w:val="0"/>
      <w:divBdr>
        <w:top w:val="none" w:sz="0" w:space="0" w:color="auto"/>
        <w:left w:val="none" w:sz="0" w:space="0" w:color="auto"/>
        <w:bottom w:val="none" w:sz="0" w:space="0" w:color="auto"/>
        <w:right w:val="none" w:sz="0" w:space="0" w:color="auto"/>
      </w:divBdr>
    </w:div>
    <w:div w:id="813908092">
      <w:bodyDiv w:val="1"/>
      <w:marLeft w:val="0"/>
      <w:marRight w:val="0"/>
      <w:marTop w:val="0"/>
      <w:marBottom w:val="0"/>
      <w:divBdr>
        <w:top w:val="none" w:sz="0" w:space="0" w:color="auto"/>
        <w:left w:val="none" w:sz="0" w:space="0" w:color="auto"/>
        <w:bottom w:val="none" w:sz="0" w:space="0" w:color="auto"/>
        <w:right w:val="none" w:sz="0" w:space="0" w:color="auto"/>
      </w:divBdr>
    </w:div>
    <w:div w:id="816412251">
      <w:bodyDiv w:val="1"/>
      <w:marLeft w:val="0"/>
      <w:marRight w:val="0"/>
      <w:marTop w:val="0"/>
      <w:marBottom w:val="0"/>
      <w:divBdr>
        <w:top w:val="none" w:sz="0" w:space="0" w:color="auto"/>
        <w:left w:val="none" w:sz="0" w:space="0" w:color="auto"/>
        <w:bottom w:val="none" w:sz="0" w:space="0" w:color="auto"/>
        <w:right w:val="none" w:sz="0" w:space="0" w:color="auto"/>
      </w:divBdr>
    </w:div>
    <w:div w:id="887573277">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26580190">
      <w:bodyDiv w:val="1"/>
      <w:marLeft w:val="0"/>
      <w:marRight w:val="0"/>
      <w:marTop w:val="0"/>
      <w:marBottom w:val="0"/>
      <w:divBdr>
        <w:top w:val="none" w:sz="0" w:space="0" w:color="auto"/>
        <w:left w:val="none" w:sz="0" w:space="0" w:color="auto"/>
        <w:bottom w:val="none" w:sz="0" w:space="0" w:color="auto"/>
        <w:right w:val="none" w:sz="0" w:space="0" w:color="auto"/>
      </w:divBdr>
    </w:div>
    <w:div w:id="958494090">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260168">
      <w:bodyDiv w:val="1"/>
      <w:marLeft w:val="0"/>
      <w:marRight w:val="0"/>
      <w:marTop w:val="0"/>
      <w:marBottom w:val="0"/>
      <w:divBdr>
        <w:top w:val="none" w:sz="0" w:space="0" w:color="auto"/>
        <w:left w:val="none" w:sz="0" w:space="0" w:color="auto"/>
        <w:bottom w:val="none" w:sz="0" w:space="0" w:color="auto"/>
        <w:right w:val="none" w:sz="0" w:space="0" w:color="auto"/>
      </w:divBdr>
    </w:div>
    <w:div w:id="1260720288">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70686078">
      <w:bodyDiv w:val="1"/>
      <w:marLeft w:val="0"/>
      <w:marRight w:val="0"/>
      <w:marTop w:val="0"/>
      <w:marBottom w:val="0"/>
      <w:divBdr>
        <w:top w:val="none" w:sz="0" w:space="0" w:color="auto"/>
        <w:left w:val="none" w:sz="0" w:space="0" w:color="auto"/>
        <w:bottom w:val="none" w:sz="0" w:space="0" w:color="auto"/>
        <w:right w:val="none" w:sz="0" w:space="0" w:color="auto"/>
      </w:divBdr>
    </w:div>
    <w:div w:id="1371031914">
      <w:bodyDiv w:val="1"/>
      <w:marLeft w:val="0"/>
      <w:marRight w:val="0"/>
      <w:marTop w:val="0"/>
      <w:marBottom w:val="0"/>
      <w:divBdr>
        <w:top w:val="none" w:sz="0" w:space="0" w:color="auto"/>
        <w:left w:val="none" w:sz="0" w:space="0" w:color="auto"/>
        <w:bottom w:val="none" w:sz="0" w:space="0" w:color="auto"/>
        <w:right w:val="none" w:sz="0" w:space="0" w:color="auto"/>
      </w:divBdr>
    </w:div>
    <w:div w:id="1418986284">
      <w:bodyDiv w:val="1"/>
      <w:marLeft w:val="0"/>
      <w:marRight w:val="0"/>
      <w:marTop w:val="0"/>
      <w:marBottom w:val="0"/>
      <w:divBdr>
        <w:top w:val="none" w:sz="0" w:space="0" w:color="auto"/>
        <w:left w:val="none" w:sz="0" w:space="0" w:color="auto"/>
        <w:bottom w:val="none" w:sz="0" w:space="0" w:color="auto"/>
        <w:right w:val="none" w:sz="0" w:space="0" w:color="auto"/>
      </w:divBdr>
    </w:div>
    <w:div w:id="1420563466">
      <w:bodyDiv w:val="1"/>
      <w:marLeft w:val="0"/>
      <w:marRight w:val="0"/>
      <w:marTop w:val="0"/>
      <w:marBottom w:val="0"/>
      <w:divBdr>
        <w:top w:val="none" w:sz="0" w:space="0" w:color="auto"/>
        <w:left w:val="none" w:sz="0" w:space="0" w:color="auto"/>
        <w:bottom w:val="none" w:sz="0" w:space="0" w:color="auto"/>
        <w:right w:val="none" w:sz="0" w:space="0" w:color="auto"/>
      </w:divBdr>
    </w:div>
    <w:div w:id="1443914352">
      <w:bodyDiv w:val="1"/>
      <w:marLeft w:val="0"/>
      <w:marRight w:val="0"/>
      <w:marTop w:val="0"/>
      <w:marBottom w:val="0"/>
      <w:divBdr>
        <w:top w:val="none" w:sz="0" w:space="0" w:color="auto"/>
        <w:left w:val="none" w:sz="0" w:space="0" w:color="auto"/>
        <w:bottom w:val="none" w:sz="0" w:space="0" w:color="auto"/>
        <w:right w:val="none" w:sz="0" w:space="0" w:color="auto"/>
      </w:divBdr>
    </w:div>
    <w:div w:id="1490513815">
      <w:bodyDiv w:val="1"/>
      <w:marLeft w:val="0"/>
      <w:marRight w:val="0"/>
      <w:marTop w:val="0"/>
      <w:marBottom w:val="0"/>
      <w:divBdr>
        <w:top w:val="none" w:sz="0" w:space="0" w:color="auto"/>
        <w:left w:val="none" w:sz="0" w:space="0" w:color="auto"/>
        <w:bottom w:val="none" w:sz="0" w:space="0" w:color="auto"/>
        <w:right w:val="none" w:sz="0" w:space="0" w:color="auto"/>
      </w:divBdr>
    </w:div>
    <w:div w:id="1498300811">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72306792">
      <w:bodyDiv w:val="1"/>
      <w:marLeft w:val="0"/>
      <w:marRight w:val="0"/>
      <w:marTop w:val="0"/>
      <w:marBottom w:val="0"/>
      <w:divBdr>
        <w:top w:val="none" w:sz="0" w:space="0" w:color="auto"/>
        <w:left w:val="none" w:sz="0" w:space="0" w:color="auto"/>
        <w:bottom w:val="none" w:sz="0" w:space="0" w:color="auto"/>
        <w:right w:val="none" w:sz="0" w:space="0" w:color="auto"/>
      </w:divBdr>
    </w:div>
    <w:div w:id="1606956827">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37164997">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835082">
      <w:bodyDiv w:val="1"/>
      <w:marLeft w:val="0"/>
      <w:marRight w:val="0"/>
      <w:marTop w:val="0"/>
      <w:marBottom w:val="0"/>
      <w:divBdr>
        <w:top w:val="none" w:sz="0" w:space="0" w:color="auto"/>
        <w:left w:val="none" w:sz="0" w:space="0" w:color="auto"/>
        <w:bottom w:val="none" w:sz="0" w:space="0" w:color="auto"/>
        <w:right w:val="none" w:sz="0" w:space="0" w:color="auto"/>
      </w:divBdr>
    </w:div>
    <w:div w:id="1885214524">
      <w:bodyDiv w:val="1"/>
      <w:marLeft w:val="0"/>
      <w:marRight w:val="0"/>
      <w:marTop w:val="0"/>
      <w:marBottom w:val="0"/>
      <w:divBdr>
        <w:top w:val="none" w:sz="0" w:space="0" w:color="auto"/>
        <w:left w:val="none" w:sz="0" w:space="0" w:color="auto"/>
        <w:bottom w:val="none" w:sz="0" w:space="0" w:color="auto"/>
        <w:right w:val="none" w:sz="0" w:space="0" w:color="auto"/>
      </w:divBdr>
    </w:div>
    <w:div w:id="1902057577">
      <w:bodyDiv w:val="1"/>
      <w:marLeft w:val="0"/>
      <w:marRight w:val="0"/>
      <w:marTop w:val="0"/>
      <w:marBottom w:val="0"/>
      <w:divBdr>
        <w:top w:val="none" w:sz="0" w:space="0" w:color="auto"/>
        <w:left w:val="none" w:sz="0" w:space="0" w:color="auto"/>
        <w:bottom w:val="none" w:sz="0" w:space="0" w:color="auto"/>
        <w:right w:val="none" w:sz="0" w:space="0" w:color="auto"/>
      </w:divBdr>
    </w:div>
    <w:div w:id="1911112826">
      <w:bodyDiv w:val="1"/>
      <w:marLeft w:val="0"/>
      <w:marRight w:val="0"/>
      <w:marTop w:val="0"/>
      <w:marBottom w:val="0"/>
      <w:divBdr>
        <w:top w:val="none" w:sz="0" w:space="0" w:color="auto"/>
        <w:left w:val="none" w:sz="0" w:space="0" w:color="auto"/>
        <w:bottom w:val="none" w:sz="0" w:space="0" w:color="auto"/>
        <w:right w:val="none" w:sz="0" w:space="0" w:color="auto"/>
      </w:divBdr>
    </w:div>
    <w:div w:id="1926526822">
      <w:bodyDiv w:val="1"/>
      <w:marLeft w:val="0"/>
      <w:marRight w:val="0"/>
      <w:marTop w:val="0"/>
      <w:marBottom w:val="0"/>
      <w:divBdr>
        <w:top w:val="none" w:sz="0" w:space="0" w:color="auto"/>
        <w:left w:val="none" w:sz="0" w:space="0" w:color="auto"/>
        <w:bottom w:val="none" w:sz="0" w:space="0" w:color="auto"/>
        <w:right w:val="none" w:sz="0" w:space="0" w:color="auto"/>
      </w:divBdr>
    </w:div>
    <w:div w:id="1928345443">
      <w:bodyDiv w:val="1"/>
      <w:marLeft w:val="0"/>
      <w:marRight w:val="0"/>
      <w:marTop w:val="0"/>
      <w:marBottom w:val="0"/>
      <w:divBdr>
        <w:top w:val="none" w:sz="0" w:space="0" w:color="auto"/>
        <w:left w:val="none" w:sz="0" w:space="0" w:color="auto"/>
        <w:bottom w:val="none" w:sz="0" w:space="0" w:color="auto"/>
        <w:right w:val="none" w:sz="0" w:space="0" w:color="auto"/>
      </w:divBdr>
    </w:div>
    <w:div w:id="1931114175">
      <w:bodyDiv w:val="1"/>
      <w:marLeft w:val="0"/>
      <w:marRight w:val="0"/>
      <w:marTop w:val="0"/>
      <w:marBottom w:val="0"/>
      <w:divBdr>
        <w:top w:val="none" w:sz="0" w:space="0" w:color="auto"/>
        <w:left w:val="none" w:sz="0" w:space="0" w:color="auto"/>
        <w:bottom w:val="none" w:sz="0" w:space="0" w:color="auto"/>
        <w:right w:val="none" w:sz="0" w:space="0" w:color="auto"/>
      </w:divBdr>
    </w:div>
    <w:div w:id="1973053048">
      <w:bodyDiv w:val="1"/>
      <w:marLeft w:val="0"/>
      <w:marRight w:val="0"/>
      <w:marTop w:val="0"/>
      <w:marBottom w:val="0"/>
      <w:divBdr>
        <w:top w:val="none" w:sz="0" w:space="0" w:color="auto"/>
        <w:left w:val="none" w:sz="0" w:space="0" w:color="auto"/>
        <w:bottom w:val="none" w:sz="0" w:space="0" w:color="auto"/>
        <w:right w:val="none" w:sz="0" w:space="0" w:color="auto"/>
      </w:divBdr>
    </w:div>
    <w:div w:id="2057122053">
      <w:bodyDiv w:val="1"/>
      <w:marLeft w:val="0"/>
      <w:marRight w:val="0"/>
      <w:marTop w:val="0"/>
      <w:marBottom w:val="0"/>
      <w:divBdr>
        <w:top w:val="none" w:sz="0" w:space="0" w:color="auto"/>
        <w:left w:val="none" w:sz="0" w:space="0" w:color="auto"/>
        <w:bottom w:val="none" w:sz="0" w:space="0" w:color="auto"/>
        <w:right w:val="none" w:sz="0" w:space="0" w:color="auto"/>
      </w:divBdr>
    </w:div>
    <w:div w:id="2075660887">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settings" Target="settings.xml" Id="rId10" /><Relationship Type="http://schemas.openxmlformats.org/officeDocument/2006/relationships/customXml" Target="../customXml/item8.xml" Id="rId19" /><Relationship Type="http://schemas.openxmlformats.org/officeDocument/2006/relationships/chart" Target="charts/chart1.xml" Id="rId14" /><Relationship Type="http://schemas.openxmlformats.org/officeDocument/2006/relationships/styles" Target="styles.xml" Id="rId9" /><Relationship Type="http://schemas.openxmlformats.org/officeDocument/2006/relationships/glossaryDocument" Target="/word/glossary/document.xml" Id="R0144be84e62444b8" /></Relationships>
</file>

<file path=word/_rels/footnotes.xml.rels><?xml version="1.0" encoding="UTF-8" standalone="yes"?>
<Relationships xmlns="http://schemas.openxmlformats.org/package/2006/relationships"><Relationship Id="rId3" Type="http://schemas.openxmlformats.org/officeDocument/2006/relationships/hyperlink" Target="https://data.unodc.org/" TargetMode="External"/><Relationship Id="rId7" Type="http://schemas.openxmlformats.org/officeDocument/2006/relationships/hyperlink" Target="http://www.oas.org/dil/esp/codigo_penal_costa_rica.pdf" TargetMode="External"/><Relationship Id="rId2" Type="http://schemas.openxmlformats.org/officeDocument/2006/relationships/hyperlink" Target="http://www.wsipp.wa.gov/BenefitCost/Program/535" TargetMode="External"/><Relationship Id="rId1" Type="http://schemas.openxmlformats.org/officeDocument/2006/relationships/hyperlink" Target="https://cebcp.org/evidence-based-policing/what-works-in-policing/research-evidence-review/" TargetMode="External"/><Relationship Id="rId6" Type="http://schemas.openxmlformats.org/officeDocument/2006/relationships/hyperlink" Target="https://www.imf.org/external/datamapper/NGDP_RPCH@WEO/OEMDC/ADVEC/WEOWORLD" TargetMode="External"/><Relationship Id="rId5" Type="http://schemas.openxmlformats.org/officeDocument/2006/relationships/hyperlink" Target="http://www.mtss.go.cr/temas-laborales/salarios/decretos/Decreto_salarios_2019.pdf" TargetMode="External"/><Relationship Id="rId4" Type="http://schemas.openxmlformats.org/officeDocument/2006/relationships/hyperlink" Target="https://sitiooij.poder-judicial.go.cr/index.php/component/phocadownload/category/34-memoria-institucional-oij"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Ivonne\Documents\CEES\Proyectos\12.%20CBA%20Costa%20Rica\Datos\Datos%20homicidi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144685039370079"/>
          <c:y val="0.16289552347623212"/>
          <c:w val="0.84799759405074371"/>
          <c:h val="0.72112459900845727"/>
        </c:manualLayout>
      </c:layout>
      <c:lineChart>
        <c:grouping val="standard"/>
        <c:varyColors val="0"/>
        <c:ser>
          <c:idx val="1"/>
          <c:order val="1"/>
          <c:tx>
            <c:v>Homicidios</c:v>
          </c:tx>
          <c:spPr>
            <a:ln w="22225">
              <a:solidFill>
                <a:srgbClr val="C00000"/>
              </a:solidFill>
            </a:ln>
          </c:spPr>
          <c:marker>
            <c:symbol val="none"/>
          </c:marker>
          <c:cat>
            <c:numRef>
              <c:f>Hom!$B$4:$B$18</c:f>
              <c:numCache>
                <c:formatCode>General</c:formatCode>
                <c:ptCount val="15"/>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cat>
          <c:val>
            <c:numRef>
              <c:f>Hom!$I$4:$I$19</c:f>
              <c:numCache>
                <c:formatCode>0.0%</c:formatCode>
                <c:ptCount val="16"/>
                <c:pt idx="1">
                  <c:v>-8.0279564309447937E-2</c:v>
                </c:pt>
                <c:pt idx="2">
                  <c:v>0.17930278715237691</c:v>
                </c:pt>
                <c:pt idx="3">
                  <c:v>3.2940814876413649E-2</c:v>
                </c:pt>
                <c:pt idx="4">
                  <c:v>3.6683802191707748E-2</c:v>
                </c:pt>
                <c:pt idx="5">
                  <c:v>0.36872615244387208</c:v>
                </c:pt>
                <c:pt idx="6">
                  <c:v>1.1967424751200939E-2</c:v>
                </c:pt>
                <c:pt idx="7">
                  <c:v>-8.7814005577097065E-3</c:v>
                </c:pt>
                <c:pt idx="8">
                  <c:v>-0.11136402340349694</c:v>
                </c:pt>
                <c:pt idx="9">
                  <c:v>-0.15125019832134212</c:v>
                </c:pt>
                <c:pt idx="10">
                  <c:v>-1.3904346911955967E-3</c:v>
                </c:pt>
                <c:pt idx="11">
                  <c:v>0.1481006544139627</c:v>
                </c:pt>
                <c:pt idx="12">
                  <c:v>0.17418253328670263</c:v>
                </c:pt>
                <c:pt idx="13">
                  <c:v>2.3432862190813086E-3</c:v>
                </c:pt>
                <c:pt idx="14">
                  <c:v>2.5423728813559254E-2</c:v>
                </c:pt>
                <c:pt idx="15">
                  <c:v>4.7070525098371618E-3</c:v>
                </c:pt>
              </c:numCache>
            </c:numRef>
          </c:val>
          <c:smooth val="1"/>
          <c:extLst>
            <c:ext xmlns:c16="http://schemas.microsoft.com/office/drawing/2014/chart" uri="{C3380CC4-5D6E-409C-BE32-E72D297353CC}">
              <c16:uniqueId val="{00000000-6C1F-4C8A-BD6B-64284BDC6784}"/>
            </c:ext>
          </c:extLst>
        </c:ser>
        <c:dLbls>
          <c:showLegendKey val="0"/>
          <c:showVal val="0"/>
          <c:showCatName val="0"/>
          <c:showSerName val="0"/>
          <c:showPercent val="0"/>
          <c:showBubbleSize val="0"/>
        </c:dLbls>
        <c:marker val="1"/>
        <c:smooth val="0"/>
        <c:axId val="117503872"/>
        <c:axId val="117505408"/>
      </c:lineChart>
      <c:lineChart>
        <c:grouping val="standard"/>
        <c:varyColors val="0"/>
        <c:ser>
          <c:idx val="0"/>
          <c:order val="0"/>
          <c:tx>
            <c:v>Desempleo (eje der.)</c:v>
          </c:tx>
          <c:spPr>
            <a:ln w="22225">
              <a:solidFill>
                <a:schemeClr val="tx2">
                  <a:lumMod val="60000"/>
                  <a:lumOff val="40000"/>
                </a:schemeClr>
              </a:solidFill>
              <a:prstDash val="solid"/>
            </a:ln>
          </c:spPr>
          <c:marker>
            <c:symbol val="none"/>
          </c:marker>
          <c:cat>
            <c:numRef>
              <c:f>Hom!$B$4:$B$18</c:f>
              <c:numCache>
                <c:formatCode>General</c:formatCode>
                <c:ptCount val="15"/>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cat>
          <c:val>
            <c:numRef>
              <c:f>Hom!$K$4:$K$18</c:f>
              <c:numCache>
                <c:formatCode>0%</c:formatCode>
                <c:ptCount val="15"/>
                <c:pt idx="1">
                  <c:v>-2.5914646002559105E-2</c:v>
                </c:pt>
                <c:pt idx="2">
                  <c:v>2.8169062431417036E-2</c:v>
                </c:pt>
                <c:pt idx="3">
                  <c:v>-0.12633186892799342</c:v>
                </c:pt>
                <c:pt idx="4">
                  <c:v>-0.21777004352676099</c:v>
                </c:pt>
                <c:pt idx="5">
                  <c:v>6.4588074270206519E-2</c:v>
                </c:pt>
                <c:pt idx="6">
                  <c:v>0.61297064847955229</c:v>
                </c:pt>
                <c:pt idx="7">
                  <c:v>0.15693904437875905</c:v>
                </c:pt>
                <c:pt idx="8">
                  <c:v>0.14125562983238793</c:v>
                </c:pt>
                <c:pt idx="9">
                  <c:v>-2.7504978217257059E-2</c:v>
                </c:pt>
                <c:pt idx="10">
                  <c:v>-9.4949456222590101E-2</c:v>
                </c:pt>
                <c:pt idx="11">
                  <c:v>1.7857125751218117E-2</c:v>
                </c:pt>
                <c:pt idx="12">
                  <c:v>1.5350915030650336E-2</c:v>
                </c:pt>
                <c:pt idx="13">
                  <c:v>-3.0237654397911373E-2</c:v>
                </c:pt>
                <c:pt idx="14">
                  <c:v>-9.3541118233107512E-2</c:v>
                </c:pt>
              </c:numCache>
            </c:numRef>
          </c:val>
          <c:smooth val="1"/>
          <c:extLst>
            <c:ext xmlns:c16="http://schemas.microsoft.com/office/drawing/2014/chart" uri="{C3380CC4-5D6E-409C-BE32-E72D297353CC}">
              <c16:uniqueId val="{00000001-6C1F-4C8A-BD6B-64284BDC6784}"/>
            </c:ext>
          </c:extLst>
        </c:ser>
        <c:dLbls>
          <c:showLegendKey val="0"/>
          <c:showVal val="0"/>
          <c:showCatName val="0"/>
          <c:showSerName val="0"/>
          <c:showPercent val="0"/>
          <c:showBubbleSize val="0"/>
        </c:dLbls>
        <c:marker val="1"/>
        <c:smooth val="0"/>
        <c:axId val="124199680"/>
        <c:axId val="120362880"/>
      </c:lineChart>
      <c:catAx>
        <c:axId val="117503872"/>
        <c:scaling>
          <c:orientation val="minMax"/>
        </c:scaling>
        <c:delete val="0"/>
        <c:axPos val="b"/>
        <c:numFmt formatCode="General" sourceLinked="1"/>
        <c:majorTickMark val="out"/>
        <c:minorTickMark val="none"/>
        <c:tickLblPos val="low"/>
        <c:crossAx val="117505408"/>
        <c:crosses val="autoZero"/>
        <c:auto val="1"/>
        <c:lblAlgn val="ctr"/>
        <c:lblOffset val="100"/>
        <c:tickLblSkip val="2"/>
        <c:noMultiLvlLbl val="0"/>
      </c:catAx>
      <c:valAx>
        <c:axId val="117505408"/>
        <c:scaling>
          <c:orientation val="minMax"/>
        </c:scaling>
        <c:delete val="0"/>
        <c:axPos val="l"/>
        <c:numFmt formatCode="0%" sourceLinked="0"/>
        <c:majorTickMark val="out"/>
        <c:minorTickMark val="none"/>
        <c:tickLblPos val="nextTo"/>
        <c:crossAx val="117503872"/>
        <c:crosses val="autoZero"/>
        <c:crossBetween val="between"/>
        <c:majorUnit val="0.2"/>
      </c:valAx>
      <c:valAx>
        <c:axId val="120362880"/>
        <c:scaling>
          <c:orientation val="minMax"/>
        </c:scaling>
        <c:delete val="0"/>
        <c:axPos val="r"/>
        <c:numFmt formatCode="0%" sourceLinked="0"/>
        <c:majorTickMark val="out"/>
        <c:minorTickMark val="none"/>
        <c:tickLblPos val="nextTo"/>
        <c:crossAx val="124199680"/>
        <c:crosses val="max"/>
        <c:crossBetween val="between"/>
        <c:majorUnit val="0.2"/>
      </c:valAx>
      <c:catAx>
        <c:axId val="124199680"/>
        <c:scaling>
          <c:orientation val="minMax"/>
        </c:scaling>
        <c:delete val="1"/>
        <c:axPos val="b"/>
        <c:numFmt formatCode="General" sourceLinked="1"/>
        <c:majorTickMark val="out"/>
        <c:minorTickMark val="none"/>
        <c:tickLblPos val="nextTo"/>
        <c:crossAx val="120362880"/>
        <c:crosses val="autoZero"/>
        <c:auto val="1"/>
        <c:lblAlgn val="ctr"/>
        <c:lblOffset val="100"/>
        <c:noMultiLvlLbl val="0"/>
      </c:catAx>
    </c:plotArea>
    <c:legend>
      <c:legendPos val="t"/>
      <c:overlay val="0"/>
    </c:legend>
    <c:plotVisOnly val="1"/>
    <c:dispBlanksAs val="gap"/>
    <c:showDLblsOverMax val="0"/>
  </c:chart>
  <c:spPr>
    <a:noFill/>
    <a:ln>
      <a:noFill/>
    </a:ln>
  </c:spPr>
  <c:txPr>
    <a:bodyPr/>
    <a:lstStyle/>
    <a:p>
      <a:pPr>
        <a:defRPr sz="800"/>
      </a:pPr>
      <a:endParaRPr lang="en-US"/>
    </a:p>
  </c:txPr>
  <c:externalData r:id="rId1">
    <c:autoUpdate val="0"/>
  </c:externalData>
</c:chartSpace>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95efc91-3169-44c6-9f32-cec0667b07e0}"/>
      </w:docPartPr>
      <w:docPartBody>
        <w:p w14:paraId="7177E0D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27</Value>
      <Value>26</Value>
      <Value>1</Value>
      <Value>28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CR-L1137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EZSHARE-822257051-60</_dlc_DocId>
    <_dlc_DocIdUrl xmlns="cdc7663a-08f0-4737-9e8c-148ce897a09c">
      <Url>https://idbg.sharepoint.com/teams/EZ-CR-LON/CR-L1137/_layouts/15/DocIdRedir.aspx?ID=EZSHARE-822257051-60</Url>
      <Description>EZSHARE-822257051-60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510727EB24FB9478025E504D42B1BC9" ma:contentTypeVersion="2157" ma:contentTypeDescription="A content type to manage public (operations) IDB documents" ma:contentTypeScope="" ma:versionID="c229297848495f90080f5a76185973ff">
  <xsd:schema xmlns:xsd="http://www.w3.org/2001/XMLSchema" xmlns:xs="http://www.w3.org/2001/XMLSchema" xmlns:p="http://schemas.microsoft.com/office/2006/metadata/properties" xmlns:ns2="cdc7663a-08f0-4737-9e8c-148ce897a09c" targetNamespace="http://schemas.microsoft.com/office/2006/metadata/properties" ma:root="true" ma:fieldsID="f5ec97a273badeecc0bf5c0f93d89e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7A5DC8D7DD372244959D963ACD65457C" ma:contentTypeVersion="947" ma:contentTypeDescription="The base project type from which other project content types inherit their information." ma:contentTypeScope="" ma:versionID="f95145dd2e3a8a18a2b4141bdcdef001">
  <xsd:schema xmlns:xsd="http://www.w3.org/2001/XMLSchema" xmlns:xs="http://www.w3.org/2001/XMLSchema" xmlns:p="http://schemas.microsoft.com/office/2006/metadata/properties" xmlns:ns2="cdc7663a-08f0-4737-9e8c-148ce897a09c" targetNamespace="http://schemas.microsoft.com/office/2006/metadata/properties" ma:root="true" ma:fieldsID="5daa8b735247c2946ef1f963de6a3c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R-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b:Source>
    <b:Tag>Bra14</b:Tag>
    <b:SourceType>JournalArticle</b:SourceType>
    <b:Guid>{2113F136-C9F0-494C-BC70-C000D3516D83}</b:Guid>
    <b:Author>
      <b:Author>
        <b:NameList>
          <b:Person>
            <b:Last>Braga</b:Last>
            <b:First>A.</b:First>
            <b:Middle>A.</b:Middle>
          </b:Person>
          <b:Person>
            <b:Last>Papachristos</b:Last>
            <b:First>A.</b:First>
            <b:Middle>V.</b:Middle>
          </b:Person>
          <b:Person>
            <b:Last>Hureau</b:Last>
            <b:First>D.</b:First>
            <b:Middle>M.</b:Middle>
          </b:Person>
        </b:NameList>
      </b:Author>
    </b:Author>
    <b:Title>The effects of hot spots policing on crime: An updated systematic review and meta-analysis</b:Title>
    <b:Year>2014</b:Year>
    <b:JournalName>Justice quarterly</b:JournalName>
    <b:Pages>633-663</b:Pages>
    <b:Volume>31</b:Volume>
    <b:Issue>4</b:Issue>
    <b:RefOrder>1</b:RefOrder>
  </b:Source>
  <b:Source>
    <b:Tag>Hig15</b:Tag>
    <b:SourceType>Report</b:SourceType>
    <b:Guid>{6CD682B7-5261-4555-AEDD-2A817200C50F}</b:Guid>
    <b:Title>Policing interventions for targeting interpersonal violence in developing countries: A systematic review</b:Title>
    <b:Year>2015</b:Year>
    <b:Author>
      <b:Author>
        <b:NameList>
          <b:Person>
            <b:Last>Higginson</b:Last>
            <b:First>A.</b:First>
          </b:Person>
          <b:Person>
            <b:Last>Mazerolle</b:Last>
            <b:First>L.</b:First>
          </b:Person>
          <b:Person>
            <b:Last>Sydes</b:Last>
            <b:First>M.,</b:First>
            <b:Middle>Davis, J.</b:Middle>
          </b:Person>
          <b:Person>
            <b:Last>Mengersen</b:Last>
            <b:First>K.</b:First>
          </b:Person>
        </b:NameList>
      </b:Author>
    </b:Author>
    <b:Publisher>International Initiative for Impact Evaluation</b:Publisher>
    <b:City>London</b:City>
    <b:RefOrder>2</b:RefOrder>
  </b:Source>
  <b:Source>
    <b:Tag>Tay</b:Tag>
    <b:SourceType>JournalArticle</b:SourceType>
    <b:Guid>{28C169BA-B190-488B-BA31-C3FC0AF9C020}</b:Guid>
    <b:Title>A randomized controlled trial of different policing strategies at hot spots of violent crime</b:Title>
    <b:Pages>149-181</b:Pages>
    <b:Author>
      <b:Author>
        <b:NameList>
          <b:Person>
            <b:Last>Taylor</b:Last>
            <b:First>B.</b:First>
          </b:Person>
          <b:Person>
            <b:Last>Koper</b:Last>
            <b:First>C.</b:First>
            <b:Middle>S.</b:Middle>
          </b:Person>
          <b:Person>
            <b:Last>Woods</b:Last>
            <b:First>D.</b:First>
            <b:Middle>J.</b:Middle>
          </b:Person>
        </b:NameList>
      </b:Author>
    </b:Author>
    <b:JournalName>Journal of Experimental Criminology</b:JournalName>
    <b:Volume>7</b:Volume>
    <b:Issue>2</b:Issue>
    <b:Year>2011</b:Year>
    <b:RefOrder>3</b:RefOrder>
  </b:Source>
  <b:Source>
    <b:Tag>Bla18</b:Tag>
    <b:SourceType>Report</b:SourceType>
    <b:Guid>{FD4007B9-CB75-49D4-A6B0-91C99BD05CBC}</b:Guid>
    <b:Title>Hotspots interventions at scale: the direct and spillover effects of policing and city services on crime in Bogotá</b:Title>
    <b:Year>2018</b:Year>
    <b:Author>
      <b:Author>
        <b:NameList>
          <b:Person>
            <b:Last>Blattman</b:Last>
            <b:First>C.</b:First>
          </b:Person>
          <b:Person>
            <b:Last>Green</b:Last>
            <b:First>D.</b:First>
          </b:Person>
          <b:Person>
            <b:Last>Ortega</b:Last>
            <b:First>D.</b:First>
          </b:Person>
          <b:Person>
            <b:Last>Tobón</b:Last>
            <b:First>S.</b:First>
          </b:Person>
        </b:NameList>
      </b:Author>
    </b:Author>
    <b:Publisher>International Initiative for Impact Evaluation</b:Publisher>
    <b:City>New Delhi</b:City>
    <b:RefOrder>4</b:RefOrder>
  </b:Source>
  <b:Source>
    <b:Tag>Bra11</b:Tag>
    <b:SourceType>JournalArticle</b:SourceType>
    <b:Guid>{4BD1E2D4-852E-49E3-A040-AD1BAD635F5D}</b:Guid>
    <b:Author>
      <b:Author>
        <b:NameList>
          <b:Person>
            <b:Last>Braga</b:Last>
            <b:First>A.</b:First>
            <b:Middle>A.</b:Middle>
          </b:Person>
          <b:Person>
            <b:Last>Hureau</b:Last>
            <b:First>D.</b:First>
            <b:Middle>M.</b:Middle>
          </b:Person>
          <b:Person>
            <b:Last>Papachristos</b:Last>
            <b:First>A.</b:First>
            <b:Middle>V.</b:Middle>
          </b:Person>
        </b:NameList>
      </b:Author>
    </b:Author>
    <b:Title>An Ex Post Facto Evaluation Framework for Place-Based Police Interventions</b:Title>
    <b:JournalName>Evaluation Review</b:JournalName>
    <b:Year>2012</b:Year>
    <b:Pages>592–626</b:Pages>
    <b:Volume>35</b:Volume>
    <b:Issue>6</b:Issue>
    <b:RefOrder>5</b:RefOrder>
  </b:Source>
  <b:Source>
    <b:Tag>Bul12</b:Tag>
    <b:SourceType>Report</b:SourceType>
    <b:Guid>{750B741C-4F61-4A6A-9E20-9C9C237ED680}</b:Guid>
    <b:Author>
      <b:Author>
        <b:NameList>
          <b:Person>
            <b:Last>Bulla</b:Last>
            <b:First>P.</b:First>
          </b:Person>
          <b:Person>
            <b:Last>Beltrán</b:Last>
            <b:First>I.</b:First>
          </b:Person>
          <b:Person>
            <b:Last>Sánchez</b:Last>
            <b:First>F</b:First>
          </b:Person>
          <b:Person>
            <b:Last>Escobedo</b:Last>
            <b:First>R.</b:First>
          </b:Person>
          <b:Person>
            <b:Last>Guarín</b:Last>
            <b:First>S.</b:First>
          </b:Person>
          <b:Person>
            <b:Last>Ramírez</b:Last>
            <b:First>B.</b:First>
          </b:Person>
          <b:Person>
            <b:Last>García</b:Last>
            <b:First>J.F.</b:First>
          </b:Person>
          <b:Person>
            <b:Last>Molinos</b:Last>
            <b:First>C.</b:First>
          </b:Person>
          <b:Person>
            <b:Last>Esguerra</b:Last>
            <b:First>J.</b:First>
          </b:Person>
        </b:NameList>
      </b:Author>
    </b:Author>
    <b:Title>Evaluacion del impacto del plan nacional de vigilancia comunitaria por cuadrantes</b:Title>
    <b:Year>2012</b:Year>
    <b:Publisher>Fundación Ideas para la Paz</b:Publisher>
    <b:City>Bogotá</b:City>
    <b:RefOrder>6</b:RefOrder>
  </b:Source>
  <b:Source>
    <b:Tag>Cha18</b:Tag>
    <b:SourceType>BookSection</b:SourceType>
    <b:Guid>{0A4F9E25-E9EE-49BE-AFD6-B943A72D6A28}</b:Guid>
    <b:Author>
      <b:Author>
        <b:NameList>
          <b:Person>
            <b:Last>Chainey</b:Last>
            <b:First>S.</b:First>
          </b:Person>
          <b:Person>
            <b:Last>Serrano</b:Last>
            <b:First>R.</b:First>
          </b:Person>
          <b:Person>
            <b:Last>Veneri</b:Last>
            <b:First>F.</b:First>
          </b:Person>
        </b:NameList>
      </b:Author>
      <b:Editor>
        <b:NameList>
          <b:Person>
            <b:Last>Interior</b:Last>
            <b:First>BID</b:First>
            <b:Middle>y Ministerio del</b:Middle>
          </b:Person>
        </b:NameList>
      </b:Editor>
    </b:Author>
    <b:Title>Evaluando el impacto del Programa de Alta Dedicación Operativa (PADO) en la reducción de robos violentos en Montevideo, Uruguay</b:Title>
    <b:Year>2018</b:Year>
    <b:Publisher>Inter-American Development Bank y Ministerio del Interior de Uruguay</b:Publisher>
    <b:BookTitle>¿Cómo evitar el delito urbano? El Programa de Alta Dedicación Operativa en la Nueva Policía Uruguaya</b:BookTitle>
    <b:Pages>155-179</b:Pages>
    <b:RefOrder>7</b:RefOrder>
  </b:Source>
  <b:Source>
    <b:Tag>Hel17</b:Tag>
    <b:SourceType>JournalArticle</b:SourceType>
    <b:Guid>{42654B8D-B7CD-4A25-A695-F004334EE1DB}</b:Guid>
    <b:Title>Thinking, fast and slow? Some field experiments to reduce crime and dropout in Chicago</b:Title>
    <b:Year>2017</b:Year>
    <b:Author>
      <b:Author>
        <b:NameList>
          <b:Person>
            <b:Last>Heller</b:Last>
            <b:First>S.</b:First>
            <b:Middle>B</b:Middle>
          </b:Person>
          <b:Person>
            <b:Last>Shah</b:Last>
            <b:First>A.</b:First>
            <b:Middle>K.</b:Middle>
          </b:Person>
          <b:Person>
            <b:Last>Guryan</b:Last>
            <b:First>J.</b:First>
          </b:Person>
          <b:Person>
            <b:Last>Ludwig</b:Last>
            <b:First>J.</b:First>
          </b:Person>
          <b:Person>
            <b:Last>Mullainathan</b:Last>
            <b:First>S.</b:First>
          </b:Person>
          <b:Person>
            <b:Last>Pollack</b:Last>
            <b:First>H.</b:First>
            <b:Middle>A.</b:Middle>
          </b:Person>
        </b:NameList>
      </b:Author>
    </b:Author>
    <b:JournalName>The Quarterly Journal of Economics</b:JournalName>
    <b:Pages>1-54</b:Pages>
    <b:Volume>132</b:Volume>
    <b:Issue>1</b:Issue>
    <b:RefOrder>8</b:RefOrder>
  </b:Source>
  <b:Source>
    <b:Tag>Mug18</b:Tag>
    <b:SourceType>Report</b:SourceType>
    <b:Guid>{FC555B4F-5E74-4617-A58D-F31E40700C7F}</b:Guid>
    <b:Title>La "Mano Dura": Los costos de la represión y los beneficios de la prevención para los jóvenes en América Latina</b:Title>
    <b:Year>2018</b:Year>
    <b:City>Río de Janerio</b:City>
    <b:Publisher>Instituto Igarapé</b:Publisher>
    <b:Author>
      <b:Author>
        <b:NameList>
          <b:Person>
            <b:Last>Muggah</b:Last>
            <b:First>Robert</b:First>
          </b:Person>
          <b:Person>
            <b:Last>Garzón</b:Last>
            <b:First>Juan</b:First>
            <b:Middle>C.</b:Middle>
          </b:Person>
          <b:Person>
            <b:Last>Suárez</b:Last>
            <b:First>Manuela</b:First>
          </b:Person>
        </b:NameList>
      </b:Author>
    </b:Author>
    <b:RefOrder>9</b:RefOrder>
  </b:Source>
  <b:Source>
    <b:Tag>Sil10</b:Tag>
    <b:SourceType>JournalArticle</b:SourceType>
    <b:Guid>{E5D09A98-A6F6-4DF5-938D-2EDED2F4CB3E}</b:Guid>
    <b:Author>
      <b:Author>
        <b:NameList>
          <b:Person>
            <b:Last>Silveira</b:Last>
            <b:First>A.</b:First>
            <b:Middle>M.</b:Middle>
          </b:Person>
          <b:Person>
            <b:Last>Assunção</b:Last>
            <b:First>R.</b:First>
            <b:Middle>M.</b:Middle>
          </b:Person>
          <b:Person>
            <b:Last>Silva</b:Last>
            <b:First>B.</b:First>
            <b:Middle>A. F. D.</b:Middle>
          </b:Person>
          <b:Person>
            <b:Last>Beato Filho</b:Last>
            <b:First>C.</b:First>
            <b:Middle>C.</b:Middle>
          </b:Person>
        </b:NameList>
      </b:Author>
    </b:Author>
    <b:Title>Impact of the Staying Alive Program on the reduction of homicides in a community in Belo Horizonte</b:Title>
    <b:JournalName>Revista de Saúde Pública</b:JournalName>
    <b:Year>2010</b:Year>
    <b:Pages>496-502</b:Pages>
    <b:Volume>44</b:Volume>
    <b:Issue>3</b:Issue>
    <b:RefOrder>14</b:RefOrder>
  </b:Source>
  <b:Source>
    <b:Tag>McC10</b:Tag>
    <b:SourceType>JournalArticle</b:SourceType>
    <b:Guid>{568103A5-1C78-4176-B3B5-0CE178843E49}</b:Guid>
    <b:Title>The cost of crime to society: New crime-specific estimates for policy and program evaluation</b:Title>
    <b:Year>2010</b:Year>
    <b:Author>
      <b:Author>
        <b:NameList>
          <b:Person>
            <b:Last>McCollister</b:Last>
            <b:First>K.</b:First>
            <b:Middle>E.</b:Middle>
          </b:Person>
          <b:Person>
            <b:Last>French</b:Last>
            <b:First>M.</b:First>
            <b:Middle>T.</b:Middle>
          </b:Person>
          <b:Person>
            <b:Last>Fang</b:Last>
            <b:First>H.</b:First>
          </b:Person>
        </b:NameList>
      </b:Author>
    </b:Author>
    <b:JournalName>Drug and alcohol dependence</b:JournalName>
    <b:Pages>98-109</b:Pages>
    <b:Volume>108</b:Volume>
    <b:Issue>1</b:Issue>
    <b:RefOrder>11</b:RefOrder>
  </b:Source>
  <b:Source>
    <b:Tag>Jai17</b:Tag>
    <b:SourceType>Book</b:SourceType>
    <b:Guid>{EA103E76-4071-40A5-AAC6-76EBCBB0BAAF}</b:Guid>
    <b:Author>
      <b:Author>
        <b:NameList>
          <b:Person>
            <b:Last>Jaitman</b:Last>
            <b:First>L.</b:First>
          </b:Person>
        </b:NameList>
      </b:Author>
    </b:Author>
    <b:Title>Los costos del crimen y de la violencia: nueva evidencia y hallazgos en América Latina y el Caribe</b:Title>
    <b:Year>2017</b:Year>
    <b:City>Washington, D.C.</b:City>
    <b:Publisher>IDB</b:Publisher>
    <b:RefOrder>12</b:RefOrder>
  </b:Source>
  <b:Source>
    <b:Tag>Abo13</b:Tag>
    <b:SourceType>Report</b:SourceType>
    <b:Guid>{DA13A3B9-4CF9-4DBC-953D-019F20BE3665}</b:Guid>
    <b:Author>
      <b:Author>
        <b:NameList>
          <b:Person>
            <b:Last>Aboal</b:Last>
            <b:First>D.</b:First>
          </b:Person>
          <b:Person>
            <b:Last>Campanella</b:Last>
            <b:First>J.</b:First>
          </b:Person>
          <b:Person>
            <b:Last>Lanzilotta</b:Last>
            <b:First>B.</b:First>
          </b:Person>
        </b:NameList>
      </b:Author>
    </b:Author>
    <b:Title>The cost of crime in Uruguay</b:Title>
    <b:Year>2013</b:Year>
    <b:Publisher>Inter-American Development Bank, Research Department</b:Publisher>
    <b:RefOrder>13</b:RefOrder>
  </b:Source>
  <b:Source>
    <b:Tag>Ros11</b:Tag>
    <b:SourceType>Report</b:SourceType>
    <b:Guid>{94D1B3EB-8FD2-476A-8C17-DD5E3934D0D6}</b:Guid>
    <b:Author>
      <b:Author>
        <b:NameList>
          <b:Person>
            <b:Last>Rossi</b:Last>
            <b:First>M.</b:First>
          </b:Person>
        </b:NameList>
      </b:Author>
    </b:Author>
    <b:Title>Análisis Económico CR- L1031 Programa para la Prevención de la Violencia y Promoción de la Inclusión Social</b:Title>
    <b:Year>2011</b:Year>
    <b:RefOrder>15</b:RefOrder>
  </b:Source>
  <b:Source>
    <b:Tag>Man17</b:Tag>
    <b:SourceType>Report</b:SourceType>
    <b:Guid>{C98DE683-EB29-412D-B199-79DFBE8A742E}</b:Guid>
    <b:Author>
      <b:Author>
        <b:NameList>
          <b:Person>
            <b:Last>Manning</b:Last>
            <b:First>M.,</b:First>
            <b:Middle>Wong</b:Middle>
          </b:Person>
          <b:Person>
            <b:Last>T.W.G.</b:Last>
          </b:Person>
          <b:Person>
            <b:Last>Vorsina</b:Last>
            <b:First>M.</b:First>
          </b:Person>
        </b:NameList>
      </b:Author>
    </b:Author>
    <b:Title>Manning Cost-Benefit Tool</b:Title>
    <b:Year>2017</b:Year>
    <b:Publisher>ANU Centre for Social Research and Methods, The Australian National University.</b:Publisher>
    <b:City>Canberra</b:City>
    <b:RefOrder>16</b:RefOrder>
  </b:Source>
  <b:Source>
    <b:Tag>Mur17</b:Tag>
    <b:SourceType>Report</b:SourceType>
    <b:Guid>{9906A60C-E072-4579-86C2-232C0275715F}</b:Guid>
    <b:Author>
      <b:Author>
        <b:NameList>
          <b:Person>
            <b:Last>Murphy</b:Last>
            <b:First>T</b:First>
          </b:Person>
        </b:NameList>
      </b:Author>
    </b:Author>
    <b:Title>Argentina Federal Security Programme: Ex-ante Economic Analysis</b:Title>
    <b:Year>2016</b:Year>
    <b:RefOrder>17</b:RefOrder>
  </b:Source>
  <b:Source>
    <b:Tag>Wil11</b:Tag>
    <b:SourceType>Report</b:SourceType>
    <b:Guid>{DB4FA744-EA91-4FF2-A955-2B426BDEF7EE}</b:Guid>
    <b:Author>
      <b:Author>
        <b:NameList>
          <b:Person>
            <b:Last>Wilson</b:Last>
            <b:First>S.</b:First>
            <b:Middle>J.</b:Middle>
          </b:Person>
          <b:Person>
            <b:Last>Tanner-Smith</b:Last>
            <b:First>E.</b:First>
            <b:Middle>E.</b:Middle>
          </b:Person>
          <b:Person>
            <b:Last>Lipsey</b:Last>
            <b:First>M.</b:First>
            <b:Middle>W.</b:Middle>
          </b:Person>
          <b:Person>
            <b:Last>Steinka-Fry</b:Last>
            <b:First>K.</b:First>
          </b:Person>
          <b:Person>
            <b:Last>Morrison</b:Last>
            <b:First>J.</b:First>
          </b:Person>
        </b:NameList>
      </b:Author>
    </b:Author>
    <b:Title>Dropout Prevention and Intervention Programs: Effects on School Completion and Dropout among School-Aged Children and Youth</b:Title>
    <b:Year>2011</b:Year>
    <b:Publisher>Campbell Systematic Reviews.</b:Publisher>
    <b:RefOrder>10</b:RefOrder>
  </b:Source>
</b:Sourc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9414BA2-40DC-4420-81DD-922C762D1304}">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6FEE17BD-A627-4DB6-85CB-66D9CA6DF73D}"/>
</file>

<file path=customXml/itemProps3.xml><?xml version="1.0" encoding="utf-8"?>
<ds:datastoreItem xmlns:ds="http://schemas.openxmlformats.org/officeDocument/2006/customXml" ds:itemID="{BDA52E19-94BC-40F3-BCFE-CE55D8B0C643}">
  <ds:schemaRefs>
    <ds:schemaRef ds:uri="http://schemas.microsoft.com/sharepoint/events"/>
  </ds:schemaRefs>
</ds:datastoreItem>
</file>

<file path=customXml/itemProps4.xml><?xml version="1.0" encoding="utf-8"?>
<ds:datastoreItem xmlns:ds="http://schemas.openxmlformats.org/officeDocument/2006/customXml" ds:itemID="{2C73E266-982A-4639-8171-ABCD0A0B1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F30214-2BB3-4752-8954-E906D973F328}">
  <ds:schemaRefs>
    <ds:schemaRef ds:uri="http://schemas.microsoft.com/sharepoint/v3/contenttype/forms"/>
  </ds:schemaRefs>
</ds:datastoreItem>
</file>

<file path=customXml/itemProps6.xml><?xml version="1.0" encoding="utf-8"?>
<ds:datastoreItem xmlns:ds="http://schemas.openxmlformats.org/officeDocument/2006/customXml" ds:itemID="{255D47CE-13C9-4FAA-930F-5687590427B8}"/>
</file>

<file path=customXml/itemProps7.xml><?xml version="1.0" encoding="utf-8"?>
<ds:datastoreItem xmlns:ds="http://schemas.openxmlformats.org/officeDocument/2006/customXml" ds:itemID="{5AD7567E-110B-40C2-82E5-A0C2F970C5C5}">
  <ds:schemaRefs>
    <ds:schemaRef ds:uri="http://schemas.openxmlformats.org/officeDocument/2006/bibliography"/>
  </ds:schemaRefs>
</ds:datastoreItem>
</file>

<file path=customXml/itemProps8.xml><?xml version="1.0" encoding="utf-8"?>
<ds:datastoreItem xmlns:ds="http://schemas.openxmlformats.org/officeDocument/2006/customXml" ds:itemID="{4870E5D4-FFAA-4D4A-B195-91A9E972460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keywords/>
  <cp:lastModifiedBy>Caprirolo, Dino</cp:lastModifiedBy>
  <cp:revision>3</cp:revision>
  <cp:lastPrinted>2010-02-22T21:09:00Z</cp:lastPrinted>
  <dcterms:created xsi:type="dcterms:W3CDTF">2019-07-02T14:15:00Z</dcterms:created>
  <dcterms:modified xsi:type="dcterms:W3CDTF">2019-07-10T20:02:49Z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Sector IDB">
    <vt:lpwstr>27;#IS|3f908695-d5b5-49f6-941f-76876b39564f</vt:lpwstr>
  </property>
  <property fmtid="{D5CDD505-2E9C-101B-9397-08002B2CF9AE}" pid="5" name="Sub-Sector">
    <vt:lpwstr>28;#IS-SEC|954fe912-dcd8-47cc-a622-637d228b7304</vt:lpwstr>
  </property>
  <property fmtid="{D5CDD505-2E9C-101B-9397-08002B2CF9AE}" pid="6" name="Series Operations IDB">
    <vt:lpwstr/>
  </property>
  <property fmtid="{D5CDD505-2E9C-101B-9397-08002B2CF9AE}" pid="7" name="Country">
    <vt:lpwstr>26;#CR|70401352-ba64-401d-af16-55c448a66295</vt:lpwstr>
  </property>
  <property fmtid="{D5CDD505-2E9C-101B-9397-08002B2CF9AE}" pid="8" name="Fund IDB">
    <vt:lpwstr/>
  </property>
  <property fmtid="{D5CDD505-2E9C-101B-9397-08002B2CF9AE}" pid="9" name="TaxKeyword">
    <vt:lpwstr/>
  </property>
  <property fmtid="{D5CDD505-2E9C-101B-9397-08002B2CF9AE}" pid="10" name="TaxKeywordTaxHTField">
    <vt:lpwstr/>
  </property>
  <property fmtid="{D5CDD505-2E9C-101B-9397-08002B2CF9AE}" pid="11" name="_dlc_DocIdItemGuid">
    <vt:lpwstr>5e9b424b-2fa5-4e2d-8c9a-5638cd104542</vt:lpwstr>
  </property>
  <property fmtid="{D5CDD505-2E9C-101B-9397-08002B2CF9AE}" pid="12" name="ContentTypeId">
    <vt:lpwstr>0x0101001A458A224826124E8B45B1D613300CFC004510727EB24FB9478025E504D42B1BC9</vt:lpwstr>
  </property>
</Properties>
</file>