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394" w:rsidRPr="007A0F6F" w:rsidRDefault="00DC2394" w:rsidP="000C4EAB">
      <w:pPr>
        <w:spacing w:after="200" w:line="276" w:lineRule="auto"/>
        <w:jc w:val="both"/>
        <w:rPr>
          <w:rFonts w:ascii="Arial" w:hAnsi="Arial" w:cs="Arial"/>
          <w:b/>
        </w:rPr>
      </w:pPr>
      <w:r w:rsidRPr="007A0F6F">
        <w:rPr>
          <w:rFonts w:ascii="Arial" w:hAnsi="Arial" w:cs="Arial"/>
          <w:noProof/>
          <w:lang w:val="en-US" w:eastAsia="en-US"/>
        </w:rPr>
        <mc:AlternateContent>
          <mc:Choice Requires="wps">
            <w:drawing>
              <wp:anchor distT="36576" distB="36576" distL="36576" distR="36576" simplePos="0" relativeHeight="251659264" behindDoc="0" locked="0" layoutInCell="1" allowOverlap="1" wp14:anchorId="23ED5A5C" wp14:editId="63B045D3">
                <wp:simplePos x="0" y="0"/>
                <wp:positionH relativeFrom="column">
                  <wp:posOffset>3538855</wp:posOffset>
                </wp:positionH>
                <wp:positionV relativeFrom="page">
                  <wp:posOffset>0</wp:posOffset>
                </wp:positionV>
                <wp:extent cx="3319145" cy="10125075"/>
                <wp:effectExtent l="0" t="0" r="0" b="9525"/>
                <wp:wrapTight wrapText="bothSides">
                  <wp:wrapPolygon edited="0">
                    <wp:start x="0" y="0"/>
                    <wp:lineTo x="0" y="21580"/>
                    <wp:lineTo x="21447" y="21580"/>
                    <wp:lineTo x="21447" y="0"/>
                    <wp:lineTo x="0" y="0"/>
                  </wp:wrapPolygon>
                </wp:wrapTight>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chemeClr val="tx2"/>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HnWAgIAAPUDAAAOAAAAZHJzL2Uyb0RvYy54bWysU8GO0zAQvSPxD5bvNElLuzRqulp1tQhp&#10;YVcsfIDrOI2F4zFjt2n5esZOWgrcEBfLY4/fvHnzvLo9doYdFHoNtuLFJOdMWQm1truKf/3y8OYd&#10;Zz4IWwsDVlX8pDy/Xb9+tepdqabQgqkVMgKxvuxdxdsQXJllXraqE34CTlm6bAA7ESjEXVaj6Am9&#10;M9k0zxdZD1g7BKm8p9P74ZKvE37TKBmemsarwEzFiVtIK6Z1G9dsvRLlDoVrtRxpiH9g0QltqegF&#10;6l4Ewfao/4LqtETw0ISJhC6DptFSpR6omyL/o5uXVjiVeiFxvLvI5P8frPx0eEam64ovObOioxF9&#10;JtGE3RnFllGe3vmSsl7cM8YGvXsE+c0zC5uWstQdIvStEjWRKmJ+9tuDGHh6yrb9R6gJXewDJKWO&#10;DXYRkDRgxzSQ02Ug6hiYpMPZrFgWb+ecSbor8mI6z2/mqYgoz+8d+vBeQcfipuJI7BO+ODz6EPmI&#10;8pyS+IPR9YM2JgXRZmpjkB0EGSQcpyO4v84yNuZaiK8GwOFEJX8NVURJnMeC554H7bZQn6h/hMF7&#10;9Fdo0wL+4Kwn31Xcf98LVJyZD5Y0nC3mNwsy6nWA18H2OhBWEhQx52zYbsJg7r1DvWupUpHEsHBH&#10;ujc6CRL5DazGaZG3kk7jP4jmvY5T1q/fuv4JAAD//wMAUEsDBBQABgAIAAAAIQCo2Fy23gAAAAoB&#10;AAAPAAAAZHJzL2Rvd25yZXYueG1sTI/NTsMwEITvSLyDtUjcqM2PaQhxKoQoJy6kleDoJksSxV5H&#10;sduGt2d7ordZzWj2m2I1eycOOMU+kIHbhQKBVIemp9bAdrO+yUDEZKmxLhAa+MUIq/LyorB5E470&#10;iYcqtYJLKObWQJfSmEsZ6w69jYswIrH3EyZvE59TK5vJHrncO3mn1KP0tif+0NkRXzush2rvDayH&#10;tBmWTo/pW2cfX9X7m9PD1pjrq/nlGUTCOf2H4YTP6FAy0y7sqYnCGdB6ec9RA7zoZKtMsdqx0k8P&#10;GmRZyPMJ5R8AAAD//wMAUEsBAi0AFAAGAAgAAAAhALaDOJL+AAAA4QEAABMAAAAAAAAAAAAAAAAA&#10;AAAAAFtDb250ZW50X1R5cGVzXS54bWxQSwECLQAUAAYACAAAACEAOP0h/9YAAACUAQAACwAAAAAA&#10;AAAAAAAAAAAvAQAAX3JlbHMvLnJlbHNQSwECLQAUAAYACAAAACEA9ER51gICAAD1AwAADgAAAAAA&#10;AAAAAAAAAAAuAgAAZHJzL2Uyb0RvYy54bWxQSwECLQAUAAYACAAAACEAqNhctt4AAAAKAQAADwAA&#10;AAAAAAAAAAAAAABcBAAAZHJzL2Rvd25yZXYueG1sUEsFBgAAAAAEAAQA8wAAAGcFAAAAAA==&#10;" fillcolor="#1f497d [3215]" stroked="f">
                <v:textbox inset="2.88pt,2.88pt,2.88pt,2.88pt"/>
                <w10:wrap type="tight" anchory="page"/>
              </v:rect>
            </w:pict>
          </mc:Fallback>
        </mc:AlternateContent>
      </w:r>
    </w:p>
    <w:p w:rsidR="00DC2394" w:rsidRPr="007A0F6F" w:rsidRDefault="00A72F62" w:rsidP="000C4EAB">
      <w:pPr>
        <w:jc w:val="both"/>
        <w:rPr>
          <w:rFonts w:ascii="Arial" w:hAnsi="Arial" w:cs="Arial"/>
        </w:rPr>
      </w:pPr>
      <w:r w:rsidRPr="007A0F6F">
        <w:rPr>
          <w:rFonts w:ascii="Arial" w:hAnsi="Arial" w:cs="Arial"/>
          <w:noProof/>
          <w:lang w:val="en-US" w:eastAsia="en-US"/>
        </w:rPr>
        <w:drawing>
          <wp:inline distT="0" distB="0" distL="0" distR="0" wp14:anchorId="0FBF29EC" wp14:editId="33B80798">
            <wp:extent cx="2971800" cy="1371600"/>
            <wp:effectExtent l="0" t="0" r="0" b="0"/>
            <wp:docPr id="3" name="Picture 3" descr="logo_email_english"/>
            <wp:cNvGraphicFramePr/>
            <a:graphic xmlns:a="http://schemas.openxmlformats.org/drawingml/2006/main">
              <a:graphicData uri="http://schemas.openxmlformats.org/drawingml/2006/picture">
                <pic:pic xmlns:pic="http://schemas.openxmlformats.org/drawingml/2006/picture">
                  <pic:nvPicPr>
                    <pic:cNvPr id="1" name="Picture 1" descr="logo_email_english"/>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0" cy="1371600"/>
                    </a:xfrm>
                    <a:prstGeom prst="rect">
                      <a:avLst/>
                    </a:prstGeom>
                    <a:noFill/>
                    <a:ln>
                      <a:noFill/>
                    </a:ln>
                  </pic:spPr>
                </pic:pic>
              </a:graphicData>
            </a:graphic>
          </wp:inline>
        </w:drawing>
      </w: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A72F62" w:rsidRPr="007A0F6F" w:rsidRDefault="00A72F62"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r w:rsidRPr="007A0F6F">
        <w:rPr>
          <w:rFonts w:ascii="Arial" w:hAnsi="Arial" w:cs="Arial"/>
          <w:noProof/>
          <w:lang w:val="en-US" w:eastAsia="en-US"/>
        </w:rPr>
        <mc:AlternateContent>
          <mc:Choice Requires="wps">
            <w:drawing>
              <wp:anchor distT="0" distB="0" distL="114300" distR="114300" simplePos="0" relativeHeight="251660288" behindDoc="0" locked="0" layoutInCell="1" allowOverlap="1" wp14:anchorId="36082949" wp14:editId="7224B1E7">
                <wp:simplePos x="0" y="0"/>
                <wp:positionH relativeFrom="column">
                  <wp:posOffset>-381000</wp:posOffset>
                </wp:positionH>
                <wp:positionV relativeFrom="paragraph">
                  <wp:posOffset>160655</wp:posOffset>
                </wp:positionV>
                <wp:extent cx="3352800" cy="3397250"/>
                <wp:effectExtent l="0" t="635" r="0" b="25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3972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DA2" w:rsidRPr="00BA64FD" w:rsidRDefault="00F22DA2" w:rsidP="00DC2394">
                            <w:pPr>
                              <w:spacing w:before="120" w:after="120"/>
                              <w:rPr>
                                <w:rFonts w:ascii="Arial" w:hAnsi="Arial" w:cs="Arial"/>
                                <w:b/>
                                <w:bCs/>
                                <w:sz w:val="44"/>
                                <w:lang w:val="en-US"/>
                              </w:rPr>
                            </w:pPr>
                            <w:r w:rsidRPr="00BA64FD">
                              <w:rPr>
                                <w:rFonts w:ascii="Arial" w:hAnsi="Arial" w:cs="Arial"/>
                                <w:b/>
                                <w:bCs/>
                                <w:sz w:val="44"/>
                                <w:lang w:val="en-US"/>
                              </w:rPr>
                              <w:t xml:space="preserve">Cost-Benefit Analysis </w:t>
                            </w:r>
                          </w:p>
                          <w:p w:rsidR="00F22DA2" w:rsidRPr="00A72F62" w:rsidRDefault="00F22DA2" w:rsidP="00DC2394">
                            <w:pPr>
                              <w:spacing w:before="120" w:after="120"/>
                              <w:rPr>
                                <w:rFonts w:ascii="Arial" w:hAnsi="Arial" w:cs="Arial"/>
                                <w:bCs/>
                                <w:sz w:val="40"/>
                                <w:lang w:val="en-US"/>
                              </w:rPr>
                            </w:pPr>
                            <w:r w:rsidRPr="00A72F62">
                              <w:rPr>
                                <w:rFonts w:ascii="Arial" w:hAnsi="Arial" w:cs="Arial"/>
                                <w:bCs/>
                                <w:sz w:val="40"/>
                                <w:lang w:val="en-US"/>
                              </w:rPr>
                              <w:t>JA-L1053</w:t>
                            </w:r>
                          </w:p>
                          <w:p w:rsidR="00F22DA2" w:rsidRPr="00A72F62" w:rsidRDefault="00F22DA2" w:rsidP="0011244D">
                            <w:pPr>
                              <w:spacing w:before="120" w:after="120"/>
                              <w:rPr>
                                <w:rFonts w:ascii="Arial" w:hAnsi="Arial" w:cs="Arial"/>
                                <w:bCs/>
                                <w:sz w:val="44"/>
                                <w:lang w:val="en-US"/>
                              </w:rPr>
                            </w:pPr>
                            <w:r w:rsidRPr="00A72F62">
                              <w:rPr>
                                <w:rFonts w:ascii="Arial" w:hAnsi="Arial" w:cs="Arial"/>
                                <w:bCs/>
                                <w:sz w:val="40"/>
                                <w:lang w:val="en-US"/>
                              </w:rPr>
                              <w:t>Integrated Support to Jamaica’s Social Protection Strategy</w:t>
                            </w:r>
                          </w:p>
                          <w:p w:rsidR="00F22DA2" w:rsidRPr="00A72F62" w:rsidRDefault="00F22DA2" w:rsidP="00DC2394">
                            <w:pPr>
                              <w:spacing w:before="120" w:after="120"/>
                              <w:rPr>
                                <w:rFonts w:ascii="Arial" w:hAnsi="Arial" w:cs="Arial"/>
                                <w:sz w:val="44"/>
                                <w:lang w:val="en-US"/>
                              </w:rPr>
                            </w:pPr>
                          </w:p>
                          <w:p w:rsidR="00F22DA2" w:rsidRPr="00A72F62" w:rsidRDefault="00F22DA2" w:rsidP="00DC2394">
                            <w:pPr>
                              <w:spacing w:before="120" w:after="120"/>
                              <w:rPr>
                                <w:rFonts w:ascii="Arial" w:hAnsi="Arial" w:cs="Arial"/>
                                <w:sz w:val="44"/>
                                <w:lang w:val="en-US"/>
                              </w:rPr>
                            </w:pPr>
                          </w:p>
                          <w:p w:rsidR="00F22DA2" w:rsidRPr="00A72F62" w:rsidRDefault="00F22DA2" w:rsidP="00DC2394">
                            <w:pPr>
                              <w:spacing w:before="120" w:after="120"/>
                              <w:rPr>
                                <w:rFonts w:ascii="Arial" w:hAnsi="Arial" w:cs="Arial"/>
                                <w:sz w:val="44"/>
                                <w:lang w:val="en-US"/>
                              </w:rPr>
                            </w:pPr>
                          </w:p>
                          <w:p w:rsidR="00F22DA2" w:rsidRPr="00A72F62" w:rsidRDefault="00F22DA2" w:rsidP="00DC2394">
                            <w:pPr>
                              <w:spacing w:before="120" w:after="120"/>
                              <w:jc w:val="both"/>
                              <w:rPr>
                                <w:rFonts w:ascii="Arial" w:hAnsi="Arial" w:cs="Arial"/>
                                <w:sz w:val="5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pt;margin-top:12.65pt;width:264pt;height: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btiuAIAALoFAAAOAAAAZHJzL2Uyb0RvYy54bWysVNuOmzAQfa/Uf7D8znIJJICWVLshVJW2&#10;F2m3H+CACVbBprYT2Fb9945NkmW3UlW15QHZnvGZyzme6zdj16IjlYoJnmH/ysOI8lJUjO8z/Pmh&#10;cGKMlCa8Iq3gNMOPVOE369evroc+pYFoRFtRiQCEq3ToM9xo3aeuq8qGdkRdiZ5yMNZCdkTDVu7d&#10;SpIB0LvWDTxv6Q5CVr0UJVUKTvPJiNcWv65pqT/WtaIatRmG3LT9S/vfmb+7vibpXpK+YeUpDfIX&#10;WXSEcQh6gcqJJugg2S9QHSulUKLWV6XoXFHXrKS2BqjG915Uc9+QntpaoDmqv7RJ/T/Y8sPxk0Ss&#10;ynCAEScdUPRAR41uxYgC052hVyk43ffgpkc4BpZtpaq/E+UXhbjYNITv6Y2UYmgoqSA739x0Z1cn&#10;HGVAdsN7UUEYctDCAo217EzroBkI0IGlxwszJpUSDheLKIg9MJVgWyySVRBZ7lySnq/3Uum3VHTI&#10;LDIsgXoLT453Spt0SHp2MdG4KFjbWvpb/uwAHKcTCA5Xjc2kYdn8nnjJNt7GoRMGy60Tennu3BSb&#10;0FkW/irKF/lmk/s/TFw/TBtWVZSbMGdl+eGfMXfS+KSJi7aUaFll4ExKSu53m1aiIzHKhi8+N2Tm&#10;5j5PwzYBanlRkh+E3m2QOMUyXjlhEUZOsvJix/OT22TphUmYF89LumOc/ntJaMhwEgXRpKbf1gbM&#10;TwzOaiNpxzTMjpZ1GQZtwDe9ZqPBLa8stZqwdlrPWmHSf2oF0H0m2irWiHSSqx53I6AYGe9E9Qja&#10;lQKUBSqEgQeLRshvGA0wPDKsvh6IpBi17zjoP/HD0EwbuwmjVQAbObfs5hbCS4DKsMZoWm70NKEO&#10;vWT7BiJNL46LG3gzNbNqfsrq9NJgQNiiTsPMTKD53no9jdz1TwAAAP//AwBQSwMEFAAGAAgAAAAh&#10;AK8b+2/gAAAACgEAAA8AAABkcnMvZG93bnJldi54bWxMj81OwzAQhO9IvIO1SNxam6aNopBNRam4&#10;FaEWJK5OvCQB/6S224a3x5zgODuj2W+q9WQ0O5MPg7MId3MBjGzr1GA7hLfXp1kBLERpldTOEsI3&#10;BVjX11eVLJW72D2dD7FjqcSGUiL0MY4l56HtycgwdyPZ5H04b2RM0ndceXlJ5UbzhRA5N3Kw6UMv&#10;R3rsqf06nAxC9r7dNC/8ebPc+eMnTcdCb9UO8fZmergHFmmKf2H4xU/oUCemxp2sCkwjzHKRtkSE&#10;xSoDlgLLvEiHBmGViwx4XfH/E+ofAAAA//8DAFBLAQItABQABgAIAAAAIQC2gziS/gAAAOEBAAAT&#10;AAAAAAAAAAAAAAAAAAAAAABbQ29udGVudF9UeXBlc10ueG1sUEsBAi0AFAAGAAgAAAAhADj9If/W&#10;AAAAlAEAAAsAAAAAAAAAAAAAAAAALwEAAF9yZWxzLy5yZWxzUEsBAi0AFAAGAAgAAAAhAPodu2K4&#10;AgAAugUAAA4AAAAAAAAAAAAAAAAALgIAAGRycy9lMm9Eb2MueG1sUEsBAi0AFAAGAAgAAAAhAK8b&#10;+2/gAAAACgEAAA8AAAAAAAAAAAAAAAAAEgUAAGRycy9kb3ducmV2LnhtbFBLBQYAAAAABAAEAPMA&#10;AAAfBgAAAAA=&#10;" filled="f" fillcolor="navy" stroked="f">
                <v:textbox>
                  <w:txbxContent>
                    <w:p w:rsidR="00F22DA2" w:rsidRPr="00BA64FD" w:rsidRDefault="00F22DA2" w:rsidP="00DC2394">
                      <w:pPr>
                        <w:spacing w:before="120" w:after="120"/>
                        <w:rPr>
                          <w:rFonts w:ascii="Arial" w:hAnsi="Arial" w:cs="Arial"/>
                          <w:b/>
                          <w:bCs/>
                          <w:sz w:val="44"/>
                          <w:lang w:val="en-US"/>
                        </w:rPr>
                      </w:pPr>
                      <w:r w:rsidRPr="00BA64FD">
                        <w:rPr>
                          <w:rFonts w:ascii="Arial" w:hAnsi="Arial" w:cs="Arial"/>
                          <w:b/>
                          <w:bCs/>
                          <w:sz w:val="44"/>
                          <w:lang w:val="en-US"/>
                        </w:rPr>
                        <w:t xml:space="preserve">Cost-Benefit Analysis </w:t>
                      </w:r>
                    </w:p>
                    <w:p w:rsidR="00F22DA2" w:rsidRPr="00A72F62" w:rsidRDefault="00F22DA2" w:rsidP="00DC2394">
                      <w:pPr>
                        <w:spacing w:before="120" w:after="120"/>
                        <w:rPr>
                          <w:rFonts w:ascii="Arial" w:hAnsi="Arial" w:cs="Arial"/>
                          <w:bCs/>
                          <w:sz w:val="40"/>
                          <w:lang w:val="en-US"/>
                        </w:rPr>
                      </w:pPr>
                      <w:r w:rsidRPr="00A72F62">
                        <w:rPr>
                          <w:rFonts w:ascii="Arial" w:hAnsi="Arial" w:cs="Arial"/>
                          <w:bCs/>
                          <w:sz w:val="40"/>
                          <w:lang w:val="en-US"/>
                        </w:rPr>
                        <w:t>JA-L1053</w:t>
                      </w:r>
                    </w:p>
                    <w:p w:rsidR="00F22DA2" w:rsidRPr="00A72F62" w:rsidRDefault="00F22DA2" w:rsidP="0011244D">
                      <w:pPr>
                        <w:spacing w:before="120" w:after="120"/>
                        <w:rPr>
                          <w:rFonts w:ascii="Arial" w:hAnsi="Arial" w:cs="Arial"/>
                          <w:bCs/>
                          <w:sz w:val="44"/>
                          <w:lang w:val="en-US"/>
                        </w:rPr>
                      </w:pPr>
                      <w:r w:rsidRPr="00A72F62">
                        <w:rPr>
                          <w:rFonts w:ascii="Arial" w:hAnsi="Arial" w:cs="Arial"/>
                          <w:bCs/>
                          <w:sz w:val="40"/>
                          <w:lang w:val="en-US"/>
                        </w:rPr>
                        <w:t>Integrated Support to Jamaica’s Social Protection Strategy</w:t>
                      </w:r>
                    </w:p>
                    <w:p w:rsidR="00F22DA2" w:rsidRPr="00A72F62" w:rsidRDefault="00F22DA2" w:rsidP="00DC2394">
                      <w:pPr>
                        <w:spacing w:before="120" w:after="120"/>
                        <w:rPr>
                          <w:rFonts w:ascii="Arial" w:hAnsi="Arial" w:cs="Arial"/>
                          <w:sz w:val="44"/>
                          <w:lang w:val="en-US"/>
                        </w:rPr>
                      </w:pPr>
                    </w:p>
                    <w:p w:rsidR="00F22DA2" w:rsidRPr="00A72F62" w:rsidRDefault="00F22DA2" w:rsidP="00DC2394">
                      <w:pPr>
                        <w:spacing w:before="120" w:after="120"/>
                        <w:rPr>
                          <w:rFonts w:ascii="Arial" w:hAnsi="Arial" w:cs="Arial"/>
                          <w:sz w:val="44"/>
                          <w:lang w:val="en-US"/>
                        </w:rPr>
                      </w:pPr>
                    </w:p>
                    <w:p w:rsidR="00F22DA2" w:rsidRPr="00A72F62" w:rsidRDefault="00F22DA2" w:rsidP="00DC2394">
                      <w:pPr>
                        <w:spacing w:before="120" w:after="120"/>
                        <w:rPr>
                          <w:rFonts w:ascii="Arial" w:hAnsi="Arial" w:cs="Arial"/>
                          <w:sz w:val="44"/>
                          <w:lang w:val="en-US"/>
                        </w:rPr>
                      </w:pPr>
                    </w:p>
                    <w:p w:rsidR="00F22DA2" w:rsidRPr="00A72F62" w:rsidRDefault="00F22DA2" w:rsidP="00DC2394">
                      <w:pPr>
                        <w:spacing w:before="120" w:after="120"/>
                        <w:jc w:val="both"/>
                        <w:rPr>
                          <w:rFonts w:ascii="Arial" w:hAnsi="Arial" w:cs="Arial"/>
                          <w:sz w:val="50"/>
                          <w:lang w:val="en-US"/>
                        </w:rPr>
                      </w:pPr>
                    </w:p>
                  </w:txbxContent>
                </v:textbox>
                <w10:wrap type="square"/>
              </v:shape>
            </w:pict>
          </mc:Fallback>
        </mc:AlternateContent>
      </w: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jc w:val="both"/>
        <w:rPr>
          <w:rFonts w:ascii="Arial" w:hAnsi="Arial" w:cs="Arial"/>
        </w:rPr>
      </w:pPr>
    </w:p>
    <w:p w:rsidR="00DC2394" w:rsidRPr="007A0F6F" w:rsidRDefault="00DC2394" w:rsidP="000C4EAB">
      <w:pPr>
        <w:pStyle w:val="Listavistosa-nfasis11"/>
        <w:ind w:left="360"/>
        <w:jc w:val="both"/>
        <w:rPr>
          <w:rFonts w:ascii="Arial" w:eastAsia="Arial Unicode MS" w:hAnsi="Arial" w:cs="Arial"/>
          <w:bCs/>
          <w:smallCaps/>
          <w:sz w:val="24"/>
          <w:szCs w:val="24"/>
          <w:lang w:val="es-MX"/>
        </w:rPr>
      </w:pPr>
    </w:p>
    <w:p w:rsidR="00DC2394" w:rsidRPr="007A0F6F" w:rsidRDefault="00DC2394" w:rsidP="000C4EAB">
      <w:pPr>
        <w:pStyle w:val="Listavistosa-nfasis11"/>
        <w:ind w:left="360"/>
        <w:jc w:val="both"/>
        <w:rPr>
          <w:rFonts w:ascii="Arial" w:eastAsia="Arial Unicode MS" w:hAnsi="Arial" w:cs="Arial"/>
          <w:bCs/>
          <w:smallCaps/>
          <w:sz w:val="24"/>
          <w:szCs w:val="24"/>
          <w:lang w:val="es-MX"/>
        </w:rPr>
      </w:pPr>
    </w:p>
    <w:p w:rsidR="00DC2394" w:rsidRPr="007A0F6F" w:rsidRDefault="00DC2394" w:rsidP="000C4EAB">
      <w:pPr>
        <w:pStyle w:val="Listavistosa-nfasis11"/>
        <w:ind w:left="360"/>
        <w:jc w:val="both"/>
        <w:rPr>
          <w:rFonts w:ascii="Arial" w:eastAsia="Arial Unicode MS" w:hAnsi="Arial" w:cs="Arial"/>
          <w:bCs/>
          <w:smallCaps/>
          <w:sz w:val="24"/>
          <w:szCs w:val="24"/>
          <w:lang w:val="es-MX"/>
        </w:rPr>
      </w:pPr>
    </w:p>
    <w:p w:rsidR="00DC2394" w:rsidRPr="007A0F6F" w:rsidRDefault="00DC2394" w:rsidP="000C4EAB">
      <w:pPr>
        <w:pStyle w:val="Listavistosa-nfasis11"/>
        <w:ind w:left="360"/>
        <w:jc w:val="both"/>
        <w:rPr>
          <w:rFonts w:ascii="Arial" w:eastAsia="Arial Unicode MS" w:hAnsi="Arial" w:cs="Arial"/>
          <w:bCs/>
          <w:smallCaps/>
          <w:sz w:val="24"/>
          <w:szCs w:val="24"/>
          <w:lang w:val="es-MX"/>
        </w:rPr>
      </w:pPr>
    </w:p>
    <w:p w:rsidR="00DC2394" w:rsidRPr="007A0F6F" w:rsidRDefault="00DC2394" w:rsidP="000C4EAB">
      <w:pPr>
        <w:pStyle w:val="Listavistosa-nfasis11"/>
        <w:ind w:left="360"/>
        <w:jc w:val="both"/>
        <w:rPr>
          <w:rFonts w:ascii="Arial" w:eastAsia="Arial Unicode MS" w:hAnsi="Arial" w:cs="Arial"/>
          <w:bCs/>
          <w:smallCaps/>
          <w:sz w:val="24"/>
          <w:szCs w:val="24"/>
          <w:lang w:val="es-MX"/>
        </w:rPr>
      </w:pPr>
    </w:p>
    <w:p w:rsidR="00DC2394" w:rsidRPr="007A0F6F" w:rsidRDefault="00DC2394" w:rsidP="000C4EAB">
      <w:pPr>
        <w:pStyle w:val="Listavistosa-nfasis11"/>
        <w:ind w:left="360"/>
        <w:jc w:val="both"/>
        <w:rPr>
          <w:rFonts w:ascii="Arial" w:eastAsia="Arial Unicode MS" w:hAnsi="Arial" w:cs="Arial"/>
          <w:bCs/>
          <w:smallCaps/>
          <w:sz w:val="24"/>
          <w:szCs w:val="24"/>
          <w:lang w:val="es-MX"/>
        </w:rPr>
      </w:pPr>
    </w:p>
    <w:p w:rsidR="00DC2394" w:rsidRPr="007A0F6F" w:rsidRDefault="00DC2394" w:rsidP="000C4EAB">
      <w:pPr>
        <w:jc w:val="both"/>
        <w:rPr>
          <w:rFonts w:ascii="Arial" w:hAnsi="Arial" w:cs="Arial"/>
          <w:lang w:val="es-MX"/>
        </w:rPr>
      </w:pPr>
    </w:p>
    <w:p w:rsidR="00352A58" w:rsidRPr="007A0F6F" w:rsidRDefault="00DC2394" w:rsidP="000C4EAB">
      <w:pPr>
        <w:jc w:val="both"/>
        <w:rPr>
          <w:rFonts w:ascii="Arial" w:hAnsi="Arial" w:cs="Arial"/>
          <w:smallCaps/>
          <w:szCs w:val="24"/>
        </w:rPr>
      </w:pPr>
      <w:r w:rsidRPr="007A0F6F">
        <w:rPr>
          <w:rFonts w:ascii="Arial" w:hAnsi="Arial" w:cs="Arial"/>
          <w:noProof/>
          <w:lang w:val="en-US" w:eastAsia="en-US"/>
        </w:rPr>
        <mc:AlternateContent>
          <mc:Choice Requires="wps">
            <w:drawing>
              <wp:anchor distT="0" distB="0" distL="114300" distR="114300" simplePos="0" relativeHeight="251662336" behindDoc="0" locked="0" layoutInCell="1" allowOverlap="1" wp14:anchorId="04C9E9B3" wp14:editId="51173864">
                <wp:simplePos x="0" y="0"/>
                <wp:positionH relativeFrom="column">
                  <wp:posOffset>-219075</wp:posOffset>
                </wp:positionH>
                <wp:positionV relativeFrom="paragraph">
                  <wp:posOffset>130175</wp:posOffset>
                </wp:positionV>
                <wp:extent cx="3344779" cy="485775"/>
                <wp:effectExtent l="0" t="0" r="27305"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4779" cy="485775"/>
                        </a:xfrm>
                        <a:prstGeom prst="rect">
                          <a:avLst/>
                        </a:prstGeom>
                        <a:solidFill>
                          <a:srgbClr val="FFFFFF"/>
                        </a:solidFill>
                        <a:ln w="9525">
                          <a:solidFill>
                            <a:srgbClr val="000000"/>
                          </a:solidFill>
                          <a:miter lim="800000"/>
                          <a:headEnd/>
                          <a:tailEnd/>
                        </a:ln>
                      </wps:spPr>
                      <wps:txbx>
                        <w:txbxContent>
                          <w:p w:rsidR="00F22DA2" w:rsidRPr="00A72F62" w:rsidRDefault="00F22DA2" w:rsidP="009308F9">
                            <w:pPr>
                              <w:jc w:val="both"/>
                              <w:rPr>
                                <w:lang w:val="en-US"/>
                              </w:rPr>
                            </w:pPr>
                            <w:r>
                              <w:rPr>
                                <w:lang w:val="en-US"/>
                              </w:rPr>
                              <w:t>This document was prepared by</w:t>
                            </w:r>
                            <w:r w:rsidR="009308F9">
                              <w:rPr>
                                <w:lang w:val="en-US"/>
                              </w:rPr>
                              <w:t>:</w:t>
                            </w:r>
                            <w:r>
                              <w:rPr>
                                <w:lang w:val="en-US"/>
                              </w:rPr>
                              <w:t xml:space="preserve"> Pablo Ibarrar</w:t>
                            </w:r>
                            <w:r w:rsidRPr="00A72F62">
                              <w:rPr>
                                <w:lang w:val="en-US"/>
                              </w:rPr>
                              <w:t>án</w:t>
                            </w:r>
                            <w:r w:rsidR="009308F9">
                              <w:rPr>
                                <w:lang w:val="en-US"/>
                              </w:rPr>
                              <w:t>;</w:t>
                            </w:r>
                            <w:r w:rsidRPr="00A72F62">
                              <w:rPr>
                                <w:lang w:val="en-US"/>
                              </w:rPr>
                              <w:t xml:space="preserve"> and Leticia Ju</w:t>
                            </w:r>
                            <w:r>
                              <w:rPr>
                                <w:lang w:val="en-US"/>
                              </w:rPr>
                              <w:t>árez.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17.25pt;margin-top:10.25pt;width:263.3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1MsLgIAAFcEAAAOAAAAZHJzL2Uyb0RvYy54bWysVNuO0zAQfUfiHyy/07TdlLZR09XSpQhp&#10;uUi7fIDjOImF4zG226R8/Y6dbImAJ0QeLI9nfDxzzkx2t32ryFlYJ0HndDGbUyI0h1LqOqffno5v&#10;NpQ4z3TJFGiR04tw9Hb/+tWuM5lYQgOqFJYgiHZZZ3LaeG+yJHG8ES1zMzBCo7MC2zKPpq2T0rIO&#10;0VuVLOfzt0kHtjQWuHAOT+8HJ91H/KoS3H+pKic8UTnF3HxcbVyLsCb7Hctqy0wj+ZgG+4csWiY1&#10;PnqFumeekZOVf0C1kltwUPkZhzaBqpJcxBqwmsX8t2oeG2ZErAXJceZKk/t/sPzz+aslskTtKNGs&#10;RYmeRO/JO+jJIrDTGZdh0KPBMN/jcYgMlTrzAPy7IxoODdO1uLMWukawErOLN5PJ1QHHBZCi+wQl&#10;PsNOHiJQX9k2ACIZBNFRpctVmZAKx8ObmzRdr7eUcPSlm9V6vQrJJSx7uW2s8x8EtCRscmpR+YjO&#10;zg/OD6EvITF7ULI8SqWiYevioCw5M+ySY/xGdDcNU5p0Od2ulquBgKnPTSHm8fsbRCs9truSbU43&#10;1yCWBdre6zI2o2dSDXusTmksMvAYqBtI9H3Rj4KN8hRQXpBYC0N34zTipgH7k5IOOzun7seJWUGJ&#10;+qhRnO0iTcMoRCNdrZdo2KmnmHqY5giVU0/JsD34YXxOxsq6wZeGdtBwh4JWMnIdMh6yGtPH7o1q&#10;jZMWxmNqx6hf/4P9MwAAAP//AwBQSwMEFAAGAAgAAAAhAMxUeLzgAAAACQEAAA8AAABkcnMvZG93&#10;bnJldi54bWxMj8tOwzAQRfdI/IM1SGxQa5OGtgmZVAgJRHdQEGzd2E0i/Ai2m4a/Z1jBajSaozvn&#10;VpvJGjbqEHvvEK7nAph2jVe9axHeXh9ma2AxSaek8U4jfOsIm/r8rJKl8if3osddahmFuFhKhC6l&#10;oeQ8Np22Ms79oB3dDj5YmWgNLVdBnijcGp4JseRW9o4+dHLQ951uPndHi7DOn8aPuF08vzfLgynS&#10;1Wp8/AqIlxfT3S2wpKf0B8OvPqlDTU57f3QqMoMwW+Q3hCJkgiYBeZFlwPYIxUoAryv+v0H9AwAA&#10;//8DAFBLAQItABQABgAIAAAAIQC2gziS/gAAAOEBAAATAAAAAAAAAAAAAAAAAAAAAABbQ29udGVu&#10;dF9UeXBlc10ueG1sUEsBAi0AFAAGAAgAAAAhADj9If/WAAAAlAEAAAsAAAAAAAAAAAAAAAAALwEA&#10;AF9yZWxzLy5yZWxzUEsBAi0AFAAGAAgAAAAhABPrUywuAgAAVwQAAA4AAAAAAAAAAAAAAAAALgIA&#10;AGRycy9lMm9Eb2MueG1sUEsBAi0AFAAGAAgAAAAhAMxUeLzgAAAACQEAAA8AAAAAAAAAAAAAAAAA&#10;iAQAAGRycy9kb3ducmV2LnhtbFBLBQYAAAAABAAEAPMAAACVBQAAAAA=&#10;">
                <v:textbox>
                  <w:txbxContent>
                    <w:p w:rsidR="00F22DA2" w:rsidRPr="00A72F62" w:rsidRDefault="00F22DA2" w:rsidP="009308F9">
                      <w:pPr>
                        <w:jc w:val="both"/>
                        <w:rPr>
                          <w:lang w:val="en-US"/>
                        </w:rPr>
                      </w:pPr>
                      <w:r>
                        <w:rPr>
                          <w:lang w:val="en-US"/>
                        </w:rPr>
                        <w:t>This document was prepared by</w:t>
                      </w:r>
                      <w:r w:rsidR="009308F9">
                        <w:rPr>
                          <w:lang w:val="en-US"/>
                        </w:rPr>
                        <w:t>:</w:t>
                      </w:r>
                      <w:r>
                        <w:rPr>
                          <w:lang w:val="en-US"/>
                        </w:rPr>
                        <w:t xml:space="preserve"> Pablo Ibarrar</w:t>
                      </w:r>
                      <w:r w:rsidRPr="00A72F62">
                        <w:rPr>
                          <w:lang w:val="en-US"/>
                        </w:rPr>
                        <w:t>án</w:t>
                      </w:r>
                      <w:r w:rsidR="009308F9">
                        <w:rPr>
                          <w:lang w:val="en-US"/>
                        </w:rPr>
                        <w:t>;</w:t>
                      </w:r>
                      <w:r w:rsidRPr="00A72F62">
                        <w:rPr>
                          <w:lang w:val="en-US"/>
                        </w:rPr>
                        <w:t xml:space="preserve"> and Leticia Ju</w:t>
                      </w:r>
                      <w:r>
                        <w:rPr>
                          <w:lang w:val="en-US"/>
                        </w:rPr>
                        <w:t>árez.</w:t>
                      </w:r>
                    </w:p>
                  </w:txbxContent>
                </v:textbox>
              </v:shape>
            </w:pict>
          </mc:Fallback>
        </mc:AlternateContent>
      </w:r>
    </w:p>
    <w:p w:rsidR="00352A58" w:rsidRPr="007A0F6F" w:rsidRDefault="00352A58" w:rsidP="000C4EAB">
      <w:pPr>
        <w:pStyle w:val="ColorfulList-Accent11"/>
        <w:ind w:left="1080"/>
        <w:jc w:val="both"/>
        <w:rPr>
          <w:rFonts w:ascii="Arial" w:hAnsi="Arial" w:cs="Arial"/>
          <w:b/>
          <w:sz w:val="24"/>
          <w:szCs w:val="24"/>
          <w:lang w:val="es-ES"/>
        </w:rPr>
      </w:pPr>
    </w:p>
    <w:p w:rsidR="00352A58" w:rsidRPr="007A0F6F" w:rsidRDefault="00352A58" w:rsidP="000C4EAB">
      <w:pPr>
        <w:tabs>
          <w:tab w:val="left" w:pos="1440"/>
          <w:tab w:val="left" w:pos="3060"/>
        </w:tabs>
        <w:jc w:val="both"/>
        <w:rPr>
          <w:rFonts w:ascii="Arial" w:hAnsi="Arial" w:cs="Arial"/>
          <w:b/>
          <w:smallCaps/>
          <w:szCs w:val="24"/>
        </w:rPr>
      </w:pPr>
    </w:p>
    <w:p w:rsidR="00DF4AC4" w:rsidRPr="007A0F6F" w:rsidRDefault="00DF4AC4" w:rsidP="000C4EAB">
      <w:pPr>
        <w:pStyle w:val="Listavistosa-nfasis11"/>
        <w:ind w:left="360"/>
        <w:jc w:val="both"/>
        <w:rPr>
          <w:rFonts w:ascii="Arial" w:eastAsia="Arial Unicode MS" w:hAnsi="Arial" w:cs="Arial"/>
          <w:bCs/>
          <w:smallCaps/>
          <w:sz w:val="24"/>
          <w:szCs w:val="24"/>
          <w:lang w:val="es-MX"/>
        </w:rPr>
      </w:pPr>
    </w:p>
    <w:p w:rsidR="00A72F62" w:rsidRPr="007A0F6F" w:rsidRDefault="00A72F62" w:rsidP="000C4EAB">
      <w:pPr>
        <w:pStyle w:val="AutoNumpara"/>
        <w:tabs>
          <w:tab w:val="clear" w:pos="720"/>
        </w:tabs>
        <w:rPr>
          <w:rFonts w:ascii="Arial" w:hAnsi="Arial" w:cs="Arial"/>
          <w:b/>
          <w:smallCaps/>
          <w:noProof w:val="0"/>
          <w:sz w:val="28"/>
          <w:szCs w:val="28"/>
          <w:lang w:val="es-MX"/>
        </w:rPr>
      </w:pPr>
    </w:p>
    <w:p w:rsidR="00A72F62" w:rsidRPr="007A0F6F" w:rsidRDefault="00A72F62" w:rsidP="000C4EAB">
      <w:pPr>
        <w:pStyle w:val="TOCHeading"/>
        <w:jc w:val="both"/>
        <w:rPr>
          <w:rFonts w:ascii="Arial" w:hAnsi="Arial" w:cs="Arial"/>
          <w:b w:val="0"/>
          <w:bCs w:val="0"/>
          <w:color w:val="auto"/>
          <w:sz w:val="32"/>
          <w:szCs w:val="32"/>
          <w:lang w:val="en-US"/>
        </w:rPr>
      </w:pPr>
      <w:r w:rsidRPr="007A0F6F">
        <w:rPr>
          <w:rFonts w:ascii="Arial" w:hAnsi="Arial" w:cs="Arial"/>
          <w:lang w:val="en-US"/>
        </w:rPr>
        <w:t>Cost-benefit analysis for the program “Integrated Support to Jamaica´s Social Protection Strategy” (JA-L1053)</w:t>
      </w:r>
    </w:p>
    <w:p w:rsidR="00A72F62" w:rsidRPr="007A0F6F" w:rsidRDefault="00A72F62" w:rsidP="000C4EAB">
      <w:pPr>
        <w:pStyle w:val="Default"/>
        <w:jc w:val="both"/>
        <w:rPr>
          <w:rFonts w:ascii="Arial" w:hAnsi="Arial" w:cs="Arial"/>
          <w:b/>
          <w:bCs/>
          <w:color w:val="auto"/>
        </w:rPr>
      </w:pPr>
    </w:p>
    <w:p w:rsidR="00A72F62" w:rsidRPr="007A0F6F" w:rsidRDefault="00A72F62" w:rsidP="000C4EAB">
      <w:pPr>
        <w:pStyle w:val="TOCHeading"/>
        <w:jc w:val="both"/>
        <w:rPr>
          <w:rFonts w:ascii="Arial" w:hAnsi="Arial" w:cs="Arial"/>
        </w:rPr>
      </w:pPr>
      <w:r w:rsidRPr="007A0F6F">
        <w:rPr>
          <w:rFonts w:ascii="Arial" w:hAnsi="Arial" w:cs="Arial"/>
        </w:rPr>
        <w:t xml:space="preserve">Table of Content </w:t>
      </w:r>
    </w:p>
    <w:p w:rsidR="00A72F62" w:rsidRPr="007A0F6F" w:rsidRDefault="00A72F62" w:rsidP="000C4EAB">
      <w:pPr>
        <w:jc w:val="both"/>
        <w:rPr>
          <w:rFonts w:ascii="Arial" w:hAnsi="Arial" w:cs="Arial"/>
          <w:lang w:val="en-US" w:eastAsia="x-none"/>
        </w:rPr>
      </w:pPr>
    </w:p>
    <w:p w:rsidR="00011E26" w:rsidRDefault="00A72F62">
      <w:pPr>
        <w:pStyle w:val="TOC1"/>
        <w:tabs>
          <w:tab w:val="right" w:leader="dot" w:pos="9350"/>
        </w:tabs>
        <w:rPr>
          <w:noProof/>
          <w:lang w:val="en-US" w:eastAsia="en-US"/>
        </w:rPr>
      </w:pPr>
      <w:r w:rsidRPr="007A0F6F">
        <w:rPr>
          <w:rFonts w:ascii="Arial" w:hAnsi="Arial" w:cs="Arial"/>
        </w:rPr>
        <w:fldChar w:fldCharType="begin"/>
      </w:r>
      <w:r w:rsidRPr="007A0F6F">
        <w:rPr>
          <w:rFonts w:ascii="Arial" w:hAnsi="Arial" w:cs="Arial"/>
        </w:rPr>
        <w:instrText xml:space="preserve"> TOC \o "1-3" \h \z \u </w:instrText>
      </w:r>
      <w:r w:rsidRPr="007A0F6F">
        <w:rPr>
          <w:rFonts w:ascii="Arial" w:hAnsi="Arial" w:cs="Arial"/>
        </w:rPr>
        <w:fldChar w:fldCharType="separate"/>
      </w:r>
      <w:hyperlink w:anchor="_Toc422776319" w:history="1">
        <w:r w:rsidR="00011E26" w:rsidRPr="00EB59E3">
          <w:rPr>
            <w:rStyle w:val="Hyperlink"/>
            <w:rFonts w:ascii="Arial" w:hAnsi="Arial" w:cs="Arial"/>
            <w:noProof/>
            <w:lang w:val="en-US"/>
          </w:rPr>
          <w:t xml:space="preserve">Executive Summary </w:t>
        </w:r>
        <w:r w:rsidR="00011E26">
          <w:rPr>
            <w:noProof/>
            <w:webHidden/>
          </w:rPr>
          <w:tab/>
        </w:r>
        <w:r w:rsidR="00011E26">
          <w:rPr>
            <w:noProof/>
            <w:webHidden/>
          </w:rPr>
          <w:fldChar w:fldCharType="begin"/>
        </w:r>
        <w:r w:rsidR="00011E26">
          <w:rPr>
            <w:noProof/>
            <w:webHidden/>
          </w:rPr>
          <w:instrText xml:space="preserve"> PAGEREF _Toc422776319 \h </w:instrText>
        </w:r>
        <w:r w:rsidR="00011E26">
          <w:rPr>
            <w:noProof/>
            <w:webHidden/>
          </w:rPr>
        </w:r>
        <w:r w:rsidR="00011E26">
          <w:rPr>
            <w:noProof/>
            <w:webHidden/>
          </w:rPr>
          <w:fldChar w:fldCharType="separate"/>
        </w:r>
        <w:r w:rsidR="003C05E7">
          <w:rPr>
            <w:noProof/>
            <w:webHidden/>
          </w:rPr>
          <w:t>3</w:t>
        </w:r>
        <w:r w:rsidR="00011E26">
          <w:rPr>
            <w:noProof/>
            <w:webHidden/>
          </w:rPr>
          <w:fldChar w:fldCharType="end"/>
        </w:r>
      </w:hyperlink>
    </w:p>
    <w:p w:rsidR="00011E26" w:rsidRDefault="006352C4">
      <w:pPr>
        <w:pStyle w:val="TOC1"/>
        <w:tabs>
          <w:tab w:val="left" w:pos="440"/>
          <w:tab w:val="right" w:leader="dot" w:pos="9350"/>
        </w:tabs>
        <w:rPr>
          <w:noProof/>
          <w:lang w:val="en-US" w:eastAsia="en-US"/>
        </w:rPr>
      </w:pPr>
      <w:hyperlink w:anchor="_Toc422776320" w:history="1">
        <w:r w:rsidR="00011E26" w:rsidRPr="00EB59E3">
          <w:rPr>
            <w:rStyle w:val="Hyperlink"/>
            <w:rFonts w:ascii="Arial" w:eastAsia="Times New Roman" w:hAnsi="Arial" w:cs="Times New Roman"/>
            <w:noProof/>
            <w:lang w:val="en-US"/>
          </w:rPr>
          <w:t>1.</w:t>
        </w:r>
        <w:r w:rsidR="00011E26">
          <w:rPr>
            <w:noProof/>
            <w:lang w:val="en-US" w:eastAsia="en-US"/>
          </w:rPr>
          <w:tab/>
        </w:r>
        <w:r w:rsidR="00011E26" w:rsidRPr="00EB59E3">
          <w:rPr>
            <w:rStyle w:val="Hyperlink"/>
            <w:rFonts w:ascii="Arial" w:hAnsi="Arial" w:cs="Arial"/>
            <w:noProof/>
            <w:lang w:val="en-US"/>
          </w:rPr>
          <w:t>Introduction</w:t>
        </w:r>
        <w:r w:rsidR="00011E26">
          <w:rPr>
            <w:noProof/>
            <w:webHidden/>
          </w:rPr>
          <w:tab/>
        </w:r>
        <w:r w:rsidR="00011E26">
          <w:rPr>
            <w:noProof/>
            <w:webHidden/>
          </w:rPr>
          <w:fldChar w:fldCharType="begin"/>
        </w:r>
        <w:r w:rsidR="00011E26">
          <w:rPr>
            <w:noProof/>
            <w:webHidden/>
          </w:rPr>
          <w:instrText xml:space="preserve"> PAGEREF _Toc422776320 \h </w:instrText>
        </w:r>
        <w:r w:rsidR="00011E26">
          <w:rPr>
            <w:noProof/>
            <w:webHidden/>
          </w:rPr>
        </w:r>
        <w:r w:rsidR="00011E26">
          <w:rPr>
            <w:noProof/>
            <w:webHidden/>
          </w:rPr>
          <w:fldChar w:fldCharType="separate"/>
        </w:r>
        <w:r w:rsidR="003C05E7">
          <w:rPr>
            <w:noProof/>
            <w:webHidden/>
          </w:rPr>
          <w:t>4</w:t>
        </w:r>
        <w:r w:rsidR="00011E26">
          <w:rPr>
            <w:noProof/>
            <w:webHidden/>
          </w:rPr>
          <w:fldChar w:fldCharType="end"/>
        </w:r>
      </w:hyperlink>
    </w:p>
    <w:p w:rsidR="00011E26" w:rsidRDefault="006352C4">
      <w:pPr>
        <w:pStyle w:val="TOC1"/>
        <w:tabs>
          <w:tab w:val="left" w:pos="440"/>
          <w:tab w:val="right" w:leader="dot" w:pos="9350"/>
        </w:tabs>
        <w:rPr>
          <w:noProof/>
          <w:lang w:val="en-US" w:eastAsia="en-US"/>
        </w:rPr>
      </w:pPr>
      <w:hyperlink w:anchor="_Toc422776321" w:history="1">
        <w:r w:rsidR="00011E26" w:rsidRPr="00EB59E3">
          <w:rPr>
            <w:rStyle w:val="Hyperlink"/>
            <w:rFonts w:ascii="Arial" w:eastAsia="Times New Roman" w:hAnsi="Arial" w:cs="Times New Roman"/>
            <w:noProof/>
            <w:lang w:val="en-US"/>
          </w:rPr>
          <w:t>2.</w:t>
        </w:r>
        <w:r w:rsidR="00011E26">
          <w:rPr>
            <w:noProof/>
            <w:lang w:val="en-US" w:eastAsia="en-US"/>
          </w:rPr>
          <w:tab/>
        </w:r>
        <w:r w:rsidR="00011E26" w:rsidRPr="00EB59E3">
          <w:rPr>
            <w:rStyle w:val="Hyperlink"/>
            <w:rFonts w:ascii="Arial" w:hAnsi="Arial" w:cs="Arial"/>
            <w:noProof/>
            <w:lang w:val="en-US"/>
          </w:rPr>
          <w:t>Conditional Cash Transfer (CCT) programs</w:t>
        </w:r>
        <w:r w:rsidR="00011E26">
          <w:rPr>
            <w:noProof/>
            <w:webHidden/>
          </w:rPr>
          <w:tab/>
        </w:r>
        <w:r w:rsidR="00011E26">
          <w:rPr>
            <w:noProof/>
            <w:webHidden/>
          </w:rPr>
          <w:fldChar w:fldCharType="begin"/>
        </w:r>
        <w:r w:rsidR="00011E26">
          <w:rPr>
            <w:noProof/>
            <w:webHidden/>
          </w:rPr>
          <w:instrText xml:space="preserve"> PAGEREF _Toc422776321 \h </w:instrText>
        </w:r>
        <w:r w:rsidR="00011E26">
          <w:rPr>
            <w:noProof/>
            <w:webHidden/>
          </w:rPr>
        </w:r>
        <w:r w:rsidR="00011E26">
          <w:rPr>
            <w:noProof/>
            <w:webHidden/>
          </w:rPr>
          <w:fldChar w:fldCharType="separate"/>
        </w:r>
        <w:r w:rsidR="003C05E7">
          <w:rPr>
            <w:noProof/>
            <w:webHidden/>
          </w:rPr>
          <w:t>4</w:t>
        </w:r>
        <w:r w:rsidR="00011E26">
          <w:rPr>
            <w:noProof/>
            <w:webHidden/>
          </w:rPr>
          <w:fldChar w:fldCharType="end"/>
        </w:r>
      </w:hyperlink>
    </w:p>
    <w:p w:rsidR="00011E26" w:rsidRDefault="006352C4">
      <w:pPr>
        <w:pStyle w:val="TOC1"/>
        <w:tabs>
          <w:tab w:val="left" w:pos="440"/>
          <w:tab w:val="right" w:leader="dot" w:pos="9350"/>
        </w:tabs>
        <w:rPr>
          <w:noProof/>
          <w:lang w:val="en-US" w:eastAsia="en-US"/>
        </w:rPr>
      </w:pPr>
      <w:hyperlink w:anchor="_Toc422776322" w:history="1">
        <w:r w:rsidR="00011E26" w:rsidRPr="00EB59E3">
          <w:rPr>
            <w:rStyle w:val="Hyperlink"/>
            <w:rFonts w:ascii="Arial" w:eastAsia="Times New Roman" w:hAnsi="Arial" w:cs="Times New Roman"/>
            <w:noProof/>
            <w:lang w:val="en-US"/>
          </w:rPr>
          <w:t>2.</w:t>
        </w:r>
        <w:r w:rsidR="00011E26">
          <w:rPr>
            <w:noProof/>
            <w:lang w:val="en-US" w:eastAsia="en-US"/>
          </w:rPr>
          <w:tab/>
        </w:r>
        <w:r w:rsidR="00011E26" w:rsidRPr="00EB59E3">
          <w:rPr>
            <w:rStyle w:val="Hyperlink"/>
            <w:rFonts w:ascii="Arial" w:hAnsi="Arial" w:cs="Arial"/>
            <w:noProof/>
            <w:lang w:val="en-US"/>
          </w:rPr>
          <w:t>Jamaica’s CCT: Program of Advancement Through Health and Education (PATH)</w:t>
        </w:r>
        <w:r w:rsidR="00011E26">
          <w:rPr>
            <w:noProof/>
            <w:webHidden/>
          </w:rPr>
          <w:tab/>
        </w:r>
        <w:r w:rsidR="00011E26">
          <w:rPr>
            <w:noProof/>
            <w:webHidden/>
          </w:rPr>
          <w:fldChar w:fldCharType="begin"/>
        </w:r>
        <w:r w:rsidR="00011E26">
          <w:rPr>
            <w:noProof/>
            <w:webHidden/>
          </w:rPr>
          <w:instrText xml:space="preserve"> PAGEREF _Toc422776322 \h </w:instrText>
        </w:r>
        <w:r w:rsidR="00011E26">
          <w:rPr>
            <w:noProof/>
            <w:webHidden/>
          </w:rPr>
        </w:r>
        <w:r w:rsidR="00011E26">
          <w:rPr>
            <w:noProof/>
            <w:webHidden/>
          </w:rPr>
          <w:fldChar w:fldCharType="separate"/>
        </w:r>
        <w:r w:rsidR="003C05E7">
          <w:rPr>
            <w:noProof/>
            <w:webHidden/>
          </w:rPr>
          <w:t>7</w:t>
        </w:r>
        <w:r w:rsidR="00011E26">
          <w:rPr>
            <w:noProof/>
            <w:webHidden/>
          </w:rPr>
          <w:fldChar w:fldCharType="end"/>
        </w:r>
      </w:hyperlink>
    </w:p>
    <w:p w:rsidR="00011E26" w:rsidRDefault="006352C4">
      <w:pPr>
        <w:pStyle w:val="TOC1"/>
        <w:tabs>
          <w:tab w:val="left" w:pos="440"/>
          <w:tab w:val="right" w:leader="dot" w:pos="9350"/>
        </w:tabs>
        <w:rPr>
          <w:noProof/>
          <w:lang w:val="en-US" w:eastAsia="en-US"/>
        </w:rPr>
      </w:pPr>
      <w:hyperlink w:anchor="_Toc422776323" w:history="1">
        <w:r w:rsidR="00011E26" w:rsidRPr="00EB59E3">
          <w:rPr>
            <w:rStyle w:val="Hyperlink"/>
            <w:rFonts w:ascii="Arial" w:eastAsia="Times New Roman" w:hAnsi="Arial" w:cs="Times New Roman"/>
            <w:noProof/>
            <w:lang w:val="en-US"/>
          </w:rPr>
          <w:t>3.</w:t>
        </w:r>
        <w:r w:rsidR="00011E26">
          <w:rPr>
            <w:noProof/>
            <w:lang w:val="en-US" w:eastAsia="en-US"/>
          </w:rPr>
          <w:tab/>
        </w:r>
        <w:r w:rsidR="00011E26" w:rsidRPr="00EB59E3">
          <w:rPr>
            <w:rStyle w:val="Hyperlink"/>
            <w:rFonts w:ascii="Arial" w:hAnsi="Arial" w:cs="Arial"/>
            <w:noProof/>
            <w:lang w:val="en-US"/>
          </w:rPr>
          <w:t>Cost – Benefit Analysis of CCT programs</w:t>
        </w:r>
        <w:r w:rsidR="00011E26">
          <w:rPr>
            <w:noProof/>
            <w:webHidden/>
          </w:rPr>
          <w:tab/>
        </w:r>
        <w:r w:rsidR="00011E26">
          <w:rPr>
            <w:noProof/>
            <w:webHidden/>
          </w:rPr>
          <w:fldChar w:fldCharType="begin"/>
        </w:r>
        <w:r w:rsidR="00011E26">
          <w:rPr>
            <w:noProof/>
            <w:webHidden/>
          </w:rPr>
          <w:instrText xml:space="preserve"> PAGEREF _Toc422776323 \h </w:instrText>
        </w:r>
        <w:r w:rsidR="00011E26">
          <w:rPr>
            <w:noProof/>
            <w:webHidden/>
          </w:rPr>
        </w:r>
        <w:r w:rsidR="00011E26">
          <w:rPr>
            <w:noProof/>
            <w:webHidden/>
          </w:rPr>
          <w:fldChar w:fldCharType="separate"/>
        </w:r>
        <w:r w:rsidR="003C05E7">
          <w:rPr>
            <w:noProof/>
            <w:webHidden/>
          </w:rPr>
          <w:t>8</w:t>
        </w:r>
        <w:r w:rsidR="00011E26">
          <w:rPr>
            <w:noProof/>
            <w:webHidden/>
          </w:rPr>
          <w:fldChar w:fldCharType="end"/>
        </w:r>
      </w:hyperlink>
    </w:p>
    <w:p w:rsidR="00011E26" w:rsidRDefault="006352C4">
      <w:pPr>
        <w:pStyle w:val="TOC1"/>
        <w:tabs>
          <w:tab w:val="left" w:pos="440"/>
          <w:tab w:val="right" w:leader="dot" w:pos="9350"/>
        </w:tabs>
        <w:rPr>
          <w:noProof/>
          <w:lang w:val="en-US" w:eastAsia="en-US"/>
        </w:rPr>
      </w:pPr>
      <w:hyperlink w:anchor="_Toc422776324" w:history="1">
        <w:r w:rsidR="00011E26" w:rsidRPr="00EB59E3">
          <w:rPr>
            <w:rStyle w:val="Hyperlink"/>
            <w:rFonts w:ascii="Arial" w:eastAsia="Times New Roman" w:hAnsi="Arial" w:cs="Times New Roman"/>
            <w:noProof/>
            <w:lang w:val="en-US"/>
          </w:rPr>
          <w:t>4.</w:t>
        </w:r>
        <w:r w:rsidR="00011E26">
          <w:rPr>
            <w:noProof/>
            <w:lang w:val="en-US" w:eastAsia="en-US"/>
          </w:rPr>
          <w:tab/>
        </w:r>
        <w:r w:rsidR="00011E26" w:rsidRPr="00EB59E3">
          <w:rPr>
            <w:rStyle w:val="Hyperlink"/>
            <w:rFonts w:ascii="Arial" w:hAnsi="Arial" w:cs="Arial"/>
            <w:noProof/>
            <w:lang w:val="en-US"/>
          </w:rPr>
          <w:t>Expected results of the operation</w:t>
        </w:r>
        <w:r w:rsidR="00011E26">
          <w:rPr>
            <w:noProof/>
            <w:webHidden/>
          </w:rPr>
          <w:tab/>
        </w:r>
        <w:r w:rsidR="00011E26">
          <w:rPr>
            <w:noProof/>
            <w:webHidden/>
          </w:rPr>
          <w:fldChar w:fldCharType="begin"/>
        </w:r>
        <w:r w:rsidR="00011E26">
          <w:rPr>
            <w:noProof/>
            <w:webHidden/>
          </w:rPr>
          <w:instrText xml:space="preserve"> PAGEREF _Toc422776324 \h </w:instrText>
        </w:r>
        <w:r w:rsidR="00011E26">
          <w:rPr>
            <w:noProof/>
            <w:webHidden/>
          </w:rPr>
        </w:r>
        <w:r w:rsidR="00011E26">
          <w:rPr>
            <w:noProof/>
            <w:webHidden/>
          </w:rPr>
          <w:fldChar w:fldCharType="separate"/>
        </w:r>
        <w:r w:rsidR="003C05E7">
          <w:rPr>
            <w:noProof/>
            <w:webHidden/>
          </w:rPr>
          <w:t>9</w:t>
        </w:r>
        <w:r w:rsidR="00011E26">
          <w:rPr>
            <w:noProof/>
            <w:webHidden/>
          </w:rPr>
          <w:fldChar w:fldCharType="end"/>
        </w:r>
      </w:hyperlink>
    </w:p>
    <w:p w:rsidR="00011E26" w:rsidRDefault="006352C4">
      <w:pPr>
        <w:pStyle w:val="TOC1"/>
        <w:tabs>
          <w:tab w:val="left" w:pos="440"/>
          <w:tab w:val="right" w:leader="dot" w:pos="9350"/>
        </w:tabs>
        <w:rPr>
          <w:noProof/>
          <w:lang w:val="en-US" w:eastAsia="en-US"/>
        </w:rPr>
      </w:pPr>
      <w:hyperlink w:anchor="_Toc422776325" w:history="1">
        <w:r w:rsidR="00011E26" w:rsidRPr="00EB59E3">
          <w:rPr>
            <w:rStyle w:val="Hyperlink"/>
            <w:rFonts w:ascii="Arial" w:eastAsia="Times New Roman" w:hAnsi="Arial" w:cs="Times New Roman"/>
            <w:noProof/>
            <w:lang w:val="en-US"/>
          </w:rPr>
          <w:t>5.</w:t>
        </w:r>
        <w:r w:rsidR="00011E26">
          <w:rPr>
            <w:noProof/>
            <w:lang w:val="en-US" w:eastAsia="en-US"/>
          </w:rPr>
          <w:tab/>
        </w:r>
        <w:r w:rsidR="00011E26" w:rsidRPr="00EB59E3">
          <w:rPr>
            <w:rStyle w:val="Hyperlink"/>
            <w:rFonts w:ascii="Arial" w:hAnsi="Arial" w:cs="Arial"/>
            <w:noProof/>
            <w:lang w:val="en-US"/>
          </w:rPr>
          <w:t>Objective and scope of the Cost-Benefit Analysis (CBA)</w:t>
        </w:r>
        <w:r w:rsidR="00011E26">
          <w:rPr>
            <w:noProof/>
            <w:webHidden/>
          </w:rPr>
          <w:tab/>
        </w:r>
        <w:r w:rsidR="00011E26">
          <w:rPr>
            <w:noProof/>
            <w:webHidden/>
          </w:rPr>
          <w:fldChar w:fldCharType="begin"/>
        </w:r>
        <w:r w:rsidR="00011E26">
          <w:rPr>
            <w:noProof/>
            <w:webHidden/>
          </w:rPr>
          <w:instrText xml:space="preserve"> PAGEREF _Toc422776325 \h </w:instrText>
        </w:r>
        <w:r w:rsidR="00011E26">
          <w:rPr>
            <w:noProof/>
            <w:webHidden/>
          </w:rPr>
        </w:r>
        <w:r w:rsidR="00011E26">
          <w:rPr>
            <w:noProof/>
            <w:webHidden/>
          </w:rPr>
          <w:fldChar w:fldCharType="separate"/>
        </w:r>
        <w:r w:rsidR="003C05E7">
          <w:rPr>
            <w:noProof/>
            <w:webHidden/>
          </w:rPr>
          <w:t>10</w:t>
        </w:r>
        <w:r w:rsidR="00011E26">
          <w:rPr>
            <w:noProof/>
            <w:webHidden/>
          </w:rPr>
          <w:fldChar w:fldCharType="end"/>
        </w:r>
      </w:hyperlink>
    </w:p>
    <w:p w:rsidR="00011E26" w:rsidRDefault="006352C4">
      <w:pPr>
        <w:pStyle w:val="TOC1"/>
        <w:tabs>
          <w:tab w:val="left" w:pos="440"/>
          <w:tab w:val="right" w:leader="dot" w:pos="9350"/>
        </w:tabs>
        <w:rPr>
          <w:noProof/>
          <w:lang w:val="en-US" w:eastAsia="en-US"/>
        </w:rPr>
      </w:pPr>
      <w:hyperlink w:anchor="_Toc422776326" w:history="1">
        <w:r w:rsidR="00011E26" w:rsidRPr="00EB59E3">
          <w:rPr>
            <w:rStyle w:val="Hyperlink"/>
            <w:rFonts w:ascii="Arial" w:eastAsia="Times New Roman" w:hAnsi="Arial" w:cs="Times New Roman"/>
            <w:noProof/>
            <w:lang w:val="en-US"/>
          </w:rPr>
          <w:t>6.</w:t>
        </w:r>
        <w:r w:rsidR="00011E26">
          <w:rPr>
            <w:noProof/>
            <w:lang w:val="en-US" w:eastAsia="en-US"/>
          </w:rPr>
          <w:tab/>
        </w:r>
        <w:r w:rsidR="00011E26" w:rsidRPr="00EB59E3">
          <w:rPr>
            <w:rStyle w:val="Hyperlink"/>
            <w:rFonts w:ascii="Arial" w:hAnsi="Arial" w:cs="Arial"/>
            <w:noProof/>
            <w:lang w:val="en-US"/>
          </w:rPr>
          <w:t>Results of the Cost-benefit Analysis</w:t>
        </w:r>
        <w:r w:rsidR="00011E26">
          <w:rPr>
            <w:noProof/>
            <w:webHidden/>
          </w:rPr>
          <w:tab/>
        </w:r>
        <w:r w:rsidR="00011E26">
          <w:rPr>
            <w:noProof/>
            <w:webHidden/>
          </w:rPr>
          <w:fldChar w:fldCharType="begin"/>
        </w:r>
        <w:r w:rsidR="00011E26">
          <w:rPr>
            <w:noProof/>
            <w:webHidden/>
          </w:rPr>
          <w:instrText xml:space="preserve"> PAGEREF _Toc422776326 \h </w:instrText>
        </w:r>
        <w:r w:rsidR="00011E26">
          <w:rPr>
            <w:noProof/>
            <w:webHidden/>
          </w:rPr>
        </w:r>
        <w:r w:rsidR="00011E26">
          <w:rPr>
            <w:noProof/>
            <w:webHidden/>
          </w:rPr>
          <w:fldChar w:fldCharType="separate"/>
        </w:r>
        <w:r w:rsidR="003C05E7">
          <w:rPr>
            <w:noProof/>
            <w:webHidden/>
          </w:rPr>
          <w:t>13</w:t>
        </w:r>
        <w:r w:rsidR="00011E26">
          <w:rPr>
            <w:noProof/>
            <w:webHidden/>
          </w:rPr>
          <w:fldChar w:fldCharType="end"/>
        </w:r>
      </w:hyperlink>
    </w:p>
    <w:p w:rsidR="00011E26" w:rsidRDefault="006352C4">
      <w:pPr>
        <w:pStyle w:val="TOC1"/>
        <w:tabs>
          <w:tab w:val="right" w:leader="dot" w:pos="9350"/>
        </w:tabs>
        <w:rPr>
          <w:noProof/>
          <w:lang w:val="en-US" w:eastAsia="en-US"/>
        </w:rPr>
      </w:pPr>
      <w:hyperlink w:anchor="_Toc422776327" w:history="1">
        <w:r w:rsidR="00011E26" w:rsidRPr="00EB59E3">
          <w:rPr>
            <w:rStyle w:val="Hyperlink"/>
            <w:rFonts w:ascii="Arial" w:hAnsi="Arial" w:cs="Arial"/>
            <w:noProof/>
            <w:lang w:val="en-US"/>
          </w:rPr>
          <w:t>References</w:t>
        </w:r>
        <w:r w:rsidR="00011E26">
          <w:rPr>
            <w:noProof/>
            <w:webHidden/>
          </w:rPr>
          <w:tab/>
        </w:r>
        <w:r w:rsidR="00011E26">
          <w:rPr>
            <w:noProof/>
            <w:webHidden/>
          </w:rPr>
          <w:fldChar w:fldCharType="begin"/>
        </w:r>
        <w:r w:rsidR="00011E26">
          <w:rPr>
            <w:noProof/>
            <w:webHidden/>
          </w:rPr>
          <w:instrText xml:space="preserve"> PAGEREF _Toc422776327 \h </w:instrText>
        </w:r>
        <w:r w:rsidR="00011E26">
          <w:rPr>
            <w:noProof/>
            <w:webHidden/>
          </w:rPr>
        </w:r>
        <w:r w:rsidR="00011E26">
          <w:rPr>
            <w:noProof/>
            <w:webHidden/>
          </w:rPr>
          <w:fldChar w:fldCharType="separate"/>
        </w:r>
        <w:r w:rsidR="003C05E7">
          <w:rPr>
            <w:noProof/>
            <w:webHidden/>
          </w:rPr>
          <w:t>15</w:t>
        </w:r>
        <w:r w:rsidR="00011E26">
          <w:rPr>
            <w:noProof/>
            <w:webHidden/>
          </w:rPr>
          <w:fldChar w:fldCharType="end"/>
        </w:r>
      </w:hyperlink>
    </w:p>
    <w:p w:rsidR="00A72F62" w:rsidRPr="007A0F6F" w:rsidRDefault="00A72F62" w:rsidP="000C4EAB">
      <w:pPr>
        <w:jc w:val="both"/>
        <w:rPr>
          <w:rFonts w:ascii="Arial" w:hAnsi="Arial" w:cs="Arial"/>
          <w:b/>
          <w:bCs/>
        </w:rPr>
      </w:pPr>
      <w:r w:rsidRPr="007A0F6F">
        <w:rPr>
          <w:rFonts w:ascii="Arial" w:hAnsi="Arial" w:cs="Arial"/>
          <w:b/>
          <w:bCs/>
        </w:rPr>
        <w:fldChar w:fldCharType="end"/>
      </w:r>
    </w:p>
    <w:p w:rsidR="00A72F62" w:rsidRPr="007A0F6F" w:rsidRDefault="00A72F62" w:rsidP="000C4EAB">
      <w:pPr>
        <w:jc w:val="both"/>
        <w:rPr>
          <w:rFonts w:ascii="Arial" w:hAnsi="Arial" w:cs="Arial"/>
          <w:b/>
          <w:sz w:val="24"/>
          <w:szCs w:val="24"/>
        </w:rPr>
      </w:pPr>
      <w:r w:rsidRPr="007A0F6F">
        <w:rPr>
          <w:rFonts w:ascii="Arial" w:hAnsi="Arial" w:cs="Arial"/>
          <w:b/>
          <w:bCs/>
        </w:rPr>
        <w:br w:type="page"/>
      </w:r>
    </w:p>
    <w:p w:rsidR="00A72F62" w:rsidRPr="007A0F6F" w:rsidRDefault="00A72F62" w:rsidP="000C4EAB">
      <w:pPr>
        <w:pStyle w:val="Heading1"/>
        <w:jc w:val="both"/>
        <w:rPr>
          <w:rFonts w:ascii="Arial" w:hAnsi="Arial" w:cs="Arial"/>
          <w:sz w:val="22"/>
          <w:szCs w:val="22"/>
          <w:lang w:val="en-US"/>
        </w:rPr>
      </w:pPr>
      <w:bookmarkStart w:id="0" w:name="_Toc422776319"/>
      <w:r w:rsidRPr="007A0F6F">
        <w:rPr>
          <w:rFonts w:ascii="Arial" w:hAnsi="Arial" w:cs="Arial"/>
          <w:sz w:val="22"/>
          <w:szCs w:val="22"/>
          <w:lang w:val="en-US"/>
        </w:rPr>
        <w:lastRenderedPageBreak/>
        <w:t xml:space="preserve">Executive Summary </w:t>
      </w:r>
      <w:bookmarkEnd w:id="0"/>
    </w:p>
    <w:p w:rsidR="00A72F62" w:rsidRPr="007A0F6F" w:rsidRDefault="00A72F62" w:rsidP="000C4EAB">
      <w:pPr>
        <w:autoSpaceDE w:val="0"/>
        <w:autoSpaceDN w:val="0"/>
        <w:adjustRightInd w:val="0"/>
        <w:jc w:val="both"/>
        <w:rPr>
          <w:rFonts w:ascii="Arial" w:eastAsia="Times New Roman" w:hAnsi="Arial" w:cs="Arial"/>
          <w:bCs/>
          <w:kern w:val="32"/>
          <w:lang w:val="en-US"/>
        </w:rPr>
      </w:pPr>
    </w:p>
    <w:p w:rsidR="00A72F62" w:rsidRPr="007A0F6F" w:rsidRDefault="00A72F62" w:rsidP="000C4EAB">
      <w:pPr>
        <w:jc w:val="both"/>
        <w:rPr>
          <w:rFonts w:ascii="Arial" w:hAnsi="Arial" w:cs="Arial"/>
          <w:i/>
          <w:lang w:val="en-US" w:eastAsia="es-AR"/>
        </w:rPr>
      </w:pPr>
      <w:r w:rsidRPr="007A0F6F">
        <w:rPr>
          <w:rFonts w:ascii="Arial" w:hAnsi="Arial" w:cs="Arial"/>
          <w:i/>
          <w:lang w:val="en-US" w:eastAsia="es-AR"/>
        </w:rPr>
        <w:t xml:space="preserve">The ex-ante cost benefit analysis for the </w:t>
      </w:r>
      <w:r w:rsidR="002B3E34">
        <w:rPr>
          <w:rFonts w:ascii="Arial" w:hAnsi="Arial" w:cs="Arial"/>
          <w:i/>
          <w:lang w:val="en-US" w:eastAsia="es-AR"/>
        </w:rPr>
        <w:t xml:space="preserve">project </w:t>
      </w:r>
      <w:r w:rsidRPr="007A0F6F">
        <w:rPr>
          <w:rFonts w:ascii="Arial" w:hAnsi="Arial" w:cs="Arial"/>
          <w:i/>
          <w:lang w:val="en-US" w:eastAsia="es-AR"/>
        </w:rPr>
        <w:t xml:space="preserve">Integrated </w:t>
      </w:r>
      <w:r w:rsidR="00BA64FD">
        <w:rPr>
          <w:rFonts w:ascii="Arial" w:hAnsi="Arial" w:cs="Arial"/>
          <w:i/>
          <w:lang w:val="en-US" w:eastAsia="es-AR"/>
        </w:rPr>
        <w:t xml:space="preserve">Support to Jamaica’s </w:t>
      </w:r>
      <w:r w:rsidRPr="007A0F6F">
        <w:rPr>
          <w:rFonts w:ascii="Arial" w:hAnsi="Arial" w:cs="Arial"/>
          <w:i/>
          <w:lang w:val="en-US" w:eastAsia="es-AR"/>
        </w:rPr>
        <w:t xml:space="preserve">Social Protection </w:t>
      </w:r>
      <w:r w:rsidR="00BA64FD">
        <w:rPr>
          <w:rFonts w:ascii="Arial" w:hAnsi="Arial" w:cs="Arial"/>
          <w:i/>
          <w:lang w:val="en-US" w:eastAsia="es-AR"/>
        </w:rPr>
        <w:t>Strategy</w:t>
      </w:r>
      <w:r w:rsidRPr="007A0F6F">
        <w:rPr>
          <w:rFonts w:ascii="Arial" w:hAnsi="Arial" w:cs="Arial"/>
          <w:i/>
          <w:lang w:val="en-US" w:eastAsia="es-AR"/>
        </w:rPr>
        <w:t xml:space="preserve"> shows that the </w:t>
      </w:r>
      <w:r w:rsidR="00BA64FD">
        <w:rPr>
          <w:rFonts w:ascii="Arial" w:hAnsi="Arial" w:cs="Arial"/>
          <w:i/>
          <w:lang w:val="en-US" w:eastAsia="es-AR"/>
        </w:rPr>
        <w:t>investments of the program have</w:t>
      </w:r>
      <w:r w:rsidRPr="007A0F6F">
        <w:rPr>
          <w:rFonts w:ascii="Arial" w:hAnsi="Arial" w:cs="Arial"/>
          <w:i/>
          <w:lang w:val="en-US" w:eastAsia="es-AR"/>
        </w:rPr>
        <w:t xml:space="preserve"> a positive net present value. In the base case in which: (i) the </w:t>
      </w:r>
      <w:r w:rsidR="00F80DE9">
        <w:rPr>
          <w:rFonts w:ascii="Arial" w:hAnsi="Arial" w:cs="Arial"/>
          <w:i/>
          <w:lang w:val="en-US" w:eastAsia="es-AR"/>
        </w:rPr>
        <w:t>im</w:t>
      </w:r>
      <w:r w:rsidR="00472012">
        <w:rPr>
          <w:rFonts w:ascii="Arial" w:hAnsi="Arial" w:cs="Arial"/>
          <w:i/>
          <w:lang w:val="en-US" w:eastAsia="es-AR"/>
        </w:rPr>
        <w:t>pact of PATH on schooling is 6%;</w:t>
      </w:r>
      <w:r w:rsidR="00F80DE9">
        <w:rPr>
          <w:rFonts w:ascii="Arial" w:hAnsi="Arial" w:cs="Arial"/>
          <w:i/>
          <w:lang w:val="en-US" w:eastAsia="es-AR"/>
        </w:rPr>
        <w:t xml:space="preserve"> (ii) the </w:t>
      </w:r>
      <w:r w:rsidRPr="007A0F6F">
        <w:rPr>
          <w:rFonts w:ascii="Arial" w:hAnsi="Arial" w:cs="Arial"/>
          <w:i/>
          <w:lang w:val="en-US" w:eastAsia="es-AR"/>
        </w:rPr>
        <w:t xml:space="preserve">social discount rate is set at </w:t>
      </w:r>
      <w:r w:rsidR="0079533B">
        <w:rPr>
          <w:rFonts w:ascii="Arial" w:hAnsi="Arial" w:cs="Arial"/>
          <w:i/>
          <w:lang w:val="en-US" w:eastAsia="es-AR"/>
        </w:rPr>
        <w:t>4</w:t>
      </w:r>
      <w:r w:rsidRPr="007A0F6F">
        <w:rPr>
          <w:rFonts w:ascii="Arial" w:hAnsi="Arial" w:cs="Arial"/>
          <w:i/>
          <w:lang w:val="en-US" w:eastAsia="es-AR"/>
        </w:rPr>
        <w:t>%; (ii</w:t>
      </w:r>
      <w:r w:rsidR="00F80DE9">
        <w:rPr>
          <w:rFonts w:ascii="Arial" w:hAnsi="Arial" w:cs="Arial"/>
          <w:i/>
          <w:lang w:val="en-US" w:eastAsia="es-AR"/>
        </w:rPr>
        <w:t>i</w:t>
      </w:r>
      <w:r w:rsidRPr="007A0F6F">
        <w:rPr>
          <w:rFonts w:ascii="Arial" w:hAnsi="Arial" w:cs="Arial"/>
          <w:i/>
          <w:lang w:val="en-US" w:eastAsia="es-AR"/>
        </w:rPr>
        <w:t>) each additional year</w:t>
      </w:r>
      <w:r w:rsidR="00F80DE9">
        <w:rPr>
          <w:rFonts w:ascii="Arial" w:hAnsi="Arial" w:cs="Arial"/>
          <w:i/>
          <w:lang w:val="en-US" w:eastAsia="es-AR"/>
        </w:rPr>
        <w:t xml:space="preserve"> of education has a return of 6</w:t>
      </w:r>
      <w:r w:rsidRPr="007A0F6F">
        <w:rPr>
          <w:rFonts w:ascii="Arial" w:hAnsi="Arial" w:cs="Arial"/>
          <w:i/>
          <w:lang w:val="en-US" w:eastAsia="es-AR"/>
        </w:rPr>
        <w:t>% in terms of future higher earnings, following a Mincerian approach; (i</w:t>
      </w:r>
      <w:r w:rsidR="00F80DE9">
        <w:rPr>
          <w:rFonts w:ascii="Arial" w:hAnsi="Arial" w:cs="Arial"/>
          <w:i/>
          <w:lang w:val="en-US" w:eastAsia="es-AR"/>
        </w:rPr>
        <w:t>v</w:t>
      </w:r>
      <w:r w:rsidRPr="007A0F6F">
        <w:rPr>
          <w:rFonts w:ascii="Arial" w:hAnsi="Arial" w:cs="Arial"/>
          <w:i/>
          <w:lang w:val="en-US" w:eastAsia="es-AR"/>
        </w:rPr>
        <w:t xml:space="preserve">) </w:t>
      </w:r>
      <w:r w:rsidR="00F80DE9">
        <w:rPr>
          <w:rFonts w:ascii="Arial" w:hAnsi="Arial" w:cs="Arial"/>
          <w:i/>
          <w:lang w:val="en-US" w:eastAsia="es-AR"/>
        </w:rPr>
        <w:t xml:space="preserve">75% of the </w:t>
      </w:r>
      <w:r w:rsidR="0079533B">
        <w:rPr>
          <w:rFonts w:ascii="Arial" w:eastAsia="Times New Roman" w:hAnsi="Arial" w:cs="Arial"/>
          <w:bCs/>
          <w:i/>
          <w:kern w:val="32"/>
          <w:lang w:val="en-US"/>
        </w:rPr>
        <w:t>legal minimum wage of J$ 56</w:t>
      </w:r>
      <w:r w:rsidRPr="007A0F6F">
        <w:rPr>
          <w:rFonts w:ascii="Arial" w:eastAsia="Times New Roman" w:hAnsi="Arial" w:cs="Arial"/>
          <w:bCs/>
          <w:i/>
          <w:kern w:val="32"/>
          <w:lang w:val="en-US"/>
        </w:rPr>
        <w:t>00 for a 40-hour week is used as a basis to c</w:t>
      </w:r>
      <w:r w:rsidR="00472012">
        <w:rPr>
          <w:rFonts w:ascii="Arial" w:eastAsia="Times New Roman" w:hAnsi="Arial" w:cs="Arial"/>
          <w:bCs/>
          <w:i/>
          <w:kern w:val="32"/>
          <w:lang w:val="en-US"/>
        </w:rPr>
        <w:t>alculate future earning; and</w:t>
      </w:r>
      <w:r w:rsidR="00F80DE9">
        <w:rPr>
          <w:rFonts w:ascii="Arial" w:eastAsia="Times New Roman" w:hAnsi="Arial" w:cs="Arial"/>
          <w:bCs/>
          <w:i/>
          <w:kern w:val="32"/>
          <w:lang w:val="en-US"/>
        </w:rPr>
        <w:t xml:space="preserve"> (</w:t>
      </w:r>
      <w:r w:rsidRPr="007A0F6F">
        <w:rPr>
          <w:rFonts w:ascii="Arial" w:eastAsia="Times New Roman" w:hAnsi="Arial" w:cs="Arial"/>
          <w:bCs/>
          <w:i/>
          <w:kern w:val="32"/>
          <w:lang w:val="en-US"/>
        </w:rPr>
        <w:t xml:space="preserve">v) future labor incomes are projected based on a working life lasting from </w:t>
      </w:r>
      <w:r w:rsidR="002B3E34" w:rsidRPr="00091330">
        <w:rPr>
          <w:rFonts w:ascii="Arial" w:eastAsia="Times New Roman" w:hAnsi="Arial" w:cs="Arial"/>
          <w:bCs/>
          <w:i/>
          <w:kern w:val="32"/>
          <w:lang w:val="en-US"/>
        </w:rPr>
        <w:t>18 to 65</w:t>
      </w:r>
      <w:r w:rsidRPr="00091330">
        <w:rPr>
          <w:rFonts w:ascii="Arial" w:eastAsia="Times New Roman" w:hAnsi="Arial" w:cs="Arial"/>
          <w:bCs/>
          <w:i/>
          <w:kern w:val="32"/>
          <w:lang w:val="en-US"/>
        </w:rPr>
        <w:t xml:space="preserve"> years</w:t>
      </w:r>
      <w:r w:rsidRPr="007A0F6F">
        <w:rPr>
          <w:rFonts w:ascii="Arial" w:eastAsia="Times New Roman" w:hAnsi="Arial" w:cs="Arial"/>
          <w:bCs/>
          <w:i/>
          <w:kern w:val="32"/>
          <w:lang w:val="en-US"/>
        </w:rPr>
        <w:t xml:space="preserve"> old for beneficiaries</w:t>
      </w:r>
      <w:r w:rsidR="002B3E34">
        <w:rPr>
          <w:rFonts w:ascii="Arial" w:eastAsia="Times New Roman" w:hAnsi="Arial" w:cs="Arial"/>
          <w:bCs/>
          <w:i/>
          <w:kern w:val="32"/>
          <w:lang w:val="en-US"/>
        </w:rPr>
        <w:t xml:space="preserve"> of the Program of Advancement Through Health and Education (PATH)</w:t>
      </w:r>
      <w:r w:rsidRPr="007A0F6F">
        <w:rPr>
          <w:rFonts w:ascii="Arial" w:hAnsi="Arial" w:cs="Arial"/>
          <w:i/>
          <w:lang w:val="en-US" w:eastAsia="es-AR"/>
        </w:rPr>
        <w:t xml:space="preserve">; the </w:t>
      </w:r>
      <w:r w:rsidR="00BA64FD">
        <w:rPr>
          <w:rFonts w:ascii="Arial" w:hAnsi="Arial" w:cs="Arial"/>
          <w:i/>
          <w:lang w:val="en-US" w:eastAsia="es-AR"/>
        </w:rPr>
        <w:t xml:space="preserve">present value of the Benefit/Cost ration is estimated at </w:t>
      </w:r>
      <w:r w:rsidR="00F80DE9">
        <w:rPr>
          <w:rFonts w:ascii="Arial" w:hAnsi="Arial" w:cs="Arial"/>
          <w:i/>
          <w:lang w:val="en-US" w:eastAsia="es-AR"/>
        </w:rPr>
        <w:t>3.09</w:t>
      </w:r>
      <w:r w:rsidRPr="007A0F6F">
        <w:rPr>
          <w:rFonts w:ascii="Arial" w:hAnsi="Arial" w:cs="Arial"/>
          <w:i/>
          <w:lang w:val="en-US" w:eastAsia="es-AR"/>
        </w:rPr>
        <w:t>.</w:t>
      </w:r>
    </w:p>
    <w:p w:rsidR="00A72F62" w:rsidRPr="007A0F6F" w:rsidRDefault="00A72F62" w:rsidP="000C4EAB">
      <w:pPr>
        <w:jc w:val="both"/>
        <w:rPr>
          <w:rFonts w:ascii="Arial" w:hAnsi="Arial" w:cs="Arial"/>
          <w:i/>
          <w:lang w:val="en-US" w:eastAsia="es-AR"/>
        </w:rPr>
      </w:pPr>
    </w:p>
    <w:p w:rsidR="00A72F62" w:rsidRDefault="00A72F62" w:rsidP="000C4EAB">
      <w:pPr>
        <w:autoSpaceDE w:val="0"/>
        <w:autoSpaceDN w:val="0"/>
        <w:adjustRightInd w:val="0"/>
        <w:jc w:val="both"/>
        <w:rPr>
          <w:rFonts w:ascii="Arial" w:hAnsi="Arial" w:cs="Arial"/>
          <w:i/>
          <w:lang w:val="en-US" w:eastAsia="es-AR"/>
        </w:rPr>
      </w:pPr>
      <w:r w:rsidRPr="007A0F6F">
        <w:rPr>
          <w:rFonts w:ascii="Arial" w:hAnsi="Arial" w:cs="Arial"/>
          <w:i/>
          <w:lang w:val="en-US" w:eastAsia="es-AR"/>
        </w:rPr>
        <w:t xml:space="preserve">The analysis values the benefits of PATH transfers in terms of the increased future earnings that result from increased years of schooling and improved health. The effects of the program </w:t>
      </w:r>
      <w:r w:rsidR="008E54D9">
        <w:rPr>
          <w:rFonts w:ascii="Arial" w:hAnsi="Arial" w:cs="Arial"/>
          <w:i/>
          <w:lang w:val="en-US" w:eastAsia="es-AR"/>
        </w:rPr>
        <w:t xml:space="preserve">are based on the extensive literature about the positive impacts of Conditional Cash Transfer programs, as documented by Fiszbein and Schady (2009) and by the IDB’s Poverty and Social Protection Strategic Framework Document (2014). Additionally, Jamaica’s PATH had a rigorous impact evaluation that confirmed the program’s positive impacts in line the international evidence, which was </w:t>
      </w:r>
      <w:r w:rsidRPr="007A0F6F">
        <w:rPr>
          <w:rFonts w:ascii="Arial" w:hAnsi="Arial" w:cs="Arial"/>
          <w:i/>
          <w:lang w:val="en-US" w:eastAsia="es-AR"/>
        </w:rPr>
        <w:t xml:space="preserve">conducted </w:t>
      </w:r>
      <w:r w:rsidR="00BA64FD">
        <w:rPr>
          <w:rFonts w:ascii="Arial" w:hAnsi="Arial" w:cs="Arial"/>
          <w:i/>
          <w:lang w:val="en-US" w:eastAsia="es-AR"/>
        </w:rPr>
        <w:t>by Dan Levy and Jim Ohl s (2010)</w:t>
      </w:r>
      <w:r w:rsidR="008E54D9">
        <w:rPr>
          <w:rFonts w:ascii="Arial" w:hAnsi="Arial" w:cs="Arial"/>
          <w:i/>
          <w:lang w:val="en-US" w:eastAsia="es-AR"/>
        </w:rPr>
        <w:t>.</w:t>
      </w:r>
      <w:r w:rsidRPr="007A0F6F">
        <w:rPr>
          <w:rFonts w:ascii="Arial" w:hAnsi="Arial" w:cs="Arial"/>
          <w:i/>
          <w:lang w:val="en-US" w:eastAsia="es-AR"/>
        </w:rPr>
        <w:t xml:space="preserve"> </w:t>
      </w:r>
    </w:p>
    <w:p w:rsidR="00BA64FD" w:rsidRPr="007A0F6F" w:rsidRDefault="00BA64FD" w:rsidP="000C4EAB">
      <w:pPr>
        <w:autoSpaceDE w:val="0"/>
        <w:autoSpaceDN w:val="0"/>
        <w:adjustRightInd w:val="0"/>
        <w:jc w:val="both"/>
        <w:rPr>
          <w:rFonts w:ascii="Arial" w:hAnsi="Arial" w:cs="Arial"/>
          <w:i/>
          <w:lang w:val="en-US" w:eastAsia="es-AR"/>
        </w:rPr>
      </w:pPr>
    </w:p>
    <w:p w:rsidR="00A72F62" w:rsidRPr="007A0F6F" w:rsidRDefault="008E54D9" w:rsidP="000C4EAB">
      <w:pPr>
        <w:autoSpaceDE w:val="0"/>
        <w:autoSpaceDN w:val="0"/>
        <w:adjustRightInd w:val="0"/>
        <w:jc w:val="both"/>
        <w:rPr>
          <w:rFonts w:ascii="Arial" w:hAnsi="Arial" w:cs="Arial"/>
          <w:i/>
          <w:lang w:val="en-US" w:eastAsia="es-AR"/>
        </w:rPr>
      </w:pPr>
      <w:r>
        <w:rPr>
          <w:rFonts w:ascii="Arial" w:hAnsi="Arial" w:cs="Arial"/>
          <w:i/>
          <w:lang w:val="en-US" w:eastAsia="es-AR"/>
        </w:rPr>
        <w:t>The analysis</w:t>
      </w:r>
      <w:r w:rsidR="00A72F62" w:rsidRPr="007A0F6F">
        <w:rPr>
          <w:rFonts w:ascii="Arial" w:hAnsi="Arial" w:cs="Arial"/>
          <w:i/>
          <w:lang w:val="en-US" w:eastAsia="es-AR"/>
        </w:rPr>
        <w:t xml:space="preserve"> consider</w:t>
      </w:r>
      <w:r>
        <w:rPr>
          <w:rFonts w:ascii="Arial" w:hAnsi="Arial" w:cs="Arial"/>
          <w:i/>
          <w:lang w:val="en-US" w:eastAsia="es-AR"/>
        </w:rPr>
        <w:t>s</w:t>
      </w:r>
      <w:r w:rsidR="00A72F62" w:rsidRPr="007A0F6F">
        <w:rPr>
          <w:rFonts w:ascii="Arial" w:hAnsi="Arial" w:cs="Arial"/>
          <w:i/>
          <w:lang w:val="en-US" w:eastAsia="es-AR"/>
        </w:rPr>
        <w:t xml:space="preserve"> both direct costs (implementation and operational costs of the program) and indirect costs for beneficiaries, including costs of collection of transfers in terms of transportation and lost earnings, opportunity costs of compliance with PATH conditionalities and opportunity cost of studying and not working for children aged 14 - 18 years. </w:t>
      </w:r>
    </w:p>
    <w:p w:rsidR="00A72F62" w:rsidRPr="007A0F6F" w:rsidRDefault="00A72F62" w:rsidP="000C4EAB">
      <w:pPr>
        <w:autoSpaceDE w:val="0"/>
        <w:autoSpaceDN w:val="0"/>
        <w:adjustRightInd w:val="0"/>
        <w:jc w:val="both"/>
        <w:rPr>
          <w:rFonts w:ascii="Arial" w:hAnsi="Arial" w:cs="Arial"/>
          <w:i/>
          <w:lang w:val="en-US" w:eastAsia="es-AR"/>
        </w:rPr>
      </w:pPr>
    </w:p>
    <w:p w:rsidR="00A72F62" w:rsidRPr="007A0F6F" w:rsidRDefault="00A72F62" w:rsidP="000C4EAB">
      <w:pPr>
        <w:autoSpaceDE w:val="0"/>
        <w:autoSpaceDN w:val="0"/>
        <w:adjustRightInd w:val="0"/>
        <w:jc w:val="both"/>
        <w:rPr>
          <w:rFonts w:ascii="Arial" w:hAnsi="Arial" w:cs="Arial"/>
          <w:lang w:val="en-US" w:eastAsia="es-AR"/>
        </w:rPr>
      </w:pPr>
    </w:p>
    <w:p w:rsidR="00A72F62" w:rsidRPr="007A0F6F" w:rsidRDefault="00A72F62" w:rsidP="000C4EAB">
      <w:pPr>
        <w:autoSpaceDE w:val="0"/>
        <w:autoSpaceDN w:val="0"/>
        <w:adjustRightInd w:val="0"/>
        <w:jc w:val="both"/>
        <w:rPr>
          <w:rFonts w:ascii="Arial" w:hAnsi="Arial" w:cs="Arial"/>
          <w:lang w:val="en-US" w:eastAsia="es-AR"/>
        </w:rPr>
      </w:pPr>
    </w:p>
    <w:p w:rsidR="00A72F62" w:rsidRPr="007A0F6F" w:rsidRDefault="00A72F62" w:rsidP="000C4EAB">
      <w:pPr>
        <w:jc w:val="both"/>
        <w:rPr>
          <w:rFonts w:ascii="Arial" w:eastAsia="Times New Roman" w:hAnsi="Arial" w:cs="Arial"/>
          <w:bCs/>
          <w:kern w:val="32"/>
          <w:lang w:val="en-US"/>
        </w:rPr>
      </w:pPr>
      <w:r w:rsidRPr="007A0F6F">
        <w:rPr>
          <w:rFonts w:ascii="Arial" w:eastAsia="Times New Roman" w:hAnsi="Arial" w:cs="Arial"/>
          <w:bCs/>
          <w:kern w:val="32"/>
          <w:lang w:val="en-US"/>
        </w:rPr>
        <w:br w:type="page"/>
      </w:r>
    </w:p>
    <w:p w:rsidR="00A72F62" w:rsidRPr="00A93E29" w:rsidRDefault="00A72F62" w:rsidP="009E101A">
      <w:pPr>
        <w:pStyle w:val="Heading1"/>
        <w:keepLines w:val="0"/>
        <w:numPr>
          <w:ilvl w:val="0"/>
          <w:numId w:val="14"/>
        </w:numPr>
        <w:spacing w:before="0" w:line="276" w:lineRule="auto"/>
        <w:jc w:val="both"/>
        <w:rPr>
          <w:rFonts w:ascii="Arial" w:hAnsi="Arial" w:cs="Arial"/>
          <w:b w:val="0"/>
          <w:sz w:val="22"/>
          <w:szCs w:val="22"/>
          <w:lang w:val="en-US"/>
        </w:rPr>
      </w:pPr>
      <w:bookmarkStart w:id="1" w:name="_Toc422776320"/>
      <w:r w:rsidRPr="007A0F6F">
        <w:rPr>
          <w:rFonts w:ascii="Arial" w:hAnsi="Arial" w:cs="Arial"/>
          <w:sz w:val="22"/>
          <w:szCs w:val="22"/>
          <w:lang w:val="en-US"/>
        </w:rPr>
        <w:lastRenderedPageBreak/>
        <w:t>Introduction</w:t>
      </w:r>
      <w:bookmarkEnd w:id="1"/>
      <w:r w:rsidRPr="007A0F6F">
        <w:rPr>
          <w:rFonts w:ascii="Arial" w:hAnsi="Arial" w:cs="Arial"/>
          <w:sz w:val="22"/>
          <w:szCs w:val="22"/>
          <w:lang w:val="en-US"/>
        </w:rPr>
        <w:t xml:space="preserve"> </w:t>
      </w:r>
    </w:p>
    <w:p w:rsidR="00A72F62" w:rsidRPr="007A0F6F" w:rsidRDefault="00A72F62" w:rsidP="000C4EAB">
      <w:pPr>
        <w:pStyle w:val="ListParagraph"/>
        <w:autoSpaceDE w:val="0"/>
        <w:autoSpaceDN w:val="0"/>
        <w:adjustRightInd w:val="0"/>
        <w:ind w:left="0" w:firstLine="360"/>
        <w:jc w:val="both"/>
        <w:rPr>
          <w:rFonts w:ascii="Arial" w:eastAsia="Times New Roman" w:hAnsi="Arial" w:cs="Arial"/>
          <w:bCs/>
          <w:kern w:val="32"/>
          <w:lang w:val="en-US"/>
        </w:rPr>
      </w:pPr>
    </w:p>
    <w:p w:rsidR="007D1156" w:rsidRDefault="00A72F62" w:rsidP="000C4EAB">
      <w:pPr>
        <w:pStyle w:val="ListParagraph"/>
        <w:autoSpaceDE w:val="0"/>
        <w:autoSpaceDN w:val="0"/>
        <w:adjustRightInd w:val="0"/>
        <w:ind w:left="0" w:firstLine="360"/>
        <w:jc w:val="both"/>
        <w:rPr>
          <w:rFonts w:ascii="Arial" w:eastAsia="Times New Roman" w:hAnsi="Arial" w:cs="Arial"/>
          <w:bCs/>
          <w:kern w:val="32"/>
          <w:lang w:val="en-US"/>
        </w:rPr>
      </w:pPr>
      <w:r w:rsidRPr="007A0F6F">
        <w:rPr>
          <w:rFonts w:ascii="Arial" w:eastAsia="Times New Roman" w:hAnsi="Arial" w:cs="Arial"/>
          <w:bCs/>
          <w:kern w:val="32"/>
          <w:lang w:val="en-US"/>
        </w:rPr>
        <w:t>This report prese</w:t>
      </w:r>
      <w:r w:rsidR="00472012">
        <w:rPr>
          <w:rFonts w:ascii="Arial" w:eastAsia="Times New Roman" w:hAnsi="Arial" w:cs="Arial"/>
          <w:bCs/>
          <w:kern w:val="32"/>
          <w:lang w:val="en-US"/>
        </w:rPr>
        <w:t>nts the results of the ex-ante Cost Benefit A</w:t>
      </w:r>
      <w:r w:rsidRPr="007A0F6F">
        <w:rPr>
          <w:rFonts w:ascii="Arial" w:eastAsia="Times New Roman" w:hAnsi="Arial" w:cs="Arial"/>
          <w:bCs/>
          <w:kern w:val="32"/>
          <w:lang w:val="en-US"/>
        </w:rPr>
        <w:t>nalysis</w:t>
      </w:r>
      <w:r w:rsidR="00472012">
        <w:rPr>
          <w:rFonts w:ascii="Arial" w:eastAsia="Times New Roman" w:hAnsi="Arial" w:cs="Arial"/>
          <w:bCs/>
          <w:kern w:val="32"/>
          <w:lang w:val="en-US"/>
        </w:rPr>
        <w:t xml:space="preserve"> (CBA)</w:t>
      </w:r>
      <w:r w:rsidRPr="007A0F6F">
        <w:rPr>
          <w:rFonts w:ascii="Arial" w:eastAsia="Times New Roman" w:hAnsi="Arial" w:cs="Arial"/>
          <w:bCs/>
          <w:kern w:val="32"/>
          <w:lang w:val="en-US"/>
        </w:rPr>
        <w:t xml:space="preserve"> for Inter-American Development Bank (IDB) Integrated Support to Jamaica´s</w:t>
      </w:r>
      <w:r w:rsidR="00472012">
        <w:rPr>
          <w:rFonts w:ascii="Arial" w:eastAsia="Times New Roman" w:hAnsi="Arial" w:cs="Arial"/>
          <w:bCs/>
          <w:kern w:val="32"/>
          <w:lang w:val="en-US"/>
        </w:rPr>
        <w:t xml:space="preserve"> Social Protection Strategy (JA</w:t>
      </w:r>
      <w:r w:rsidR="00472012">
        <w:rPr>
          <w:rFonts w:ascii="Arial" w:eastAsia="Times New Roman" w:hAnsi="Arial" w:cs="Arial"/>
          <w:bCs/>
          <w:kern w:val="32"/>
          <w:lang w:val="en-US"/>
        </w:rPr>
        <w:noBreakHyphen/>
      </w:r>
      <w:r w:rsidRPr="007A0F6F">
        <w:rPr>
          <w:rFonts w:ascii="Arial" w:eastAsia="Times New Roman" w:hAnsi="Arial" w:cs="Arial"/>
          <w:bCs/>
          <w:kern w:val="32"/>
          <w:lang w:val="en-US"/>
        </w:rPr>
        <w:t>L1053). The objective of the program is to support consumption and to protect and promote human capital accumulation of poor families that are beneficiaries of the Jamaica Conditional Cash Transfer Program, PATH. The program will achieve this objective through</w:t>
      </w:r>
      <w:r w:rsidR="00472012">
        <w:rPr>
          <w:rFonts w:ascii="Arial" w:eastAsia="Times New Roman" w:hAnsi="Arial" w:cs="Arial"/>
          <w:bCs/>
          <w:kern w:val="32"/>
          <w:lang w:val="en-US"/>
        </w:rPr>
        <w:t>: (i) </w:t>
      </w:r>
      <w:r w:rsidRPr="009B46D9">
        <w:rPr>
          <w:rFonts w:ascii="Arial" w:eastAsia="Times New Roman" w:hAnsi="Arial" w:cs="Arial"/>
          <w:bCs/>
          <w:kern w:val="32"/>
          <w:lang w:val="en-US"/>
        </w:rPr>
        <w:t xml:space="preserve">supplementing </w:t>
      </w:r>
      <w:r w:rsidR="00472012" w:rsidRPr="009B46D9">
        <w:rPr>
          <w:rFonts w:ascii="Arial" w:hAnsi="Arial" w:cs="Arial"/>
          <w:lang w:val="en-US"/>
        </w:rPr>
        <w:t>Government of Jamaica (</w:t>
      </w:r>
      <w:r w:rsidRPr="009B46D9">
        <w:rPr>
          <w:rFonts w:ascii="Arial" w:eastAsia="Times New Roman" w:hAnsi="Arial" w:cs="Arial"/>
          <w:bCs/>
          <w:kern w:val="32"/>
          <w:lang w:val="en-US"/>
        </w:rPr>
        <w:t>GOJ</w:t>
      </w:r>
      <w:r w:rsidR="00472012" w:rsidRPr="009B46D9">
        <w:rPr>
          <w:rFonts w:ascii="Arial" w:eastAsia="Times New Roman" w:hAnsi="Arial" w:cs="Arial"/>
          <w:bCs/>
          <w:kern w:val="32"/>
          <w:lang w:val="en-US"/>
        </w:rPr>
        <w:t>)</w:t>
      </w:r>
      <w:r w:rsidRPr="009B46D9">
        <w:rPr>
          <w:rFonts w:ascii="Arial" w:eastAsia="Times New Roman" w:hAnsi="Arial" w:cs="Arial"/>
          <w:bCs/>
          <w:kern w:val="32"/>
          <w:lang w:val="en-US"/>
        </w:rPr>
        <w:t xml:space="preserve"> cash grant budget to eligible beneficiaries under the program to ensure their consumption levels are maintained in a period of </w:t>
      </w:r>
      <w:r w:rsidR="007D1156" w:rsidRPr="009B46D9">
        <w:rPr>
          <w:rFonts w:ascii="Arial" w:eastAsia="Times New Roman" w:hAnsi="Arial" w:cs="Arial"/>
          <w:bCs/>
          <w:kern w:val="32"/>
          <w:lang w:val="en-US"/>
        </w:rPr>
        <w:t xml:space="preserve">structural adjustment within the policy arrangement with the </w:t>
      </w:r>
      <w:r w:rsidRPr="009B46D9">
        <w:rPr>
          <w:rFonts w:ascii="Arial" w:eastAsia="Times New Roman" w:hAnsi="Arial" w:cs="Arial"/>
          <w:bCs/>
          <w:kern w:val="32"/>
          <w:lang w:val="en-US"/>
        </w:rPr>
        <w:t>I</w:t>
      </w:r>
      <w:r w:rsidR="007D1156" w:rsidRPr="009B46D9">
        <w:rPr>
          <w:rFonts w:ascii="Arial" w:eastAsia="Times New Roman" w:hAnsi="Arial" w:cs="Arial"/>
          <w:bCs/>
          <w:kern w:val="32"/>
          <w:lang w:val="en-US"/>
        </w:rPr>
        <w:t xml:space="preserve">nternational </w:t>
      </w:r>
      <w:r w:rsidRPr="009B46D9">
        <w:rPr>
          <w:rFonts w:ascii="Arial" w:eastAsia="Times New Roman" w:hAnsi="Arial" w:cs="Arial"/>
          <w:bCs/>
          <w:kern w:val="32"/>
          <w:lang w:val="en-US"/>
        </w:rPr>
        <w:t>M</w:t>
      </w:r>
      <w:r w:rsidR="007D1156" w:rsidRPr="009B46D9">
        <w:rPr>
          <w:rFonts w:ascii="Arial" w:eastAsia="Times New Roman" w:hAnsi="Arial" w:cs="Arial"/>
          <w:bCs/>
          <w:kern w:val="32"/>
          <w:lang w:val="en-US"/>
        </w:rPr>
        <w:t xml:space="preserve">onetary </w:t>
      </w:r>
      <w:r w:rsidRPr="009B46D9">
        <w:rPr>
          <w:rFonts w:ascii="Arial" w:eastAsia="Times New Roman" w:hAnsi="Arial" w:cs="Arial"/>
          <w:bCs/>
          <w:kern w:val="32"/>
          <w:lang w:val="en-US"/>
        </w:rPr>
        <w:t>Fund</w:t>
      </w:r>
      <w:r w:rsidRPr="007A0F6F">
        <w:rPr>
          <w:rFonts w:ascii="Arial" w:eastAsia="Times New Roman" w:hAnsi="Arial" w:cs="Arial"/>
          <w:bCs/>
          <w:kern w:val="32"/>
          <w:lang w:val="en-US"/>
        </w:rPr>
        <w:t>; and (ii) support the modernization of key social services and processes within the Ministry of Labour and Social Security in Jamaica in line with implementation of the Social Protection Strategy (SPS) approved in 2014.</w:t>
      </w:r>
    </w:p>
    <w:p w:rsidR="00A72F62" w:rsidRPr="009E101A" w:rsidRDefault="00A72F62" w:rsidP="009E101A">
      <w:pPr>
        <w:autoSpaceDE w:val="0"/>
        <w:autoSpaceDN w:val="0"/>
        <w:adjustRightInd w:val="0"/>
        <w:jc w:val="both"/>
        <w:rPr>
          <w:rFonts w:ascii="Arial" w:eastAsia="Times New Roman" w:hAnsi="Arial" w:cs="Arial"/>
          <w:bCs/>
          <w:kern w:val="32"/>
          <w:lang w:val="en-US"/>
        </w:rPr>
      </w:pPr>
    </w:p>
    <w:p w:rsidR="00A72F62" w:rsidRPr="009E101A" w:rsidRDefault="00A72F62" w:rsidP="000C4EAB">
      <w:pPr>
        <w:pStyle w:val="ListParagraph"/>
        <w:autoSpaceDE w:val="0"/>
        <w:autoSpaceDN w:val="0"/>
        <w:adjustRightInd w:val="0"/>
        <w:ind w:left="0" w:firstLine="360"/>
        <w:jc w:val="both"/>
        <w:rPr>
          <w:rFonts w:ascii="Arial" w:eastAsia="Times New Roman" w:hAnsi="Arial" w:cs="Arial"/>
          <w:bCs/>
          <w:spacing w:val="-2"/>
          <w:kern w:val="32"/>
          <w:lang w:val="en-US"/>
        </w:rPr>
      </w:pPr>
      <w:r w:rsidRPr="006352C4">
        <w:rPr>
          <w:rFonts w:ascii="Arial" w:eastAsia="Times New Roman" w:hAnsi="Arial" w:cs="Arial"/>
          <w:bCs/>
          <w:spacing w:val="-2"/>
          <w:kern w:val="32"/>
          <w:lang w:val="en-US"/>
        </w:rPr>
        <w:t xml:space="preserve">This report will be structured as follows. Section 2 </w:t>
      </w:r>
      <w:r w:rsidR="007D1156" w:rsidRPr="006352C4">
        <w:rPr>
          <w:rFonts w:ascii="Arial" w:eastAsia="Times New Roman" w:hAnsi="Arial" w:cs="Arial"/>
          <w:bCs/>
          <w:spacing w:val="-2"/>
          <w:kern w:val="32"/>
          <w:lang w:val="en-US"/>
        </w:rPr>
        <w:t xml:space="preserve">presents some background on Conditional Cash Transfer programs (CCTs) in terms of their rationale, impacts and challenges, followed by Section 3 that the </w:t>
      </w:r>
      <w:r w:rsidRPr="006352C4">
        <w:rPr>
          <w:rFonts w:ascii="Arial" w:eastAsia="Times New Roman" w:hAnsi="Arial" w:cs="Arial"/>
          <w:bCs/>
          <w:spacing w:val="-2"/>
          <w:kern w:val="32"/>
          <w:lang w:val="en-US"/>
        </w:rPr>
        <w:t>discusses relevant literature on the cost – benef</w:t>
      </w:r>
      <w:r w:rsidR="009E101A" w:rsidRPr="006352C4">
        <w:rPr>
          <w:rFonts w:ascii="Arial" w:eastAsia="Times New Roman" w:hAnsi="Arial" w:cs="Arial"/>
          <w:bCs/>
          <w:spacing w:val="-2"/>
          <w:kern w:val="32"/>
          <w:lang w:val="en-US"/>
        </w:rPr>
        <w:t>it analysis of conditional cash </w:t>
      </w:r>
      <w:r w:rsidRPr="006352C4">
        <w:rPr>
          <w:rFonts w:ascii="Arial" w:eastAsia="Times New Roman" w:hAnsi="Arial" w:cs="Arial"/>
          <w:bCs/>
          <w:spacing w:val="-2"/>
          <w:kern w:val="32"/>
          <w:lang w:val="en-US"/>
        </w:rPr>
        <w:t>transfer programs (CCT), while Section 3 will provide an overview of the expected res</w:t>
      </w:r>
      <w:r w:rsidR="007D1156" w:rsidRPr="006352C4">
        <w:rPr>
          <w:rFonts w:ascii="Arial" w:eastAsia="Times New Roman" w:hAnsi="Arial" w:cs="Arial"/>
          <w:bCs/>
          <w:spacing w:val="-2"/>
          <w:kern w:val="32"/>
          <w:lang w:val="en-US"/>
        </w:rPr>
        <w:t xml:space="preserve">ults of the operation; </w:t>
      </w:r>
      <w:r w:rsidR="00D02E65" w:rsidRPr="006352C4">
        <w:rPr>
          <w:rFonts w:ascii="Arial" w:eastAsia="Times New Roman" w:hAnsi="Arial" w:cs="Arial"/>
          <w:bCs/>
          <w:spacing w:val="-2"/>
          <w:kern w:val="32"/>
          <w:lang w:val="en-US"/>
        </w:rPr>
        <w:t>S</w:t>
      </w:r>
      <w:r w:rsidR="007D1156" w:rsidRPr="006352C4">
        <w:rPr>
          <w:rFonts w:ascii="Arial" w:eastAsia="Times New Roman" w:hAnsi="Arial" w:cs="Arial"/>
          <w:bCs/>
          <w:spacing w:val="-2"/>
          <w:kern w:val="32"/>
          <w:lang w:val="en-US"/>
        </w:rPr>
        <w:t>ection 4</w:t>
      </w:r>
      <w:r w:rsidRPr="006352C4">
        <w:rPr>
          <w:rFonts w:ascii="Arial" w:eastAsia="Times New Roman" w:hAnsi="Arial" w:cs="Arial"/>
          <w:bCs/>
          <w:spacing w:val="-2"/>
          <w:kern w:val="32"/>
          <w:lang w:val="en-US"/>
        </w:rPr>
        <w:t xml:space="preserve"> will focus on the objective of the cost-benefit analysis, define its key variables, present the chosen methodology, list all assumptions ma</w:t>
      </w:r>
      <w:r w:rsidR="009E101A" w:rsidRPr="006352C4">
        <w:rPr>
          <w:rFonts w:ascii="Arial" w:eastAsia="Times New Roman" w:hAnsi="Arial" w:cs="Arial"/>
          <w:bCs/>
          <w:spacing w:val="-2"/>
          <w:kern w:val="32"/>
          <w:lang w:val="en-US"/>
        </w:rPr>
        <w:t>de in the analysis, and provide </w:t>
      </w:r>
      <w:r w:rsidRPr="006352C4">
        <w:rPr>
          <w:rFonts w:ascii="Arial" w:eastAsia="Times New Roman" w:hAnsi="Arial" w:cs="Arial"/>
          <w:bCs/>
          <w:spacing w:val="-2"/>
          <w:kern w:val="32"/>
          <w:lang w:val="en-US"/>
        </w:rPr>
        <w:t xml:space="preserve">relevant sources of data and of key parameters; </w:t>
      </w:r>
      <w:r w:rsidR="00D02E65" w:rsidRPr="006352C4">
        <w:rPr>
          <w:rFonts w:ascii="Arial" w:eastAsia="Times New Roman" w:hAnsi="Arial" w:cs="Arial"/>
          <w:bCs/>
          <w:spacing w:val="-2"/>
          <w:kern w:val="32"/>
          <w:lang w:val="en-US"/>
        </w:rPr>
        <w:t>S</w:t>
      </w:r>
      <w:r w:rsidRPr="006352C4">
        <w:rPr>
          <w:rFonts w:ascii="Arial" w:eastAsia="Times New Roman" w:hAnsi="Arial" w:cs="Arial"/>
          <w:bCs/>
          <w:spacing w:val="-2"/>
          <w:kern w:val="32"/>
          <w:lang w:val="en-US"/>
        </w:rPr>
        <w:t>ection 4 will present the results of the study with specific assumptions on all costs and benefits and will pro</w:t>
      </w:r>
      <w:r w:rsidR="009E101A" w:rsidRPr="006352C4">
        <w:rPr>
          <w:rFonts w:ascii="Arial" w:eastAsia="Times New Roman" w:hAnsi="Arial" w:cs="Arial"/>
          <w:bCs/>
          <w:spacing w:val="-2"/>
          <w:kern w:val="32"/>
          <w:lang w:val="en-US"/>
        </w:rPr>
        <w:t>vide a sensitivity analysis for </w:t>
      </w:r>
      <w:r w:rsidRPr="006352C4">
        <w:rPr>
          <w:rFonts w:ascii="Arial" w:eastAsia="Times New Roman" w:hAnsi="Arial" w:cs="Arial"/>
          <w:bCs/>
          <w:spacing w:val="-2"/>
          <w:kern w:val="32"/>
          <w:lang w:val="en-US"/>
        </w:rPr>
        <w:t xml:space="preserve">key variables; </w:t>
      </w:r>
      <w:r w:rsidR="00D02E65" w:rsidRPr="006352C4">
        <w:rPr>
          <w:rFonts w:ascii="Arial" w:eastAsia="Times New Roman" w:hAnsi="Arial" w:cs="Arial"/>
          <w:bCs/>
          <w:spacing w:val="-2"/>
          <w:kern w:val="32"/>
          <w:lang w:val="en-US"/>
        </w:rPr>
        <w:t>S</w:t>
      </w:r>
      <w:r w:rsidRPr="006352C4">
        <w:rPr>
          <w:rFonts w:ascii="Arial" w:eastAsia="Times New Roman" w:hAnsi="Arial" w:cs="Arial"/>
          <w:bCs/>
          <w:spacing w:val="-2"/>
          <w:kern w:val="32"/>
          <w:lang w:val="en-US"/>
        </w:rPr>
        <w:t>ection 5 will outline the findings with recommendations on the economic desirability of the operation. A final annex presents</w:t>
      </w:r>
      <w:r w:rsidRPr="009E101A">
        <w:rPr>
          <w:rFonts w:ascii="Arial" w:eastAsia="Times New Roman" w:hAnsi="Arial" w:cs="Arial"/>
          <w:bCs/>
          <w:spacing w:val="-2"/>
          <w:kern w:val="32"/>
          <w:lang w:val="en-US"/>
        </w:rPr>
        <w:t xml:space="preserve"> the result calculations of the CBA. </w:t>
      </w:r>
    </w:p>
    <w:p w:rsidR="00A72F62" w:rsidRPr="00A93E29" w:rsidRDefault="00A72F62" w:rsidP="00A93E29">
      <w:pPr>
        <w:autoSpaceDE w:val="0"/>
        <w:autoSpaceDN w:val="0"/>
        <w:adjustRightInd w:val="0"/>
        <w:jc w:val="both"/>
        <w:rPr>
          <w:rFonts w:ascii="Arial" w:eastAsia="Times New Roman" w:hAnsi="Arial" w:cs="Arial"/>
          <w:bCs/>
          <w:kern w:val="32"/>
          <w:lang w:val="en-US"/>
        </w:rPr>
      </w:pPr>
    </w:p>
    <w:p w:rsidR="007D1156" w:rsidRPr="007D1156" w:rsidRDefault="007D1156" w:rsidP="000C4EAB">
      <w:pPr>
        <w:pStyle w:val="Heading1"/>
        <w:keepLines w:val="0"/>
        <w:numPr>
          <w:ilvl w:val="0"/>
          <w:numId w:val="14"/>
        </w:numPr>
        <w:spacing w:before="240" w:after="60" w:line="276" w:lineRule="auto"/>
        <w:jc w:val="both"/>
        <w:rPr>
          <w:rFonts w:ascii="Arial" w:hAnsi="Arial" w:cs="Arial"/>
          <w:sz w:val="22"/>
          <w:szCs w:val="22"/>
          <w:lang w:val="en-US"/>
        </w:rPr>
      </w:pPr>
      <w:bookmarkStart w:id="2" w:name="_Toc422776321"/>
      <w:r w:rsidRPr="007D1156">
        <w:rPr>
          <w:rFonts w:ascii="Arial" w:hAnsi="Arial" w:cs="Arial"/>
          <w:sz w:val="22"/>
          <w:szCs w:val="22"/>
          <w:lang w:val="en-US"/>
        </w:rPr>
        <w:t xml:space="preserve">Conditional Cash Transfer </w:t>
      </w:r>
      <w:r>
        <w:rPr>
          <w:rFonts w:ascii="Arial" w:hAnsi="Arial" w:cs="Arial"/>
          <w:sz w:val="22"/>
          <w:szCs w:val="22"/>
          <w:lang w:val="en-US"/>
        </w:rPr>
        <w:t xml:space="preserve">(CCT) </w:t>
      </w:r>
      <w:r w:rsidRPr="007D1156">
        <w:rPr>
          <w:rFonts w:ascii="Arial" w:hAnsi="Arial" w:cs="Arial"/>
          <w:sz w:val="22"/>
          <w:szCs w:val="22"/>
          <w:lang w:val="en-US"/>
        </w:rPr>
        <w:t>program</w:t>
      </w:r>
      <w:r>
        <w:rPr>
          <w:rFonts w:ascii="Arial" w:hAnsi="Arial" w:cs="Arial"/>
          <w:sz w:val="22"/>
          <w:szCs w:val="22"/>
          <w:lang w:val="en-US"/>
        </w:rPr>
        <w:t>s</w:t>
      </w:r>
      <w:r w:rsidR="000C4EAB">
        <w:rPr>
          <w:rStyle w:val="FootnoteReference"/>
          <w:rFonts w:ascii="Arial" w:hAnsi="Arial" w:cs="Arial"/>
          <w:sz w:val="22"/>
          <w:szCs w:val="22"/>
          <w:lang w:val="en-US"/>
        </w:rPr>
        <w:footnoteReference w:id="1"/>
      </w:r>
      <w:bookmarkEnd w:id="2"/>
    </w:p>
    <w:p w:rsidR="007D1156" w:rsidRPr="007D1156" w:rsidRDefault="007D1156" w:rsidP="000C4EAB">
      <w:pPr>
        <w:jc w:val="both"/>
        <w:rPr>
          <w:rFonts w:ascii="Arial" w:hAnsi="Arial" w:cs="Arial"/>
          <w:lang w:val="en-US"/>
        </w:rPr>
      </w:pPr>
    </w:p>
    <w:p w:rsidR="007D1156" w:rsidRPr="007D1156" w:rsidRDefault="007D1156" w:rsidP="000C4EAB">
      <w:pPr>
        <w:jc w:val="both"/>
        <w:rPr>
          <w:rFonts w:ascii="Arial" w:hAnsi="Arial" w:cs="Arial"/>
          <w:b/>
          <w:lang w:val="en-US"/>
        </w:rPr>
      </w:pPr>
      <w:r w:rsidRPr="007D1156">
        <w:rPr>
          <w:rFonts w:ascii="Arial" w:hAnsi="Arial" w:cs="Arial"/>
          <w:b/>
          <w:lang w:val="en-US"/>
        </w:rPr>
        <w:t>Motivation</w:t>
      </w:r>
      <w:r>
        <w:rPr>
          <w:rFonts w:ascii="Arial" w:hAnsi="Arial" w:cs="Arial"/>
          <w:b/>
          <w:lang w:val="en-US"/>
        </w:rPr>
        <w:t xml:space="preserve"> and Rationale of CCTs</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lang w:val="en-US"/>
        </w:rPr>
        <w:t>Conditional Cash Transfers (CCTs) are a major policy innovation first introduced in Latin America in the mid-Nineties that has progressively spread to numerous developing countries around the world (e.g. Philippines, Turkey and Pakistan). The theory of change is that CCTs contribute to breaking the intergenerational transmission of poverty by conditioning cash transfers to poor families on actions that contribute to the accumulation of children’s human capital. Two factors are at play. First, the cash transferred today reduces current poverty and allows families to increase consumption. Second, the conditionalities (typically school enrollment and attendance, and attendance to health units for regular checkups) increase access/usage of health and education services, which contributes to breaking the intergenerational transmission of poverty under the assumption that health and education services actually provide skills and human capital that will allow children from beneficiary households to escape poverty when they join the labor market.</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lang w:val="en-US"/>
        </w:rPr>
        <w:t>CCTs represent a paradigm change in social policy. They have a positive track record as an efficient redistributive instrument and in terms of promoting human capital-enhancing behaviors, and have changed the debate on anti-poverty programs for several reasons. First, they replaced (or were intended to do so) inefficient redistributive tools such as generalized subsidies and in-</w:t>
      </w:r>
      <w:r w:rsidRPr="007D1156">
        <w:rPr>
          <w:rFonts w:ascii="Arial" w:hAnsi="Arial" w:cs="Arial"/>
          <w:lang w:val="en-US"/>
        </w:rPr>
        <w:lastRenderedPageBreak/>
        <w:t>kind transfers. Second, CCTs are based on a holistic understanding of chronic poverty, which is the joint result of insufficient income, poor health and nutrition, and low levels of schooling. Finally, CCTs set a new standard in terms of transparency and monitoring and evaluation.</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lang w:val="en-US"/>
        </w:rPr>
        <w:t>The debate on social protection for the poor in Latin America and the Caribbean (LAC) recognizes the relevance of CCTs, and is largely defined around how to complement, enhance and improve the results achieved with CCTs. While CCTs are not enough to achieve social inclusion of beneficiaries, they are an extraordinary platform on which to build and launch complementary interventions to provide social services to the poor and vulnerable. Every major player, including ILO, ECLAC, UN and other agencies, recognizes the contributions and potential of CCTs to build social protection networks.</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b/>
          <w:lang w:val="en-US"/>
        </w:rPr>
      </w:pPr>
      <w:r w:rsidRPr="007D1156">
        <w:rPr>
          <w:rFonts w:ascii="Arial" w:hAnsi="Arial" w:cs="Arial"/>
          <w:b/>
          <w:lang w:val="en-US"/>
        </w:rPr>
        <w:t>Current state of the evidence for CCTs in LAC</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lang w:val="en-US"/>
        </w:rPr>
        <w:t>This section briefly describes the state of the evidence for CCTs in the region, both in terms of impacts and in terms of design and implementation features.</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i/>
          <w:u w:val="single"/>
          <w:lang w:val="en-US"/>
        </w:rPr>
      </w:pPr>
      <w:r w:rsidRPr="007D1156">
        <w:rPr>
          <w:rFonts w:ascii="Arial" w:hAnsi="Arial" w:cs="Arial"/>
          <w:i/>
          <w:u w:val="single"/>
          <w:lang w:val="en-US"/>
        </w:rPr>
        <w:t>Main impacts</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i/>
          <w:lang w:val="en-US"/>
        </w:rPr>
        <w:t>Consumption and Poverty.</w:t>
      </w:r>
      <w:r w:rsidRPr="007D1156">
        <w:rPr>
          <w:rFonts w:ascii="Arial" w:hAnsi="Arial" w:cs="Arial"/>
          <w:lang w:val="en-US"/>
        </w:rPr>
        <w:t xml:space="preserve"> Various impact evaluations, summarized in Fiszbein and Schady (2009), show that CCTs have unambiguously met their primary short-run objective of increasing consumption and reducing poverty. Decomposition exercises, like those carried out by Stampini and Tornarollli (2012) and Levy and Schady (2013) also suggest that CCTs have been important in reducing poverty and inequality in the region in the last decade. CCT have not only increased consumption, they have also improved its composition. For example, Ruiz-Arranz et al. (2006) show that CCTs have increased the quantity, quality and variety of food intake, leading to consumption of more nutritious and expensive goods such as meat and vegetables. </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i/>
          <w:lang w:val="en-US"/>
        </w:rPr>
        <w:t>Education</w:t>
      </w:r>
      <w:r w:rsidRPr="007D1156">
        <w:rPr>
          <w:rFonts w:ascii="Arial" w:hAnsi="Arial" w:cs="Arial"/>
          <w:lang w:val="en-US"/>
        </w:rPr>
        <w:t>. Another consistent finding across rigorous impact evaluations is that CCTs have substantially decreased child labor (Galiani and McEwan, 2013; Levy, 2006; Edmonds and Schady, 2012) and increased school enrollment and attendance (with rates that vary from 0.5 percentage points (pp) in Jamaica to 12.8 pp in Nicaragua). This is –together with higher use of health services- the key behavioral outcome intended by the theory of change of CCTs. CCTs also increased school attainment. For example, in Mexico after 3-5 years of participation in Oportunidades, the beneficiaries accumulated between ½ and 1 year of additional schooling.</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lang w:val="en-US"/>
        </w:rPr>
        <w:t xml:space="preserve">The evidence on learning achievement is mixed (Fiszbein and Schady, 2009; García, 2012; Saavedra and Garcia, 2012). Barham et al. (2014) find that, in Nicaragua, receiving the CCT for three years had significant impacts on years of schooling and on mathematics and language learning for young men 10 years after participating in the program. Learning increased by ¼ of a standard deviation, which loosely corresponds to half a year of learning. On the other hand, Behrman et al. (2009) find that higher enrollment levels have not resulted in better performance on achievement tests in Mexico. Evidence from outside the region is also mixed. Baird et al. (2011) report positive impacts on learning for a pilot CCT in Malawi, while Filmer and Schady (2014) and Benhassine et al. (2014) find no effect of a CCT on learning outcomes in Cambodia and Morocco, respectively. </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lang w:val="en-US"/>
        </w:rPr>
        <w:t xml:space="preserve">From the perspective of CCTs, increasing schooling is the relevant indicator and main responsibility. At the same time, from a social perspective, learning is the purpose of schooling and the possibility that some children that go to school –whether they are CCT beneficiaries or not- may not learn is a reason for concern. The mixed findings stress the need to seriously </w:t>
      </w:r>
      <w:r w:rsidRPr="007D1156">
        <w:rPr>
          <w:rFonts w:ascii="Arial" w:hAnsi="Arial" w:cs="Arial"/>
          <w:lang w:val="en-US"/>
        </w:rPr>
        <w:lastRenderedPageBreak/>
        <w:t>address the issue of quantity and quality of education services, and how this interacts with the demand-side subsidies provided by CCTs.</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9E101A">
        <w:rPr>
          <w:rFonts w:ascii="Arial" w:hAnsi="Arial" w:cs="Arial"/>
          <w:b/>
          <w:lang w:val="en-US"/>
        </w:rPr>
        <w:t xml:space="preserve">Health. </w:t>
      </w:r>
      <w:r w:rsidRPr="007D1156">
        <w:rPr>
          <w:rFonts w:ascii="Arial" w:hAnsi="Arial" w:cs="Arial"/>
          <w:lang w:val="en-US"/>
        </w:rPr>
        <w:t>CCT programs have consistently shown positive effects on the use of preventive health services. Estimated impacts range between 6.3 pp in Nicaragua and 33 pp in Colombia. Some evaluations have also found that CCTs contributed to improvements in child height among some population groups, although the evidence is mixed (Fiszbein and Schady, 2009),. There is some evidence that program beneficiaries have better health status and reduced morbidity (Gaarder et al., 2010). Rasella et al. (2013) report that Bolsa Família reduced infant mortality caused by conditions associated with poverty, such as malnutrition and diarrhea. As is the case for education, health outcomes depend largely on the quality of health services, an issue that lies outside of CCTs’ direct responsibility.</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9E101A">
        <w:rPr>
          <w:rFonts w:ascii="Arial" w:hAnsi="Arial" w:cs="Arial"/>
          <w:b/>
          <w:lang w:val="en-US"/>
        </w:rPr>
        <w:t>Long-term impacts.</w:t>
      </w:r>
      <w:r w:rsidRPr="007D1156">
        <w:rPr>
          <w:rFonts w:ascii="Arial" w:hAnsi="Arial" w:cs="Arial"/>
          <w:lang w:val="en-US"/>
        </w:rPr>
        <w:t xml:space="preserve"> Evidence from Nicaragua, discussed above, suggests that transfers resulted in better learning outcomes 10 years after the program ended. Barham et al. (2014) also find long-term effects of CCTs on non-farm income of a substantial magnitude, about 20%. A ten-year follow-up of Familias en Acción in Colombia finds long-term impacts on nutrition, health and education outcomes, including a 6.4 pp increase in high-school graduation (García, 2012). The evidence on Oportunidades is mixed. Rodriguez-Oreggia and Freije (2008) report that, after ten years of implementation of Oportunidades, there is some evidence of program impacts on employment, wages and intergenerational occupational mobility among beneficiaries, which is explained by increased educational attainments. On the other hand, Behrman et al. (2011) find no effects of the program on medium-term labor market performance of beneficiaries. A concern with both of these evaluations is possible selective migration by Oportunidades beneficiaries.</w:t>
      </w:r>
    </w:p>
    <w:p w:rsidR="007D1156" w:rsidRDefault="007D1156" w:rsidP="000C4EAB">
      <w:pPr>
        <w:jc w:val="both"/>
        <w:rPr>
          <w:rFonts w:ascii="Arial" w:hAnsi="Arial" w:cs="Arial"/>
          <w:lang w:val="en-US"/>
        </w:rPr>
      </w:pPr>
    </w:p>
    <w:p w:rsidR="007D1156" w:rsidRPr="009E101A" w:rsidRDefault="007D1156" w:rsidP="000C4EAB">
      <w:pPr>
        <w:jc w:val="both"/>
        <w:rPr>
          <w:rFonts w:ascii="Arial" w:hAnsi="Arial" w:cs="Arial"/>
          <w:u w:val="single"/>
          <w:lang w:val="en-US"/>
        </w:rPr>
      </w:pPr>
      <w:r w:rsidRPr="009E101A">
        <w:rPr>
          <w:rFonts w:ascii="Arial" w:hAnsi="Arial" w:cs="Arial"/>
          <w:u w:val="single"/>
          <w:lang w:val="en-US"/>
        </w:rPr>
        <w:t>Other impacts</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i/>
          <w:lang w:val="en-US"/>
        </w:rPr>
        <w:t>Child development.</w:t>
      </w:r>
      <w:r w:rsidRPr="007D1156">
        <w:rPr>
          <w:rFonts w:ascii="Arial" w:hAnsi="Arial" w:cs="Arial"/>
          <w:lang w:val="en-US"/>
        </w:rPr>
        <w:t xml:space="preserve"> Rigorous evaluations suggest that CCT programs have positive impacts on child development. Fernald and Hidrobo (2011) find that children randomized to receive Bono de Desarrollo Humano (BDH) in Ecuador had higher scores on a test of the number of words children can say. Paxson and Schady (2010) also study the BDH, and find significant effects on somewhat older children, although only for those in the poorest wealth quintile. Macours et al. (2012) find that the Atención a Crisis program in Nicaragua had an effect of about 0.12 standard deviations on the family of cognitive and behavioral outcomes they analyze.</w:t>
      </w:r>
    </w:p>
    <w:p w:rsidR="007D1156" w:rsidRDefault="007D1156"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9E101A">
        <w:rPr>
          <w:rFonts w:ascii="Arial" w:hAnsi="Arial" w:cs="Arial"/>
          <w:b/>
          <w:lang w:val="en-US"/>
        </w:rPr>
        <w:t xml:space="preserve">Labor supply. </w:t>
      </w:r>
      <w:r w:rsidRPr="007D1156">
        <w:rPr>
          <w:rFonts w:ascii="Arial" w:hAnsi="Arial" w:cs="Arial"/>
          <w:lang w:val="en-US"/>
        </w:rPr>
        <w:t>As with all transfer programs, there are concerns about whether CCTs generate dependency, reducing labor supply and/or affecting the type of job selected by participants. The evidence to date is mixed. Alzúa et al. (2010) focus on different CCT programs that had an experimental design, and find no discernible effects on individual or household-aggregated adults’ labor supply in the short run. Barrientos and Villa (2013) find positive long-term effects on labor market outcomes in the urban areas of Colombia, including an increase in formal employment among women beneficiaries. On the other hand, Bosch et al. (2013) find that the BDH encouraged some women to switch from formal to informal jobs in Ecuador (although the magnitude of the effect is modest). Amarante et al. (2011) find that the PANES program in Uruguay reduced employment in the formal sector. Firpo et al. (2014), using cross-sectional data from 2006, find that Bolsa Familia reduced the labor supply of beneficiaries, especially women. On the other hand, using the same data for Brazil, Neves et al. (2014) use the variation that comes from the family composition eligibility requirement (age of the youngest child) and find that Bolsa Familia did not affect the decision to work or the sector of employment among adults in beneficiary households.</w:t>
      </w:r>
    </w:p>
    <w:p w:rsidR="007D1156" w:rsidRPr="007D1156" w:rsidRDefault="007D1156" w:rsidP="000C4EAB">
      <w:pPr>
        <w:jc w:val="both"/>
        <w:rPr>
          <w:rFonts w:ascii="Arial" w:hAnsi="Arial" w:cs="Arial"/>
          <w:lang w:val="en-US"/>
        </w:rPr>
      </w:pPr>
      <w:r w:rsidRPr="007D1156">
        <w:rPr>
          <w:rFonts w:ascii="Arial" w:hAnsi="Arial" w:cs="Arial"/>
          <w:lang w:val="en-US"/>
        </w:rPr>
        <w:lastRenderedPageBreak/>
        <w:t>Several countries have taken preventive steps to avoid any drop in formal employment among the eligible population. For example, some countries have excluded labor variables from CCT application forms and eligibility formulas. Chile’s Ingreso Etico Familiar has introduced bonuses for female beneficiaries entering formal employment. In addition, a number of programs are making significant efforts to increase beneficiaries’ labor participation through linkages with active labor market policies (e.g., job training and intermediation through national employment services in Mexico and Brazil).</w:t>
      </w:r>
    </w:p>
    <w:p w:rsidR="007D1156" w:rsidRDefault="007D1156" w:rsidP="000C4EAB">
      <w:pPr>
        <w:jc w:val="both"/>
        <w:rPr>
          <w:rFonts w:ascii="Arial" w:hAnsi="Arial" w:cs="Arial"/>
          <w:lang w:val="en-US"/>
        </w:rPr>
      </w:pPr>
    </w:p>
    <w:p w:rsidR="007D1156" w:rsidRPr="009E101A" w:rsidRDefault="007D1156" w:rsidP="000C4EAB">
      <w:pPr>
        <w:jc w:val="both"/>
        <w:rPr>
          <w:rFonts w:ascii="Arial" w:hAnsi="Arial" w:cs="Arial"/>
          <w:u w:val="single"/>
          <w:lang w:val="en-US"/>
        </w:rPr>
      </w:pPr>
      <w:r w:rsidRPr="009E101A">
        <w:rPr>
          <w:rFonts w:ascii="Arial" w:hAnsi="Arial" w:cs="Arial"/>
          <w:u w:val="single"/>
          <w:lang w:val="en-US"/>
        </w:rPr>
        <w:t>Design and implementation issues</w:t>
      </w:r>
    </w:p>
    <w:p w:rsidR="000C4EAB" w:rsidRDefault="000C4EAB" w:rsidP="000C4EAB">
      <w:pPr>
        <w:jc w:val="both"/>
        <w:rPr>
          <w:rFonts w:ascii="Arial" w:hAnsi="Arial" w:cs="Arial"/>
          <w:lang w:val="en-US"/>
        </w:rPr>
      </w:pPr>
    </w:p>
    <w:p w:rsidR="007D1156" w:rsidRDefault="007D1156" w:rsidP="000C4EAB">
      <w:pPr>
        <w:jc w:val="both"/>
        <w:rPr>
          <w:rFonts w:ascii="Arial" w:hAnsi="Arial" w:cs="Arial"/>
          <w:lang w:val="en-US"/>
        </w:rPr>
      </w:pPr>
      <w:r w:rsidRPr="000C4EAB">
        <w:rPr>
          <w:rFonts w:ascii="Arial" w:hAnsi="Arial" w:cs="Arial"/>
          <w:i/>
          <w:lang w:val="en-US"/>
        </w:rPr>
        <w:t>The role of conditionalities.</w:t>
      </w:r>
      <w:r w:rsidRPr="007D1156">
        <w:rPr>
          <w:rFonts w:ascii="Arial" w:hAnsi="Arial" w:cs="Arial"/>
          <w:lang w:val="en-US"/>
        </w:rPr>
        <w:t xml:space="preserve"> Most studies suggest that </w:t>
      </w:r>
      <w:r w:rsidR="00B85E3D">
        <w:rPr>
          <w:rFonts w:ascii="Arial" w:hAnsi="Arial" w:cs="Arial"/>
          <w:lang w:val="en-US"/>
        </w:rPr>
        <w:t>CCTs</w:t>
      </w:r>
      <w:r w:rsidRPr="007D1156">
        <w:rPr>
          <w:rFonts w:ascii="Arial" w:hAnsi="Arial" w:cs="Arial"/>
          <w:lang w:val="en-US"/>
        </w:rPr>
        <w:t xml:space="preserve"> have larger effects on school enrollment than unconditional transfers of similar magnitude (evidence includes Benedetti et al. (2014) for Honduras, de Brauw and Hoddinott (2008) for Mexico, Schady and Araujo (2008) for Ecuador, and Baird et al. (2011) for Malawi). Benhassine et al. (2014) on Morocco is an exception, as they do not find larger effects of a conditional than an unconditional transfer on school enrollment. Turning to health, Akresh et al. (2012) find larger effects of a CCT than an unconditional cash transfer on routine preventative health visits in Burkina Faso. </w:t>
      </w:r>
    </w:p>
    <w:p w:rsidR="000C4EAB" w:rsidRPr="007D1156" w:rsidRDefault="000C4EAB"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9E101A">
        <w:rPr>
          <w:rFonts w:ascii="Arial" w:hAnsi="Arial" w:cs="Arial"/>
          <w:b/>
          <w:lang w:val="en-US"/>
        </w:rPr>
        <w:t>Operational issues.</w:t>
      </w:r>
      <w:r w:rsidRPr="007D1156">
        <w:rPr>
          <w:rFonts w:ascii="Arial" w:hAnsi="Arial" w:cs="Arial"/>
          <w:lang w:val="en-US"/>
        </w:rPr>
        <w:t xml:space="preserve"> Paes-Sousa et al. (2013) document key features for the successful implementation of CCTs, which include:</w:t>
      </w:r>
    </w:p>
    <w:p w:rsidR="000C4EAB" w:rsidRDefault="000C4EAB" w:rsidP="000C4EAB">
      <w:pPr>
        <w:jc w:val="both"/>
        <w:rPr>
          <w:rFonts w:ascii="Arial" w:hAnsi="Arial" w:cs="Arial"/>
          <w:lang w:val="en-US"/>
        </w:rPr>
      </w:pPr>
    </w:p>
    <w:p w:rsidR="007D1156" w:rsidRPr="007D1156" w:rsidRDefault="007D1156" w:rsidP="000C4EAB">
      <w:pPr>
        <w:jc w:val="both"/>
        <w:rPr>
          <w:rFonts w:ascii="Arial" w:hAnsi="Arial" w:cs="Arial"/>
          <w:lang w:val="en-US"/>
        </w:rPr>
      </w:pPr>
      <w:r w:rsidRPr="007D1156">
        <w:rPr>
          <w:rFonts w:ascii="Arial" w:hAnsi="Arial" w:cs="Arial"/>
          <w:lang w:val="en-US"/>
        </w:rPr>
        <w:t>•</w:t>
      </w:r>
      <w:r w:rsidRPr="007D1156">
        <w:rPr>
          <w:rFonts w:ascii="Arial" w:hAnsi="Arial" w:cs="Arial"/>
          <w:lang w:val="en-US"/>
        </w:rPr>
        <w:tab/>
        <w:t>Coordination with sector ministries and with local governments to ensure the availability and quality of health and education services.</w:t>
      </w:r>
    </w:p>
    <w:p w:rsidR="007D1156" w:rsidRPr="007D1156" w:rsidRDefault="007D1156" w:rsidP="000C4EAB">
      <w:pPr>
        <w:jc w:val="both"/>
        <w:rPr>
          <w:rFonts w:ascii="Arial" w:hAnsi="Arial" w:cs="Arial"/>
          <w:lang w:val="en-US"/>
        </w:rPr>
      </w:pPr>
      <w:r w:rsidRPr="007D1156">
        <w:rPr>
          <w:rFonts w:ascii="Arial" w:hAnsi="Arial" w:cs="Arial"/>
          <w:lang w:val="en-US"/>
        </w:rPr>
        <w:t>•</w:t>
      </w:r>
      <w:r w:rsidRPr="007D1156">
        <w:rPr>
          <w:rFonts w:ascii="Arial" w:hAnsi="Arial" w:cs="Arial"/>
          <w:lang w:val="en-US"/>
        </w:rPr>
        <w:tab/>
        <w:t>Accurate targeting to increase program political capital and legitimacy.</w:t>
      </w:r>
    </w:p>
    <w:p w:rsidR="007D1156" w:rsidRPr="007D1156" w:rsidRDefault="007D1156" w:rsidP="000C4EAB">
      <w:pPr>
        <w:jc w:val="both"/>
        <w:rPr>
          <w:rFonts w:ascii="Arial" w:hAnsi="Arial" w:cs="Arial"/>
          <w:lang w:val="en-US"/>
        </w:rPr>
      </w:pPr>
      <w:r w:rsidRPr="007D1156">
        <w:rPr>
          <w:rFonts w:ascii="Arial" w:hAnsi="Arial" w:cs="Arial"/>
          <w:lang w:val="en-US"/>
        </w:rPr>
        <w:t>•</w:t>
      </w:r>
      <w:r w:rsidRPr="007D1156">
        <w:rPr>
          <w:rFonts w:ascii="Arial" w:hAnsi="Arial" w:cs="Arial"/>
          <w:lang w:val="en-US"/>
        </w:rPr>
        <w:tab/>
        <w:t>The need for a coherent policy regarding updates of the roster of beneficiaries.</w:t>
      </w:r>
    </w:p>
    <w:p w:rsidR="007D1156" w:rsidRPr="007D1156" w:rsidRDefault="007D1156" w:rsidP="000C4EAB">
      <w:pPr>
        <w:jc w:val="both"/>
        <w:rPr>
          <w:rFonts w:ascii="Arial" w:hAnsi="Arial" w:cs="Arial"/>
          <w:lang w:val="en-US"/>
        </w:rPr>
      </w:pPr>
      <w:r w:rsidRPr="007D1156">
        <w:rPr>
          <w:rFonts w:ascii="Arial" w:hAnsi="Arial" w:cs="Arial"/>
          <w:lang w:val="en-US"/>
        </w:rPr>
        <w:t>•</w:t>
      </w:r>
      <w:r w:rsidRPr="007D1156">
        <w:rPr>
          <w:rFonts w:ascii="Arial" w:hAnsi="Arial" w:cs="Arial"/>
          <w:lang w:val="en-US"/>
        </w:rPr>
        <w:tab/>
        <w:t>The need for advanced information and monitoring and evaluation systems, which have contributed to consolidate CCTs as benchmark social policies.</w:t>
      </w:r>
    </w:p>
    <w:p w:rsidR="007D1156" w:rsidRDefault="007D1156" w:rsidP="000C4EAB">
      <w:pPr>
        <w:jc w:val="both"/>
        <w:rPr>
          <w:rFonts w:ascii="Arial" w:hAnsi="Arial" w:cs="Arial"/>
          <w:lang w:val="en-US"/>
        </w:rPr>
      </w:pPr>
      <w:r w:rsidRPr="007D1156">
        <w:rPr>
          <w:rFonts w:ascii="Arial" w:hAnsi="Arial" w:cs="Arial"/>
          <w:lang w:val="en-US"/>
        </w:rPr>
        <w:t>•</w:t>
      </w:r>
      <w:r w:rsidRPr="007D1156">
        <w:rPr>
          <w:rFonts w:ascii="Arial" w:hAnsi="Arial" w:cs="Arial"/>
          <w:lang w:val="en-US"/>
        </w:rPr>
        <w:tab/>
        <w:t>The potential to reduce administrative costs, reduce corruption and promote financial inclusion through bank payment of the cash transfers.</w:t>
      </w:r>
    </w:p>
    <w:p w:rsidR="00011E26" w:rsidRPr="007D1156" w:rsidRDefault="00011E26" w:rsidP="000C4EAB">
      <w:pPr>
        <w:jc w:val="both"/>
        <w:rPr>
          <w:rFonts w:ascii="Arial" w:hAnsi="Arial" w:cs="Arial"/>
          <w:lang w:val="en-US"/>
        </w:rPr>
      </w:pPr>
    </w:p>
    <w:p w:rsidR="00280C69" w:rsidRDefault="00280C69" w:rsidP="000C4EAB">
      <w:pPr>
        <w:pStyle w:val="Heading1"/>
        <w:keepLines w:val="0"/>
        <w:numPr>
          <w:ilvl w:val="0"/>
          <w:numId w:val="32"/>
        </w:numPr>
        <w:spacing w:before="240" w:after="60" w:line="276" w:lineRule="auto"/>
        <w:jc w:val="both"/>
        <w:rPr>
          <w:rFonts w:ascii="Arial" w:hAnsi="Arial" w:cs="Arial"/>
          <w:sz w:val="22"/>
          <w:szCs w:val="22"/>
          <w:lang w:val="en-US"/>
        </w:rPr>
      </w:pPr>
      <w:bookmarkStart w:id="3" w:name="_Toc422776322"/>
      <w:r>
        <w:rPr>
          <w:rFonts w:ascii="Arial" w:hAnsi="Arial" w:cs="Arial"/>
          <w:sz w:val="22"/>
          <w:szCs w:val="22"/>
          <w:lang w:val="en-US"/>
        </w:rPr>
        <w:t>Jamaica’s CCT: Program of Advancement Through Health and Education (PATH)</w:t>
      </w:r>
      <w:bookmarkEnd w:id="3"/>
    </w:p>
    <w:p w:rsidR="00280C69" w:rsidRPr="00280C69" w:rsidRDefault="00280C69" w:rsidP="00280C69">
      <w:pPr>
        <w:rPr>
          <w:rFonts w:ascii="Arial" w:hAnsi="Arial" w:cs="Arial"/>
          <w:lang w:val="en-US"/>
        </w:rPr>
      </w:pPr>
    </w:p>
    <w:p w:rsidR="00280C69" w:rsidRPr="00280C69" w:rsidRDefault="00280C69" w:rsidP="00280C69">
      <w:pPr>
        <w:jc w:val="both"/>
        <w:rPr>
          <w:rFonts w:ascii="Arial" w:hAnsi="Arial" w:cs="Arial"/>
          <w:lang w:val="en-US"/>
        </w:rPr>
      </w:pPr>
      <w:r w:rsidRPr="00280C69">
        <w:rPr>
          <w:rFonts w:ascii="Arial" w:hAnsi="Arial" w:cs="Arial"/>
          <w:lang w:val="en-US"/>
        </w:rPr>
        <w:t xml:space="preserve">The </w:t>
      </w:r>
      <w:r w:rsidR="00472012">
        <w:rPr>
          <w:rFonts w:ascii="Arial" w:hAnsi="Arial" w:cs="Arial"/>
          <w:lang w:val="en-US"/>
        </w:rPr>
        <w:t>GOJ</w:t>
      </w:r>
      <w:r w:rsidRPr="00280C69">
        <w:rPr>
          <w:rFonts w:ascii="Arial" w:hAnsi="Arial" w:cs="Arial"/>
          <w:lang w:val="en-US"/>
        </w:rPr>
        <w:t xml:space="preserve"> has established a SSN aimed to alleviate poverty and foster the human capital development of the poor. Its main elements are the </w:t>
      </w:r>
      <w:r w:rsidR="009E101A">
        <w:rPr>
          <w:rFonts w:ascii="Arial" w:hAnsi="Arial" w:cs="Arial"/>
          <w:lang w:val="en-US"/>
        </w:rPr>
        <w:t>CCT</w:t>
      </w:r>
      <w:r w:rsidRPr="00280C69">
        <w:rPr>
          <w:rFonts w:ascii="Arial" w:hAnsi="Arial" w:cs="Arial"/>
          <w:lang w:val="en-US"/>
        </w:rPr>
        <w:t xml:space="preserve"> Program of Advancement through Health and Education (PATH) and the School Feeding Program (SFP), each representing about 0.2% of GDP. The Steps-to-Work (STW) is a smaller program recently launched to promote the welfare to work transition of PATH households. PATH and STW are implemented by the MLSS, while SFP is implemented by the Ministry of Education.</w:t>
      </w:r>
    </w:p>
    <w:p w:rsidR="00280C69" w:rsidRDefault="00280C69" w:rsidP="00280C69">
      <w:pPr>
        <w:jc w:val="both"/>
        <w:rPr>
          <w:rFonts w:ascii="Arial" w:hAnsi="Arial" w:cs="Arial"/>
          <w:lang w:val="en-US"/>
        </w:rPr>
      </w:pPr>
    </w:p>
    <w:p w:rsidR="00280C69" w:rsidRPr="00280C69" w:rsidRDefault="00280C69" w:rsidP="00280C69">
      <w:pPr>
        <w:jc w:val="both"/>
        <w:rPr>
          <w:rFonts w:ascii="Arial" w:hAnsi="Arial" w:cs="Arial"/>
          <w:lang w:val="en-US"/>
        </w:rPr>
      </w:pPr>
      <w:r w:rsidRPr="00280C69">
        <w:rPr>
          <w:rFonts w:ascii="Arial" w:hAnsi="Arial" w:cs="Arial"/>
          <w:lang w:val="en-US"/>
        </w:rPr>
        <w:t>Since the early 2000s Jamaica has reformed social protection policies to promote advancement of the poor through PATH, which is supported by evidence of positive impacts of CCTs regionally, globally and in Jamaica. PATH is making improvements that puts it in a second wave of CCTs: adapting conditionalities to issues related to the accumulation of human capital of the poor in the Jamaican context (by substituting a health visit that was not required by the health ministry with a parenting program for parents of children 2-5 year old); using technology to communicate with beneficiaries and to improve the efficiency of payment mechanisms, and adopting comprehensive recertification and graduation strategies to improve its targeting efficiency (as shown by the recently approved Graduation Strategy). These efforts are underway and the Bank´s support will contribute to their full implementation.</w:t>
      </w:r>
    </w:p>
    <w:p w:rsidR="00280C69" w:rsidRDefault="00280C69" w:rsidP="00280C69">
      <w:pPr>
        <w:jc w:val="both"/>
        <w:rPr>
          <w:rFonts w:ascii="Arial" w:hAnsi="Arial" w:cs="Arial"/>
          <w:lang w:val="en-US"/>
        </w:rPr>
      </w:pPr>
    </w:p>
    <w:p w:rsidR="00280C69" w:rsidRPr="00280C69" w:rsidRDefault="00280C69" w:rsidP="00280C69">
      <w:pPr>
        <w:jc w:val="both"/>
        <w:rPr>
          <w:rFonts w:ascii="Arial" w:hAnsi="Arial" w:cs="Arial"/>
          <w:lang w:val="en-US"/>
        </w:rPr>
      </w:pPr>
      <w:r w:rsidRPr="00280C69">
        <w:rPr>
          <w:rFonts w:ascii="Arial" w:hAnsi="Arial" w:cs="Arial"/>
          <w:lang w:val="en-US"/>
        </w:rPr>
        <w:t>Social Protection Strategy. The GOJ has advanced with the consolidation and modernization of its social protection system, as set forth in the 2014 Social Protection Strategy (SPS). The SPS takes elements from the rights-based, social risk management, and social protection floor approaches to provide a complete framework. The SPS emphasizes the importance of income support to the poorest so as to support consumption and protect as well as to promote human capital accumulation; the importance that children of poor households are exposed to parenting practices that promote their emotional and cognitive development; and the need to promote effective school-to-work and welfare-to-work transitions.</w:t>
      </w:r>
    </w:p>
    <w:p w:rsidR="00A72F62" w:rsidRPr="00280C69" w:rsidRDefault="007A0F6F" w:rsidP="000C4EAB">
      <w:pPr>
        <w:pStyle w:val="Heading1"/>
        <w:keepLines w:val="0"/>
        <w:numPr>
          <w:ilvl w:val="0"/>
          <w:numId w:val="32"/>
        </w:numPr>
        <w:spacing w:before="240" w:after="60" w:line="276" w:lineRule="auto"/>
        <w:jc w:val="both"/>
        <w:rPr>
          <w:rFonts w:ascii="Arial" w:hAnsi="Arial" w:cs="Arial"/>
          <w:sz w:val="22"/>
          <w:szCs w:val="22"/>
          <w:lang w:val="en-US"/>
        </w:rPr>
      </w:pPr>
      <w:bookmarkStart w:id="4" w:name="_Toc422776323"/>
      <w:r w:rsidRPr="00280C69">
        <w:rPr>
          <w:rFonts w:ascii="Arial" w:hAnsi="Arial" w:cs="Arial"/>
          <w:sz w:val="22"/>
          <w:szCs w:val="22"/>
          <w:lang w:val="en-US"/>
        </w:rPr>
        <w:t>Cost – Benefit Analysis of CCT programs</w:t>
      </w:r>
      <w:bookmarkEnd w:id="4"/>
    </w:p>
    <w:p w:rsidR="007A0F6F" w:rsidRPr="00280C69" w:rsidRDefault="007A0F6F" w:rsidP="000C4EAB">
      <w:pPr>
        <w:jc w:val="both"/>
        <w:rPr>
          <w:rFonts w:ascii="Arial" w:hAnsi="Arial" w:cs="Arial"/>
          <w:lang w:val="en-US"/>
        </w:rPr>
      </w:pPr>
      <w:r w:rsidRPr="00280C69">
        <w:rPr>
          <w:rFonts w:ascii="Arial" w:hAnsi="Arial" w:cs="Arial"/>
          <w:lang w:val="en-US"/>
        </w:rPr>
        <w:t>The most recent literature on economic analysis of social programs (Duflo et al, 2011, McEwan, 2011) center on cost-effectiveness, which is most useful when policymakers are deciding which intervention to implement in order to maximize its impact in a given indicator (for example, what is the most effective way to increase schooling by one year?). This literature, however, discusses some core issues that are very relevant for any type of economic analysis:</w:t>
      </w:r>
    </w:p>
    <w:p w:rsidR="007A0F6F" w:rsidRPr="00280C69" w:rsidRDefault="007A0F6F" w:rsidP="000C4EAB">
      <w:pPr>
        <w:jc w:val="both"/>
        <w:rPr>
          <w:rFonts w:ascii="Arial" w:hAnsi="Arial" w:cs="Arial"/>
          <w:lang w:val="en-US"/>
        </w:rPr>
      </w:pPr>
    </w:p>
    <w:p w:rsidR="00A674E5" w:rsidRPr="00280C69" w:rsidRDefault="007A0F6F" w:rsidP="000C4EAB">
      <w:pPr>
        <w:pStyle w:val="ListParagraph"/>
        <w:numPr>
          <w:ilvl w:val="0"/>
          <w:numId w:val="31"/>
        </w:numPr>
        <w:jc w:val="both"/>
        <w:rPr>
          <w:rFonts w:ascii="Arial" w:hAnsi="Arial" w:cs="Arial"/>
          <w:lang w:val="en-US"/>
        </w:rPr>
      </w:pPr>
      <w:r w:rsidRPr="00280C69">
        <w:rPr>
          <w:rFonts w:ascii="Arial" w:hAnsi="Arial" w:cs="Arial"/>
          <w:b/>
          <w:lang w:val="en-US"/>
        </w:rPr>
        <w:t>Multi-purpose programs.</w:t>
      </w:r>
      <w:r w:rsidRPr="00280C69">
        <w:rPr>
          <w:rFonts w:ascii="Arial" w:hAnsi="Arial" w:cs="Arial"/>
          <w:lang w:val="en-US"/>
        </w:rPr>
        <w:t xml:space="preserve"> CCTs are probably the best example of a multi-purpose program. They aim at reducing current poverty with the increased consumption that results from the transfers, as well as to achieve greater human capital accumulation among the children of beneficiary households. This process entails improved health and education, which generate a particular stream of benefits. Hence, it is possible to analyze subprograms within a CCT and analyze their CB ratio. Great care needs to be put into distributing total costs among different components.</w:t>
      </w:r>
    </w:p>
    <w:p w:rsidR="00A674E5" w:rsidRPr="00280C69" w:rsidRDefault="00A674E5" w:rsidP="000C4EAB">
      <w:pPr>
        <w:pStyle w:val="ListParagraph"/>
        <w:jc w:val="both"/>
        <w:rPr>
          <w:rFonts w:ascii="Arial" w:hAnsi="Arial" w:cs="Arial"/>
          <w:lang w:val="en-US"/>
        </w:rPr>
      </w:pPr>
    </w:p>
    <w:p w:rsidR="007A0F6F" w:rsidRPr="00280C69" w:rsidRDefault="007A0F6F" w:rsidP="000C4EAB">
      <w:pPr>
        <w:pStyle w:val="ListParagraph"/>
        <w:numPr>
          <w:ilvl w:val="0"/>
          <w:numId w:val="31"/>
        </w:numPr>
        <w:jc w:val="both"/>
        <w:rPr>
          <w:rFonts w:ascii="Arial" w:hAnsi="Arial" w:cs="Arial"/>
          <w:lang w:val="en-US"/>
        </w:rPr>
      </w:pPr>
      <w:r w:rsidRPr="00280C69">
        <w:rPr>
          <w:rFonts w:ascii="Arial" w:hAnsi="Arial" w:cs="Arial"/>
          <w:b/>
          <w:lang w:val="en-US"/>
        </w:rPr>
        <w:t>Are transfers a cost?</w:t>
      </w:r>
      <w:r w:rsidRPr="00280C69">
        <w:rPr>
          <w:rFonts w:ascii="Arial" w:hAnsi="Arial" w:cs="Arial"/>
          <w:lang w:val="en-US"/>
        </w:rPr>
        <w:t xml:space="preserve"> </w:t>
      </w:r>
      <w:r w:rsidR="00DC58BD" w:rsidRPr="00280C69">
        <w:rPr>
          <w:rFonts w:ascii="Arial" w:hAnsi="Arial" w:cs="Arial"/>
          <w:lang w:val="en-US"/>
        </w:rPr>
        <w:t>F</w:t>
      </w:r>
      <w:r w:rsidRPr="00280C69">
        <w:rPr>
          <w:rFonts w:ascii="Arial" w:hAnsi="Arial" w:cs="Arial"/>
          <w:lang w:val="en-US"/>
        </w:rPr>
        <w:t>rom the perspective of society</w:t>
      </w:r>
      <w:r w:rsidR="00DC58BD" w:rsidRPr="00280C69">
        <w:rPr>
          <w:rFonts w:ascii="Arial" w:hAnsi="Arial" w:cs="Arial"/>
          <w:lang w:val="en-US"/>
        </w:rPr>
        <w:t xml:space="preserve"> pure</w:t>
      </w:r>
      <w:r w:rsidRPr="00280C69">
        <w:rPr>
          <w:rFonts w:ascii="Arial" w:hAnsi="Arial" w:cs="Arial"/>
          <w:lang w:val="en-US"/>
        </w:rPr>
        <w:t xml:space="preserve"> transfer</w:t>
      </w:r>
      <w:r w:rsidR="00DC58BD" w:rsidRPr="00280C69">
        <w:rPr>
          <w:rFonts w:ascii="Arial" w:hAnsi="Arial" w:cs="Arial"/>
          <w:lang w:val="en-US"/>
        </w:rPr>
        <w:t>s do not represent costs, and this has been increasingly the practice in the analysis of CCTs. However, CCTs in general and PATH in particular have non-negligible administrative costs that need to be taken into account. At the current stage of implementation and based on projections for the next years, the program does not impose incremental costs to the education and health sectors</w:t>
      </w:r>
      <w:r w:rsidRPr="00280C69">
        <w:rPr>
          <w:rFonts w:ascii="Arial" w:hAnsi="Arial" w:cs="Arial"/>
          <w:lang w:val="en-US"/>
        </w:rPr>
        <w:t>. Hence, we will only include a fraction of the transfers as cost, in order to account of additional implementation or administrative costs</w:t>
      </w:r>
      <w:r w:rsidR="00DC58BD" w:rsidRPr="00280C69">
        <w:rPr>
          <w:rFonts w:ascii="Arial" w:hAnsi="Arial" w:cs="Arial"/>
          <w:lang w:val="en-US"/>
        </w:rPr>
        <w:t>.</w:t>
      </w:r>
      <w:r w:rsidRPr="00280C69">
        <w:rPr>
          <w:rFonts w:ascii="Arial" w:hAnsi="Arial" w:cs="Arial"/>
          <w:lang w:val="en-US"/>
        </w:rPr>
        <w:t xml:space="preserve"> </w:t>
      </w:r>
      <w:r w:rsidR="00DC58BD" w:rsidRPr="00280C69">
        <w:rPr>
          <w:rFonts w:ascii="Arial" w:hAnsi="Arial" w:cs="Arial"/>
          <w:lang w:val="en-US"/>
        </w:rPr>
        <w:t>In the base scenario, we take administrative costs to represent 12.5% of the transfers (the highest value reported by PATH in the last three fiscal years).</w:t>
      </w:r>
    </w:p>
    <w:p w:rsidR="007A0F6F" w:rsidRPr="00280C69" w:rsidRDefault="007A0F6F" w:rsidP="000C4EAB">
      <w:pPr>
        <w:jc w:val="both"/>
        <w:rPr>
          <w:rFonts w:ascii="Arial" w:hAnsi="Arial" w:cs="Arial"/>
          <w:lang w:val="en-US"/>
        </w:rPr>
      </w:pPr>
    </w:p>
    <w:p w:rsidR="007A0F6F" w:rsidRPr="007A0F6F" w:rsidRDefault="007A0F6F" w:rsidP="000C4EAB">
      <w:pPr>
        <w:jc w:val="both"/>
        <w:rPr>
          <w:rFonts w:ascii="Arial" w:hAnsi="Arial" w:cs="Arial"/>
          <w:lang w:val="en-US"/>
        </w:rPr>
      </w:pPr>
      <w:r w:rsidRPr="00280C69">
        <w:rPr>
          <w:rFonts w:ascii="Arial" w:hAnsi="Arial" w:cs="Arial"/>
          <w:lang w:val="en-US"/>
        </w:rPr>
        <w:t xml:space="preserve">It is worth noting as well that although CCT have been extensively evaluated with rigorous experimental and </w:t>
      </w:r>
      <w:r w:rsidRPr="007A0F6F">
        <w:rPr>
          <w:rFonts w:ascii="Arial" w:hAnsi="Arial" w:cs="Arial"/>
          <w:lang w:val="en-US"/>
        </w:rPr>
        <w:t>non-experimental impact evaluation techniques, the literature on cost-benefit analysis (either ex-ante or ex-post) is scarce. In terms of ex-ante analyses, Todd and Wolpin (2006) wrote an ex-ante evaluation of social programs, basically using a behavioral model to predict changes in school enrollment based on alternative transfer schemes. Also, Acevedo and Robles (2011) showed that school enrollment could be increased in Mexico without additional resources by restructuring the transfer scheme. These analyses are more in line with the cost-effectiveness perspective, focusing on a basic result (increased school enrollment) and determining through simulation what the new impact of the program could be under different circumstances.</w:t>
      </w:r>
    </w:p>
    <w:p w:rsidR="007A0F6F" w:rsidRPr="007A0F6F" w:rsidRDefault="007A0F6F" w:rsidP="000C4EAB">
      <w:pPr>
        <w:jc w:val="both"/>
        <w:rPr>
          <w:rFonts w:ascii="Arial" w:hAnsi="Arial" w:cs="Arial"/>
          <w:lang w:val="en-US"/>
        </w:rPr>
      </w:pPr>
    </w:p>
    <w:p w:rsidR="007A0F6F" w:rsidRPr="007A0F6F" w:rsidRDefault="007A0F6F" w:rsidP="000C4EAB">
      <w:pPr>
        <w:jc w:val="both"/>
        <w:rPr>
          <w:rFonts w:ascii="Arial" w:hAnsi="Arial" w:cs="Arial"/>
          <w:lang w:val="en-US"/>
        </w:rPr>
      </w:pPr>
      <w:r w:rsidRPr="007A0F6F">
        <w:rPr>
          <w:rFonts w:ascii="Arial" w:hAnsi="Arial" w:cs="Arial"/>
          <w:lang w:val="en-US"/>
        </w:rPr>
        <w:t xml:space="preserve">In 2000, and as part of the evaluation agenda of the early implementation of PROGRESA-Oportunidades that was done by IFPRI, David Coady summarized an application of Social Cost Benefit Analysis to the impact estimates of the program. This report is one of the few that has a thorough discussion of private costs as well as a discussion on how to weight transfers by the </w:t>
      </w:r>
      <w:r w:rsidRPr="007A0F6F">
        <w:rPr>
          <w:rFonts w:ascii="Arial" w:hAnsi="Arial" w:cs="Arial"/>
          <w:lang w:val="en-US"/>
        </w:rPr>
        <w:lastRenderedPageBreak/>
        <w:t xml:space="preserve">income level of beneficiaries, which we use below in the analysis of the welfare gains from redistribution. </w:t>
      </w:r>
    </w:p>
    <w:p w:rsidR="007A0F6F" w:rsidRPr="007A0F6F" w:rsidRDefault="007A0F6F" w:rsidP="000C4EAB">
      <w:pPr>
        <w:jc w:val="both"/>
        <w:rPr>
          <w:rFonts w:ascii="Arial" w:hAnsi="Arial" w:cs="Arial"/>
          <w:lang w:val="en-US"/>
        </w:rPr>
      </w:pPr>
    </w:p>
    <w:p w:rsidR="007A0F6F" w:rsidRDefault="007A0F6F" w:rsidP="000C4EAB">
      <w:pPr>
        <w:jc w:val="both"/>
        <w:rPr>
          <w:rFonts w:ascii="Arial" w:hAnsi="Arial" w:cs="Arial"/>
          <w:lang w:val="en-US"/>
        </w:rPr>
      </w:pPr>
      <w:r w:rsidRPr="007A0F6F">
        <w:rPr>
          <w:rFonts w:ascii="Arial" w:hAnsi="Arial" w:cs="Arial"/>
          <w:lang w:val="en-US"/>
        </w:rPr>
        <w:t>Other analyses have focused on the ex-post analysis of particular subcomponents of CCTs. For example, Dufflo et al. (2011) analyze the effectiveness of Oportunidades in terms of the additional years of education achieved by $100 spent. Other studies (Barrero et al 2004, Gonzalez et al, 2009) focus on the cost-benefit ratio of specific interventions, for example the education transfer or the nutrition intervention.</w:t>
      </w:r>
    </w:p>
    <w:p w:rsidR="00DC58BD" w:rsidRDefault="00DC58BD" w:rsidP="000C4EAB">
      <w:pPr>
        <w:jc w:val="both"/>
        <w:rPr>
          <w:rFonts w:ascii="Arial" w:hAnsi="Arial" w:cs="Arial"/>
          <w:lang w:val="en-US"/>
        </w:rPr>
      </w:pPr>
    </w:p>
    <w:p w:rsidR="00A72F62" w:rsidRPr="007A0F6F" w:rsidRDefault="00A72F62" w:rsidP="000C4EAB">
      <w:pPr>
        <w:pStyle w:val="Heading1"/>
        <w:keepLines w:val="0"/>
        <w:numPr>
          <w:ilvl w:val="0"/>
          <w:numId w:val="32"/>
        </w:numPr>
        <w:spacing w:before="240" w:after="60" w:line="276" w:lineRule="auto"/>
        <w:jc w:val="both"/>
        <w:rPr>
          <w:rFonts w:ascii="Arial" w:hAnsi="Arial" w:cs="Arial"/>
          <w:sz w:val="22"/>
          <w:szCs w:val="22"/>
          <w:lang w:val="en-US"/>
        </w:rPr>
      </w:pPr>
      <w:bookmarkStart w:id="5" w:name="_Toc422776324"/>
      <w:r w:rsidRPr="007A0F6F">
        <w:rPr>
          <w:rFonts w:ascii="Arial" w:hAnsi="Arial" w:cs="Arial"/>
          <w:sz w:val="22"/>
          <w:szCs w:val="22"/>
          <w:lang w:val="en-US"/>
        </w:rPr>
        <w:t>Expected results of the operation</w:t>
      </w:r>
      <w:bookmarkEnd w:id="5"/>
    </w:p>
    <w:p w:rsidR="00A72F62" w:rsidRPr="007A0F6F" w:rsidRDefault="00A72F62" w:rsidP="000C4EAB">
      <w:pPr>
        <w:jc w:val="both"/>
        <w:rPr>
          <w:rFonts w:ascii="Arial" w:hAnsi="Arial" w:cs="Arial"/>
          <w:lang w:val="en-US"/>
        </w:rPr>
      </w:pPr>
    </w:p>
    <w:p w:rsidR="003E502C" w:rsidRDefault="00A72F62" w:rsidP="000C4EAB">
      <w:pPr>
        <w:pStyle w:val="ListParagraph"/>
        <w:autoSpaceDE w:val="0"/>
        <w:autoSpaceDN w:val="0"/>
        <w:adjustRightInd w:val="0"/>
        <w:ind w:left="0" w:firstLine="360"/>
        <w:jc w:val="both"/>
        <w:rPr>
          <w:rFonts w:ascii="Arial" w:eastAsia="Times New Roman" w:hAnsi="Arial" w:cs="Arial"/>
          <w:lang w:val="en-US"/>
        </w:rPr>
      </w:pPr>
      <w:r w:rsidRPr="007A0F6F">
        <w:rPr>
          <w:rFonts w:ascii="Arial" w:eastAsia="Times New Roman" w:hAnsi="Arial" w:cs="Arial"/>
          <w:lang w:val="en-US"/>
        </w:rPr>
        <w:t xml:space="preserve">The </w:t>
      </w:r>
      <w:r w:rsidR="003E502C">
        <w:rPr>
          <w:rFonts w:ascii="Arial" w:eastAsia="Times New Roman" w:hAnsi="Arial" w:cs="Arial"/>
          <w:lang w:val="en-US"/>
        </w:rPr>
        <w:t>main expected results from the operation will be the increased human capital accumulation of children that are beneficiaries of PATH. T</w:t>
      </w:r>
      <w:r w:rsidRPr="007A0F6F">
        <w:rPr>
          <w:rFonts w:ascii="Arial" w:eastAsia="Times New Roman" w:hAnsi="Arial" w:cs="Arial"/>
          <w:lang w:val="en-US"/>
        </w:rPr>
        <w:t xml:space="preserve">he program is expected to </w:t>
      </w:r>
      <w:r w:rsidR="00DC58BD">
        <w:rPr>
          <w:rFonts w:ascii="Arial" w:eastAsia="Times New Roman" w:hAnsi="Arial" w:cs="Arial"/>
          <w:lang w:val="en-US"/>
        </w:rPr>
        <w:t xml:space="preserve">sustain the documented impacts on health and education from PATH (Levy and Ohls, 2010) and to </w:t>
      </w:r>
      <w:r w:rsidRPr="007A0F6F">
        <w:rPr>
          <w:rFonts w:ascii="Arial" w:eastAsia="Times New Roman" w:hAnsi="Arial" w:cs="Arial"/>
          <w:lang w:val="en-US"/>
        </w:rPr>
        <w:t>increase the effectiveness and the efficiency of the social protection system through higher rates of compliance with PATH co-responsibilities</w:t>
      </w:r>
      <w:r w:rsidR="003E502C">
        <w:rPr>
          <w:rFonts w:ascii="Arial" w:eastAsia="Times New Roman" w:hAnsi="Arial" w:cs="Arial"/>
          <w:lang w:val="en-US"/>
        </w:rPr>
        <w:t>, which will lead to higher human capital accumulation and hence higher schooling and higher wages when the youngsters join the labor market. Given that PATH will test and scale up (if it is efficient to do so) the parenting pilot, p</w:t>
      </w:r>
      <w:r w:rsidRPr="007A0F6F">
        <w:rPr>
          <w:rFonts w:ascii="Arial" w:eastAsia="Times New Roman" w:hAnsi="Arial" w:cs="Arial"/>
          <w:lang w:val="en-US"/>
        </w:rPr>
        <w:t>articipation in parenting education classes is expected to increase parenting skills in the areas of nutrition, discipline, safety, learning, and health needs. In the medium term, this should lead to an increase in the rate of compliance with health conditions for 2-6 years old beneficiaries</w:t>
      </w:r>
      <w:r w:rsidR="003E502C">
        <w:rPr>
          <w:rFonts w:ascii="Arial" w:eastAsia="Times New Roman" w:hAnsi="Arial" w:cs="Arial"/>
          <w:lang w:val="en-US"/>
        </w:rPr>
        <w:t>, which will also have an impact labor market performance.</w:t>
      </w:r>
    </w:p>
    <w:p w:rsidR="003E502C" w:rsidRDefault="003E502C" w:rsidP="000C4EAB">
      <w:pPr>
        <w:pStyle w:val="ListParagraph"/>
        <w:autoSpaceDE w:val="0"/>
        <w:autoSpaceDN w:val="0"/>
        <w:adjustRightInd w:val="0"/>
        <w:ind w:left="0" w:firstLine="360"/>
        <w:jc w:val="both"/>
        <w:rPr>
          <w:rFonts w:ascii="Arial" w:eastAsia="Times New Roman" w:hAnsi="Arial" w:cs="Arial"/>
          <w:lang w:val="en-US"/>
        </w:rPr>
      </w:pPr>
    </w:p>
    <w:p w:rsidR="003E502C" w:rsidRDefault="003E502C" w:rsidP="000C4EAB">
      <w:pPr>
        <w:pStyle w:val="ListParagraph"/>
        <w:autoSpaceDE w:val="0"/>
        <w:autoSpaceDN w:val="0"/>
        <w:adjustRightInd w:val="0"/>
        <w:ind w:left="0" w:firstLine="360"/>
        <w:jc w:val="both"/>
        <w:rPr>
          <w:rFonts w:ascii="Arial" w:eastAsia="Times New Roman" w:hAnsi="Arial" w:cs="Arial"/>
          <w:lang w:val="en-US"/>
        </w:rPr>
      </w:pPr>
      <w:r>
        <w:rPr>
          <w:rFonts w:ascii="Arial" w:eastAsia="Times New Roman" w:hAnsi="Arial" w:cs="Arial"/>
          <w:lang w:val="en-US"/>
        </w:rPr>
        <w:t xml:space="preserve">The following figure from </w:t>
      </w:r>
      <w:r w:rsidR="00DC58BD">
        <w:rPr>
          <w:rFonts w:ascii="Arial" w:eastAsia="Times New Roman" w:hAnsi="Arial" w:cs="Arial"/>
          <w:lang w:val="en-US"/>
        </w:rPr>
        <w:t>Levy and Ohls (2010)</w:t>
      </w:r>
      <w:r>
        <w:rPr>
          <w:rFonts w:ascii="Arial" w:eastAsia="Times New Roman" w:hAnsi="Arial" w:cs="Arial"/>
          <w:lang w:val="en-US"/>
        </w:rPr>
        <w:t xml:space="preserve"> impact evaluation of PATH illustrates the pathway from the program to the expected benefits, improved school performance and improved health status. In terms of the CBA, these benefits translate into higher wages when joining the labor market.</w:t>
      </w:r>
    </w:p>
    <w:p w:rsidR="003E502C" w:rsidRDefault="003E502C" w:rsidP="000C4EAB">
      <w:pPr>
        <w:pStyle w:val="ListParagraph"/>
        <w:autoSpaceDE w:val="0"/>
        <w:autoSpaceDN w:val="0"/>
        <w:adjustRightInd w:val="0"/>
        <w:ind w:left="0" w:firstLine="360"/>
        <w:jc w:val="both"/>
        <w:rPr>
          <w:rFonts w:ascii="Arial" w:eastAsia="Times New Roman" w:hAnsi="Arial" w:cs="Arial"/>
          <w:lang w:val="en-US"/>
        </w:rPr>
      </w:pPr>
    </w:p>
    <w:p w:rsidR="003E502C" w:rsidRPr="009E101A" w:rsidRDefault="003E502C" w:rsidP="000C4EAB">
      <w:pPr>
        <w:autoSpaceDE w:val="0"/>
        <w:autoSpaceDN w:val="0"/>
        <w:adjustRightInd w:val="0"/>
        <w:jc w:val="both"/>
        <w:rPr>
          <w:rFonts w:ascii="Arial" w:eastAsia="Times New Roman" w:hAnsi="Arial" w:cs="Arial"/>
          <w:sz w:val="18"/>
          <w:szCs w:val="18"/>
          <w:lang w:val="en-US"/>
        </w:rPr>
      </w:pPr>
      <w:r>
        <w:rPr>
          <w:noProof/>
          <w:lang w:val="en-US" w:eastAsia="en-US"/>
        </w:rPr>
        <w:drawing>
          <wp:inline distT="0" distB="0" distL="0" distR="0" wp14:anchorId="15EB2B1F" wp14:editId="79E1F5B6">
            <wp:extent cx="5943600" cy="34226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422650"/>
                    </a:xfrm>
                    <a:prstGeom prst="rect">
                      <a:avLst/>
                    </a:prstGeom>
                  </pic:spPr>
                </pic:pic>
              </a:graphicData>
            </a:graphic>
          </wp:inline>
        </w:drawing>
      </w:r>
    </w:p>
    <w:p w:rsidR="00A72F62" w:rsidRPr="007A0F6F" w:rsidRDefault="00A72F62" w:rsidP="00A93E29">
      <w:pPr>
        <w:pStyle w:val="Heading1"/>
        <w:keepLines w:val="0"/>
        <w:numPr>
          <w:ilvl w:val="0"/>
          <w:numId w:val="32"/>
        </w:numPr>
        <w:spacing w:before="0" w:line="276" w:lineRule="auto"/>
        <w:jc w:val="both"/>
        <w:rPr>
          <w:rFonts w:ascii="Arial" w:hAnsi="Arial" w:cs="Arial"/>
          <w:b w:val="0"/>
          <w:bCs w:val="0"/>
          <w:sz w:val="22"/>
          <w:szCs w:val="22"/>
          <w:lang w:val="en-US"/>
        </w:rPr>
      </w:pPr>
      <w:bookmarkStart w:id="6" w:name="_Toc422776325"/>
      <w:r w:rsidRPr="007A0F6F">
        <w:rPr>
          <w:rFonts w:ascii="Arial" w:hAnsi="Arial" w:cs="Arial"/>
          <w:sz w:val="22"/>
          <w:szCs w:val="22"/>
          <w:lang w:val="en-US"/>
        </w:rPr>
        <w:lastRenderedPageBreak/>
        <w:t>Objective and scope of the Cost-Benefit Analysis (CBA)</w:t>
      </w:r>
      <w:bookmarkEnd w:id="6"/>
    </w:p>
    <w:p w:rsidR="00A72F62" w:rsidRPr="007A0F6F" w:rsidRDefault="00A72F62" w:rsidP="000C4EAB">
      <w:pPr>
        <w:pStyle w:val="ListParagraph"/>
        <w:autoSpaceDE w:val="0"/>
        <w:autoSpaceDN w:val="0"/>
        <w:adjustRightInd w:val="0"/>
        <w:ind w:left="0" w:firstLine="360"/>
        <w:jc w:val="both"/>
        <w:rPr>
          <w:rFonts w:ascii="Arial" w:eastAsia="Times New Roman" w:hAnsi="Arial" w:cs="Arial"/>
          <w:bCs/>
          <w:kern w:val="32"/>
          <w:lang w:val="en-US"/>
        </w:rPr>
      </w:pPr>
    </w:p>
    <w:p w:rsidR="00A72F62" w:rsidRDefault="003E502C" w:rsidP="000C4EAB">
      <w:pPr>
        <w:pStyle w:val="ListParagraph"/>
        <w:autoSpaceDE w:val="0"/>
        <w:autoSpaceDN w:val="0"/>
        <w:adjustRightInd w:val="0"/>
        <w:ind w:left="0" w:firstLine="360"/>
        <w:jc w:val="both"/>
        <w:rPr>
          <w:rFonts w:ascii="Arial" w:eastAsia="Times New Roman" w:hAnsi="Arial" w:cs="Arial"/>
          <w:bCs/>
          <w:kern w:val="32"/>
          <w:lang w:val="en-US"/>
        </w:rPr>
      </w:pPr>
      <w:r>
        <w:rPr>
          <w:rFonts w:ascii="Arial" w:eastAsia="Times New Roman" w:hAnsi="Arial" w:cs="Arial"/>
          <w:bCs/>
          <w:kern w:val="32"/>
          <w:lang w:val="en-US"/>
        </w:rPr>
        <w:t>The objective of this</w:t>
      </w:r>
      <w:r w:rsidR="00A72F62" w:rsidRPr="007A0F6F">
        <w:rPr>
          <w:rFonts w:ascii="Arial" w:eastAsia="Times New Roman" w:hAnsi="Arial" w:cs="Arial"/>
          <w:bCs/>
          <w:kern w:val="32"/>
          <w:lang w:val="en-US"/>
        </w:rPr>
        <w:t xml:space="preserve"> study is to produce an ex-ante cost-benefit analysis for the operation, in order to determine whether total benefits exceed total costs and hence </w:t>
      </w:r>
      <w:r w:rsidR="00F22DA2">
        <w:rPr>
          <w:rFonts w:ascii="Arial" w:eastAsia="Times New Roman" w:hAnsi="Arial" w:cs="Arial"/>
          <w:bCs/>
          <w:kern w:val="32"/>
          <w:lang w:val="en-US"/>
        </w:rPr>
        <w:t xml:space="preserve">decide if </w:t>
      </w:r>
      <w:r w:rsidR="00A72F62" w:rsidRPr="007A0F6F">
        <w:rPr>
          <w:rFonts w:ascii="Arial" w:eastAsia="Times New Roman" w:hAnsi="Arial" w:cs="Arial"/>
          <w:bCs/>
          <w:kern w:val="32"/>
          <w:lang w:val="en-US"/>
        </w:rPr>
        <w:t>the project is socially desirable.</w:t>
      </w:r>
      <w:r w:rsidR="00954432">
        <w:rPr>
          <w:rFonts w:ascii="Arial" w:eastAsia="Times New Roman" w:hAnsi="Arial" w:cs="Arial"/>
          <w:bCs/>
          <w:kern w:val="32"/>
          <w:lang w:val="en-US"/>
        </w:rPr>
        <w:t xml:space="preserve"> </w:t>
      </w:r>
      <w:r w:rsidR="00954432" w:rsidRPr="00954432">
        <w:rPr>
          <w:rFonts w:ascii="Arial" w:eastAsia="Times New Roman" w:hAnsi="Arial" w:cs="Arial"/>
          <w:bCs/>
          <w:kern w:val="32"/>
          <w:lang w:val="en-US"/>
        </w:rPr>
        <w:t xml:space="preserve">The objective of this analysis is to determine the economic impact of the </w:t>
      </w:r>
      <w:r w:rsidR="00954432">
        <w:rPr>
          <w:rFonts w:ascii="Arial" w:eastAsia="Times New Roman" w:hAnsi="Arial" w:cs="Arial"/>
          <w:bCs/>
          <w:kern w:val="32"/>
          <w:lang w:val="en-US"/>
        </w:rPr>
        <w:t>CCT program PATH. Th</w:t>
      </w:r>
      <w:r w:rsidR="00954432" w:rsidRPr="00954432">
        <w:rPr>
          <w:rFonts w:ascii="Arial" w:eastAsia="Times New Roman" w:hAnsi="Arial" w:cs="Arial"/>
          <w:bCs/>
          <w:kern w:val="32"/>
          <w:lang w:val="en-US"/>
        </w:rPr>
        <w:t xml:space="preserve">e main benefits </w:t>
      </w:r>
      <w:r w:rsidR="00954432">
        <w:rPr>
          <w:rFonts w:ascii="Arial" w:eastAsia="Times New Roman" w:hAnsi="Arial" w:cs="Arial"/>
          <w:bCs/>
          <w:kern w:val="32"/>
          <w:lang w:val="en-US"/>
        </w:rPr>
        <w:t>of PATH are</w:t>
      </w:r>
      <w:r w:rsidR="00954432" w:rsidRPr="00954432">
        <w:rPr>
          <w:rFonts w:ascii="Arial" w:eastAsia="Times New Roman" w:hAnsi="Arial" w:cs="Arial"/>
          <w:bCs/>
          <w:kern w:val="32"/>
          <w:lang w:val="en-US"/>
        </w:rPr>
        <w:t xml:space="preserve"> the increase in future income associated with higher labor productivity result of years of education. Furthermore, the benefits resulting from better nutrition among children beneficiaries are increased productivity</w:t>
      </w:r>
      <w:r w:rsidR="002B3E34">
        <w:rPr>
          <w:rFonts w:ascii="Arial" w:eastAsia="Times New Roman" w:hAnsi="Arial" w:cs="Arial"/>
          <w:bCs/>
          <w:kern w:val="32"/>
          <w:lang w:val="en-US"/>
        </w:rPr>
        <w:t>, as better outcomes in nutrition and health lead to increased accumulation of human capital (schooling) and hence of labor market incomes down the road</w:t>
      </w:r>
      <w:r w:rsidR="00954432" w:rsidRPr="00954432">
        <w:rPr>
          <w:rFonts w:ascii="Arial" w:eastAsia="Times New Roman" w:hAnsi="Arial" w:cs="Arial"/>
          <w:bCs/>
          <w:kern w:val="32"/>
          <w:lang w:val="en-US"/>
        </w:rPr>
        <w:t xml:space="preserve">. On the other hand, the costs of </w:t>
      </w:r>
      <w:r w:rsidR="00954432">
        <w:rPr>
          <w:rFonts w:ascii="Arial" w:eastAsia="Times New Roman" w:hAnsi="Arial" w:cs="Arial"/>
          <w:bCs/>
          <w:kern w:val="32"/>
          <w:lang w:val="en-US"/>
        </w:rPr>
        <w:t>PATH</w:t>
      </w:r>
      <w:r w:rsidR="00954432" w:rsidRPr="00954432">
        <w:rPr>
          <w:rFonts w:ascii="Arial" w:eastAsia="Times New Roman" w:hAnsi="Arial" w:cs="Arial"/>
          <w:bCs/>
          <w:kern w:val="32"/>
          <w:lang w:val="en-US"/>
        </w:rPr>
        <w:t xml:space="preserve"> include administrative expenses (including fees for payment transfers), costs associated with institutional strengthening and expenditures scheduled for assessment, monitoring and tracking. This analysis considered the cost of an operating period of one year and the benefits associated with </w:t>
      </w:r>
      <w:r w:rsidR="00954432">
        <w:rPr>
          <w:rFonts w:ascii="Arial" w:eastAsia="Times New Roman" w:hAnsi="Arial" w:cs="Arial"/>
          <w:bCs/>
          <w:kern w:val="32"/>
          <w:lang w:val="en-US"/>
        </w:rPr>
        <w:t>one</w:t>
      </w:r>
      <w:r w:rsidR="00954432" w:rsidRPr="00954432">
        <w:rPr>
          <w:rFonts w:ascii="Arial" w:eastAsia="Times New Roman" w:hAnsi="Arial" w:cs="Arial"/>
          <w:bCs/>
          <w:kern w:val="32"/>
          <w:lang w:val="en-US"/>
        </w:rPr>
        <w:t xml:space="preserve"> year </w:t>
      </w:r>
      <w:r w:rsidR="00954432">
        <w:rPr>
          <w:rFonts w:ascii="Arial" w:eastAsia="Times New Roman" w:hAnsi="Arial" w:cs="Arial"/>
          <w:bCs/>
          <w:kern w:val="32"/>
          <w:lang w:val="en-US"/>
        </w:rPr>
        <w:t>of</w:t>
      </w:r>
      <w:r w:rsidR="00954432" w:rsidRPr="00954432">
        <w:rPr>
          <w:rFonts w:ascii="Arial" w:eastAsia="Times New Roman" w:hAnsi="Arial" w:cs="Arial"/>
          <w:bCs/>
          <w:kern w:val="32"/>
          <w:lang w:val="en-US"/>
        </w:rPr>
        <w:t xml:space="preserve"> intervention.</w:t>
      </w:r>
      <w:r w:rsidR="002B3E34">
        <w:rPr>
          <w:rFonts w:ascii="Arial" w:eastAsia="Times New Roman" w:hAnsi="Arial" w:cs="Arial"/>
          <w:bCs/>
          <w:kern w:val="32"/>
          <w:lang w:val="en-US"/>
        </w:rPr>
        <w:t xml:space="preserve"> This is an important feature of this analysis: each year that the </w:t>
      </w:r>
      <w:r w:rsidR="00472012">
        <w:rPr>
          <w:rFonts w:ascii="Arial" w:eastAsia="Times New Roman" w:hAnsi="Arial" w:cs="Arial"/>
          <w:bCs/>
          <w:kern w:val="32"/>
          <w:lang w:val="en-US"/>
        </w:rPr>
        <w:t>GOJ</w:t>
      </w:r>
      <w:r w:rsidR="002B3E34">
        <w:rPr>
          <w:rFonts w:ascii="Arial" w:eastAsia="Times New Roman" w:hAnsi="Arial" w:cs="Arial"/>
          <w:bCs/>
          <w:kern w:val="32"/>
          <w:lang w:val="en-US"/>
        </w:rPr>
        <w:t xml:space="preserve"> invests on PATH generates long-lasting benefits as additional years of education are accumulated, which will generate positive impacts on labor market earnings when youngsters join the labor market.</w:t>
      </w:r>
    </w:p>
    <w:p w:rsidR="003E502C" w:rsidRPr="007A0F6F" w:rsidRDefault="003E502C" w:rsidP="000C4EAB">
      <w:pPr>
        <w:pStyle w:val="ListParagraph"/>
        <w:autoSpaceDE w:val="0"/>
        <w:autoSpaceDN w:val="0"/>
        <w:adjustRightInd w:val="0"/>
        <w:ind w:left="0" w:firstLine="360"/>
        <w:jc w:val="both"/>
        <w:rPr>
          <w:rFonts w:ascii="Arial" w:eastAsia="Times New Roman" w:hAnsi="Arial" w:cs="Arial"/>
          <w:bCs/>
          <w:kern w:val="32"/>
          <w:lang w:val="en-US"/>
        </w:rPr>
      </w:pPr>
    </w:p>
    <w:p w:rsidR="00605AEF" w:rsidRDefault="00A72F62" w:rsidP="000C4EAB">
      <w:pPr>
        <w:pStyle w:val="ListParagraph"/>
        <w:autoSpaceDE w:val="0"/>
        <w:autoSpaceDN w:val="0"/>
        <w:adjustRightInd w:val="0"/>
        <w:ind w:left="0" w:firstLine="360"/>
        <w:jc w:val="both"/>
        <w:rPr>
          <w:rFonts w:ascii="Arial" w:eastAsia="Times New Roman" w:hAnsi="Arial" w:cs="Arial"/>
          <w:bCs/>
          <w:kern w:val="32"/>
          <w:lang w:val="en-US"/>
        </w:rPr>
      </w:pPr>
      <w:r w:rsidRPr="007A0F6F">
        <w:rPr>
          <w:rFonts w:ascii="Arial" w:eastAsia="Times New Roman" w:hAnsi="Arial" w:cs="Arial"/>
          <w:bCs/>
          <w:kern w:val="32"/>
          <w:lang w:val="en-US"/>
        </w:rPr>
        <w:t xml:space="preserve">The CBA will be focused on </w:t>
      </w:r>
      <w:r w:rsidR="002B3E34">
        <w:rPr>
          <w:rFonts w:ascii="Arial" w:eastAsia="Times New Roman" w:hAnsi="Arial" w:cs="Arial"/>
          <w:bCs/>
          <w:kern w:val="32"/>
          <w:lang w:val="en-US"/>
        </w:rPr>
        <w:t>PATH</w:t>
      </w:r>
      <w:r w:rsidR="0061068A">
        <w:rPr>
          <w:rFonts w:ascii="Arial" w:eastAsia="Times New Roman" w:hAnsi="Arial" w:cs="Arial"/>
          <w:bCs/>
          <w:kern w:val="32"/>
          <w:lang w:val="en-US"/>
        </w:rPr>
        <w:t>,</w:t>
      </w:r>
      <w:r w:rsidR="002B3E34">
        <w:rPr>
          <w:rFonts w:ascii="Arial" w:eastAsia="Times New Roman" w:hAnsi="Arial" w:cs="Arial"/>
          <w:bCs/>
          <w:kern w:val="32"/>
          <w:lang w:val="en-US"/>
        </w:rPr>
        <w:t xml:space="preserve"> by far the most important social protection program implemented by the Ministry of Labour and Social Security (MLSS). The project under consideration, the </w:t>
      </w:r>
      <w:r w:rsidR="002B3E34" w:rsidRPr="007A0F6F">
        <w:rPr>
          <w:rFonts w:ascii="Arial" w:hAnsi="Arial" w:cs="Arial"/>
          <w:i/>
          <w:lang w:val="en-US" w:eastAsia="es-AR"/>
        </w:rPr>
        <w:t xml:space="preserve">Integrated </w:t>
      </w:r>
      <w:r w:rsidR="002B3E34">
        <w:rPr>
          <w:rFonts w:ascii="Arial" w:hAnsi="Arial" w:cs="Arial"/>
          <w:i/>
          <w:lang w:val="en-US" w:eastAsia="es-AR"/>
        </w:rPr>
        <w:t xml:space="preserve">Support to Jamaica’s </w:t>
      </w:r>
      <w:r w:rsidR="002B3E34" w:rsidRPr="007A0F6F">
        <w:rPr>
          <w:rFonts w:ascii="Arial" w:hAnsi="Arial" w:cs="Arial"/>
          <w:i/>
          <w:lang w:val="en-US" w:eastAsia="es-AR"/>
        </w:rPr>
        <w:t xml:space="preserve">Social Protection </w:t>
      </w:r>
      <w:r w:rsidR="002B3E34">
        <w:rPr>
          <w:rFonts w:ascii="Arial" w:hAnsi="Arial" w:cs="Arial"/>
          <w:i/>
          <w:lang w:val="en-US" w:eastAsia="es-AR"/>
        </w:rPr>
        <w:t>Strategy</w:t>
      </w:r>
      <w:r w:rsidR="002B3E34">
        <w:rPr>
          <w:rFonts w:ascii="Arial" w:eastAsia="Times New Roman" w:hAnsi="Arial" w:cs="Arial"/>
          <w:bCs/>
          <w:kern w:val="32"/>
          <w:lang w:val="en-US"/>
        </w:rPr>
        <w:t xml:space="preserve"> </w:t>
      </w:r>
      <w:r w:rsidRPr="007A0F6F">
        <w:rPr>
          <w:rFonts w:ascii="Arial" w:eastAsia="Times New Roman" w:hAnsi="Arial" w:cs="Arial"/>
          <w:bCs/>
          <w:kern w:val="32"/>
          <w:lang w:val="en-US"/>
        </w:rPr>
        <w:t xml:space="preserve">project </w:t>
      </w:r>
      <w:r w:rsidR="002B3E34">
        <w:rPr>
          <w:rFonts w:ascii="Arial" w:eastAsia="Times New Roman" w:hAnsi="Arial" w:cs="Arial"/>
          <w:bCs/>
          <w:kern w:val="32"/>
          <w:lang w:val="en-US"/>
        </w:rPr>
        <w:t>has two main components: cash transfers to support consumption and increase human capital accumulation of children and pregnant and lactating women in poor families (</w:t>
      </w:r>
      <w:r w:rsidRPr="007A0F6F">
        <w:rPr>
          <w:rFonts w:ascii="Arial" w:eastAsia="Times New Roman" w:hAnsi="Arial" w:cs="Arial"/>
          <w:bCs/>
          <w:kern w:val="32"/>
          <w:lang w:val="en-US"/>
        </w:rPr>
        <w:t>compo</w:t>
      </w:r>
      <w:r w:rsidR="002B3E34">
        <w:rPr>
          <w:rFonts w:ascii="Arial" w:eastAsia="Times New Roman" w:hAnsi="Arial" w:cs="Arial"/>
          <w:bCs/>
          <w:kern w:val="32"/>
          <w:lang w:val="en-US"/>
        </w:rPr>
        <w:t>nent</w:t>
      </w:r>
      <w:r w:rsidRPr="007A0F6F">
        <w:rPr>
          <w:rFonts w:ascii="Arial" w:eastAsia="Times New Roman" w:hAnsi="Arial" w:cs="Arial"/>
          <w:bCs/>
          <w:kern w:val="32"/>
          <w:lang w:val="en-US"/>
        </w:rPr>
        <w:t xml:space="preserve"> 1</w:t>
      </w:r>
      <w:r w:rsidR="002B3E34">
        <w:rPr>
          <w:rFonts w:ascii="Arial" w:eastAsia="Times New Roman" w:hAnsi="Arial" w:cs="Arial"/>
          <w:bCs/>
          <w:kern w:val="32"/>
          <w:lang w:val="en-US"/>
        </w:rPr>
        <w:t xml:space="preserve">) as well as investments to </w:t>
      </w:r>
      <w:r w:rsidR="00605AEF">
        <w:rPr>
          <w:rFonts w:ascii="Arial" w:eastAsia="Times New Roman" w:hAnsi="Arial" w:cs="Arial"/>
          <w:bCs/>
          <w:kern w:val="32"/>
          <w:lang w:val="en-US"/>
        </w:rPr>
        <w:t xml:space="preserve">improve the functioning and modernize social services provided by MLSS, some of which will contribute to improve the effectiveness of PATH. </w:t>
      </w:r>
    </w:p>
    <w:p w:rsidR="00605AEF" w:rsidRDefault="00605AEF" w:rsidP="000C4EAB">
      <w:pPr>
        <w:pStyle w:val="ListParagraph"/>
        <w:autoSpaceDE w:val="0"/>
        <w:autoSpaceDN w:val="0"/>
        <w:adjustRightInd w:val="0"/>
        <w:ind w:left="0" w:firstLine="360"/>
        <w:jc w:val="both"/>
        <w:rPr>
          <w:rFonts w:ascii="Arial" w:eastAsia="Times New Roman" w:hAnsi="Arial" w:cs="Arial"/>
          <w:bCs/>
          <w:kern w:val="32"/>
          <w:lang w:val="en-US"/>
        </w:rPr>
      </w:pPr>
    </w:p>
    <w:p w:rsidR="009D13C3" w:rsidRDefault="00605AEF" w:rsidP="000C4EAB">
      <w:pPr>
        <w:pStyle w:val="ListParagraph"/>
        <w:autoSpaceDE w:val="0"/>
        <w:autoSpaceDN w:val="0"/>
        <w:adjustRightInd w:val="0"/>
        <w:ind w:left="0" w:firstLine="360"/>
        <w:jc w:val="both"/>
        <w:rPr>
          <w:rFonts w:ascii="Arial" w:eastAsia="Times New Roman" w:hAnsi="Arial" w:cs="Arial"/>
          <w:bCs/>
          <w:kern w:val="32"/>
          <w:lang w:val="en-US"/>
        </w:rPr>
      </w:pPr>
      <w:r>
        <w:rPr>
          <w:rFonts w:ascii="Arial" w:eastAsia="Times New Roman" w:hAnsi="Arial" w:cs="Arial"/>
          <w:bCs/>
          <w:kern w:val="32"/>
          <w:lang w:val="en-US"/>
        </w:rPr>
        <w:t xml:space="preserve">The analysis </w:t>
      </w:r>
      <w:r w:rsidR="00FF0393">
        <w:rPr>
          <w:rFonts w:ascii="Arial" w:eastAsia="Times New Roman" w:hAnsi="Arial" w:cs="Arial"/>
          <w:bCs/>
          <w:kern w:val="32"/>
          <w:lang w:val="en-US"/>
        </w:rPr>
        <w:t>is</w:t>
      </w:r>
      <w:r>
        <w:rPr>
          <w:rFonts w:ascii="Arial" w:eastAsia="Times New Roman" w:hAnsi="Arial" w:cs="Arial"/>
          <w:bCs/>
          <w:kern w:val="32"/>
          <w:lang w:val="en-US"/>
        </w:rPr>
        <w:t xml:space="preserve"> based on the yearly investments by PATH on </w:t>
      </w:r>
      <w:r w:rsidR="009D13C3">
        <w:rPr>
          <w:rFonts w:ascii="Arial" w:eastAsia="Times New Roman" w:hAnsi="Arial" w:cs="Arial"/>
          <w:bCs/>
          <w:kern w:val="32"/>
          <w:lang w:val="en-US"/>
        </w:rPr>
        <w:t xml:space="preserve">school-aged </w:t>
      </w:r>
      <w:r>
        <w:rPr>
          <w:rFonts w:ascii="Arial" w:eastAsia="Times New Roman" w:hAnsi="Arial" w:cs="Arial"/>
          <w:bCs/>
          <w:kern w:val="32"/>
          <w:lang w:val="en-US"/>
        </w:rPr>
        <w:t>children of poor families</w:t>
      </w:r>
      <w:r w:rsidR="00FF0393">
        <w:rPr>
          <w:rFonts w:ascii="Arial" w:eastAsia="Times New Roman" w:hAnsi="Arial" w:cs="Arial"/>
          <w:bCs/>
          <w:kern w:val="32"/>
          <w:lang w:val="en-US"/>
        </w:rPr>
        <w:t xml:space="preserve"> according to the program’s data as of April 2015. Additional analysis could be done for the younger kids, for which the education benefit should be complemented with improvements in nutrition and health (that would, in any case, be modelled with higher education and thus higher wages).</w:t>
      </w:r>
    </w:p>
    <w:p w:rsidR="003E502C" w:rsidRPr="007A0F6F" w:rsidRDefault="003E502C" w:rsidP="000C4EAB">
      <w:pPr>
        <w:pStyle w:val="ListParagraph"/>
        <w:autoSpaceDE w:val="0"/>
        <w:autoSpaceDN w:val="0"/>
        <w:adjustRightInd w:val="0"/>
        <w:ind w:left="0" w:firstLine="360"/>
        <w:jc w:val="both"/>
        <w:rPr>
          <w:rFonts w:ascii="Arial" w:eastAsia="Times New Roman" w:hAnsi="Arial" w:cs="Arial"/>
          <w:lang w:val="en-US"/>
        </w:rPr>
      </w:pPr>
    </w:p>
    <w:p w:rsidR="00A72F62" w:rsidRPr="007A0F6F" w:rsidRDefault="00A72F62" w:rsidP="000C4EAB">
      <w:pPr>
        <w:pStyle w:val="ListParagraph"/>
        <w:autoSpaceDE w:val="0"/>
        <w:autoSpaceDN w:val="0"/>
        <w:adjustRightInd w:val="0"/>
        <w:ind w:left="0" w:firstLine="360"/>
        <w:jc w:val="both"/>
        <w:rPr>
          <w:rFonts w:ascii="Arial" w:hAnsi="Arial" w:cs="Arial"/>
          <w:lang w:val="en-US"/>
        </w:rPr>
      </w:pPr>
      <w:r w:rsidRPr="007A0F6F">
        <w:rPr>
          <w:rFonts w:ascii="Arial" w:hAnsi="Arial" w:cs="Arial"/>
          <w:lang w:val="en-US"/>
        </w:rPr>
        <w:t xml:space="preserve">Sources of data include: PATH </w:t>
      </w:r>
      <w:r w:rsidRPr="007A0F6F">
        <w:rPr>
          <w:rFonts w:ascii="Arial" w:eastAsia="Times New Roman" w:hAnsi="Arial" w:cs="Arial"/>
          <w:bCs/>
          <w:kern w:val="32"/>
          <w:lang w:val="en-US"/>
        </w:rPr>
        <w:t xml:space="preserve">Beneficiary Management Information System; Ministry of Labour and Social Security publications; demographic and socioeconomic information from household survey and population and housing census; special </w:t>
      </w:r>
      <w:r w:rsidRPr="007A0F6F">
        <w:rPr>
          <w:rFonts w:ascii="Arial" w:hAnsi="Arial" w:cs="Arial"/>
          <w:lang w:val="en-US"/>
        </w:rPr>
        <w:t>studies on impacts of education, health and nutrition on productivity and earnings.</w:t>
      </w:r>
    </w:p>
    <w:p w:rsidR="00D65588" w:rsidRDefault="00D65588" w:rsidP="000C4EAB">
      <w:pPr>
        <w:pStyle w:val="ListParagraph"/>
        <w:autoSpaceDE w:val="0"/>
        <w:autoSpaceDN w:val="0"/>
        <w:adjustRightInd w:val="0"/>
        <w:ind w:left="0" w:firstLine="360"/>
        <w:jc w:val="both"/>
        <w:rPr>
          <w:rFonts w:ascii="Arial" w:eastAsia="Times New Roman" w:hAnsi="Arial" w:cs="Arial"/>
          <w:bCs/>
          <w:kern w:val="32"/>
          <w:lang w:val="en-US"/>
        </w:rPr>
      </w:pPr>
    </w:p>
    <w:p w:rsidR="00FF0393" w:rsidRDefault="00FF0393" w:rsidP="00FF0393">
      <w:p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The following are the main parameters used in the analysis:</w:t>
      </w:r>
    </w:p>
    <w:p w:rsidR="00FF0393" w:rsidRDefault="00FF0393" w:rsidP="00FF0393">
      <w:pPr>
        <w:autoSpaceDE w:val="0"/>
        <w:autoSpaceDN w:val="0"/>
        <w:adjustRightInd w:val="0"/>
        <w:jc w:val="both"/>
        <w:rPr>
          <w:rFonts w:ascii="Arial" w:eastAsia="Times New Roman" w:hAnsi="Arial" w:cs="Arial"/>
          <w:bCs/>
          <w:kern w:val="32"/>
          <w:lang w:val="en-US"/>
        </w:rPr>
      </w:pPr>
    </w:p>
    <w:p w:rsidR="00A80018" w:rsidRDefault="00A80018" w:rsidP="00FF0393">
      <w:pPr>
        <w:pStyle w:val="ListParagraph"/>
        <w:numPr>
          <w:ilvl w:val="0"/>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Number of beneficiaries: based on the most recent administrative data for February 2015, the number of beneficiaries from the educational grants are as follows:</w:t>
      </w:r>
    </w:p>
    <w:p w:rsidR="00A80018" w:rsidRDefault="00A80018" w:rsidP="00A80018">
      <w:pPr>
        <w:autoSpaceDE w:val="0"/>
        <w:autoSpaceDN w:val="0"/>
        <w:adjustRightInd w:val="0"/>
        <w:jc w:val="both"/>
        <w:rPr>
          <w:rFonts w:ascii="Arial" w:eastAsia="Times New Roman" w:hAnsi="Arial" w:cs="Arial"/>
          <w:bCs/>
          <w:kern w:val="32"/>
          <w:lang w:val="en-US"/>
        </w:rPr>
      </w:pPr>
    </w:p>
    <w:p w:rsidR="00A80018" w:rsidRPr="00A80018" w:rsidRDefault="00A80018" w:rsidP="009E101A">
      <w:pPr>
        <w:jc w:val="center"/>
        <w:rPr>
          <w:b/>
          <w:lang w:val="en-US"/>
        </w:rPr>
      </w:pPr>
      <w:r w:rsidRPr="00A80018">
        <w:rPr>
          <w:b/>
          <w:lang w:val="en-US"/>
        </w:rPr>
        <w:t>Table 1: PATH Payment by Benefit Group and Sex for December 2014 &amp; February 2015</w:t>
      </w:r>
    </w:p>
    <w:tbl>
      <w:tblPr>
        <w:tblW w:w="9935" w:type="dxa"/>
        <w:jc w:val="center"/>
        <w:tblLook w:val="04A0" w:firstRow="1" w:lastRow="0" w:firstColumn="1" w:lastColumn="0" w:noHBand="0" w:noVBand="1"/>
      </w:tblPr>
      <w:tblGrid>
        <w:gridCol w:w="1780"/>
        <w:gridCol w:w="1256"/>
        <w:gridCol w:w="971"/>
        <w:gridCol w:w="986"/>
        <w:gridCol w:w="1978"/>
        <w:gridCol w:w="986"/>
        <w:gridCol w:w="1978"/>
      </w:tblGrid>
      <w:tr w:rsidR="00A80018" w:rsidRPr="008A0FC2" w:rsidTr="009E101A">
        <w:trPr>
          <w:trHeight w:val="345"/>
          <w:tblHeader/>
          <w:jc w:val="center"/>
        </w:trPr>
        <w:tc>
          <w:tcPr>
            <w:tcW w:w="9935" w:type="dxa"/>
            <w:gridSpan w:val="7"/>
            <w:tcBorders>
              <w:top w:val="nil"/>
              <w:left w:val="single" w:sz="8" w:space="0" w:color="000000"/>
              <w:bottom w:val="single" w:sz="12" w:space="0" w:color="000000"/>
              <w:right w:val="single" w:sz="8" w:space="0" w:color="000000"/>
            </w:tcBorders>
            <w:shd w:val="clear" w:color="auto" w:fill="002060"/>
            <w:noWrap/>
            <w:hideMark/>
          </w:tcPr>
          <w:p w:rsidR="00A80018" w:rsidRPr="00A80018" w:rsidRDefault="00A80018" w:rsidP="00F22DA2">
            <w:pPr>
              <w:rPr>
                <w:lang w:val="en-US" w:eastAsia="en-JM"/>
              </w:rPr>
            </w:pPr>
            <w:r w:rsidRPr="00E35B03">
              <w:rPr>
                <w:lang w:val="en-US" w:eastAsia="en-JM"/>
              </w:rPr>
              <w:t>December 2014 &amp; February  2015 PATH Differentiated Payments</w:t>
            </w:r>
          </w:p>
        </w:tc>
      </w:tr>
      <w:tr w:rsidR="00A80018" w:rsidRPr="00E35B03" w:rsidTr="009E101A">
        <w:trPr>
          <w:trHeight w:val="305"/>
          <w:tblHeader/>
          <w:jc w:val="center"/>
        </w:trPr>
        <w:tc>
          <w:tcPr>
            <w:tcW w:w="4007" w:type="dxa"/>
            <w:gridSpan w:val="3"/>
            <w:tcBorders>
              <w:top w:val="single" w:sz="12" w:space="0" w:color="000000"/>
              <w:left w:val="single" w:sz="8" w:space="0" w:color="000000"/>
              <w:bottom w:val="single" w:sz="8" w:space="0" w:color="000000"/>
              <w:right w:val="single" w:sz="8" w:space="0" w:color="000000"/>
            </w:tcBorders>
            <w:shd w:val="clear" w:color="auto" w:fill="002060"/>
            <w:noWrap/>
            <w:hideMark/>
          </w:tcPr>
          <w:p w:rsidR="00A80018" w:rsidRPr="00E35B03" w:rsidRDefault="00A80018" w:rsidP="00F22DA2">
            <w:pPr>
              <w:rPr>
                <w:lang w:eastAsia="en-JM"/>
              </w:rPr>
            </w:pPr>
            <w:r w:rsidRPr="00E35B03">
              <w:rPr>
                <w:lang w:val="en-US" w:eastAsia="en-JM"/>
              </w:rPr>
              <w:t>Benefit Category</w:t>
            </w:r>
          </w:p>
        </w:tc>
        <w:tc>
          <w:tcPr>
            <w:tcW w:w="2964" w:type="dxa"/>
            <w:gridSpan w:val="2"/>
            <w:tcBorders>
              <w:top w:val="single" w:sz="12" w:space="0" w:color="000000"/>
              <w:left w:val="nil"/>
              <w:bottom w:val="single" w:sz="8" w:space="0" w:color="000000"/>
              <w:right w:val="single" w:sz="8" w:space="0" w:color="000000"/>
            </w:tcBorders>
            <w:shd w:val="clear" w:color="auto" w:fill="002060"/>
            <w:noWrap/>
            <w:hideMark/>
          </w:tcPr>
          <w:p w:rsidR="00A80018" w:rsidRPr="00E35B03" w:rsidRDefault="00A80018" w:rsidP="00F22DA2">
            <w:pPr>
              <w:rPr>
                <w:lang w:eastAsia="en-JM"/>
              </w:rPr>
            </w:pPr>
            <w:r w:rsidRPr="00E35B03">
              <w:rPr>
                <w:lang w:val="en-US" w:eastAsia="en-JM"/>
              </w:rPr>
              <w:t>Dec-14</w:t>
            </w:r>
          </w:p>
        </w:tc>
        <w:tc>
          <w:tcPr>
            <w:tcW w:w="2964" w:type="dxa"/>
            <w:gridSpan w:val="2"/>
            <w:tcBorders>
              <w:top w:val="single" w:sz="12" w:space="0" w:color="000000"/>
              <w:left w:val="nil"/>
              <w:bottom w:val="single" w:sz="8" w:space="0" w:color="000000"/>
              <w:right w:val="single" w:sz="8" w:space="0" w:color="000000"/>
            </w:tcBorders>
            <w:shd w:val="clear" w:color="auto" w:fill="002060"/>
            <w:noWrap/>
            <w:hideMark/>
          </w:tcPr>
          <w:p w:rsidR="00A80018" w:rsidRPr="00E35B03" w:rsidRDefault="00A80018" w:rsidP="00F22DA2">
            <w:pPr>
              <w:rPr>
                <w:lang w:eastAsia="en-JM"/>
              </w:rPr>
            </w:pPr>
            <w:r w:rsidRPr="00E35B03">
              <w:rPr>
                <w:lang w:eastAsia="en-JM"/>
              </w:rPr>
              <w:t>Feb-15</w:t>
            </w:r>
          </w:p>
        </w:tc>
      </w:tr>
      <w:tr w:rsidR="00A80018" w:rsidRPr="00E35B03" w:rsidTr="009E101A">
        <w:trPr>
          <w:trHeight w:val="270"/>
          <w:jc w:val="center"/>
        </w:trPr>
        <w:tc>
          <w:tcPr>
            <w:tcW w:w="1780" w:type="dxa"/>
            <w:vMerge w:val="restart"/>
            <w:tcBorders>
              <w:top w:val="nil"/>
              <w:left w:val="single" w:sz="8" w:space="0" w:color="000000"/>
              <w:bottom w:val="single" w:sz="8" w:space="0" w:color="000000"/>
              <w:right w:val="single" w:sz="8" w:space="0" w:color="000000"/>
            </w:tcBorders>
            <w:shd w:val="clear" w:color="auto" w:fill="auto"/>
            <w:noWrap/>
            <w:hideMark/>
          </w:tcPr>
          <w:p w:rsidR="00A80018" w:rsidRPr="00E35B03" w:rsidRDefault="00A80018" w:rsidP="00F22DA2">
            <w:pPr>
              <w:rPr>
                <w:b/>
                <w:sz w:val="20"/>
                <w:lang w:eastAsia="en-JM"/>
              </w:rPr>
            </w:pPr>
            <w:r w:rsidRPr="00E35B03">
              <w:rPr>
                <w:sz w:val="20"/>
                <w:lang w:val="en-US" w:eastAsia="en-JM"/>
              </w:rPr>
              <w:t>Education</w:t>
            </w:r>
          </w:p>
        </w:tc>
        <w:tc>
          <w:tcPr>
            <w:tcW w:w="1256" w:type="dxa"/>
            <w:tcBorders>
              <w:top w:val="nil"/>
              <w:left w:val="nil"/>
              <w:bottom w:val="single" w:sz="8" w:space="0" w:color="000000"/>
              <w:right w:val="single" w:sz="8" w:space="0" w:color="000000"/>
            </w:tcBorders>
            <w:shd w:val="clear" w:color="auto" w:fill="auto"/>
            <w:noWrap/>
            <w:hideMark/>
          </w:tcPr>
          <w:p w:rsidR="00A80018" w:rsidRPr="00E35B03" w:rsidRDefault="00A80018" w:rsidP="00F22DA2">
            <w:pPr>
              <w:jc w:val="center"/>
              <w:rPr>
                <w:b/>
                <w:sz w:val="20"/>
                <w:lang w:eastAsia="en-JM"/>
              </w:rPr>
            </w:pPr>
            <w:r w:rsidRPr="00E35B03">
              <w:rPr>
                <w:b/>
                <w:sz w:val="20"/>
                <w:lang w:val="en-US" w:eastAsia="en-JM"/>
              </w:rPr>
              <w:t>Grade</w:t>
            </w:r>
          </w:p>
        </w:tc>
        <w:tc>
          <w:tcPr>
            <w:tcW w:w="971" w:type="dxa"/>
            <w:tcBorders>
              <w:top w:val="nil"/>
              <w:left w:val="nil"/>
              <w:bottom w:val="single" w:sz="8" w:space="0" w:color="000000"/>
              <w:right w:val="single" w:sz="8" w:space="0" w:color="000000"/>
            </w:tcBorders>
            <w:shd w:val="clear" w:color="auto" w:fill="auto"/>
            <w:noWrap/>
            <w:hideMark/>
          </w:tcPr>
          <w:p w:rsidR="00A80018" w:rsidRPr="00E35B03" w:rsidRDefault="00A80018" w:rsidP="00F22DA2">
            <w:pPr>
              <w:jc w:val="center"/>
              <w:rPr>
                <w:b/>
                <w:sz w:val="20"/>
                <w:lang w:eastAsia="en-JM"/>
              </w:rPr>
            </w:pPr>
            <w:r w:rsidRPr="00E35B03">
              <w:rPr>
                <w:b/>
                <w:sz w:val="20"/>
                <w:lang w:val="en-US" w:eastAsia="en-JM"/>
              </w:rPr>
              <w:t>Gender</w:t>
            </w:r>
          </w:p>
        </w:tc>
        <w:tc>
          <w:tcPr>
            <w:tcW w:w="986" w:type="dxa"/>
            <w:tcBorders>
              <w:top w:val="nil"/>
              <w:left w:val="nil"/>
              <w:bottom w:val="single" w:sz="8" w:space="0" w:color="000000"/>
              <w:right w:val="single" w:sz="8" w:space="0" w:color="000000"/>
            </w:tcBorders>
            <w:shd w:val="clear" w:color="auto" w:fill="auto"/>
            <w:noWrap/>
            <w:hideMark/>
          </w:tcPr>
          <w:p w:rsidR="00A80018" w:rsidRPr="00E35B03" w:rsidRDefault="00A80018" w:rsidP="00F22DA2">
            <w:pPr>
              <w:jc w:val="center"/>
              <w:rPr>
                <w:b/>
                <w:sz w:val="20"/>
                <w:lang w:eastAsia="en-JM"/>
              </w:rPr>
            </w:pPr>
            <w:r w:rsidRPr="00E35B03">
              <w:rPr>
                <w:b/>
                <w:sz w:val="20"/>
                <w:lang w:val="en-US" w:eastAsia="en-JM"/>
              </w:rPr>
              <w:t># Paid</w:t>
            </w:r>
          </w:p>
        </w:tc>
        <w:tc>
          <w:tcPr>
            <w:tcW w:w="1978" w:type="dxa"/>
            <w:tcBorders>
              <w:top w:val="nil"/>
              <w:left w:val="nil"/>
              <w:bottom w:val="single" w:sz="8" w:space="0" w:color="000000"/>
              <w:right w:val="nil"/>
            </w:tcBorders>
            <w:shd w:val="clear" w:color="auto" w:fill="auto"/>
            <w:hideMark/>
          </w:tcPr>
          <w:p w:rsidR="00A80018" w:rsidRPr="00E35B03" w:rsidRDefault="00A80018" w:rsidP="00F22DA2">
            <w:pPr>
              <w:jc w:val="center"/>
              <w:rPr>
                <w:b/>
                <w:sz w:val="20"/>
                <w:lang w:eastAsia="en-JM"/>
              </w:rPr>
            </w:pPr>
            <w:r w:rsidRPr="00E35B03">
              <w:rPr>
                <w:b/>
                <w:sz w:val="20"/>
                <w:lang w:val="en-US" w:eastAsia="en-JM"/>
              </w:rPr>
              <w:t>Amount Paid (J$)</w:t>
            </w:r>
          </w:p>
        </w:tc>
        <w:tc>
          <w:tcPr>
            <w:tcW w:w="986" w:type="dxa"/>
            <w:tcBorders>
              <w:top w:val="nil"/>
              <w:left w:val="single" w:sz="8" w:space="0" w:color="auto"/>
              <w:bottom w:val="nil"/>
              <w:right w:val="single" w:sz="8" w:space="0" w:color="000000"/>
            </w:tcBorders>
            <w:shd w:val="clear" w:color="auto" w:fill="auto"/>
            <w:noWrap/>
            <w:hideMark/>
          </w:tcPr>
          <w:p w:rsidR="00A80018" w:rsidRPr="00E35B03" w:rsidRDefault="00A80018" w:rsidP="00F22DA2">
            <w:pPr>
              <w:jc w:val="center"/>
              <w:rPr>
                <w:b/>
                <w:sz w:val="20"/>
                <w:lang w:eastAsia="en-JM"/>
              </w:rPr>
            </w:pPr>
            <w:r w:rsidRPr="00E35B03">
              <w:rPr>
                <w:b/>
                <w:sz w:val="20"/>
                <w:lang w:val="en-US" w:eastAsia="en-JM"/>
              </w:rPr>
              <w:t># Paid</w:t>
            </w:r>
          </w:p>
        </w:tc>
        <w:tc>
          <w:tcPr>
            <w:tcW w:w="1978" w:type="dxa"/>
            <w:tcBorders>
              <w:top w:val="nil"/>
              <w:left w:val="nil"/>
              <w:bottom w:val="nil"/>
              <w:right w:val="single" w:sz="8" w:space="0" w:color="auto"/>
            </w:tcBorders>
            <w:shd w:val="clear" w:color="auto" w:fill="auto"/>
            <w:hideMark/>
          </w:tcPr>
          <w:p w:rsidR="00A80018" w:rsidRPr="00E35B03" w:rsidRDefault="00A80018" w:rsidP="00F22DA2">
            <w:pPr>
              <w:jc w:val="center"/>
              <w:rPr>
                <w:b/>
                <w:sz w:val="20"/>
                <w:lang w:eastAsia="en-JM"/>
              </w:rPr>
            </w:pPr>
            <w:r w:rsidRPr="00E35B03">
              <w:rPr>
                <w:b/>
                <w:sz w:val="20"/>
                <w:lang w:val="en-US" w:eastAsia="en-JM"/>
              </w:rPr>
              <w:t>Amount Paid(J$)</w:t>
            </w:r>
          </w:p>
        </w:tc>
      </w:tr>
      <w:tr w:rsidR="00A80018" w:rsidRPr="00E35B03" w:rsidTr="009E101A">
        <w:trPr>
          <w:trHeight w:val="232"/>
          <w:jc w:val="center"/>
        </w:trPr>
        <w:tc>
          <w:tcPr>
            <w:tcW w:w="1780"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1256"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rPr>
                <w:b/>
                <w:sz w:val="20"/>
                <w:lang w:eastAsia="en-JM"/>
              </w:rPr>
            </w:pPr>
            <w:r w:rsidRPr="00E35B03">
              <w:rPr>
                <w:sz w:val="20"/>
                <w:lang w:val="en-US" w:eastAsia="en-JM"/>
              </w:rPr>
              <w:t> No Grade</w:t>
            </w:r>
          </w:p>
        </w:tc>
        <w:tc>
          <w:tcPr>
            <w:tcW w:w="971"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rPr>
                <w:sz w:val="20"/>
                <w:lang w:eastAsia="en-JM"/>
              </w:rPr>
            </w:pPr>
            <w:r w:rsidRPr="00E35B03">
              <w:rPr>
                <w:sz w:val="20"/>
                <w:lang w:val="en-US" w:eastAsia="en-JM"/>
              </w:rPr>
              <w:t> </w:t>
            </w:r>
          </w:p>
        </w:tc>
        <w:tc>
          <w:tcPr>
            <w:tcW w:w="986"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jc w:val="center"/>
              <w:rPr>
                <w:b/>
                <w:sz w:val="20"/>
                <w:lang w:eastAsia="en-JM"/>
              </w:rPr>
            </w:pPr>
            <w:r w:rsidRPr="00E35B03">
              <w:rPr>
                <w:sz w:val="20"/>
                <w:lang w:eastAsia="en-JM"/>
              </w:rPr>
              <w:t>9,765</w:t>
            </w:r>
          </w:p>
        </w:tc>
        <w:tc>
          <w:tcPr>
            <w:tcW w:w="1978"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jc w:val="right"/>
              <w:rPr>
                <w:b/>
                <w:sz w:val="20"/>
                <w:lang w:eastAsia="en-JM"/>
              </w:rPr>
            </w:pPr>
            <w:r w:rsidRPr="00E35B03">
              <w:rPr>
                <w:sz w:val="20"/>
                <w:lang w:eastAsia="en-JM"/>
              </w:rPr>
              <w:t>20,397,240.00</w:t>
            </w:r>
          </w:p>
        </w:tc>
        <w:tc>
          <w:tcPr>
            <w:tcW w:w="986" w:type="dxa"/>
            <w:tcBorders>
              <w:top w:val="single" w:sz="8" w:space="0" w:color="auto"/>
              <w:left w:val="nil"/>
              <w:bottom w:val="single" w:sz="8" w:space="0" w:color="auto"/>
              <w:right w:val="single" w:sz="8" w:space="0" w:color="auto"/>
            </w:tcBorders>
            <w:shd w:val="clear" w:color="auto" w:fill="DAEEF3"/>
            <w:noWrap/>
            <w:hideMark/>
          </w:tcPr>
          <w:p w:rsidR="00A80018" w:rsidRPr="00E35B03" w:rsidRDefault="00A80018" w:rsidP="00F22DA2">
            <w:pPr>
              <w:jc w:val="center"/>
              <w:rPr>
                <w:b/>
                <w:sz w:val="20"/>
                <w:lang w:eastAsia="en-JM"/>
              </w:rPr>
            </w:pPr>
            <w:r w:rsidRPr="00E35B03">
              <w:rPr>
                <w:sz w:val="20"/>
                <w:lang w:eastAsia="en-JM"/>
              </w:rPr>
              <w:t>2,258</w:t>
            </w:r>
          </w:p>
        </w:tc>
        <w:tc>
          <w:tcPr>
            <w:tcW w:w="1978" w:type="dxa"/>
            <w:tcBorders>
              <w:top w:val="single" w:sz="8" w:space="0" w:color="auto"/>
              <w:left w:val="nil"/>
              <w:bottom w:val="single" w:sz="8" w:space="0" w:color="auto"/>
              <w:right w:val="single" w:sz="8" w:space="0" w:color="auto"/>
            </w:tcBorders>
            <w:shd w:val="clear" w:color="auto" w:fill="DAEEF3"/>
            <w:noWrap/>
            <w:hideMark/>
          </w:tcPr>
          <w:p w:rsidR="00A80018" w:rsidRPr="00E35B03" w:rsidRDefault="00A80018" w:rsidP="00F22DA2">
            <w:pPr>
              <w:jc w:val="right"/>
              <w:rPr>
                <w:b/>
                <w:sz w:val="20"/>
                <w:lang w:eastAsia="en-JM"/>
              </w:rPr>
            </w:pPr>
            <w:r w:rsidRPr="00E35B03">
              <w:rPr>
                <w:sz w:val="20"/>
                <w:lang w:eastAsia="en-JM"/>
              </w:rPr>
              <w:t>4,686,970.00</w:t>
            </w:r>
          </w:p>
        </w:tc>
      </w:tr>
      <w:tr w:rsidR="00A80018" w:rsidRPr="00E35B03" w:rsidTr="009E101A">
        <w:trPr>
          <w:trHeight w:val="232"/>
          <w:jc w:val="center"/>
        </w:trPr>
        <w:tc>
          <w:tcPr>
            <w:tcW w:w="1780"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1256" w:type="dxa"/>
            <w:vMerge w:val="restart"/>
            <w:tcBorders>
              <w:top w:val="nil"/>
              <w:left w:val="single" w:sz="8" w:space="0" w:color="000000"/>
              <w:bottom w:val="single" w:sz="8" w:space="0" w:color="000000"/>
              <w:right w:val="single" w:sz="8" w:space="0" w:color="000000"/>
            </w:tcBorders>
            <w:shd w:val="clear" w:color="auto" w:fill="auto"/>
            <w:hideMark/>
          </w:tcPr>
          <w:p w:rsidR="00A80018" w:rsidRPr="00E35B03" w:rsidRDefault="00A80018" w:rsidP="00F22DA2">
            <w:pPr>
              <w:rPr>
                <w:b/>
                <w:sz w:val="20"/>
                <w:lang w:eastAsia="en-JM"/>
              </w:rPr>
            </w:pPr>
            <w:r w:rsidRPr="00E35B03">
              <w:rPr>
                <w:sz w:val="20"/>
                <w:lang w:val="en-US" w:eastAsia="en-JM"/>
              </w:rPr>
              <w:t>Grades 1-6</w:t>
            </w:r>
          </w:p>
        </w:tc>
        <w:tc>
          <w:tcPr>
            <w:tcW w:w="971" w:type="dxa"/>
            <w:tcBorders>
              <w:top w:val="nil"/>
              <w:left w:val="nil"/>
              <w:bottom w:val="single" w:sz="8" w:space="0" w:color="000000"/>
              <w:right w:val="single" w:sz="8" w:space="0" w:color="000000"/>
            </w:tcBorders>
            <w:shd w:val="clear" w:color="auto" w:fill="auto"/>
            <w:noWrap/>
            <w:hideMark/>
          </w:tcPr>
          <w:p w:rsidR="00A80018" w:rsidRPr="00E35B03" w:rsidRDefault="00A80018" w:rsidP="00F22DA2">
            <w:pPr>
              <w:rPr>
                <w:b/>
                <w:sz w:val="20"/>
                <w:lang w:eastAsia="en-JM"/>
              </w:rPr>
            </w:pPr>
            <w:r w:rsidRPr="00E35B03">
              <w:rPr>
                <w:sz w:val="20"/>
                <w:lang w:val="en-US" w:eastAsia="en-JM"/>
              </w:rPr>
              <w:t>Boys</w:t>
            </w:r>
          </w:p>
        </w:tc>
        <w:tc>
          <w:tcPr>
            <w:tcW w:w="986" w:type="dxa"/>
            <w:tcBorders>
              <w:top w:val="nil"/>
              <w:left w:val="nil"/>
              <w:bottom w:val="single" w:sz="8" w:space="0" w:color="000000"/>
              <w:right w:val="single" w:sz="8" w:space="0" w:color="000000"/>
            </w:tcBorders>
            <w:shd w:val="clear" w:color="000000" w:fill="FFFFFF"/>
            <w:noWrap/>
            <w:hideMark/>
          </w:tcPr>
          <w:p w:rsidR="00A80018" w:rsidRPr="00E35B03" w:rsidRDefault="00A80018" w:rsidP="00F22DA2">
            <w:pPr>
              <w:jc w:val="center"/>
              <w:rPr>
                <w:b/>
                <w:sz w:val="20"/>
                <w:lang w:eastAsia="en-JM"/>
              </w:rPr>
            </w:pPr>
            <w:r w:rsidRPr="00E35B03">
              <w:rPr>
                <w:sz w:val="20"/>
                <w:lang w:eastAsia="en-JM"/>
              </w:rPr>
              <w:t>44,666</w:t>
            </w:r>
          </w:p>
        </w:tc>
        <w:tc>
          <w:tcPr>
            <w:tcW w:w="1978" w:type="dxa"/>
            <w:tcBorders>
              <w:top w:val="nil"/>
              <w:left w:val="nil"/>
              <w:bottom w:val="single" w:sz="8" w:space="0" w:color="000000"/>
              <w:right w:val="single" w:sz="8" w:space="0" w:color="000000"/>
            </w:tcBorders>
            <w:shd w:val="clear" w:color="000000" w:fill="FFFFFF"/>
            <w:noWrap/>
            <w:hideMark/>
          </w:tcPr>
          <w:p w:rsidR="00A80018" w:rsidRPr="00E35B03" w:rsidRDefault="00A80018" w:rsidP="00F22DA2">
            <w:pPr>
              <w:jc w:val="right"/>
              <w:rPr>
                <w:b/>
                <w:sz w:val="20"/>
                <w:lang w:eastAsia="en-JM"/>
              </w:rPr>
            </w:pPr>
            <w:r w:rsidRPr="00E35B03">
              <w:rPr>
                <w:sz w:val="20"/>
                <w:lang w:eastAsia="en-JM"/>
              </w:rPr>
              <w:t>89,474,200.00</w:t>
            </w:r>
          </w:p>
        </w:tc>
        <w:tc>
          <w:tcPr>
            <w:tcW w:w="986" w:type="dxa"/>
            <w:tcBorders>
              <w:top w:val="nil"/>
              <w:left w:val="nil"/>
              <w:bottom w:val="single" w:sz="8" w:space="0" w:color="auto"/>
              <w:right w:val="nil"/>
            </w:tcBorders>
            <w:shd w:val="clear" w:color="auto" w:fill="auto"/>
            <w:noWrap/>
            <w:hideMark/>
          </w:tcPr>
          <w:p w:rsidR="00A80018" w:rsidRPr="00E35B03" w:rsidRDefault="00A80018" w:rsidP="00F22DA2">
            <w:pPr>
              <w:jc w:val="center"/>
              <w:rPr>
                <w:b/>
                <w:sz w:val="20"/>
                <w:lang w:eastAsia="en-JM"/>
              </w:rPr>
            </w:pPr>
            <w:r w:rsidRPr="00E35B03">
              <w:rPr>
                <w:sz w:val="20"/>
                <w:lang w:eastAsia="en-JM"/>
              </w:rPr>
              <w:t>45,017</w:t>
            </w:r>
          </w:p>
        </w:tc>
        <w:tc>
          <w:tcPr>
            <w:tcW w:w="1978" w:type="dxa"/>
            <w:tcBorders>
              <w:top w:val="nil"/>
              <w:left w:val="single" w:sz="8" w:space="0" w:color="auto"/>
              <w:bottom w:val="single" w:sz="8" w:space="0" w:color="auto"/>
              <w:right w:val="single" w:sz="8" w:space="0" w:color="auto"/>
            </w:tcBorders>
            <w:shd w:val="clear" w:color="auto" w:fill="auto"/>
            <w:noWrap/>
            <w:hideMark/>
          </w:tcPr>
          <w:p w:rsidR="00A80018" w:rsidRPr="00E35B03" w:rsidRDefault="00A80018" w:rsidP="00F22DA2">
            <w:pPr>
              <w:jc w:val="right"/>
              <w:rPr>
                <w:b/>
                <w:sz w:val="20"/>
                <w:lang w:eastAsia="en-JM"/>
              </w:rPr>
            </w:pPr>
            <w:r w:rsidRPr="00E35B03">
              <w:rPr>
                <w:sz w:val="20"/>
                <w:lang w:eastAsia="en-JM"/>
              </w:rPr>
              <w:t>80,946,880.00</w:t>
            </w:r>
          </w:p>
        </w:tc>
      </w:tr>
      <w:tr w:rsidR="00A80018" w:rsidRPr="00E35B03" w:rsidTr="009E101A">
        <w:trPr>
          <w:trHeight w:val="205"/>
          <w:jc w:val="center"/>
        </w:trPr>
        <w:tc>
          <w:tcPr>
            <w:tcW w:w="1780"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1256"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971"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rPr>
                <w:b/>
                <w:sz w:val="20"/>
                <w:lang w:eastAsia="en-JM"/>
              </w:rPr>
            </w:pPr>
            <w:r w:rsidRPr="00E35B03">
              <w:rPr>
                <w:sz w:val="20"/>
                <w:lang w:val="en-US" w:eastAsia="en-JM"/>
              </w:rPr>
              <w:t>Girls</w:t>
            </w:r>
          </w:p>
        </w:tc>
        <w:tc>
          <w:tcPr>
            <w:tcW w:w="986"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jc w:val="center"/>
              <w:rPr>
                <w:b/>
                <w:sz w:val="20"/>
                <w:lang w:eastAsia="en-JM"/>
              </w:rPr>
            </w:pPr>
            <w:r w:rsidRPr="00E35B03">
              <w:rPr>
                <w:sz w:val="20"/>
                <w:lang w:eastAsia="en-JM"/>
              </w:rPr>
              <w:t>41,014</w:t>
            </w:r>
          </w:p>
        </w:tc>
        <w:tc>
          <w:tcPr>
            <w:tcW w:w="1978"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jc w:val="right"/>
              <w:rPr>
                <w:b/>
                <w:sz w:val="20"/>
                <w:lang w:eastAsia="en-JM"/>
              </w:rPr>
            </w:pPr>
            <w:r w:rsidRPr="00E35B03">
              <w:rPr>
                <w:sz w:val="20"/>
                <w:lang w:eastAsia="en-JM"/>
              </w:rPr>
              <w:t>82,741,940.00</w:t>
            </w:r>
          </w:p>
        </w:tc>
        <w:tc>
          <w:tcPr>
            <w:tcW w:w="986" w:type="dxa"/>
            <w:tcBorders>
              <w:top w:val="nil"/>
              <w:left w:val="nil"/>
              <w:bottom w:val="single" w:sz="8" w:space="0" w:color="auto"/>
              <w:right w:val="nil"/>
            </w:tcBorders>
            <w:shd w:val="clear" w:color="auto" w:fill="DAEEF3"/>
            <w:noWrap/>
            <w:hideMark/>
          </w:tcPr>
          <w:p w:rsidR="00A80018" w:rsidRPr="00E35B03" w:rsidRDefault="00A80018" w:rsidP="00F22DA2">
            <w:pPr>
              <w:jc w:val="center"/>
              <w:rPr>
                <w:b/>
                <w:sz w:val="20"/>
                <w:lang w:eastAsia="en-JM"/>
              </w:rPr>
            </w:pPr>
            <w:r w:rsidRPr="00E35B03">
              <w:rPr>
                <w:sz w:val="20"/>
                <w:lang w:eastAsia="en-JM"/>
              </w:rPr>
              <w:t>41,311</w:t>
            </w:r>
          </w:p>
        </w:tc>
        <w:tc>
          <w:tcPr>
            <w:tcW w:w="1978" w:type="dxa"/>
            <w:tcBorders>
              <w:top w:val="nil"/>
              <w:left w:val="single" w:sz="8" w:space="0" w:color="auto"/>
              <w:bottom w:val="single" w:sz="8" w:space="0" w:color="auto"/>
              <w:right w:val="single" w:sz="8" w:space="0" w:color="auto"/>
            </w:tcBorders>
            <w:shd w:val="clear" w:color="auto" w:fill="DAEEF3"/>
            <w:noWrap/>
            <w:hideMark/>
          </w:tcPr>
          <w:p w:rsidR="00A80018" w:rsidRPr="00E35B03" w:rsidRDefault="00A80018" w:rsidP="00F22DA2">
            <w:pPr>
              <w:jc w:val="right"/>
              <w:rPr>
                <w:b/>
                <w:sz w:val="20"/>
                <w:lang w:eastAsia="en-JM"/>
              </w:rPr>
            </w:pPr>
            <w:r w:rsidRPr="00E35B03">
              <w:rPr>
                <w:sz w:val="20"/>
                <w:lang w:eastAsia="en-JM"/>
              </w:rPr>
              <w:t>75,983,870.00</w:t>
            </w:r>
          </w:p>
        </w:tc>
      </w:tr>
      <w:tr w:rsidR="00A80018" w:rsidRPr="00E35B03" w:rsidTr="009E101A">
        <w:trPr>
          <w:trHeight w:val="330"/>
          <w:jc w:val="center"/>
        </w:trPr>
        <w:tc>
          <w:tcPr>
            <w:tcW w:w="1780"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1256" w:type="dxa"/>
            <w:vMerge w:val="restart"/>
            <w:tcBorders>
              <w:top w:val="nil"/>
              <w:left w:val="single" w:sz="8" w:space="0" w:color="000000"/>
              <w:bottom w:val="single" w:sz="8" w:space="0" w:color="000000"/>
              <w:right w:val="single" w:sz="8" w:space="0" w:color="000000"/>
            </w:tcBorders>
            <w:shd w:val="clear" w:color="auto" w:fill="auto"/>
            <w:hideMark/>
          </w:tcPr>
          <w:p w:rsidR="00A80018" w:rsidRPr="00E35B03" w:rsidRDefault="00A80018" w:rsidP="00F22DA2">
            <w:pPr>
              <w:rPr>
                <w:b/>
                <w:sz w:val="20"/>
                <w:lang w:eastAsia="en-JM"/>
              </w:rPr>
            </w:pPr>
            <w:r w:rsidRPr="00E35B03">
              <w:rPr>
                <w:sz w:val="20"/>
                <w:lang w:val="en-US" w:eastAsia="en-JM"/>
              </w:rPr>
              <w:t>Grades 7-9</w:t>
            </w:r>
          </w:p>
        </w:tc>
        <w:tc>
          <w:tcPr>
            <w:tcW w:w="971" w:type="dxa"/>
            <w:tcBorders>
              <w:top w:val="nil"/>
              <w:left w:val="nil"/>
              <w:bottom w:val="single" w:sz="8" w:space="0" w:color="000000"/>
              <w:right w:val="single" w:sz="8" w:space="0" w:color="000000"/>
            </w:tcBorders>
            <w:shd w:val="clear" w:color="auto" w:fill="auto"/>
            <w:noWrap/>
            <w:hideMark/>
          </w:tcPr>
          <w:p w:rsidR="00A80018" w:rsidRPr="00E35B03" w:rsidRDefault="00A80018" w:rsidP="00F22DA2">
            <w:pPr>
              <w:rPr>
                <w:b/>
                <w:sz w:val="20"/>
                <w:lang w:eastAsia="en-JM"/>
              </w:rPr>
            </w:pPr>
            <w:r w:rsidRPr="00E35B03">
              <w:rPr>
                <w:sz w:val="20"/>
                <w:lang w:val="en-US" w:eastAsia="en-JM"/>
              </w:rPr>
              <w:t>Boys</w:t>
            </w:r>
          </w:p>
        </w:tc>
        <w:tc>
          <w:tcPr>
            <w:tcW w:w="986" w:type="dxa"/>
            <w:tcBorders>
              <w:top w:val="nil"/>
              <w:left w:val="nil"/>
              <w:bottom w:val="single" w:sz="8" w:space="0" w:color="000000"/>
              <w:right w:val="single" w:sz="8" w:space="0" w:color="000000"/>
            </w:tcBorders>
            <w:shd w:val="clear" w:color="000000" w:fill="FFFFFF"/>
            <w:noWrap/>
            <w:hideMark/>
          </w:tcPr>
          <w:p w:rsidR="00A80018" w:rsidRPr="00E35B03" w:rsidRDefault="00A80018" w:rsidP="00F22DA2">
            <w:pPr>
              <w:jc w:val="center"/>
              <w:rPr>
                <w:b/>
                <w:sz w:val="20"/>
                <w:lang w:eastAsia="en-JM"/>
              </w:rPr>
            </w:pPr>
            <w:r w:rsidRPr="00E35B03">
              <w:rPr>
                <w:sz w:val="20"/>
                <w:lang w:eastAsia="en-JM"/>
              </w:rPr>
              <w:t>25,759</w:t>
            </w:r>
          </w:p>
        </w:tc>
        <w:tc>
          <w:tcPr>
            <w:tcW w:w="1978" w:type="dxa"/>
            <w:tcBorders>
              <w:top w:val="nil"/>
              <w:left w:val="nil"/>
              <w:bottom w:val="single" w:sz="8" w:space="0" w:color="000000"/>
              <w:right w:val="single" w:sz="8" w:space="0" w:color="000000"/>
            </w:tcBorders>
            <w:shd w:val="clear" w:color="000000" w:fill="FFFFFF"/>
            <w:noWrap/>
            <w:hideMark/>
          </w:tcPr>
          <w:p w:rsidR="00A80018" w:rsidRPr="00E35B03" w:rsidRDefault="00A80018" w:rsidP="00F22DA2">
            <w:pPr>
              <w:jc w:val="right"/>
              <w:rPr>
                <w:b/>
                <w:sz w:val="20"/>
                <w:lang w:eastAsia="en-JM"/>
              </w:rPr>
            </w:pPr>
            <w:r w:rsidRPr="00E35B03">
              <w:rPr>
                <w:sz w:val="20"/>
                <w:lang w:eastAsia="en-JM"/>
              </w:rPr>
              <w:t>67,497,200.00</w:t>
            </w:r>
          </w:p>
        </w:tc>
        <w:tc>
          <w:tcPr>
            <w:tcW w:w="986" w:type="dxa"/>
            <w:tcBorders>
              <w:top w:val="nil"/>
              <w:left w:val="nil"/>
              <w:bottom w:val="nil"/>
              <w:right w:val="nil"/>
            </w:tcBorders>
            <w:shd w:val="clear" w:color="auto" w:fill="auto"/>
            <w:noWrap/>
            <w:hideMark/>
          </w:tcPr>
          <w:p w:rsidR="00A80018" w:rsidRPr="00E35B03" w:rsidRDefault="00A80018" w:rsidP="00F22DA2">
            <w:pPr>
              <w:jc w:val="center"/>
              <w:rPr>
                <w:b/>
                <w:sz w:val="20"/>
                <w:lang w:eastAsia="en-JM"/>
              </w:rPr>
            </w:pPr>
            <w:r w:rsidRPr="00E35B03">
              <w:rPr>
                <w:sz w:val="20"/>
                <w:lang w:eastAsia="en-JM"/>
              </w:rPr>
              <w:t>26,213</w:t>
            </w:r>
          </w:p>
        </w:tc>
        <w:tc>
          <w:tcPr>
            <w:tcW w:w="1978" w:type="dxa"/>
            <w:tcBorders>
              <w:top w:val="nil"/>
              <w:left w:val="single" w:sz="8" w:space="0" w:color="auto"/>
              <w:bottom w:val="nil"/>
              <w:right w:val="single" w:sz="8" w:space="0" w:color="auto"/>
            </w:tcBorders>
            <w:shd w:val="clear" w:color="auto" w:fill="auto"/>
            <w:noWrap/>
            <w:hideMark/>
          </w:tcPr>
          <w:p w:rsidR="00A80018" w:rsidRPr="00E35B03" w:rsidRDefault="00A80018" w:rsidP="00F22DA2">
            <w:pPr>
              <w:jc w:val="right"/>
              <w:rPr>
                <w:b/>
                <w:sz w:val="20"/>
                <w:lang w:eastAsia="en-JM"/>
              </w:rPr>
            </w:pPr>
            <w:r w:rsidRPr="00E35B03">
              <w:rPr>
                <w:sz w:val="20"/>
                <w:lang w:eastAsia="en-JM"/>
              </w:rPr>
              <w:t>62,994,400.00</w:t>
            </w:r>
          </w:p>
        </w:tc>
      </w:tr>
      <w:tr w:rsidR="00A80018" w:rsidRPr="00E35B03" w:rsidTr="009E101A">
        <w:trPr>
          <w:trHeight w:val="330"/>
          <w:jc w:val="center"/>
        </w:trPr>
        <w:tc>
          <w:tcPr>
            <w:tcW w:w="1780"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1256"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971"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rPr>
                <w:b/>
                <w:sz w:val="20"/>
                <w:lang w:eastAsia="en-JM"/>
              </w:rPr>
            </w:pPr>
            <w:r w:rsidRPr="00E35B03">
              <w:rPr>
                <w:sz w:val="20"/>
                <w:lang w:val="en-US" w:eastAsia="en-JM"/>
              </w:rPr>
              <w:t>Girls</w:t>
            </w:r>
          </w:p>
        </w:tc>
        <w:tc>
          <w:tcPr>
            <w:tcW w:w="986"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jc w:val="center"/>
              <w:rPr>
                <w:b/>
                <w:sz w:val="20"/>
                <w:lang w:eastAsia="en-JM"/>
              </w:rPr>
            </w:pPr>
            <w:r w:rsidRPr="00E35B03">
              <w:rPr>
                <w:sz w:val="20"/>
                <w:lang w:eastAsia="en-JM"/>
              </w:rPr>
              <w:t>24,700</w:t>
            </w:r>
          </w:p>
        </w:tc>
        <w:tc>
          <w:tcPr>
            <w:tcW w:w="1978"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jc w:val="right"/>
              <w:rPr>
                <w:b/>
                <w:sz w:val="20"/>
                <w:lang w:eastAsia="en-JM"/>
              </w:rPr>
            </w:pPr>
            <w:r w:rsidRPr="00E35B03">
              <w:rPr>
                <w:sz w:val="20"/>
                <w:lang w:eastAsia="en-JM"/>
              </w:rPr>
              <w:t>65,896,000.00</w:t>
            </w:r>
          </w:p>
        </w:tc>
        <w:tc>
          <w:tcPr>
            <w:tcW w:w="986" w:type="dxa"/>
            <w:tcBorders>
              <w:top w:val="single" w:sz="8" w:space="0" w:color="auto"/>
              <w:left w:val="nil"/>
              <w:bottom w:val="single" w:sz="8" w:space="0" w:color="auto"/>
              <w:right w:val="nil"/>
            </w:tcBorders>
            <w:shd w:val="clear" w:color="auto" w:fill="DAEEF3"/>
            <w:noWrap/>
            <w:hideMark/>
          </w:tcPr>
          <w:p w:rsidR="00A80018" w:rsidRPr="00E35B03" w:rsidRDefault="00A80018" w:rsidP="00F22DA2">
            <w:pPr>
              <w:jc w:val="center"/>
              <w:rPr>
                <w:b/>
                <w:sz w:val="20"/>
                <w:lang w:eastAsia="en-JM"/>
              </w:rPr>
            </w:pPr>
            <w:r w:rsidRPr="00E35B03">
              <w:rPr>
                <w:sz w:val="20"/>
                <w:lang w:eastAsia="en-JM"/>
              </w:rPr>
              <w:t>25,098</w:t>
            </w:r>
          </w:p>
        </w:tc>
        <w:tc>
          <w:tcPr>
            <w:tcW w:w="1978" w:type="dxa"/>
            <w:tcBorders>
              <w:top w:val="single" w:sz="8" w:space="0" w:color="auto"/>
              <w:left w:val="single" w:sz="8" w:space="0" w:color="auto"/>
              <w:bottom w:val="single" w:sz="8" w:space="0" w:color="auto"/>
              <w:right w:val="single" w:sz="8" w:space="0" w:color="auto"/>
            </w:tcBorders>
            <w:shd w:val="clear" w:color="auto" w:fill="DAEEF3"/>
            <w:noWrap/>
            <w:vAlign w:val="bottom"/>
            <w:hideMark/>
          </w:tcPr>
          <w:p w:rsidR="00A80018" w:rsidRPr="00E35B03" w:rsidRDefault="00A80018" w:rsidP="00F22DA2">
            <w:pPr>
              <w:jc w:val="right"/>
              <w:rPr>
                <w:b/>
                <w:sz w:val="20"/>
                <w:lang w:eastAsia="en-JM"/>
              </w:rPr>
            </w:pPr>
            <w:r w:rsidRPr="00E35B03">
              <w:rPr>
                <w:sz w:val="20"/>
                <w:lang w:eastAsia="en-JM"/>
              </w:rPr>
              <w:t>62,970,400.00</w:t>
            </w:r>
          </w:p>
        </w:tc>
      </w:tr>
      <w:tr w:rsidR="00A80018" w:rsidRPr="00E35B03" w:rsidTr="009E101A">
        <w:trPr>
          <w:trHeight w:val="330"/>
          <w:jc w:val="center"/>
        </w:trPr>
        <w:tc>
          <w:tcPr>
            <w:tcW w:w="1780"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1256" w:type="dxa"/>
            <w:vMerge w:val="restart"/>
            <w:tcBorders>
              <w:top w:val="nil"/>
              <w:left w:val="single" w:sz="8" w:space="0" w:color="000000"/>
              <w:bottom w:val="single" w:sz="8" w:space="0" w:color="000000"/>
              <w:right w:val="single" w:sz="8" w:space="0" w:color="000000"/>
            </w:tcBorders>
            <w:shd w:val="clear" w:color="auto" w:fill="auto"/>
            <w:hideMark/>
          </w:tcPr>
          <w:p w:rsidR="00A80018" w:rsidRPr="00E35B03" w:rsidRDefault="00A80018" w:rsidP="00F22DA2">
            <w:pPr>
              <w:rPr>
                <w:b/>
                <w:sz w:val="20"/>
                <w:lang w:eastAsia="en-JM"/>
              </w:rPr>
            </w:pPr>
            <w:r w:rsidRPr="00E35B03">
              <w:rPr>
                <w:sz w:val="20"/>
                <w:lang w:val="en-US" w:eastAsia="en-JM"/>
              </w:rPr>
              <w:t>Grades 10-13</w:t>
            </w:r>
          </w:p>
        </w:tc>
        <w:tc>
          <w:tcPr>
            <w:tcW w:w="971" w:type="dxa"/>
            <w:tcBorders>
              <w:top w:val="nil"/>
              <w:left w:val="nil"/>
              <w:bottom w:val="single" w:sz="8" w:space="0" w:color="000000"/>
              <w:right w:val="single" w:sz="8" w:space="0" w:color="000000"/>
            </w:tcBorders>
            <w:shd w:val="clear" w:color="auto" w:fill="auto"/>
            <w:noWrap/>
            <w:hideMark/>
          </w:tcPr>
          <w:p w:rsidR="00A80018" w:rsidRPr="00E35B03" w:rsidRDefault="00A80018" w:rsidP="00F22DA2">
            <w:pPr>
              <w:rPr>
                <w:b/>
                <w:sz w:val="20"/>
                <w:lang w:eastAsia="en-JM"/>
              </w:rPr>
            </w:pPr>
            <w:r w:rsidRPr="00E35B03">
              <w:rPr>
                <w:sz w:val="20"/>
                <w:lang w:val="en-US" w:eastAsia="en-JM"/>
              </w:rPr>
              <w:t>Boys</w:t>
            </w:r>
          </w:p>
        </w:tc>
        <w:tc>
          <w:tcPr>
            <w:tcW w:w="986" w:type="dxa"/>
            <w:tcBorders>
              <w:top w:val="nil"/>
              <w:left w:val="nil"/>
              <w:bottom w:val="single" w:sz="8" w:space="0" w:color="000000"/>
              <w:right w:val="single" w:sz="8" w:space="0" w:color="000000"/>
            </w:tcBorders>
            <w:shd w:val="clear" w:color="000000" w:fill="FFFFFF"/>
            <w:noWrap/>
            <w:hideMark/>
          </w:tcPr>
          <w:p w:rsidR="00A80018" w:rsidRPr="00E35B03" w:rsidRDefault="00A80018" w:rsidP="00F22DA2">
            <w:pPr>
              <w:jc w:val="center"/>
              <w:rPr>
                <w:b/>
                <w:sz w:val="20"/>
                <w:lang w:eastAsia="en-JM"/>
              </w:rPr>
            </w:pPr>
            <w:r w:rsidRPr="00E35B03">
              <w:rPr>
                <w:sz w:val="20"/>
                <w:lang w:eastAsia="en-JM"/>
              </w:rPr>
              <w:t>14,474</w:t>
            </w:r>
          </w:p>
        </w:tc>
        <w:tc>
          <w:tcPr>
            <w:tcW w:w="1978" w:type="dxa"/>
            <w:tcBorders>
              <w:top w:val="nil"/>
              <w:left w:val="nil"/>
              <w:bottom w:val="single" w:sz="8" w:space="0" w:color="000000"/>
              <w:right w:val="single" w:sz="8" w:space="0" w:color="000000"/>
            </w:tcBorders>
            <w:shd w:val="clear" w:color="000000" w:fill="FFFFFF"/>
            <w:noWrap/>
            <w:hideMark/>
          </w:tcPr>
          <w:p w:rsidR="00A80018" w:rsidRPr="00E35B03" w:rsidRDefault="00A80018" w:rsidP="00F22DA2">
            <w:pPr>
              <w:jc w:val="right"/>
              <w:rPr>
                <w:b/>
                <w:sz w:val="20"/>
                <w:lang w:eastAsia="en-JM"/>
              </w:rPr>
            </w:pPr>
            <w:r w:rsidRPr="00E35B03">
              <w:rPr>
                <w:sz w:val="20"/>
                <w:lang w:eastAsia="en-JM"/>
              </w:rPr>
              <w:t>41,435,200.00</w:t>
            </w:r>
          </w:p>
        </w:tc>
        <w:tc>
          <w:tcPr>
            <w:tcW w:w="986" w:type="dxa"/>
            <w:tcBorders>
              <w:top w:val="nil"/>
              <w:left w:val="nil"/>
              <w:bottom w:val="single" w:sz="8" w:space="0" w:color="auto"/>
              <w:right w:val="nil"/>
            </w:tcBorders>
            <w:shd w:val="clear" w:color="auto" w:fill="auto"/>
            <w:noWrap/>
            <w:hideMark/>
          </w:tcPr>
          <w:p w:rsidR="00A80018" w:rsidRPr="00E35B03" w:rsidRDefault="00A80018" w:rsidP="00F22DA2">
            <w:pPr>
              <w:jc w:val="center"/>
              <w:rPr>
                <w:b/>
                <w:sz w:val="20"/>
                <w:lang w:eastAsia="en-JM"/>
              </w:rPr>
            </w:pPr>
            <w:r w:rsidRPr="00E35B03">
              <w:rPr>
                <w:sz w:val="20"/>
                <w:lang w:eastAsia="en-JM"/>
              </w:rPr>
              <w:t>14,691</w:t>
            </w:r>
          </w:p>
        </w:tc>
        <w:tc>
          <w:tcPr>
            <w:tcW w:w="1978" w:type="dxa"/>
            <w:tcBorders>
              <w:top w:val="nil"/>
              <w:left w:val="single" w:sz="8" w:space="0" w:color="auto"/>
              <w:bottom w:val="single" w:sz="8" w:space="0" w:color="auto"/>
              <w:right w:val="single" w:sz="8" w:space="0" w:color="auto"/>
            </w:tcBorders>
            <w:shd w:val="clear" w:color="auto" w:fill="auto"/>
            <w:noWrap/>
            <w:vAlign w:val="bottom"/>
            <w:hideMark/>
          </w:tcPr>
          <w:p w:rsidR="00A80018" w:rsidRPr="00E35B03" w:rsidRDefault="00A80018" w:rsidP="00F22DA2">
            <w:pPr>
              <w:jc w:val="right"/>
              <w:rPr>
                <w:b/>
                <w:sz w:val="20"/>
                <w:lang w:eastAsia="en-JM"/>
              </w:rPr>
            </w:pPr>
            <w:r w:rsidRPr="00E35B03">
              <w:rPr>
                <w:sz w:val="20"/>
                <w:lang w:eastAsia="en-JM"/>
              </w:rPr>
              <w:t>38,455,200.00</w:t>
            </w:r>
          </w:p>
        </w:tc>
      </w:tr>
      <w:tr w:rsidR="00A80018" w:rsidRPr="00E35B03" w:rsidTr="009E101A">
        <w:trPr>
          <w:trHeight w:val="330"/>
          <w:jc w:val="center"/>
        </w:trPr>
        <w:tc>
          <w:tcPr>
            <w:tcW w:w="1780"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1256" w:type="dxa"/>
            <w:vMerge/>
            <w:tcBorders>
              <w:top w:val="nil"/>
              <w:left w:val="single" w:sz="8" w:space="0" w:color="000000"/>
              <w:bottom w:val="single" w:sz="8" w:space="0" w:color="000000"/>
              <w:right w:val="single" w:sz="8" w:space="0" w:color="000000"/>
            </w:tcBorders>
            <w:vAlign w:val="center"/>
            <w:hideMark/>
          </w:tcPr>
          <w:p w:rsidR="00A80018" w:rsidRPr="00E35B03" w:rsidRDefault="00A80018" w:rsidP="00F22DA2">
            <w:pPr>
              <w:rPr>
                <w:sz w:val="20"/>
                <w:lang w:eastAsia="en-JM"/>
              </w:rPr>
            </w:pPr>
          </w:p>
        </w:tc>
        <w:tc>
          <w:tcPr>
            <w:tcW w:w="971"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rPr>
                <w:b/>
                <w:sz w:val="20"/>
                <w:lang w:eastAsia="en-JM"/>
              </w:rPr>
            </w:pPr>
            <w:r w:rsidRPr="00E35B03">
              <w:rPr>
                <w:sz w:val="20"/>
                <w:lang w:val="en-US" w:eastAsia="en-JM"/>
              </w:rPr>
              <w:t>Girls</w:t>
            </w:r>
          </w:p>
        </w:tc>
        <w:tc>
          <w:tcPr>
            <w:tcW w:w="986"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jc w:val="center"/>
              <w:rPr>
                <w:b/>
                <w:sz w:val="20"/>
                <w:lang w:eastAsia="en-JM"/>
              </w:rPr>
            </w:pPr>
            <w:r w:rsidRPr="00E35B03">
              <w:rPr>
                <w:sz w:val="20"/>
                <w:lang w:eastAsia="en-JM"/>
              </w:rPr>
              <w:t>15,543</w:t>
            </w:r>
          </w:p>
        </w:tc>
        <w:tc>
          <w:tcPr>
            <w:tcW w:w="1978" w:type="dxa"/>
            <w:tcBorders>
              <w:top w:val="nil"/>
              <w:left w:val="nil"/>
              <w:bottom w:val="single" w:sz="8" w:space="0" w:color="000000"/>
              <w:right w:val="single" w:sz="8" w:space="0" w:color="000000"/>
            </w:tcBorders>
            <w:shd w:val="clear" w:color="auto" w:fill="DAEEF3"/>
            <w:noWrap/>
            <w:hideMark/>
          </w:tcPr>
          <w:p w:rsidR="00A80018" w:rsidRPr="00E35B03" w:rsidRDefault="00A80018" w:rsidP="00F22DA2">
            <w:pPr>
              <w:jc w:val="right"/>
              <w:rPr>
                <w:b/>
                <w:sz w:val="20"/>
                <w:lang w:eastAsia="en-JM"/>
              </w:rPr>
            </w:pPr>
            <w:r w:rsidRPr="00E35B03">
              <w:rPr>
                <w:sz w:val="20"/>
                <w:lang w:eastAsia="en-JM"/>
              </w:rPr>
              <w:t>45,472,400.00</w:t>
            </w:r>
          </w:p>
        </w:tc>
        <w:tc>
          <w:tcPr>
            <w:tcW w:w="986" w:type="dxa"/>
            <w:tcBorders>
              <w:top w:val="single" w:sz="8" w:space="0" w:color="auto"/>
              <w:left w:val="nil"/>
              <w:bottom w:val="single" w:sz="4" w:space="0" w:color="auto"/>
              <w:right w:val="nil"/>
            </w:tcBorders>
            <w:shd w:val="clear" w:color="auto" w:fill="DAEEF3"/>
            <w:noWrap/>
            <w:hideMark/>
          </w:tcPr>
          <w:p w:rsidR="00A80018" w:rsidRPr="00E35B03" w:rsidRDefault="00A80018" w:rsidP="00F22DA2">
            <w:pPr>
              <w:jc w:val="center"/>
              <w:rPr>
                <w:b/>
                <w:sz w:val="20"/>
                <w:lang w:eastAsia="en-JM"/>
              </w:rPr>
            </w:pPr>
            <w:r w:rsidRPr="00E35B03">
              <w:rPr>
                <w:sz w:val="20"/>
                <w:lang w:eastAsia="en-JM"/>
              </w:rPr>
              <w:t>15,786</w:t>
            </w:r>
          </w:p>
        </w:tc>
        <w:tc>
          <w:tcPr>
            <w:tcW w:w="1978" w:type="dxa"/>
            <w:tcBorders>
              <w:top w:val="single" w:sz="8" w:space="0" w:color="auto"/>
              <w:left w:val="single" w:sz="8" w:space="0" w:color="auto"/>
              <w:bottom w:val="single" w:sz="4" w:space="0" w:color="auto"/>
              <w:right w:val="single" w:sz="8" w:space="0" w:color="auto"/>
            </w:tcBorders>
            <w:shd w:val="clear" w:color="auto" w:fill="DAEEF3"/>
            <w:noWrap/>
            <w:vAlign w:val="bottom"/>
            <w:hideMark/>
          </w:tcPr>
          <w:p w:rsidR="00A80018" w:rsidRPr="00E35B03" w:rsidRDefault="00A80018" w:rsidP="00F22DA2">
            <w:pPr>
              <w:jc w:val="right"/>
              <w:rPr>
                <w:b/>
                <w:sz w:val="20"/>
                <w:lang w:eastAsia="en-JM"/>
              </w:rPr>
            </w:pPr>
            <w:r w:rsidRPr="00E35B03">
              <w:rPr>
                <w:sz w:val="20"/>
                <w:lang w:eastAsia="en-JM"/>
              </w:rPr>
              <w:t>43,120,400.00</w:t>
            </w:r>
          </w:p>
        </w:tc>
      </w:tr>
      <w:tr w:rsidR="00A80018" w:rsidRPr="00E35B03" w:rsidTr="009E101A">
        <w:trPr>
          <w:trHeight w:val="330"/>
          <w:jc w:val="center"/>
        </w:trPr>
        <w:tc>
          <w:tcPr>
            <w:tcW w:w="4007" w:type="dxa"/>
            <w:gridSpan w:val="3"/>
            <w:tcBorders>
              <w:top w:val="single" w:sz="8" w:space="0" w:color="000000"/>
              <w:left w:val="single" w:sz="8" w:space="0" w:color="000000"/>
              <w:bottom w:val="single" w:sz="8" w:space="0" w:color="000000"/>
              <w:right w:val="single" w:sz="8" w:space="0" w:color="000000"/>
            </w:tcBorders>
            <w:shd w:val="clear" w:color="000000" w:fill="FFFFFF"/>
            <w:noWrap/>
            <w:hideMark/>
          </w:tcPr>
          <w:p w:rsidR="00A80018" w:rsidRPr="00E35B03" w:rsidRDefault="00A80018" w:rsidP="00F22DA2">
            <w:pPr>
              <w:rPr>
                <w:b/>
                <w:sz w:val="20"/>
                <w:lang w:eastAsia="en-JM"/>
              </w:rPr>
            </w:pPr>
            <w:r w:rsidRPr="00E35B03">
              <w:rPr>
                <w:b/>
                <w:sz w:val="20"/>
                <w:lang w:val="en-US" w:eastAsia="en-JM"/>
              </w:rPr>
              <w:t>All Students</w:t>
            </w:r>
          </w:p>
        </w:tc>
        <w:tc>
          <w:tcPr>
            <w:tcW w:w="986" w:type="dxa"/>
            <w:tcBorders>
              <w:top w:val="nil"/>
              <w:left w:val="nil"/>
              <w:bottom w:val="single" w:sz="8" w:space="0" w:color="000000"/>
              <w:right w:val="single" w:sz="8" w:space="0" w:color="000000"/>
            </w:tcBorders>
            <w:shd w:val="clear" w:color="000000" w:fill="FFFFFF"/>
            <w:noWrap/>
            <w:hideMark/>
          </w:tcPr>
          <w:p w:rsidR="00A80018" w:rsidRPr="00E35B03" w:rsidRDefault="00A80018" w:rsidP="00F22DA2">
            <w:pPr>
              <w:jc w:val="center"/>
              <w:rPr>
                <w:b/>
                <w:sz w:val="20"/>
                <w:lang w:eastAsia="en-JM"/>
              </w:rPr>
            </w:pPr>
            <w:r w:rsidRPr="00E35B03">
              <w:rPr>
                <w:b/>
                <w:sz w:val="20"/>
                <w:lang w:val="en-US" w:eastAsia="en-JM"/>
              </w:rPr>
              <w:t>175,921</w:t>
            </w:r>
          </w:p>
        </w:tc>
        <w:tc>
          <w:tcPr>
            <w:tcW w:w="1978" w:type="dxa"/>
            <w:tcBorders>
              <w:top w:val="nil"/>
              <w:left w:val="nil"/>
              <w:bottom w:val="single" w:sz="8" w:space="0" w:color="000000"/>
              <w:right w:val="single" w:sz="8" w:space="0" w:color="000000"/>
            </w:tcBorders>
            <w:shd w:val="clear" w:color="000000" w:fill="FFFFFF"/>
            <w:noWrap/>
            <w:hideMark/>
          </w:tcPr>
          <w:p w:rsidR="00A80018" w:rsidRPr="00E35B03" w:rsidRDefault="00A80018" w:rsidP="00F22DA2">
            <w:pPr>
              <w:jc w:val="right"/>
              <w:rPr>
                <w:b/>
                <w:sz w:val="20"/>
                <w:lang w:eastAsia="en-JM"/>
              </w:rPr>
            </w:pPr>
            <w:r w:rsidRPr="00E35B03">
              <w:rPr>
                <w:b/>
                <w:sz w:val="20"/>
                <w:lang w:val="en-US" w:eastAsia="en-JM"/>
              </w:rPr>
              <w:t>412,914,180.00</w:t>
            </w:r>
          </w:p>
        </w:tc>
        <w:tc>
          <w:tcPr>
            <w:tcW w:w="986" w:type="dxa"/>
            <w:tcBorders>
              <w:top w:val="single" w:sz="4" w:space="0" w:color="auto"/>
              <w:left w:val="nil"/>
              <w:bottom w:val="single" w:sz="8" w:space="0" w:color="000000"/>
              <w:right w:val="single" w:sz="8" w:space="0" w:color="000000"/>
            </w:tcBorders>
            <w:shd w:val="clear" w:color="000000" w:fill="FFFFFF"/>
            <w:noWrap/>
            <w:hideMark/>
          </w:tcPr>
          <w:p w:rsidR="00A80018" w:rsidRPr="00E35B03" w:rsidRDefault="00A80018" w:rsidP="00F22DA2">
            <w:pPr>
              <w:jc w:val="center"/>
              <w:rPr>
                <w:b/>
                <w:sz w:val="20"/>
                <w:lang w:eastAsia="en-JM"/>
              </w:rPr>
            </w:pPr>
            <w:r w:rsidRPr="00E35B03">
              <w:rPr>
                <w:b/>
                <w:sz w:val="20"/>
                <w:lang w:val="en-US" w:eastAsia="en-JM"/>
              </w:rPr>
              <w:t>170,374</w:t>
            </w:r>
          </w:p>
        </w:tc>
        <w:tc>
          <w:tcPr>
            <w:tcW w:w="1978" w:type="dxa"/>
            <w:tcBorders>
              <w:top w:val="single" w:sz="4" w:space="0" w:color="auto"/>
              <w:left w:val="nil"/>
              <w:bottom w:val="single" w:sz="8" w:space="0" w:color="000000"/>
              <w:right w:val="single" w:sz="8" w:space="0" w:color="000000"/>
            </w:tcBorders>
            <w:shd w:val="clear" w:color="000000" w:fill="FFFFFF"/>
            <w:noWrap/>
            <w:hideMark/>
          </w:tcPr>
          <w:p w:rsidR="00A80018" w:rsidRPr="00E35B03" w:rsidRDefault="00A80018" w:rsidP="00F22DA2">
            <w:pPr>
              <w:jc w:val="right"/>
              <w:rPr>
                <w:b/>
                <w:sz w:val="20"/>
                <w:lang w:eastAsia="en-JM"/>
              </w:rPr>
            </w:pPr>
            <w:r w:rsidRPr="00E35B03">
              <w:rPr>
                <w:b/>
                <w:sz w:val="20"/>
                <w:lang w:val="en-US" w:eastAsia="en-JM"/>
              </w:rPr>
              <w:t>369,158,120.00</w:t>
            </w:r>
          </w:p>
        </w:tc>
      </w:tr>
    </w:tbl>
    <w:p w:rsidR="00A80018" w:rsidRDefault="00A80018" w:rsidP="00A80018">
      <w:pPr>
        <w:autoSpaceDE w:val="0"/>
        <w:autoSpaceDN w:val="0"/>
        <w:adjustRightInd w:val="0"/>
        <w:jc w:val="both"/>
        <w:rPr>
          <w:rFonts w:ascii="Arial" w:eastAsia="Times New Roman" w:hAnsi="Arial" w:cs="Arial"/>
          <w:bCs/>
          <w:kern w:val="32"/>
          <w:lang w:val="en-US"/>
        </w:rPr>
      </w:pPr>
    </w:p>
    <w:p w:rsidR="00FF0393" w:rsidRDefault="006339F3" w:rsidP="00FF0393">
      <w:pPr>
        <w:pStyle w:val="ListParagraph"/>
        <w:numPr>
          <w:ilvl w:val="0"/>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Impact of the program on school attendance (based on Levy and Ohl, 2010; Fizbein and Schady, 2009; IDB, 2014):</w:t>
      </w:r>
    </w:p>
    <w:p w:rsidR="006339F3" w:rsidRDefault="00FF74AE" w:rsidP="006339F3">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Low: 4</w:t>
      </w:r>
      <w:r w:rsidR="006339F3">
        <w:rPr>
          <w:rFonts w:ascii="Arial" w:eastAsia="Times New Roman" w:hAnsi="Arial" w:cs="Arial"/>
          <w:bCs/>
          <w:kern w:val="32"/>
          <w:lang w:val="en-US"/>
        </w:rPr>
        <w:t>%</w:t>
      </w:r>
    </w:p>
    <w:p w:rsidR="006339F3" w:rsidRDefault="00FF74AE" w:rsidP="006339F3">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Medium: 6</w:t>
      </w:r>
      <w:r w:rsidR="006339F3">
        <w:rPr>
          <w:rFonts w:ascii="Arial" w:eastAsia="Times New Roman" w:hAnsi="Arial" w:cs="Arial"/>
          <w:bCs/>
          <w:kern w:val="32"/>
          <w:lang w:val="en-US"/>
        </w:rPr>
        <w:t>%</w:t>
      </w:r>
    </w:p>
    <w:p w:rsidR="006339F3" w:rsidRDefault="00FF74AE" w:rsidP="006339F3">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High: 8</w:t>
      </w:r>
      <w:r w:rsidR="006339F3">
        <w:rPr>
          <w:rFonts w:ascii="Arial" w:eastAsia="Times New Roman" w:hAnsi="Arial" w:cs="Arial"/>
          <w:bCs/>
          <w:kern w:val="32"/>
          <w:lang w:val="en-US"/>
        </w:rPr>
        <w:t>%</w:t>
      </w:r>
    </w:p>
    <w:p w:rsidR="008E1E4F" w:rsidRDefault="008E1E4F" w:rsidP="008E1E4F">
      <w:pPr>
        <w:pStyle w:val="ListParagraph"/>
        <w:autoSpaceDE w:val="0"/>
        <w:autoSpaceDN w:val="0"/>
        <w:adjustRightInd w:val="0"/>
        <w:jc w:val="both"/>
        <w:rPr>
          <w:rFonts w:ascii="Arial" w:eastAsia="Times New Roman" w:hAnsi="Arial" w:cs="Arial"/>
          <w:bCs/>
          <w:kern w:val="32"/>
          <w:lang w:val="en-US"/>
        </w:rPr>
      </w:pPr>
    </w:p>
    <w:p w:rsidR="006339F3" w:rsidRDefault="006339F3" w:rsidP="006339F3">
      <w:pPr>
        <w:pStyle w:val="ListParagraph"/>
        <w:numPr>
          <w:ilvl w:val="0"/>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 xml:space="preserve">Impact </w:t>
      </w:r>
      <w:r w:rsidR="00B11287">
        <w:rPr>
          <w:rFonts w:ascii="Arial" w:eastAsia="Times New Roman" w:hAnsi="Arial" w:cs="Arial"/>
          <w:bCs/>
          <w:kern w:val="32"/>
          <w:lang w:val="en-US"/>
        </w:rPr>
        <w:t>of schooling on wages (based on Mincer regression on most recent Survey of Living Conditions for 2012 and previous literature</w:t>
      </w:r>
      <w:r>
        <w:rPr>
          <w:rFonts w:ascii="Arial" w:eastAsia="Times New Roman" w:hAnsi="Arial" w:cs="Arial"/>
          <w:bCs/>
          <w:kern w:val="32"/>
          <w:lang w:val="en-US"/>
        </w:rPr>
        <w:t>)</w:t>
      </w:r>
    </w:p>
    <w:p w:rsidR="006339F3" w:rsidRDefault="0001428E" w:rsidP="006339F3">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Low 6</w:t>
      </w:r>
      <w:r w:rsidR="006339F3">
        <w:rPr>
          <w:rFonts w:ascii="Arial" w:eastAsia="Times New Roman" w:hAnsi="Arial" w:cs="Arial"/>
          <w:bCs/>
          <w:kern w:val="32"/>
          <w:lang w:val="en-US"/>
        </w:rPr>
        <w:t>%</w:t>
      </w:r>
    </w:p>
    <w:p w:rsidR="006339F3" w:rsidRDefault="00FF74AE" w:rsidP="006339F3">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Medium 8</w:t>
      </w:r>
      <w:r w:rsidR="006339F3">
        <w:rPr>
          <w:rFonts w:ascii="Arial" w:eastAsia="Times New Roman" w:hAnsi="Arial" w:cs="Arial"/>
          <w:bCs/>
          <w:kern w:val="32"/>
          <w:lang w:val="en-US"/>
        </w:rPr>
        <w:t>%</w:t>
      </w:r>
    </w:p>
    <w:p w:rsidR="006339F3" w:rsidRDefault="0001428E" w:rsidP="006339F3">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High 10</w:t>
      </w:r>
      <w:r w:rsidR="006339F3">
        <w:rPr>
          <w:rFonts w:ascii="Arial" w:eastAsia="Times New Roman" w:hAnsi="Arial" w:cs="Arial"/>
          <w:bCs/>
          <w:kern w:val="32"/>
          <w:lang w:val="en-US"/>
        </w:rPr>
        <w:t>%</w:t>
      </w:r>
    </w:p>
    <w:p w:rsidR="008E1E4F" w:rsidRDefault="008E1E4F" w:rsidP="008E1E4F">
      <w:pPr>
        <w:pStyle w:val="ListParagraph"/>
        <w:autoSpaceDE w:val="0"/>
        <w:autoSpaceDN w:val="0"/>
        <w:adjustRightInd w:val="0"/>
        <w:jc w:val="both"/>
        <w:rPr>
          <w:rFonts w:ascii="Arial" w:eastAsia="Times New Roman" w:hAnsi="Arial" w:cs="Arial"/>
          <w:bCs/>
          <w:kern w:val="32"/>
          <w:lang w:val="en-US"/>
        </w:rPr>
      </w:pPr>
    </w:p>
    <w:p w:rsidR="006339F3" w:rsidRDefault="006339F3" w:rsidP="006339F3">
      <w:pPr>
        <w:pStyle w:val="ListParagraph"/>
        <w:numPr>
          <w:ilvl w:val="0"/>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Discount rate</w:t>
      </w:r>
      <w:r w:rsidR="008E1E4F">
        <w:rPr>
          <w:rStyle w:val="FootnoteReference"/>
          <w:rFonts w:ascii="Arial" w:eastAsia="Times New Roman" w:hAnsi="Arial" w:cs="Arial"/>
          <w:bCs/>
          <w:kern w:val="32"/>
          <w:lang w:val="en-US"/>
        </w:rPr>
        <w:footnoteReference w:id="2"/>
      </w:r>
    </w:p>
    <w:p w:rsidR="006339F3" w:rsidRDefault="00FF74AE" w:rsidP="006339F3">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Low 4</w:t>
      </w:r>
      <w:r w:rsidR="006339F3">
        <w:rPr>
          <w:rFonts w:ascii="Arial" w:eastAsia="Times New Roman" w:hAnsi="Arial" w:cs="Arial"/>
          <w:bCs/>
          <w:kern w:val="32"/>
          <w:lang w:val="en-US"/>
        </w:rPr>
        <w:t>%</w:t>
      </w:r>
    </w:p>
    <w:p w:rsidR="006339F3" w:rsidRDefault="00FF74AE" w:rsidP="006339F3">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Medium 8</w:t>
      </w:r>
      <w:r w:rsidR="006339F3">
        <w:rPr>
          <w:rFonts w:ascii="Arial" w:eastAsia="Times New Roman" w:hAnsi="Arial" w:cs="Arial"/>
          <w:bCs/>
          <w:kern w:val="32"/>
          <w:lang w:val="en-US"/>
        </w:rPr>
        <w:t>%</w:t>
      </w:r>
    </w:p>
    <w:p w:rsidR="006339F3" w:rsidRDefault="00FF74AE" w:rsidP="006339F3">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High 12</w:t>
      </w:r>
      <w:r w:rsidR="006339F3">
        <w:rPr>
          <w:rFonts w:ascii="Arial" w:eastAsia="Times New Roman" w:hAnsi="Arial" w:cs="Arial"/>
          <w:bCs/>
          <w:kern w:val="32"/>
          <w:lang w:val="en-US"/>
        </w:rPr>
        <w:t>%</w:t>
      </w:r>
    </w:p>
    <w:p w:rsidR="008E1E4F" w:rsidRDefault="008E1E4F" w:rsidP="008E1E4F">
      <w:pPr>
        <w:pStyle w:val="ListParagraph"/>
        <w:autoSpaceDE w:val="0"/>
        <w:autoSpaceDN w:val="0"/>
        <w:adjustRightInd w:val="0"/>
        <w:jc w:val="both"/>
        <w:rPr>
          <w:rFonts w:ascii="Arial" w:eastAsia="Times New Roman" w:hAnsi="Arial" w:cs="Arial"/>
          <w:bCs/>
          <w:kern w:val="32"/>
          <w:lang w:val="en-US"/>
        </w:rPr>
      </w:pPr>
    </w:p>
    <w:p w:rsidR="008E1E4F" w:rsidRDefault="008E1E4F" w:rsidP="008E1E4F">
      <w:pPr>
        <w:pStyle w:val="ListParagraph"/>
        <w:numPr>
          <w:ilvl w:val="0"/>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Employment rate: 63.18%</w:t>
      </w:r>
    </w:p>
    <w:p w:rsidR="008E1E4F" w:rsidRDefault="008E1E4F" w:rsidP="008E1E4F">
      <w:pPr>
        <w:pStyle w:val="ListParagraph"/>
        <w:autoSpaceDE w:val="0"/>
        <w:autoSpaceDN w:val="0"/>
        <w:adjustRightInd w:val="0"/>
        <w:jc w:val="both"/>
        <w:rPr>
          <w:rFonts w:ascii="Arial" w:eastAsia="Times New Roman" w:hAnsi="Arial" w:cs="Arial"/>
          <w:bCs/>
          <w:kern w:val="32"/>
          <w:lang w:val="en-US"/>
        </w:rPr>
      </w:pPr>
    </w:p>
    <w:p w:rsidR="008E1E4F" w:rsidRDefault="001D0964" w:rsidP="008E1E4F">
      <w:pPr>
        <w:pStyle w:val="ListParagraph"/>
        <w:numPr>
          <w:ilvl w:val="0"/>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Base wages (wages on which incremental benefits are computed):</w:t>
      </w:r>
    </w:p>
    <w:p w:rsidR="001D0964" w:rsidRPr="001D0964" w:rsidRDefault="001D0964" w:rsidP="001D0964">
      <w:pPr>
        <w:pStyle w:val="ListParagraph"/>
        <w:rPr>
          <w:rFonts w:ascii="Arial" w:eastAsia="Times New Roman" w:hAnsi="Arial" w:cs="Arial"/>
          <w:bCs/>
          <w:kern w:val="32"/>
          <w:lang w:val="en-US"/>
        </w:rPr>
      </w:pPr>
    </w:p>
    <w:p w:rsidR="001D0964" w:rsidRDefault="00FF74AE" w:rsidP="001D0964">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High</w:t>
      </w:r>
      <w:r w:rsidR="001D0964">
        <w:rPr>
          <w:rFonts w:ascii="Arial" w:eastAsia="Times New Roman" w:hAnsi="Arial" w:cs="Arial"/>
          <w:bCs/>
          <w:kern w:val="32"/>
          <w:lang w:val="en-US"/>
        </w:rPr>
        <w:t xml:space="preserve"> (minimum wage): J$5600 per week</w:t>
      </w:r>
    </w:p>
    <w:p w:rsidR="001D0964" w:rsidRDefault="00FF74AE" w:rsidP="001D0964">
      <w:pPr>
        <w:pStyle w:val="ListParagraph"/>
        <w:numPr>
          <w:ilvl w:val="1"/>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Low (75% of the minimum wage)</w:t>
      </w:r>
    </w:p>
    <w:p w:rsidR="008E1E4F" w:rsidRPr="008E1E4F" w:rsidRDefault="008E1E4F" w:rsidP="008E1E4F">
      <w:pPr>
        <w:pStyle w:val="ListParagraph"/>
        <w:rPr>
          <w:rFonts w:ascii="Arial" w:eastAsia="Times New Roman" w:hAnsi="Arial" w:cs="Arial"/>
          <w:bCs/>
          <w:kern w:val="32"/>
          <w:lang w:val="en-US"/>
        </w:rPr>
      </w:pPr>
    </w:p>
    <w:p w:rsidR="008E1E4F" w:rsidRDefault="008E1E4F" w:rsidP="008E1E4F">
      <w:pPr>
        <w:pStyle w:val="ListParagraph"/>
        <w:numPr>
          <w:ilvl w:val="0"/>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 xml:space="preserve">Administrative costs: </w:t>
      </w:r>
      <w:r w:rsidR="00091330">
        <w:rPr>
          <w:rFonts w:ascii="Arial" w:eastAsia="Times New Roman" w:hAnsi="Arial" w:cs="Arial"/>
          <w:bCs/>
          <w:kern w:val="32"/>
          <w:lang w:val="en-US"/>
        </w:rPr>
        <w:t>8</w:t>
      </w:r>
      <w:r>
        <w:rPr>
          <w:rFonts w:ascii="Arial" w:eastAsia="Times New Roman" w:hAnsi="Arial" w:cs="Arial"/>
          <w:bCs/>
          <w:kern w:val="32"/>
          <w:lang w:val="en-US"/>
        </w:rPr>
        <w:t>% of transfers</w:t>
      </w:r>
      <w:r w:rsidR="0079533B">
        <w:rPr>
          <w:rFonts w:ascii="Arial" w:eastAsia="Times New Roman" w:hAnsi="Arial" w:cs="Arial"/>
          <w:bCs/>
          <w:kern w:val="32"/>
          <w:lang w:val="en-US"/>
        </w:rPr>
        <w:t xml:space="preserve"> (</w:t>
      </w:r>
      <w:r w:rsidR="00091330">
        <w:rPr>
          <w:rFonts w:ascii="Arial" w:eastAsia="Times New Roman" w:hAnsi="Arial" w:cs="Arial"/>
          <w:bCs/>
          <w:kern w:val="32"/>
          <w:lang w:val="en-US"/>
        </w:rPr>
        <w:t>representative value</w:t>
      </w:r>
      <w:r w:rsidR="0079533B">
        <w:rPr>
          <w:rFonts w:ascii="Arial" w:eastAsia="Times New Roman" w:hAnsi="Arial" w:cs="Arial"/>
          <w:bCs/>
          <w:kern w:val="32"/>
          <w:lang w:val="en-US"/>
        </w:rPr>
        <w:t xml:space="preserve"> in the last three years), which</w:t>
      </w:r>
      <w:r w:rsidR="0079533B" w:rsidRPr="007A0F6F">
        <w:rPr>
          <w:rFonts w:ascii="Arial" w:hAnsi="Arial" w:cs="Arial"/>
          <w:lang w:val="en-US"/>
        </w:rPr>
        <w:t xml:space="preserve"> is in line with costs of other similar CCT programs in the region. In their study, Grosh et al. (2008) gather administrative costs for ten CCT programs, showing a range from 4 percent to 12 percent of total program costs, with a median administrative cost for CCT programs of 8 percent.</w:t>
      </w:r>
    </w:p>
    <w:p w:rsidR="008E1E4F" w:rsidRDefault="008E1E4F" w:rsidP="008E1E4F">
      <w:pPr>
        <w:pStyle w:val="ListParagraph"/>
        <w:autoSpaceDE w:val="0"/>
        <w:autoSpaceDN w:val="0"/>
        <w:adjustRightInd w:val="0"/>
        <w:jc w:val="both"/>
        <w:rPr>
          <w:rFonts w:ascii="Arial" w:eastAsia="Times New Roman" w:hAnsi="Arial" w:cs="Arial"/>
          <w:bCs/>
          <w:kern w:val="32"/>
          <w:lang w:val="en-US"/>
        </w:rPr>
      </w:pPr>
    </w:p>
    <w:p w:rsidR="008E1E4F" w:rsidRPr="008E1E4F" w:rsidRDefault="008E1E4F" w:rsidP="008E1E4F">
      <w:pPr>
        <w:pStyle w:val="ListParagraph"/>
        <w:numPr>
          <w:ilvl w:val="0"/>
          <w:numId w:val="33"/>
        </w:numPr>
        <w:autoSpaceDE w:val="0"/>
        <w:autoSpaceDN w:val="0"/>
        <w:adjustRightInd w:val="0"/>
        <w:jc w:val="both"/>
        <w:rPr>
          <w:rFonts w:ascii="Arial" w:eastAsia="Times New Roman" w:hAnsi="Arial" w:cs="Arial"/>
          <w:bCs/>
          <w:kern w:val="32"/>
          <w:lang w:val="en-US"/>
        </w:rPr>
      </w:pPr>
      <w:r>
        <w:rPr>
          <w:rFonts w:ascii="Arial" w:eastAsia="Times New Roman" w:hAnsi="Arial" w:cs="Arial"/>
          <w:bCs/>
          <w:kern w:val="32"/>
          <w:lang w:val="en-US"/>
        </w:rPr>
        <w:t xml:space="preserve">Other associated costs: </w:t>
      </w:r>
      <w:r w:rsidR="00091330">
        <w:rPr>
          <w:rFonts w:ascii="Arial" w:eastAsia="Times New Roman" w:hAnsi="Arial" w:cs="Arial"/>
          <w:bCs/>
          <w:kern w:val="32"/>
          <w:lang w:val="en-US"/>
        </w:rPr>
        <w:t>12</w:t>
      </w:r>
      <w:r>
        <w:rPr>
          <w:rFonts w:ascii="Arial" w:eastAsia="Times New Roman" w:hAnsi="Arial" w:cs="Arial"/>
          <w:bCs/>
          <w:kern w:val="32"/>
          <w:lang w:val="en-US"/>
        </w:rPr>
        <w:t>% of transfers</w:t>
      </w:r>
      <w:r w:rsidR="00873D2A">
        <w:rPr>
          <w:rFonts w:ascii="Arial" w:eastAsia="Times New Roman" w:hAnsi="Arial" w:cs="Arial"/>
          <w:bCs/>
          <w:kern w:val="32"/>
          <w:lang w:val="en-US"/>
        </w:rPr>
        <w:t>, which include opportunity costs to participants</w:t>
      </w:r>
      <w:r w:rsidR="00E8333A">
        <w:rPr>
          <w:rStyle w:val="FootnoteReference"/>
          <w:rFonts w:ascii="Arial" w:eastAsia="Times New Roman" w:hAnsi="Arial" w:cs="Arial"/>
          <w:bCs/>
          <w:kern w:val="32"/>
          <w:lang w:val="en-US"/>
        </w:rPr>
        <w:footnoteReference w:id="3"/>
      </w:r>
    </w:p>
    <w:p w:rsidR="000B5756" w:rsidRDefault="000B5756" w:rsidP="000B5756">
      <w:pPr>
        <w:autoSpaceDE w:val="0"/>
        <w:autoSpaceDN w:val="0"/>
        <w:adjustRightInd w:val="0"/>
        <w:jc w:val="both"/>
        <w:rPr>
          <w:rFonts w:ascii="Arial" w:eastAsia="Times New Roman" w:hAnsi="Arial" w:cs="Arial"/>
          <w:bCs/>
          <w:kern w:val="32"/>
          <w:lang w:val="en-US"/>
        </w:rPr>
      </w:pPr>
    </w:p>
    <w:p w:rsidR="000B5756" w:rsidRPr="000B5756" w:rsidRDefault="000B5756" w:rsidP="0079533B">
      <w:pPr>
        <w:autoSpaceDE w:val="0"/>
        <w:autoSpaceDN w:val="0"/>
        <w:adjustRightInd w:val="0"/>
        <w:ind w:firstLine="360"/>
        <w:jc w:val="both"/>
        <w:rPr>
          <w:rFonts w:ascii="Arial" w:eastAsia="Times New Roman" w:hAnsi="Arial" w:cs="Arial"/>
          <w:bCs/>
          <w:kern w:val="32"/>
          <w:lang w:val="en-US"/>
        </w:rPr>
      </w:pPr>
      <w:r>
        <w:rPr>
          <w:rFonts w:ascii="Arial" w:eastAsia="Times New Roman" w:hAnsi="Arial" w:cs="Arial"/>
          <w:bCs/>
          <w:kern w:val="32"/>
          <w:lang w:val="en-US"/>
        </w:rPr>
        <w:t>The analysis starts from assuming, based on existing evidence, that receiving PATH during one y</w:t>
      </w:r>
      <w:r w:rsidR="00873D2A">
        <w:rPr>
          <w:rFonts w:ascii="Arial" w:eastAsia="Times New Roman" w:hAnsi="Arial" w:cs="Arial"/>
          <w:bCs/>
          <w:kern w:val="32"/>
          <w:lang w:val="en-US"/>
        </w:rPr>
        <w:t>ear will increase schooling in 6</w:t>
      </w:r>
      <w:r>
        <w:rPr>
          <w:rFonts w:ascii="Arial" w:eastAsia="Times New Roman" w:hAnsi="Arial" w:cs="Arial"/>
          <w:bCs/>
          <w:kern w:val="32"/>
          <w:lang w:val="en-US"/>
        </w:rPr>
        <w:t>%. This increase will result in higher wages when the individual joins the labor market (if she received PATH at age 10, then in eight years when she joins th</w:t>
      </w:r>
      <w:r w:rsidR="00873D2A">
        <w:rPr>
          <w:rFonts w:ascii="Arial" w:eastAsia="Times New Roman" w:hAnsi="Arial" w:cs="Arial"/>
          <w:bCs/>
          <w:kern w:val="32"/>
          <w:lang w:val="en-US"/>
        </w:rPr>
        <w:t>e labor market she will have .06</w:t>
      </w:r>
      <w:r>
        <w:rPr>
          <w:rFonts w:ascii="Arial" w:eastAsia="Times New Roman" w:hAnsi="Arial" w:cs="Arial"/>
          <w:bCs/>
          <w:kern w:val="32"/>
          <w:lang w:val="en-US"/>
        </w:rPr>
        <w:t xml:space="preserve"> more years of sc</w:t>
      </w:r>
      <w:r w:rsidR="00873D2A">
        <w:rPr>
          <w:rFonts w:ascii="Arial" w:eastAsia="Times New Roman" w:hAnsi="Arial" w:cs="Arial"/>
          <w:bCs/>
          <w:kern w:val="32"/>
          <w:lang w:val="en-US"/>
        </w:rPr>
        <w:t>hooling, which will earn her .06*.</w:t>
      </w:r>
      <w:r>
        <w:rPr>
          <w:rFonts w:ascii="Arial" w:eastAsia="Times New Roman" w:hAnsi="Arial" w:cs="Arial"/>
          <w:bCs/>
          <w:kern w:val="32"/>
          <w:lang w:val="en-US"/>
        </w:rPr>
        <w:t>0</w:t>
      </w:r>
      <w:r w:rsidR="0001428E">
        <w:rPr>
          <w:rFonts w:ascii="Arial" w:eastAsia="Times New Roman" w:hAnsi="Arial" w:cs="Arial"/>
          <w:bCs/>
          <w:kern w:val="32"/>
          <w:lang w:val="en-US"/>
        </w:rPr>
        <w:t>6</w:t>
      </w:r>
      <w:r>
        <w:rPr>
          <w:rFonts w:ascii="Arial" w:eastAsia="Times New Roman" w:hAnsi="Arial" w:cs="Arial"/>
          <w:bCs/>
          <w:kern w:val="32"/>
          <w:lang w:val="en-US"/>
        </w:rPr>
        <w:t xml:space="preserve"> higher wages, in the case of </w:t>
      </w:r>
      <w:r w:rsidR="00873D2A">
        <w:rPr>
          <w:rFonts w:ascii="Arial" w:eastAsia="Times New Roman" w:hAnsi="Arial" w:cs="Arial"/>
          <w:bCs/>
          <w:kern w:val="32"/>
          <w:lang w:val="en-US"/>
        </w:rPr>
        <w:t xml:space="preserve">a wage equivalent to ¾ of </w:t>
      </w:r>
      <w:r>
        <w:rPr>
          <w:rFonts w:ascii="Arial" w:eastAsia="Times New Roman" w:hAnsi="Arial" w:cs="Arial"/>
          <w:bCs/>
          <w:kern w:val="32"/>
          <w:lang w:val="en-US"/>
        </w:rPr>
        <w:t>th</w:t>
      </w:r>
      <w:r w:rsidR="00873D2A">
        <w:rPr>
          <w:rFonts w:ascii="Arial" w:eastAsia="Times New Roman" w:hAnsi="Arial" w:cs="Arial"/>
          <w:bCs/>
          <w:kern w:val="32"/>
          <w:lang w:val="en-US"/>
        </w:rPr>
        <w:t>e mi</w:t>
      </w:r>
      <w:r w:rsidR="0001428E">
        <w:rPr>
          <w:rFonts w:ascii="Arial" w:eastAsia="Times New Roman" w:hAnsi="Arial" w:cs="Arial"/>
          <w:bCs/>
          <w:kern w:val="32"/>
          <w:lang w:val="en-US"/>
        </w:rPr>
        <w:t>nimum wage that would be .06*.06</w:t>
      </w:r>
      <w:r>
        <w:rPr>
          <w:rFonts w:ascii="Arial" w:eastAsia="Times New Roman" w:hAnsi="Arial" w:cs="Arial"/>
          <w:bCs/>
          <w:kern w:val="32"/>
          <w:lang w:val="en-US"/>
        </w:rPr>
        <w:t>*</w:t>
      </w:r>
      <w:r w:rsidR="00873D2A">
        <w:rPr>
          <w:rFonts w:ascii="Arial" w:eastAsia="Times New Roman" w:hAnsi="Arial" w:cs="Arial"/>
          <w:bCs/>
          <w:kern w:val="32"/>
          <w:lang w:val="en-US"/>
        </w:rPr>
        <w:t>0.75*</w:t>
      </w:r>
      <w:r>
        <w:rPr>
          <w:rFonts w:ascii="Arial" w:eastAsia="Times New Roman" w:hAnsi="Arial" w:cs="Arial"/>
          <w:bCs/>
          <w:kern w:val="32"/>
          <w:lang w:val="en-US"/>
        </w:rPr>
        <w:t>US$5600 per week</w:t>
      </w:r>
      <w:r w:rsidR="00B11287">
        <w:rPr>
          <w:rFonts w:ascii="Arial" w:eastAsia="Times New Roman" w:hAnsi="Arial" w:cs="Arial"/>
          <w:bCs/>
          <w:kern w:val="32"/>
          <w:lang w:val="en-US"/>
        </w:rPr>
        <w:t>*52 weeks per year * 0.6318 which is the employment rate</w:t>
      </w:r>
      <w:r>
        <w:rPr>
          <w:rFonts w:ascii="Arial" w:eastAsia="Times New Roman" w:hAnsi="Arial" w:cs="Arial"/>
          <w:bCs/>
          <w:kern w:val="32"/>
          <w:lang w:val="en-US"/>
        </w:rPr>
        <w:t>)</w:t>
      </w:r>
      <w:r w:rsidR="00B11287">
        <w:rPr>
          <w:rFonts w:ascii="Arial" w:eastAsia="Times New Roman" w:hAnsi="Arial" w:cs="Arial"/>
          <w:bCs/>
          <w:kern w:val="32"/>
          <w:lang w:val="en-US"/>
        </w:rPr>
        <w:t>.</w:t>
      </w:r>
    </w:p>
    <w:p w:rsidR="000B5756" w:rsidRDefault="000B5756" w:rsidP="000C4EAB">
      <w:pPr>
        <w:pStyle w:val="ListParagraph"/>
        <w:autoSpaceDE w:val="0"/>
        <w:autoSpaceDN w:val="0"/>
        <w:adjustRightInd w:val="0"/>
        <w:ind w:left="0" w:firstLine="360"/>
        <w:jc w:val="both"/>
        <w:rPr>
          <w:rFonts w:ascii="Arial" w:eastAsia="Times New Roman" w:hAnsi="Arial" w:cs="Arial"/>
          <w:bCs/>
          <w:kern w:val="32"/>
          <w:lang w:val="en-US"/>
        </w:rPr>
      </w:pPr>
    </w:p>
    <w:p w:rsidR="00A72F62" w:rsidRPr="007A0F6F" w:rsidRDefault="00A72F62" w:rsidP="000C4EAB">
      <w:pPr>
        <w:pStyle w:val="ListParagraph"/>
        <w:autoSpaceDE w:val="0"/>
        <w:autoSpaceDN w:val="0"/>
        <w:adjustRightInd w:val="0"/>
        <w:ind w:left="0" w:firstLine="360"/>
        <w:jc w:val="both"/>
        <w:rPr>
          <w:rFonts w:ascii="Arial" w:eastAsia="Times New Roman" w:hAnsi="Arial" w:cs="Arial"/>
          <w:bCs/>
          <w:kern w:val="32"/>
          <w:lang w:val="en-US"/>
        </w:rPr>
      </w:pPr>
      <w:r w:rsidRPr="007A0F6F">
        <w:rPr>
          <w:rFonts w:ascii="Arial" w:eastAsia="Times New Roman" w:hAnsi="Arial" w:cs="Arial"/>
          <w:bCs/>
          <w:kern w:val="32"/>
          <w:lang w:val="en-US"/>
        </w:rPr>
        <w:t xml:space="preserve">The definition of an analytic time horizon to perform the CBA will entail choosing a period long enough to include the implementation of the project and to capture as much possible future costs and benefits associated with the interventions under analysis. We choose a time horizon of </w:t>
      </w:r>
      <w:r w:rsidR="00B11287">
        <w:rPr>
          <w:rFonts w:ascii="Arial" w:eastAsia="Times New Roman" w:hAnsi="Arial" w:cs="Arial"/>
          <w:bCs/>
          <w:kern w:val="32"/>
          <w:lang w:val="en-US"/>
        </w:rPr>
        <w:t>65</w:t>
      </w:r>
      <w:r w:rsidRPr="007A0F6F">
        <w:rPr>
          <w:rFonts w:ascii="Arial" w:eastAsia="Times New Roman" w:hAnsi="Arial" w:cs="Arial"/>
          <w:bCs/>
          <w:kern w:val="32"/>
          <w:lang w:val="en-US"/>
        </w:rPr>
        <w:t xml:space="preserve"> years, in order to capture costs and benefits over their whole working life of the beneficiaries.</w:t>
      </w:r>
      <w:r w:rsidR="00B11287">
        <w:rPr>
          <w:rFonts w:ascii="Arial" w:eastAsia="Times New Roman" w:hAnsi="Arial" w:cs="Arial"/>
          <w:bCs/>
          <w:kern w:val="32"/>
          <w:lang w:val="en-US"/>
        </w:rPr>
        <w:t xml:space="preserve"> In the case of the youngest beneficiaries which are 6 year sold they will join the labor market in 12 years and work for 53 years.</w:t>
      </w:r>
      <w:r w:rsidRPr="007A0F6F">
        <w:rPr>
          <w:rFonts w:ascii="Arial" w:eastAsia="Times New Roman" w:hAnsi="Arial" w:cs="Arial"/>
          <w:bCs/>
          <w:kern w:val="32"/>
          <w:lang w:val="en-US"/>
        </w:rPr>
        <w:t xml:space="preserve"> </w:t>
      </w:r>
      <w:r w:rsidR="00B11287">
        <w:rPr>
          <w:rFonts w:ascii="Arial" w:eastAsia="Times New Roman" w:hAnsi="Arial" w:cs="Arial"/>
          <w:bCs/>
          <w:kern w:val="32"/>
          <w:lang w:val="en-US"/>
        </w:rPr>
        <w:t>These benefits are discounted using different alternatives of the social discount rate.</w:t>
      </w:r>
    </w:p>
    <w:p w:rsidR="00B11287" w:rsidRDefault="00B11287" w:rsidP="000C4EAB">
      <w:pPr>
        <w:pStyle w:val="ListParagraph"/>
        <w:autoSpaceDE w:val="0"/>
        <w:autoSpaceDN w:val="0"/>
        <w:adjustRightInd w:val="0"/>
        <w:ind w:left="0" w:firstLine="360"/>
        <w:jc w:val="both"/>
        <w:rPr>
          <w:rFonts w:ascii="Arial" w:eastAsia="Times New Roman" w:hAnsi="Arial" w:cs="Arial"/>
          <w:bCs/>
          <w:kern w:val="32"/>
          <w:lang w:val="en-US"/>
        </w:rPr>
      </w:pPr>
    </w:p>
    <w:p w:rsidR="00A72F62" w:rsidRPr="007A0F6F" w:rsidRDefault="00A72F62" w:rsidP="000C4EAB">
      <w:pPr>
        <w:pStyle w:val="ListParagraph"/>
        <w:autoSpaceDE w:val="0"/>
        <w:autoSpaceDN w:val="0"/>
        <w:adjustRightInd w:val="0"/>
        <w:ind w:left="0" w:firstLine="360"/>
        <w:jc w:val="both"/>
        <w:rPr>
          <w:rFonts w:ascii="Arial" w:eastAsia="Times New Roman" w:hAnsi="Arial" w:cs="Arial"/>
          <w:bCs/>
          <w:kern w:val="32"/>
          <w:lang w:val="en-US"/>
        </w:rPr>
      </w:pPr>
      <w:r w:rsidRPr="007A0F6F">
        <w:rPr>
          <w:rFonts w:ascii="Arial" w:eastAsia="Times New Roman" w:hAnsi="Arial" w:cs="Arial"/>
          <w:bCs/>
          <w:kern w:val="32"/>
          <w:lang w:val="en-US"/>
        </w:rPr>
        <w:t xml:space="preserve">The next step will be to compare the discounted benefits (B) with the discounted costs (C), </w:t>
      </w:r>
      <w:r w:rsidR="00B11287">
        <w:rPr>
          <w:rFonts w:ascii="Arial" w:eastAsia="Times New Roman" w:hAnsi="Arial" w:cs="Arial"/>
          <w:bCs/>
          <w:kern w:val="32"/>
          <w:lang w:val="en-US"/>
        </w:rPr>
        <w:t xml:space="preserve">and given that the amount of costs and benefits depends on the scale of the program, we report the </w:t>
      </w:r>
      <w:r w:rsidRPr="007A0F6F">
        <w:rPr>
          <w:rFonts w:ascii="Arial" w:eastAsia="Times New Roman" w:hAnsi="Arial" w:cs="Arial"/>
          <w:bCs/>
          <w:kern w:val="32"/>
          <w:lang w:val="en-US"/>
        </w:rPr>
        <w:t>benefit-cost ra</w:t>
      </w:r>
      <w:r w:rsidR="00B11287">
        <w:rPr>
          <w:rFonts w:ascii="Arial" w:eastAsia="Times New Roman" w:hAnsi="Arial" w:cs="Arial"/>
          <w:bCs/>
          <w:kern w:val="32"/>
          <w:lang w:val="en-US"/>
        </w:rPr>
        <w:t>tio (BCR), from dividing the</w:t>
      </w:r>
      <w:r w:rsidRPr="007A0F6F">
        <w:rPr>
          <w:rFonts w:ascii="Arial" w:eastAsia="Times New Roman" w:hAnsi="Arial" w:cs="Arial"/>
          <w:bCs/>
          <w:kern w:val="32"/>
          <w:lang w:val="en-US"/>
        </w:rPr>
        <w:t xml:space="preserve"> present value of benefits and the present value of costs</w:t>
      </w:r>
      <w:r w:rsidR="00B11287">
        <w:rPr>
          <w:rFonts w:ascii="Arial" w:eastAsia="Times New Roman" w:hAnsi="Arial" w:cs="Arial"/>
          <w:bCs/>
          <w:kern w:val="32"/>
          <w:lang w:val="en-US"/>
        </w:rPr>
        <w:t xml:space="preserve"> (which are defined as the costs of implementing the PATH transfers in a given year)</w:t>
      </w:r>
      <w:r w:rsidRPr="007A0F6F">
        <w:rPr>
          <w:rFonts w:ascii="Arial" w:eastAsia="Times New Roman" w:hAnsi="Arial" w:cs="Arial"/>
          <w:bCs/>
          <w:kern w:val="32"/>
          <w:lang w:val="en-US"/>
        </w:rPr>
        <w:t xml:space="preserve">: </w:t>
      </w:r>
    </w:p>
    <w:p w:rsidR="00A72F62" w:rsidRPr="007A0F6F" w:rsidRDefault="00A72F62" w:rsidP="000C4EAB">
      <w:pPr>
        <w:pStyle w:val="ListParagraph"/>
        <w:autoSpaceDE w:val="0"/>
        <w:autoSpaceDN w:val="0"/>
        <w:adjustRightInd w:val="0"/>
        <w:ind w:left="3600" w:firstLine="720"/>
        <w:jc w:val="both"/>
        <w:rPr>
          <w:rFonts w:ascii="Arial" w:eastAsia="Times New Roman" w:hAnsi="Arial" w:cs="Arial"/>
          <w:b/>
          <w:bCs/>
          <w:kern w:val="32"/>
          <w:lang w:val="en-US"/>
        </w:rPr>
      </w:pPr>
    </w:p>
    <w:p w:rsidR="00A72F62" w:rsidRPr="007A0F6F" w:rsidRDefault="00A72F62" w:rsidP="000C4EAB">
      <w:pPr>
        <w:pStyle w:val="Heading1"/>
        <w:keepLines w:val="0"/>
        <w:numPr>
          <w:ilvl w:val="0"/>
          <w:numId w:val="32"/>
        </w:numPr>
        <w:spacing w:before="240" w:after="60" w:line="276" w:lineRule="auto"/>
        <w:jc w:val="both"/>
        <w:rPr>
          <w:rFonts w:ascii="Arial" w:hAnsi="Arial" w:cs="Arial"/>
          <w:sz w:val="22"/>
          <w:szCs w:val="22"/>
          <w:lang w:val="en-US"/>
        </w:rPr>
      </w:pPr>
      <w:bookmarkStart w:id="7" w:name="_Toc422776326"/>
      <w:r w:rsidRPr="007A0F6F">
        <w:rPr>
          <w:rFonts w:ascii="Arial" w:hAnsi="Arial" w:cs="Arial"/>
          <w:sz w:val="22"/>
          <w:szCs w:val="22"/>
          <w:lang w:val="en-US"/>
        </w:rPr>
        <w:t>Results of the Cost-benefit Analysis</w:t>
      </w:r>
      <w:bookmarkEnd w:id="7"/>
    </w:p>
    <w:p w:rsidR="00A72F62" w:rsidRPr="007A0F6F" w:rsidRDefault="00A72F62" w:rsidP="000C4EAB">
      <w:pPr>
        <w:jc w:val="both"/>
        <w:rPr>
          <w:rFonts w:ascii="Arial" w:hAnsi="Arial" w:cs="Arial"/>
          <w:lang w:val="en-US" w:eastAsia="x-none"/>
        </w:rPr>
      </w:pPr>
    </w:p>
    <w:p w:rsidR="00873D2A" w:rsidRDefault="001E21EB" w:rsidP="0079533B">
      <w:pPr>
        <w:autoSpaceDE w:val="0"/>
        <w:autoSpaceDN w:val="0"/>
        <w:adjustRightInd w:val="0"/>
        <w:jc w:val="both"/>
        <w:rPr>
          <w:rFonts w:ascii="Arial" w:hAnsi="Arial" w:cs="Arial"/>
          <w:lang w:val="en-US"/>
        </w:rPr>
      </w:pPr>
      <w:r>
        <w:rPr>
          <w:rFonts w:ascii="Arial" w:hAnsi="Arial" w:cs="Arial"/>
          <w:lang w:val="en-US"/>
        </w:rPr>
        <w:t xml:space="preserve">The </w:t>
      </w:r>
      <w:r w:rsidR="0045164C">
        <w:rPr>
          <w:rFonts w:ascii="Arial" w:hAnsi="Arial" w:cs="Arial"/>
          <w:lang w:val="en-US"/>
        </w:rPr>
        <w:t>table</w:t>
      </w:r>
      <w:r>
        <w:rPr>
          <w:rFonts w:ascii="Arial" w:hAnsi="Arial" w:cs="Arial"/>
          <w:lang w:val="en-US"/>
        </w:rPr>
        <w:t xml:space="preserve"> below</w:t>
      </w:r>
      <w:r w:rsidR="0045164C">
        <w:rPr>
          <w:rFonts w:ascii="Arial" w:hAnsi="Arial" w:cs="Arial"/>
          <w:lang w:val="en-US"/>
        </w:rPr>
        <w:t xml:space="preserve"> shows the parameters presented above:</w:t>
      </w:r>
    </w:p>
    <w:p w:rsidR="00033C7D" w:rsidRDefault="00033C7D" w:rsidP="0079533B">
      <w:pPr>
        <w:autoSpaceDE w:val="0"/>
        <w:autoSpaceDN w:val="0"/>
        <w:adjustRightInd w:val="0"/>
        <w:jc w:val="both"/>
        <w:rPr>
          <w:rFonts w:ascii="Arial" w:hAnsi="Arial" w:cs="Arial"/>
          <w:lang w:val="en-US"/>
        </w:rPr>
      </w:pPr>
    </w:p>
    <w:tbl>
      <w:tblPr>
        <w:tblW w:w="5120" w:type="dxa"/>
        <w:jc w:val="center"/>
        <w:tblInd w:w="93" w:type="dxa"/>
        <w:tblLook w:val="04A0" w:firstRow="1" w:lastRow="0" w:firstColumn="1" w:lastColumn="0" w:noHBand="0" w:noVBand="1"/>
      </w:tblPr>
      <w:tblGrid>
        <w:gridCol w:w="1500"/>
        <w:gridCol w:w="2000"/>
        <w:gridCol w:w="1620"/>
      </w:tblGrid>
      <w:tr w:rsidR="00033C7D" w:rsidRPr="00626389" w:rsidTr="00091330">
        <w:trPr>
          <w:trHeight w:val="315"/>
          <w:jc w:val="center"/>
        </w:trPr>
        <w:tc>
          <w:tcPr>
            <w:tcW w:w="150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Wage</w:t>
            </w:r>
          </w:p>
        </w:tc>
        <w:tc>
          <w:tcPr>
            <w:tcW w:w="2000" w:type="dxa"/>
            <w:tcBorders>
              <w:top w:val="single" w:sz="8" w:space="0" w:color="auto"/>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Low (75% min wage)</w:t>
            </w:r>
          </w:p>
        </w:tc>
        <w:tc>
          <w:tcPr>
            <w:tcW w:w="1620" w:type="dxa"/>
            <w:tcBorders>
              <w:top w:val="single" w:sz="8" w:space="0" w:color="auto"/>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218400</w:t>
            </w:r>
          </w:p>
        </w:tc>
      </w:tr>
      <w:tr w:rsidR="00033C7D" w:rsidRPr="00626389" w:rsidTr="00091330">
        <w:trPr>
          <w:trHeight w:val="315"/>
          <w:jc w:val="center"/>
        </w:trPr>
        <w:tc>
          <w:tcPr>
            <w:tcW w:w="1500" w:type="dxa"/>
            <w:vMerge/>
            <w:tcBorders>
              <w:top w:val="single" w:sz="8" w:space="0" w:color="auto"/>
              <w:left w:val="single" w:sz="8" w:space="0" w:color="auto"/>
              <w:bottom w:val="single" w:sz="4" w:space="0" w:color="auto"/>
              <w:right w:val="single" w:sz="4" w:space="0" w:color="auto"/>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2000" w:type="dxa"/>
            <w:tcBorders>
              <w:top w:val="nil"/>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High (min wage)</w:t>
            </w:r>
          </w:p>
        </w:tc>
        <w:tc>
          <w:tcPr>
            <w:tcW w:w="16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291200</w:t>
            </w:r>
          </w:p>
        </w:tc>
      </w:tr>
      <w:tr w:rsidR="00033C7D" w:rsidRPr="00626389" w:rsidTr="009E101A">
        <w:trPr>
          <w:trHeight w:val="233"/>
          <w:jc w:val="center"/>
        </w:trPr>
        <w:tc>
          <w:tcPr>
            <w:tcW w:w="1500" w:type="dxa"/>
            <w:vMerge w:val="restart"/>
            <w:tcBorders>
              <w:top w:val="nil"/>
              <w:left w:val="single" w:sz="8" w:space="0" w:color="auto"/>
              <w:bottom w:val="single" w:sz="4" w:space="0" w:color="auto"/>
              <w:right w:val="single" w:sz="4" w:space="0" w:color="auto"/>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Impact of PATH on Schooling</w:t>
            </w:r>
          </w:p>
        </w:tc>
        <w:tc>
          <w:tcPr>
            <w:tcW w:w="2000" w:type="dxa"/>
            <w:tcBorders>
              <w:top w:val="nil"/>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Low</w:t>
            </w:r>
          </w:p>
        </w:tc>
        <w:tc>
          <w:tcPr>
            <w:tcW w:w="16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4</w:t>
            </w:r>
            <w:r w:rsidR="0045164C" w:rsidRPr="00626389">
              <w:rPr>
                <w:rFonts w:ascii="Calibri" w:eastAsia="Times New Roman" w:hAnsi="Calibri" w:cs="Times New Roman"/>
                <w:color w:val="000000"/>
                <w:sz w:val="20"/>
                <w:szCs w:val="20"/>
                <w:lang w:val="en-US" w:eastAsia="en-US"/>
              </w:rPr>
              <w:t>%</w:t>
            </w:r>
          </w:p>
        </w:tc>
      </w:tr>
      <w:tr w:rsidR="00033C7D" w:rsidRPr="00626389" w:rsidTr="005346C0">
        <w:trPr>
          <w:trHeight w:val="242"/>
          <w:jc w:val="center"/>
        </w:trPr>
        <w:tc>
          <w:tcPr>
            <w:tcW w:w="1500" w:type="dxa"/>
            <w:vMerge/>
            <w:tcBorders>
              <w:top w:val="nil"/>
              <w:left w:val="single" w:sz="8" w:space="0" w:color="auto"/>
              <w:bottom w:val="single" w:sz="4" w:space="0" w:color="auto"/>
              <w:right w:val="single" w:sz="4" w:space="0" w:color="auto"/>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2000" w:type="dxa"/>
            <w:tcBorders>
              <w:top w:val="nil"/>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Moderate</w:t>
            </w:r>
          </w:p>
        </w:tc>
        <w:tc>
          <w:tcPr>
            <w:tcW w:w="16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6</w:t>
            </w:r>
            <w:r w:rsidR="0045164C" w:rsidRPr="00626389">
              <w:rPr>
                <w:rFonts w:ascii="Calibri" w:eastAsia="Times New Roman" w:hAnsi="Calibri" w:cs="Times New Roman"/>
                <w:color w:val="000000"/>
                <w:sz w:val="20"/>
                <w:szCs w:val="20"/>
                <w:lang w:val="en-US" w:eastAsia="en-US"/>
              </w:rPr>
              <w:t>%</w:t>
            </w:r>
          </w:p>
        </w:tc>
      </w:tr>
      <w:tr w:rsidR="00033C7D" w:rsidRPr="00626389" w:rsidTr="00091330">
        <w:trPr>
          <w:trHeight w:val="300"/>
          <w:jc w:val="center"/>
        </w:trPr>
        <w:tc>
          <w:tcPr>
            <w:tcW w:w="1500" w:type="dxa"/>
            <w:vMerge/>
            <w:tcBorders>
              <w:top w:val="nil"/>
              <w:left w:val="single" w:sz="8" w:space="0" w:color="auto"/>
              <w:bottom w:val="single" w:sz="4" w:space="0" w:color="auto"/>
              <w:right w:val="single" w:sz="4" w:space="0" w:color="auto"/>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2000" w:type="dxa"/>
            <w:tcBorders>
              <w:top w:val="nil"/>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High</w:t>
            </w:r>
          </w:p>
        </w:tc>
        <w:tc>
          <w:tcPr>
            <w:tcW w:w="16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8</w:t>
            </w:r>
            <w:r w:rsidR="0045164C" w:rsidRPr="00626389">
              <w:rPr>
                <w:rFonts w:ascii="Calibri" w:eastAsia="Times New Roman" w:hAnsi="Calibri" w:cs="Times New Roman"/>
                <w:color w:val="000000"/>
                <w:sz w:val="20"/>
                <w:szCs w:val="20"/>
                <w:lang w:val="en-US" w:eastAsia="en-US"/>
              </w:rPr>
              <w:t>%</w:t>
            </w:r>
          </w:p>
        </w:tc>
      </w:tr>
      <w:tr w:rsidR="00033C7D" w:rsidRPr="00626389" w:rsidTr="00091330">
        <w:trPr>
          <w:trHeight w:val="300"/>
          <w:jc w:val="center"/>
        </w:trPr>
        <w:tc>
          <w:tcPr>
            <w:tcW w:w="1500" w:type="dxa"/>
            <w:vMerge w:val="restart"/>
            <w:tcBorders>
              <w:top w:val="nil"/>
              <w:left w:val="single" w:sz="8" w:space="0" w:color="auto"/>
              <w:bottom w:val="single" w:sz="4" w:space="0" w:color="auto"/>
              <w:right w:val="single" w:sz="4" w:space="0" w:color="auto"/>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Impact of Schooling on Wages</w:t>
            </w:r>
          </w:p>
        </w:tc>
        <w:tc>
          <w:tcPr>
            <w:tcW w:w="2000" w:type="dxa"/>
            <w:tcBorders>
              <w:top w:val="nil"/>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Low</w:t>
            </w:r>
          </w:p>
        </w:tc>
        <w:tc>
          <w:tcPr>
            <w:tcW w:w="16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6</w:t>
            </w:r>
            <w:r w:rsidR="0045164C" w:rsidRPr="00626389">
              <w:rPr>
                <w:rFonts w:ascii="Calibri" w:eastAsia="Times New Roman" w:hAnsi="Calibri" w:cs="Times New Roman"/>
                <w:color w:val="000000"/>
                <w:sz w:val="20"/>
                <w:szCs w:val="20"/>
                <w:lang w:val="en-US" w:eastAsia="en-US"/>
              </w:rPr>
              <w:t>%</w:t>
            </w:r>
          </w:p>
        </w:tc>
      </w:tr>
      <w:tr w:rsidR="00033C7D" w:rsidRPr="00626389" w:rsidTr="005346C0">
        <w:trPr>
          <w:trHeight w:val="188"/>
          <w:jc w:val="center"/>
        </w:trPr>
        <w:tc>
          <w:tcPr>
            <w:tcW w:w="1500" w:type="dxa"/>
            <w:vMerge/>
            <w:tcBorders>
              <w:top w:val="nil"/>
              <w:left w:val="single" w:sz="8" w:space="0" w:color="auto"/>
              <w:bottom w:val="single" w:sz="4" w:space="0" w:color="auto"/>
              <w:right w:val="single" w:sz="4" w:space="0" w:color="auto"/>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2000" w:type="dxa"/>
            <w:tcBorders>
              <w:top w:val="nil"/>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Medium</w:t>
            </w:r>
          </w:p>
        </w:tc>
        <w:tc>
          <w:tcPr>
            <w:tcW w:w="16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8</w:t>
            </w:r>
            <w:r w:rsidR="0045164C" w:rsidRPr="00626389">
              <w:rPr>
                <w:rFonts w:ascii="Calibri" w:eastAsia="Times New Roman" w:hAnsi="Calibri" w:cs="Times New Roman"/>
                <w:color w:val="000000"/>
                <w:sz w:val="20"/>
                <w:szCs w:val="20"/>
                <w:lang w:val="en-US" w:eastAsia="en-US"/>
              </w:rPr>
              <w:t>%</w:t>
            </w:r>
          </w:p>
        </w:tc>
      </w:tr>
      <w:tr w:rsidR="00033C7D" w:rsidRPr="00626389" w:rsidTr="00091330">
        <w:trPr>
          <w:trHeight w:val="300"/>
          <w:jc w:val="center"/>
        </w:trPr>
        <w:tc>
          <w:tcPr>
            <w:tcW w:w="1500" w:type="dxa"/>
            <w:vMerge/>
            <w:tcBorders>
              <w:top w:val="nil"/>
              <w:left w:val="single" w:sz="8" w:space="0" w:color="auto"/>
              <w:bottom w:val="single" w:sz="4" w:space="0" w:color="auto"/>
              <w:right w:val="single" w:sz="4" w:space="0" w:color="auto"/>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2000" w:type="dxa"/>
            <w:tcBorders>
              <w:top w:val="nil"/>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High</w:t>
            </w:r>
          </w:p>
        </w:tc>
        <w:tc>
          <w:tcPr>
            <w:tcW w:w="16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1</w:t>
            </w:r>
            <w:r w:rsidR="0045164C" w:rsidRPr="00626389">
              <w:rPr>
                <w:rFonts w:ascii="Calibri" w:eastAsia="Times New Roman" w:hAnsi="Calibri" w:cs="Times New Roman"/>
                <w:color w:val="000000"/>
                <w:sz w:val="20"/>
                <w:szCs w:val="20"/>
                <w:lang w:val="en-US" w:eastAsia="en-US"/>
              </w:rPr>
              <w:t>0%</w:t>
            </w:r>
          </w:p>
        </w:tc>
      </w:tr>
      <w:tr w:rsidR="00033C7D" w:rsidRPr="00626389" w:rsidTr="00091330">
        <w:trPr>
          <w:trHeight w:val="300"/>
          <w:jc w:val="center"/>
        </w:trPr>
        <w:tc>
          <w:tcPr>
            <w:tcW w:w="1500" w:type="dxa"/>
            <w:vMerge w:val="restart"/>
            <w:tcBorders>
              <w:top w:val="nil"/>
              <w:left w:val="single" w:sz="8" w:space="0" w:color="auto"/>
              <w:bottom w:val="single" w:sz="8" w:space="0" w:color="000000"/>
              <w:right w:val="single" w:sz="4" w:space="0" w:color="auto"/>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Discount Rate</w:t>
            </w:r>
          </w:p>
        </w:tc>
        <w:tc>
          <w:tcPr>
            <w:tcW w:w="2000" w:type="dxa"/>
            <w:tcBorders>
              <w:top w:val="nil"/>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Low</w:t>
            </w:r>
          </w:p>
        </w:tc>
        <w:tc>
          <w:tcPr>
            <w:tcW w:w="16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4</w:t>
            </w:r>
            <w:r w:rsidR="0045164C" w:rsidRPr="00626389">
              <w:rPr>
                <w:rFonts w:ascii="Calibri" w:eastAsia="Times New Roman" w:hAnsi="Calibri" w:cs="Times New Roman"/>
                <w:color w:val="000000"/>
                <w:sz w:val="20"/>
                <w:szCs w:val="20"/>
                <w:lang w:val="en-US" w:eastAsia="en-US"/>
              </w:rPr>
              <w:t>%</w:t>
            </w:r>
          </w:p>
        </w:tc>
      </w:tr>
      <w:tr w:rsidR="00033C7D" w:rsidRPr="00626389" w:rsidTr="005346C0">
        <w:trPr>
          <w:trHeight w:val="205"/>
          <w:jc w:val="center"/>
        </w:trPr>
        <w:tc>
          <w:tcPr>
            <w:tcW w:w="1500" w:type="dxa"/>
            <w:vMerge/>
            <w:tcBorders>
              <w:top w:val="nil"/>
              <w:left w:val="single" w:sz="8" w:space="0" w:color="auto"/>
              <w:bottom w:val="single" w:sz="8" w:space="0" w:color="000000"/>
              <w:right w:val="single" w:sz="4" w:space="0" w:color="auto"/>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2000" w:type="dxa"/>
            <w:tcBorders>
              <w:top w:val="nil"/>
              <w:left w:val="nil"/>
              <w:bottom w:val="single" w:sz="4"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Medium</w:t>
            </w:r>
          </w:p>
        </w:tc>
        <w:tc>
          <w:tcPr>
            <w:tcW w:w="16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8</w:t>
            </w:r>
            <w:r w:rsidR="0045164C" w:rsidRPr="00626389">
              <w:rPr>
                <w:rFonts w:ascii="Calibri" w:eastAsia="Times New Roman" w:hAnsi="Calibri" w:cs="Times New Roman"/>
                <w:color w:val="000000"/>
                <w:sz w:val="20"/>
                <w:szCs w:val="20"/>
                <w:lang w:val="en-US" w:eastAsia="en-US"/>
              </w:rPr>
              <w:t>%</w:t>
            </w:r>
          </w:p>
        </w:tc>
      </w:tr>
      <w:tr w:rsidR="00033C7D" w:rsidRPr="00626389" w:rsidTr="005346C0">
        <w:trPr>
          <w:trHeight w:val="160"/>
          <w:jc w:val="center"/>
        </w:trPr>
        <w:tc>
          <w:tcPr>
            <w:tcW w:w="1500" w:type="dxa"/>
            <w:vMerge/>
            <w:tcBorders>
              <w:top w:val="nil"/>
              <w:left w:val="single" w:sz="8" w:space="0" w:color="auto"/>
              <w:bottom w:val="single" w:sz="8" w:space="0" w:color="000000"/>
              <w:right w:val="single" w:sz="4" w:space="0" w:color="auto"/>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2000" w:type="dxa"/>
            <w:tcBorders>
              <w:top w:val="nil"/>
              <w:left w:val="nil"/>
              <w:bottom w:val="single" w:sz="8" w:space="0" w:color="auto"/>
              <w:right w:val="single" w:sz="4"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High</w:t>
            </w:r>
          </w:p>
        </w:tc>
        <w:tc>
          <w:tcPr>
            <w:tcW w:w="1620" w:type="dxa"/>
            <w:tcBorders>
              <w:top w:val="nil"/>
              <w:left w:val="nil"/>
              <w:bottom w:val="single" w:sz="8" w:space="0" w:color="auto"/>
              <w:right w:val="single" w:sz="8" w:space="0" w:color="auto"/>
            </w:tcBorders>
            <w:shd w:val="clear" w:color="auto" w:fill="auto"/>
            <w:noWrap/>
            <w:vAlign w:val="bottom"/>
            <w:hideMark/>
          </w:tcPr>
          <w:p w:rsidR="00033C7D" w:rsidRPr="00626389" w:rsidRDefault="00033C7D" w:rsidP="00091330">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12</w:t>
            </w:r>
            <w:r w:rsidR="0045164C" w:rsidRPr="00626389">
              <w:rPr>
                <w:rFonts w:ascii="Calibri" w:eastAsia="Times New Roman" w:hAnsi="Calibri" w:cs="Times New Roman"/>
                <w:color w:val="000000"/>
                <w:sz w:val="20"/>
                <w:szCs w:val="20"/>
                <w:lang w:val="en-US" w:eastAsia="en-US"/>
              </w:rPr>
              <w:t>%</w:t>
            </w:r>
          </w:p>
        </w:tc>
      </w:tr>
    </w:tbl>
    <w:p w:rsidR="00873D2A" w:rsidRDefault="00873D2A" w:rsidP="0079533B">
      <w:pPr>
        <w:autoSpaceDE w:val="0"/>
        <w:autoSpaceDN w:val="0"/>
        <w:adjustRightInd w:val="0"/>
        <w:jc w:val="both"/>
        <w:rPr>
          <w:rFonts w:ascii="Arial" w:hAnsi="Arial" w:cs="Arial"/>
          <w:lang w:val="en-US"/>
        </w:rPr>
      </w:pPr>
    </w:p>
    <w:p w:rsidR="00E326C3" w:rsidRDefault="00E326C3" w:rsidP="0079533B">
      <w:pPr>
        <w:autoSpaceDE w:val="0"/>
        <w:autoSpaceDN w:val="0"/>
        <w:adjustRightInd w:val="0"/>
        <w:jc w:val="both"/>
        <w:rPr>
          <w:rFonts w:ascii="Arial" w:hAnsi="Arial" w:cs="Arial"/>
          <w:lang w:val="en-US"/>
        </w:rPr>
      </w:pPr>
      <w:r>
        <w:rPr>
          <w:rFonts w:ascii="Arial" w:hAnsi="Arial" w:cs="Arial"/>
          <w:lang w:val="en-US"/>
        </w:rPr>
        <w:t>T</w:t>
      </w:r>
      <w:r w:rsidR="0079533B">
        <w:rPr>
          <w:rFonts w:ascii="Arial" w:hAnsi="Arial" w:cs="Arial"/>
          <w:lang w:val="en-US"/>
        </w:rPr>
        <w:t xml:space="preserve">he following table shows the Benefit Cost Ratio under a combination of approaches, and shows that the </w:t>
      </w:r>
      <w:r w:rsidR="00280C69">
        <w:rPr>
          <w:rFonts w:ascii="Arial" w:hAnsi="Arial" w:cs="Arial"/>
          <w:lang w:val="en-US"/>
        </w:rPr>
        <w:t>program is sociably desirable, as it has</w:t>
      </w:r>
      <w:r w:rsidR="00873D2A">
        <w:rPr>
          <w:rFonts w:ascii="Arial" w:hAnsi="Arial" w:cs="Arial"/>
          <w:lang w:val="en-US"/>
        </w:rPr>
        <w:t xml:space="preserve"> values greater than one except</w:t>
      </w:r>
      <w:r w:rsidR="00FC4FC4">
        <w:rPr>
          <w:rFonts w:ascii="Arial" w:hAnsi="Arial" w:cs="Arial"/>
          <w:lang w:val="en-US"/>
        </w:rPr>
        <w:t xml:space="preserve"> for the worst-case</w:t>
      </w:r>
      <w:r>
        <w:rPr>
          <w:rFonts w:ascii="Arial" w:hAnsi="Arial" w:cs="Arial"/>
          <w:lang w:val="en-US"/>
        </w:rPr>
        <w:t xml:space="preserve"> scenario</w:t>
      </w:r>
      <w:r w:rsidR="00873D2A">
        <w:rPr>
          <w:rFonts w:ascii="Arial" w:hAnsi="Arial" w:cs="Arial"/>
          <w:lang w:val="en-US"/>
        </w:rPr>
        <w:t xml:space="preserve"> when the highest discount rate is used </w:t>
      </w:r>
      <w:r w:rsidR="00873D2A" w:rsidRPr="00873D2A">
        <w:rPr>
          <w:rFonts w:ascii="Arial" w:hAnsi="Arial" w:cs="Arial"/>
          <w:u w:val="single"/>
          <w:lang w:val="en-US"/>
        </w:rPr>
        <w:t>and</w:t>
      </w:r>
      <w:r w:rsidR="00873D2A">
        <w:rPr>
          <w:rFonts w:ascii="Arial" w:hAnsi="Arial" w:cs="Arial"/>
          <w:lang w:val="en-US"/>
        </w:rPr>
        <w:t xml:space="preserve"> the impacts of PATH on schooling </w:t>
      </w:r>
      <w:r w:rsidR="00873D2A" w:rsidRPr="00873D2A">
        <w:rPr>
          <w:rFonts w:ascii="Arial" w:hAnsi="Arial" w:cs="Arial"/>
          <w:u w:val="single"/>
          <w:lang w:val="en-US"/>
        </w:rPr>
        <w:t>and</w:t>
      </w:r>
      <w:r w:rsidR="00873D2A">
        <w:rPr>
          <w:rFonts w:ascii="Arial" w:hAnsi="Arial" w:cs="Arial"/>
          <w:lang w:val="en-US"/>
        </w:rPr>
        <w:t xml:space="preserve"> of schooling on wages are low.</w:t>
      </w:r>
    </w:p>
    <w:p w:rsidR="00A72F62" w:rsidRPr="0079533B" w:rsidRDefault="00280C69" w:rsidP="0079533B">
      <w:pPr>
        <w:autoSpaceDE w:val="0"/>
        <w:autoSpaceDN w:val="0"/>
        <w:adjustRightInd w:val="0"/>
        <w:jc w:val="both"/>
        <w:rPr>
          <w:rFonts w:ascii="Arial" w:hAnsi="Arial" w:cs="Arial"/>
          <w:lang w:val="en-US"/>
        </w:rPr>
      </w:pPr>
      <w:r>
        <w:rPr>
          <w:rFonts w:ascii="Arial" w:hAnsi="Arial" w:cs="Arial"/>
          <w:lang w:val="en-US"/>
        </w:rPr>
        <w:t xml:space="preserve"> </w:t>
      </w:r>
    </w:p>
    <w:tbl>
      <w:tblPr>
        <w:tblW w:w="9680" w:type="dxa"/>
        <w:jc w:val="center"/>
        <w:tblInd w:w="93" w:type="dxa"/>
        <w:tblLook w:val="04A0" w:firstRow="1" w:lastRow="0" w:firstColumn="1" w:lastColumn="0" w:noHBand="0" w:noVBand="1"/>
      </w:tblPr>
      <w:tblGrid>
        <w:gridCol w:w="800"/>
        <w:gridCol w:w="1500"/>
        <w:gridCol w:w="820"/>
        <w:gridCol w:w="820"/>
        <w:gridCol w:w="820"/>
        <w:gridCol w:w="820"/>
        <w:gridCol w:w="820"/>
        <w:gridCol w:w="820"/>
        <w:gridCol w:w="820"/>
        <w:gridCol w:w="820"/>
        <w:gridCol w:w="820"/>
      </w:tblGrid>
      <w:tr w:rsidR="00033C7D" w:rsidRPr="008A0FC2" w:rsidTr="00091330">
        <w:trPr>
          <w:trHeight w:val="315"/>
          <w:jc w:val="center"/>
        </w:trPr>
        <w:tc>
          <w:tcPr>
            <w:tcW w:w="800" w:type="dxa"/>
            <w:vMerge w:val="restart"/>
            <w:tcBorders>
              <w:top w:val="single" w:sz="8" w:space="0" w:color="auto"/>
              <w:left w:val="single" w:sz="8" w:space="0" w:color="auto"/>
              <w:bottom w:val="single" w:sz="8" w:space="0" w:color="000000"/>
              <w:right w:val="nil"/>
            </w:tcBorders>
            <w:shd w:val="clear" w:color="auto" w:fill="auto"/>
            <w:vAlign w:val="center"/>
            <w:hideMark/>
          </w:tcPr>
          <w:p w:rsidR="00033C7D" w:rsidRPr="00626389" w:rsidRDefault="00033C7D" w:rsidP="00033C7D">
            <w:pPr>
              <w:jc w:val="center"/>
              <w:rPr>
                <w:rFonts w:ascii="Calibri" w:eastAsia="Times New Roman" w:hAnsi="Calibri" w:cs="Times New Roman"/>
                <w:b/>
                <w:color w:val="000000"/>
                <w:sz w:val="20"/>
                <w:szCs w:val="20"/>
                <w:lang w:val="en-US" w:eastAsia="en-US"/>
              </w:rPr>
            </w:pPr>
            <w:r w:rsidRPr="00626389">
              <w:rPr>
                <w:rFonts w:ascii="Calibri" w:eastAsia="Times New Roman" w:hAnsi="Calibri" w:cs="Times New Roman"/>
                <w:b/>
                <w:color w:val="000000"/>
                <w:sz w:val="20"/>
                <w:szCs w:val="20"/>
                <w:lang w:val="en-US" w:eastAsia="en-US"/>
              </w:rPr>
              <w:t>Wage</w:t>
            </w:r>
          </w:p>
        </w:tc>
        <w:tc>
          <w:tcPr>
            <w:tcW w:w="15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33C7D" w:rsidRPr="00626389" w:rsidRDefault="00033C7D" w:rsidP="00033C7D">
            <w:pPr>
              <w:jc w:val="center"/>
              <w:rPr>
                <w:rFonts w:ascii="Calibri" w:eastAsia="Times New Roman" w:hAnsi="Calibri" w:cs="Times New Roman"/>
                <w:b/>
                <w:color w:val="000000"/>
                <w:sz w:val="20"/>
                <w:szCs w:val="20"/>
                <w:lang w:val="en-US" w:eastAsia="en-US"/>
              </w:rPr>
            </w:pPr>
            <w:r w:rsidRPr="00626389">
              <w:rPr>
                <w:rFonts w:ascii="Calibri" w:eastAsia="Times New Roman" w:hAnsi="Calibri" w:cs="Times New Roman"/>
                <w:b/>
                <w:color w:val="000000"/>
                <w:sz w:val="20"/>
                <w:szCs w:val="20"/>
                <w:lang w:val="en-US" w:eastAsia="en-US"/>
              </w:rPr>
              <w:t>Impact of PATH on Schooling</w:t>
            </w:r>
          </w:p>
        </w:tc>
        <w:tc>
          <w:tcPr>
            <w:tcW w:w="7380" w:type="dxa"/>
            <w:gridSpan w:val="9"/>
            <w:tcBorders>
              <w:top w:val="single" w:sz="8" w:space="0" w:color="auto"/>
              <w:left w:val="nil"/>
              <w:bottom w:val="nil"/>
              <w:right w:val="single" w:sz="8" w:space="0" w:color="000000"/>
            </w:tcBorders>
            <w:shd w:val="clear" w:color="auto" w:fill="auto"/>
            <w:vAlign w:val="center"/>
            <w:hideMark/>
          </w:tcPr>
          <w:p w:rsidR="00033C7D" w:rsidRPr="00626389" w:rsidRDefault="00033C7D" w:rsidP="00033C7D">
            <w:pPr>
              <w:jc w:val="center"/>
              <w:rPr>
                <w:rFonts w:ascii="Calibri" w:eastAsia="Times New Roman" w:hAnsi="Calibri" w:cs="Times New Roman"/>
                <w:b/>
                <w:color w:val="000000"/>
                <w:sz w:val="20"/>
                <w:szCs w:val="20"/>
                <w:lang w:val="en-US" w:eastAsia="en-US"/>
              </w:rPr>
            </w:pPr>
            <w:r w:rsidRPr="00626389">
              <w:rPr>
                <w:rFonts w:ascii="Calibri" w:eastAsia="Times New Roman" w:hAnsi="Calibri" w:cs="Times New Roman"/>
                <w:b/>
                <w:color w:val="000000"/>
                <w:sz w:val="20"/>
                <w:szCs w:val="20"/>
                <w:lang w:val="en-US" w:eastAsia="en-US"/>
              </w:rPr>
              <w:t>Impact of Schooling on Wages</w:t>
            </w:r>
          </w:p>
        </w:tc>
      </w:tr>
      <w:tr w:rsidR="00033C7D" w:rsidRPr="00626389" w:rsidTr="00091330">
        <w:trPr>
          <w:trHeight w:val="315"/>
          <w:jc w:val="center"/>
        </w:trPr>
        <w:tc>
          <w:tcPr>
            <w:tcW w:w="800" w:type="dxa"/>
            <w:vMerge/>
            <w:tcBorders>
              <w:top w:val="single" w:sz="8" w:space="0" w:color="auto"/>
              <w:left w:val="single" w:sz="8" w:space="0" w:color="auto"/>
              <w:bottom w:val="single" w:sz="8" w:space="0" w:color="000000"/>
              <w:right w:val="nil"/>
            </w:tcBorders>
            <w:vAlign w:val="center"/>
            <w:hideMark/>
          </w:tcPr>
          <w:p w:rsidR="00033C7D" w:rsidRPr="00626389" w:rsidRDefault="00033C7D" w:rsidP="00033C7D">
            <w:pPr>
              <w:rPr>
                <w:rFonts w:ascii="Calibri" w:eastAsia="Times New Roman" w:hAnsi="Calibri" w:cs="Times New Roman"/>
                <w:b/>
                <w:color w:val="000000"/>
                <w:sz w:val="20"/>
                <w:szCs w:val="20"/>
                <w:lang w:val="en-US" w:eastAsia="en-US"/>
              </w:rPr>
            </w:pPr>
          </w:p>
        </w:tc>
        <w:tc>
          <w:tcPr>
            <w:tcW w:w="1500" w:type="dxa"/>
            <w:vMerge/>
            <w:tcBorders>
              <w:top w:val="single" w:sz="8" w:space="0" w:color="auto"/>
              <w:left w:val="single" w:sz="8" w:space="0" w:color="auto"/>
              <w:bottom w:val="single" w:sz="8" w:space="0" w:color="000000"/>
              <w:right w:val="single" w:sz="8" w:space="0" w:color="auto"/>
            </w:tcBorders>
            <w:vAlign w:val="center"/>
            <w:hideMark/>
          </w:tcPr>
          <w:p w:rsidR="00033C7D" w:rsidRPr="00626389" w:rsidRDefault="00033C7D" w:rsidP="00033C7D">
            <w:pPr>
              <w:rPr>
                <w:rFonts w:ascii="Calibri" w:eastAsia="Times New Roman" w:hAnsi="Calibri" w:cs="Times New Roman"/>
                <w:b/>
                <w:color w:val="000000"/>
                <w:sz w:val="20"/>
                <w:szCs w:val="20"/>
                <w:lang w:val="en-US" w:eastAsia="en-US"/>
              </w:rPr>
            </w:pPr>
          </w:p>
        </w:tc>
        <w:tc>
          <w:tcPr>
            <w:tcW w:w="2460" w:type="dxa"/>
            <w:gridSpan w:val="3"/>
            <w:tcBorders>
              <w:top w:val="single" w:sz="8" w:space="0" w:color="auto"/>
              <w:left w:val="nil"/>
              <w:bottom w:val="single" w:sz="8" w:space="0" w:color="auto"/>
              <w:right w:val="single" w:sz="8" w:space="0" w:color="000000"/>
            </w:tcBorders>
            <w:shd w:val="clear" w:color="auto" w:fill="auto"/>
            <w:vAlign w:val="center"/>
            <w:hideMark/>
          </w:tcPr>
          <w:p w:rsidR="00033C7D" w:rsidRPr="00626389" w:rsidRDefault="00033C7D" w:rsidP="00033C7D">
            <w:pPr>
              <w:jc w:val="center"/>
              <w:rPr>
                <w:rFonts w:ascii="Calibri" w:eastAsia="Times New Roman" w:hAnsi="Calibri" w:cs="Times New Roman"/>
                <w:b/>
                <w:color w:val="000000"/>
                <w:sz w:val="20"/>
                <w:szCs w:val="20"/>
                <w:lang w:val="en-US" w:eastAsia="en-US"/>
              </w:rPr>
            </w:pPr>
            <w:r w:rsidRPr="00626389">
              <w:rPr>
                <w:rFonts w:ascii="Calibri" w:eastAsia="Times New Roman" w:hAnsi="Calibri" w:cs="Times New Roman"/>
                <w:b/>
                <w:color w:val="000000"/>
                <w:sz w:val="20"/>
                <w:szCs w:val="20"/>
                <w:lang w:val="en-US" w:eastAsia="en-US"/>
              </w:rPr>
              <w:t>Low</w:t>
            </w:r>
          </w:p>
        </w:tc>
        <w:tc>
          <w:tcPr>
            <w:tcW w:w="2460" w:type="dxa"/>
            <w:gridSpan w:val="3"/>
            <w:tcBorders>
              <w:top w:val="single" w:sz="8" w:space="0" w:color="auto"/>
              <w:left w:val="nil"/>
              <w:bottom w:val="single" w:sz="8" w:space="0" w:color="auto"/>
              <w:right w:val="single" w:sz="8" w:space="0" w:color="000000"/>
            </w:tcBorders>
            <w:shd w:val="clear" w:color="auto" w:fill="auto"/>
            <w:vAlign w:val="center"/>
            <w:hideMark/>
          </w:tcPr>
          <w:p w:rsidR="00033C7D" w:rsidRPr="00626389" w:rsidRDefault="00033C7D" w:rsidP="00033C7D">
            <w:pPr>
              <w:jc w:val="center"/>
              <w:rPr>
                <w:rFonts w:ascii="Calibri" w:eastAsia="Times New Roman" w:hAnsi="Calibri" w:cs="Times New Roman"/>
                <w:b/>
                <w:color w:val="000000"/>
                <w:sz w:val="20"/>
                <w:szCs w:val="20"/>
                <w:lang w:val="en-US" w:eastAsia="en-US"/>
              </w:rPr>
            </w:pPr>
            <w:r w:rsidRPr="00626389">
              <w:rPr>
                <w:rFonts w:ascii="Calibri" w:eastAsia="Times New Roman" w:hAnsi="Calibri" w:cs="Times New Roman"/>
                <w:b/>
                <w:color w:val="000000"/>
                <w:sz w:val="20"/>
                <w:szCs w:val="20"/>
                <w:lang w:val="en-US" w:eastAsia="en-US"/>
              </w:rPr>
              <w:t>Medium</w:t>
            </w:r>
          </w:p>
        </w:tc>
        <w:tc>
          <w:tcPr>
            <w:tcW w:w="2460" w:type="dxa"/>
            <w:gridSpan w:val="3"/>
            <w:tcBorders>
              <w:top w:val="single" w:sz="8" w:space="0" w:color="auto"/>
              <w:left w:val="nil"/>
              <w:bottom w:val="single" w:sz="8" w:space="0" w:color="auto"/>
              <w:right w:val="single" w:sz="8" w:space="0" w:color="000000"/>
            </w:tcBorders>
            <w:shd w:val="clear" w:color="auto" w:fill="auto"/>
            <w:vAlign w:val="center"/>
            <w:hideMark/>
          </w:tcPr>
          <w:p w:rsidR="00033C7D" w:rsidRPr="00626389" w:rsidRDefault="00033C7D" w:rsidP="00033C7D">
            <w:pPr>
              <w:jc w:val="center"/>
              <w:rPr>
                <w:rFonts w:ascii="Calibri" w:eastAsia="Times New Roman" w:hAnsi="Calibri" w:cs="Times New Roman"/>
                <w:b/>
                <w:color w:val="000000"/>
                <w:sz w:val="20"/>
                <w:szCs w:val="20"/>
                <w:lang w:val="en-US" w:eastAsia="en-US"/>
              </w:rPr>
            </w:pPr>
            <w:r w:rsidRPr="00626389">
              <w:rPr>
                <w:rFonts w:ascii="Calibri" w:eastAsia="Times New Roman" w:hAnsi="Calibri" w:cs="Times New Roman"/>
                <w:b/>
                <w:color w:val="000000"/>
                <w:sz w:val="20"/>
                <w:szCs w:val="20"/>
                <w:lang w:val="en-US" w:eastAsia="en-US"/>
              </w:rPr>
              <w:t>High</w:t>
            </w:r>
          </w:p>
        </w:tc>
      </w:tr>
      <w:tr w:rsidR="00033C7D" w:rsidRPr="00626389" w:rsidTr="00091330">
        <w:trPr>
          <w:trHeight w:val="315"/>
          <w:jc w:val="center"/>
        </w:trPr>
        <w:tc>
          <w:tcPr>
            <w:tcW w:w="800" w:type="dxa"/>
            <w:vMerge/>
            <w:tcBorders>
              <w:top w:val="single" w:sz="8" w:space="0" w:color="auto"/>
              <w:left w:val="single" w:sz="8" w:space="0" w:color="auto"/>
              <w:bottom w:val="single" w:sz="8" w:space="0" w:color="000000"/>
              <w:right w:val="nil"/>
            </w:tcBorders>
            <w:vAlign w:val="center"/>
            <w:hideMark/>
          </w:tcPr>
          <w:p w:rsidR="00033C7D" w:rsidRPr="00626389" w:rsidRDefault="00033C7D" w:rsidP="00033C7D">
            <w:pPr>
              <w:rPr>
                <w:rFonts w:ascii="Calibri" w:eastAsia="Times New Roman" w:hAnsi="Calibri" w:cs="Times New Roman"/>
                <w:b/>
                <w:color w:val="000000"/>
                <w:sz w:val="20"/>
                <w:szCs w:val="20"/>
                <w:lang w:val="en-US" w:eastAsia="en-US"/>
              </w:rPr>
            </w:pPr>
          </w:p>
        </w:tc>
        <w:tc>
          <w:tcPr>
            <w:tcW w:w="1500" w:type="dxa"/>
            <w:vMerge/>
            <w:tcBorders>
              <w:top w:val="single" w:sz="8" w:space="0" w:color="auto"/>
              <w:left w:val="single" w:sz="8" w:space="0" w:color="auto"/>
              <w:bottom w:val="single" w:sz="8" w:space="0" w:color="000000"/>
              <w:right w:val="single" w:sz="8" w:space="0" w:color="auto"/>
            </w:tcBorders>
            <w:vAlign w:val="center"/>
            <w:hideMark/>
          </w:tcPr>
          <w:p w:rsidR="00033C7D" w:rsidRPr="00626389" w:rsidRDefault="00033C7D" w:rsidP="00033C7D">
            <w:pPr>
              <w:rPr>
                <w:rFonts w:ascii="Calibri" w:eastAsia="Times New Roman" w:hAnsi="Calibri" w:cs="Times New Roman"/>
                <w:b/>
                <w:color w:val="000000"/>
                <w:sz w:val="20"/>
                <w:szCs w:val="20"/>
                <w:lang w:val="en-US" w:eastAsia="en-US"/>
              </w:rPr>
            </w:pPr>
          </w:p>
        </w:tc>
        <w:tc>
          <w:tcPr>
            <w:tcW w:w="7380" w:type="dxa"/>
            <w:gridSpan w:val="9"/>
            <w:tcBorders>
              <w:top w:val="single" w:sz="8" w:space="0" w:color="auto"/>
              <w:left w:val="nil"/>
              <w:bottom w:val="single" w:sz="8" w:space="0" w:color="auto"/>
              <w:right w:val="single" w:sz="8" w:space="0" w:color="000000"/>
            </w:tcBorders>
            <w:shd w:val="clear" w:color="auto" w:fill="auto"/>
            <w:vAlign w:val="center"/>
            <w:hideMark/>
          </w:tcPr>
          <w:p w:rsidR="00033C7D" w:rsidRPr="00626389" w:rsidRDefault="00033C7D" w:rsidP="00033C7D">
            <w:pPr>
              <w:jc w:val="center"/>
              <w:rPr>
                <w:rFonts w:ascii="Calibri" w:eastAsia="Times New Roman" w:hAnsi="Calibri" w:cs="Times New Roman"/>
                <w:b/>
                <w:color w:val="000000"/>
                <w:sz w:val="20"/>
                <w:szCs w:val="20"/>
                <w:lang w:val="en-US" w:eastAsia="en-US"/>
              </w:rPr>
            </w:pPr>
            <w:r w:rsidRPr="00626389">
              <w:rPr>
                <w:rFonts w:ascii="Calibri" w:eastAsia="Times New Roman" w:hAnsi="Calibri" w:cs="Times New Roman"/>
                <w:b/>
                <w:color w:val="000000"/>
                <w:sz w:val="20"/>
                <w:szCs w:val="20"/>
                <w:lang w:val="en-US" w:eastAsia="en-US"/>
              </w:rPr>
              <w:t>Discount Rate</w:t>
            </w:r>
          </w:p>
        </w:tc>
      </w:tr>
      <w:tr w:rsidR="00033C7D" w:rsidRPr="00626389" w:rsidTr="00091330">
        <w:trPr>
          <w:trHeight w:val="315"/>
          <w:jc w:val="center"/>
        </w:trPr>
        <w:tc>
          <w:tcPr>
            <w:tcW w:w="800" w:type="dxa"/>
            <w:vMerge/>
            <w:tcBorders>
              <w:top w:val="single" w:sz="8" w:space="0" w:color="auto"/>
              <w:left w:val="single" w:sz="8" w:space="0" w:color="auto"/>
              <w:bottom w:val="single" w:sz="8" w:space="0" w:color="000000"/>
              <w:right w:val="nil"/>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1500" w:type="dxa"/>
            <w:vMerge/>
            <w:tcBorders>
              <w:top w:val="single" w:sz="8" w:space="0" w:color="auto"/>
              <w:left w:val="single" w:sz="8" w:space="0" w:color="auto"/>
              <w:bottom w:val="single" w:sz="8" w:space="0" w:color="000000"/>
              <w:right w:val="single" w:sz="8" w:space="0" w:color="auto"/>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820" w:type="dxa"/>
            <w:tcBorders>
              <w:top w:val="nil"/>
              <w:left w:val="nil"/>
              <w:bottom w:val="nil"/>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4</w:t>
            </w:r>
            <w:r w:rsidR="00F22DA2" w:rsidRPr="00626389">
              <w:rPr>
                <w:rFonts w:ascii="Calibri" w:eastAsia="Times New Roman" w:hAnsi="Calibri" w:cs="Times New Roman"/>
                <w:color w:val="000000"/>
                <w:sz w:val="20"/>
                <w:szCs w:val="20"/>
                <w:lang w:val="en-US" w:eastAsia="en-US"/>
              </w:rPr>
              <w:t>%</w:t>
            </w:r>
          </w:p>
        </w:tc>
        <w:tc>
          <w:tcPr>
            <w:tcW w:w="820" w:type="dxa"/>
            <w:tcBorders>
              <w:top w:val="nil"/>
              <w:left w:val="nil"/>
              <w:bottom w:val="nil"/>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8</w:t>
            </w:r>
            <w:r w:rsidR="00F22DA2" w:rsidRPr="00626389">
              <w:rPr>
                <w:rFonts w:ascii="Calibri" w:eastAsia="Times New Roman" w:hAnsi="Calibri" w:cs="Times New Roman"/>
                <w:color w:val="000000"/>
                <w:sz w:val="20"/>
                <w:szCs w:val="20"/>
                <w:lang w:val="en-US" w:eastAsia="en-US"/>
              </w:rPr>
              <w:t>%</w:t>
            </w:r>
          </w:p>
        </w:tc>
        <w:tc>
          <w:tcPr>
            <w:tcW w:w="820" w:type="dxa"/>
            <w:tcBorders>
              <w:top w:val="nil"/>
              <w:left w:val="nil"/>
              <w:bottom w:val="nil"/>
              <w:right w:val="single" w:sz="8" w:space="0" w:color="auto"/>
            </w:tcBorders>
            <w:shd w:val="clear" w:color="auto" w:fill="auto"/>
            <w:vAlign w:val="center"/>
            <w:hideMark/>
          </w:tcPr>
          <w:p w:rsidR="00033C7D" w:rsidRPr="00626389" w:rsidRDefault="00F22DA2" w:rsidP="00F22DA2">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12%</w:t>
            </w:r>
          </w:p>
        </w:tc>
        <w:tc>
          <w:tcPr>
            <w:tcW w:w="820" w:type="dxa"/>
            <w:tcBorders>
              <w:top w:val="nil"/>
              <w:left w:val="nil"/>
              <w:bottom w:val="single" w:sz="8" w:space="0" w:color="auto"/>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4</w:t>
            </w:r>
            <w:r w:rsidR="00F22DA2" w:rsidRPr="00626389">
              <w:rPr>
                <w:rFonts w:ascii="Calibri" w:eastAsia="Times New Roman" w:hAnsi="Calibri" w:cs="Times New Roman"/>
                <w:color w:val="000000"/>
                <w:sz w:val="20"/>
                <w:szCs w:val="20"/>
                <w:lang w:val="en-US" w:eastAsia="en-US"/>
              </w:rPr>
              <w:t>%</w:t>
            </w:r>
          </w:p>
        </w:tc>
        <w:tc>
          <w:tcPr>
            <w:tcW w:w="820" w:type="dxa"/>
            <w:tcBorders>
              <w:top w:val="nil"/>
              <w:left w:val="nil"/>
              <w:bottom w:val="single" w:sz="8" w:space="0" w:color="auto"/>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8</w:t>
            </w:r>
            <w:r w:rsidR="00F22DA2" w:rsidRPr="00626389">
              <w:rPr>
                <w:rFonts w:ascii="Calibri" w:eastAsia="Times New Roman" w:hAnsi="Calibri" w:cs="Times New Roman"/>
                <w:color w:val="000000"/>
                <w:sz w:val="20"/>
                <w:szCs w:val="20"/>
                <w:lang w:val="en-US" w:eastAsia="en-US"/>
              </w:rPr>
              <w:t>%</w:t>
            </w:r>
          </w:p>
        </w:tc>
        <w:tc>
          <w:tcPr>
            <w:tcW w:w="820" w:type="dxa"/>
            <w:tcBorders>
              <w:top w:val="nil"/>
              <w:left w:val="nil"/>
              <w:bottom w:val="single" w:sz="8" w:space="0" w:color="auto"/>
              <w:right w:val="single" w:sz="8" w:space="0" w:color="auto"/>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12</w:t>
            </w:r>
            <w:r w:rsidR="00F22DA2" w:rsidRPr="00626389">
              <w:rPr>
                <w:rFonts w:ascii="Calibri" w:eastAsia="Times New Roman" w:hAnsi="Calibri" w:cs="Times New Roman"/>
                <w:color w:val="000000"/>
                <w:sz w:val="20"/>
                <w:szCs w:val="20"/>
                <w:lang w:val="en-US" w:eastAsia="en-US"/>
              </w:rPr>
              <w:t>%</w:t>
            </w:r>
          </w:p>
        </w:tc>
        <w:tc>
          <w:tcPr>
            <w:tcW w:w="820" w:type="dxa"/>
            <w:tcBorders>
              <w:top w:val="nil"/>
              <w:left w:val="nil"/>
              <w:bottom w:val="single" w:sz="8" w:space="0" w:color="auto"/>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4</w:t>
            </w:r>
            <w:r w:rsidR="00F22DA2" w:rsidRPr="00626389">
              <w:rPr>
                <w:rFonts w:ascii="Calibri" w:eastAsia="Times New Roman" w:hAnsi="Calibri" w:cs="Times New Roman"/>
                <w:color w:val="000000"/>
                <w:sz w:val="20"/>
                <w:szCs w:val="20"/>
                <w:lang w:val="en-US" w:eastAsia="en-US"/>
              </w:rPr>
              <w:t>%</w:t>
            </w:r>
          </w:p>
        </w:tc>
        <w:tc>
          <w:tcPr>
            <w:tcW w:w="820" w:type="dxa"/>
            <w:tcBorders>
              <w:top w:val="nil"/>
              <w:left w:val="nil"/>
              <w:bottom w:val="single" w:sz="8" w:space="0" w:color="auto"/>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8</w:t>
            </w:r>
            <w:r w:rsidR="00F22DA2" w:rsidRPr="00626389">
              <w:rPr>
                <w:rFonts w:ascii="Calibri" w:eastAsia="Times New Roman" w:hAnsi="Calibri" w:cs="Times New Roman"/>
                <w:color w:val="000000"/>
                <w:sz w:val="20"/>
                <w:szCs w:val="20"/>
                <w:lang w:val="en-US" w:eastAsia="en-US"/>
              </w:rPr>
              <w:t>%</w:t>
            </w:r>
          </w:p>
        </w:tc>
        <w:tc>
          <w:tcPr>
            <w:tcW w:w="820" w:type="dxa"/>
            <w:tcBorders>
              <w:top w:val="nil"/>
              <w:left w:val="nil"/>
              <w:bottom w:val="single" w:sz="8" w:space="0" w:color="auto"/>
              <w:right w:val="single" w:sz="8" w:space="0" w:color="auto"/>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12</w:t>
            </w:r>
            <w:r w:rsidR="00F22DA2" w:rsidRPr="00626389">
              <w:rPr>
                <w:rFonts w:ascii="Calibri" w:eastAsia="Times New Roman" w:hAnsi="Calibri" w:cs="Times New Roman"/>
                <w:color w:val="000000"/>
                <w:sz w:val="20"/>
                <w:szCs w:val="20"/>
                <w:lang w:val="en-US" w:eastAsia="en-US"/>
              </w:rPr>
              <w:t>%</w:t>
            </w:r>
          </w:p>
        </w:tc>
      </w:tr>
      <w:tr w:rsidR="00091330" w:rsidRPr="00626389" w:rsidTr="00F22DA2">
        <w:trPr>
          <w:trHeight w:val="300"/>
          <w:jc w:val="center"/>
        </w:trPr>
        <w:tc>
          <w:tcPr>
            <w:tcW w:w="800" w:type="dxa"/>
            <w:vMerge w:val="restart"/>
            <w:tcBorders>
              <w:top w:val="nil"/>
              <w:left w:val="single" w:sz="8" w:space="0" w:color="auto"/>
              <w:bottom w:val="single" w:sz="8" w:space="0" w:color="000000"/>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Low</w:t>
            </w:r>
          </w:p>
        </w:tc>
        <w:tc>
          <w:tcPr>
            <w:tcW w:w="1500" w:type="dxa"/>
            <w:tcBorders>
              <w:top w:val="nil"/>
              <w:left w:val="single" w:sz="8" w:space="0" w:color="auto"/>
              <w:bottom w:val="nil"/>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Low</w:t>
            </w:r>
          </w:p>
        </w:tc>
        <w:tc>
          <w:tcPr>
            <w:tcW w:w="820" w:type="dxa"/>
            <w:tcBorders>
              <w:top w:val="single" w:sz="8" w:space="0" w:color="auto"/>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2.04</w:t>
            </w:r>
          </w:p>
        </w:tc>
        <w:tc>
          <w:tcPr>
            <w:tcW w:w="820" w:type="dxa"/>
            <w:tcBorders>
              <w:top w:val="single" w:sz="8" w:space="0" w:color="auto"/>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1.02</w:t>
            </w:r>
          </w:p>
        </w:tc>
        <w:tc>
          <w:tcPr>
            <w:tcW w:w="820" w:type="dxa"/>
            <w:tcBorders>
              <w:top w:val="single" w:sz="8" w:space="0" w:color="auto"/>
              <w:left w:val="nil"/>
              <w:bottom w:val="single" w:sz="4" w:space="0" w:color="auto"/>
              <w:right w:val="single" w:sz="8" w:space="0" w:color="auto"/>
            </w:tcBorders>
            <w:shd w:val="clear" w:color="auto" w:fill="auto"/>
            <w:noWrap/>
            <w:vAlign w:val="bottom"/>
            <w:hideMark/>
          </w:tcPr>
          <w:p w:rsidR="00033C7D" w:rsidRPr="00626389" w:rsidRDefault="00033C7D" w:rsidP="00033C7D">
            <w:pPr>
              <w:jc w:val="right"/>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0.60</w:t>
            </w:r>
          </w:p>
        </w:tc>
        <w:tc>
          <w:tcPr>
            <w:tcW w:w="820" w:type="dxa"/>
            <w:tcBorders>
              <w:top w:val="single" w:sz="8" w:space="0" w:color="auto"/>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2.72</w:t>
            </w:r>
          </w:p>
        </w:tc>
        <w:tc>
          <w:tcPr>
            <w:tcW w:w="820" w:type="dxa"/>
            <w:tcBorders>
              <w:top w:val="single" w:sz="8" w:space="0" w:color="auto"/>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1.36</w:t>
            </w:r>
          </w:p>
        </w:tc>
        <w:tc>
          <w:tcPr>
            <w:tcW w:w="8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33C7D">
            <w:pPr>
              <w:jc w:val="right"/>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0.80</w:t>
            </w:r>
          </w:p>
        </w:tc>
        <w:tc>
          <w:tcPr>
            <w:tcW w:w="820" w:type="dxa"/>
            <w:tcBorders>
              <w:top w:val="single" w:sz="8" w:space="0" w:color="auto"/>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3.40</w:t>
            </w:r>
          </w:p>
        </w:tc>
        <w:tc>
          <w:tcPr>
            <w:tcW w:w="820" w:type="dxa"/>
            <w:tcBorders>
              <w:top w:val="single" w:sz="8" w:space="0" w:color="auto"/>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1.70</w:t>
            </w:r>
          </w:p>
        </w:tc>
        <w:tc>
          <w:tcPr>
            <w:tcW w:w="820" w:type="dxa"/>
            <w:tcBorders>
              <w:top w:val="single" w:sz="8" w:space="0" w:color="auto"/>
              <w:left w:val="single" w:sz="4" w:space="0" w:color="auto"/>
              <w:bottom w:val="single" w:sz="4"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1.33</w:t>
            </w:r>
          </w:p>
        </w:tc>
      </w:tr>
      <w:tr w:rsidR="00091330" w:rsidRPr="00626389" w:rsidTr="00F22DA2">
        <w:trPr>
          <w:trHeight w:val="300"/>
          <w:jc w:val="center"/>
        </w:trPr>
        <w:tc>
          <w:tcPr>
            <w:tcW w:w="800" w:type="dxa"/>
            <w:vMerge/>
            <w:tcBorders>
              <w:top w:val="nil"/>
              <w:left w:val="single" w:sz="8" w:space="0" w:color="auto"/>
              <w:bottom w:val="single" w:sz="8" w:space="0" w:color="000000"/>
              <w:right w:val="nil"/>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1500" w:type="dxa"/>
            <w:tcBorders>
              <w:top w:val="nil"/>
              <w:left w:val="single" w:sz="8" w:space="0" w:color="auto"/>
              <w:bottom w:val="nil"/>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Moderate</w:t>
            </w:r>
          </w:p>
        </w:tc>
        <w:tc>
          <w:tcPr>
            <w:tcW w:w="820" w:type="dxa"/>
            <w:tcBorders>
              <w:top w:val="single" w:sz="4" w:space="0" w:color="auto"/>
              <w:left w:val="single" w:sz="8" w:space="0" w:color="auto"/>
              <w:bottom w:val="single" w:sz="4" w:space="0" w:color="auto"/>
              <w:right w:val="single" w:sz="4" w:space="0" w:color="auto"/>
            </w:tcBorders>
            <w:shd w:val="clear" w:color="000000" w:fill="C6EFCE"/>
            <w:noWrap/>
            <w:vAlign w:val="bottom"/>
            <w:hideMark/>
          </w:tcPr>
          <w:p w:rsidR="00033C7D" w:rsidRPr="006352C4" w:rsidRDefault="00033C7D" w:rsidP="00033C7D">
            <w:pPr>
              <w:jc w:val="right"/>
              <w:rPr>
                <w:rFonts w:ascii="Calibri" w:eastAsia="Times New Roman" w:hAnsi="Calibri" w:cs="Times New Roman"/>
                <w:color w:val="006100"/>
                <w:sz w:val="20"/>
                <w:szCs w:val="20"/>
                <w:lang w:val="en-US" w:eastAsia="en-US"/>
              </w:rPr>
            </w:pPr>
            <w:r w:rsidRPr="006352C4">
              <w:rPr>
                <w:rFonts w:ascii="Calibri" w:eastAsia="Times New Roman" w:hAnsi="Calibri" w:cs="Times New Roman"/>
                <w:color w:val="006100"/>
                <w:sz w:val="20"/>
                <w:szCs w:val="20"/>
                <w:lang w:val="en-US" w:eastAsia="en-US"/>
              </w:rPr>
              <w:t>3.06</w:t>
            </w:r>
          </w:p>
        </w:tc>
        <w:tc>
          <w:tcPr>
            <w:tcW w:w="82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033C7D" w:rsidRPr="006352C4" w:rsidRDefault="00033C7D" w:rsidP="00033C7D">
            <w:pPr>
              <w:jc w:val="right"/>
              <w:rPr>
                <w:rFonts w:ascii="Calibri" w:eastAsia="Times New Roman" w:hAnsi="Calibri" w:cs="Times New Roman"/>
                <w:bCs/>
                <w:color w:val="006100"/>
                <w:sz w:val="20"/>
                <w:szCs w:val="20"/>
                <w:lang w:val="en-US" w:eastAsia="en-US"/>
              </w:rPr>
            </w:pPr>
            <w:r w:rsidRPr="006352C4">
              <w:rPr>
                <w:rFonts w:ascii="Calibri" w:eastAsia="Times New Roman" w:hAnsi="Calibri" w:cs="Times New Roman"/>
                <w:bCs/>
                <w:color w:val="006100"/>
                <w:sz w:val="20"/>
                <w:szCs w:val="20"/>
                <w:lang w:val="en-US" w:eastAsia="en-US"/>
              </w:rPr>
              <w:t>1.53</w:t>
            </w:r>
          </w:p>
        </w:tc>
        <w:tc>
          <w:tcPr>
            <w:tcW w:w="820" w:type="dxa"/>
            <w:tcBorders>
              <w:top w:val="nil"/>
              <w:left w:val="nil"/>
              <w:bottom w:val="single" w:sz="4" w:space="0" w:color="auto"/>
              <w:right w:val="single" w:sz="8" w:space="0" w:color="auto"/>
            </w:tcBorders>
            <w:shd w:val="clear" w:color="auto" w:fill="auto"/>
            <w:noWrap/>
            <w:vAlign w:val="bottom"/>
            <w:hideMark/>
          </w:tcPr>
          <w:p w:rsidR="00033C7D" w:rsidRPr="006352C4" w:rsidRDefault="00033C7D" w:rsidP="00033C7D">
            <w:pPr>
              <w:jc w:val="right"/>
              <w:rPr>
                <w:rFonts w:ascii="Calibri" w:eastAsia="Times New Roman" w:hAnsi="Calibri" w:cs="Times New Roman"/>
                <w:color w:val="000000"/>
                <w:sz w:val="20"/>
                <w:szCs w:val="20"/>
                <w:lang w:val="en-US" w:eastAsia="en-US"/>
              </w:rPr>
            </w:pPr>
            <w:r w:rsidRPr="006352C4">
              <w:rPr>
                <w:rFonts w:ascii="Calibri" w:eastAsia="Times New Roman" w:hAnsi="Calibri" w:cs="Times New Roman"/>
                <w:color w:val="000000"/>
                <w:sz w:val="20"/>
                <w:szCs w:val="20"/>
                <w:lang w:val="en-US" w:eastAsia="en-US"/>
              </w:rPr>
              <w:t>0.90</w:t>
            </w:r>
          </w:p>
        </w:tc>
        <w:tc>
          <w:tcPr>
            <w:tcW w:w="820" w:type="dxa"/>
            <w:tcBorders>
              <w:top w:val="single" w:sz="4" w:space="0" w:color="auto"/>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4.09</w:t>
            </w:r>
          </w:p>
        </w:tc>
        <w:tc>
          <w:tcPr>
            <w:tcW w:w="82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bCs/>
                <w:color w:val="006100"/>
                <w:sz w:val="20"/>
                <w:szCs w:val="20"/>
                <w:lang w:val="en-US" w:eastAsia="en-US"/>
              </w:rPr>
            </w:pPr>
            <w:r w:rsidRPr="00626389">
              <w:rPr>
                <w:rFonts w:ascii="Calibri" w:eastAsia="Times New Roman" w:hAnsi="Calibri" w:cs="Times New Roman"/>
                <w:bCs/>
                <w:color w:val="006100"/>
                <w:sz w:val="20"/>
                <w:szCs w:val="20"/>
                <w:lang w:val="en-US" w:eastAsia="en-US"/>
              </w:rPr>
              <w:t>2.04</w:t>
            </w:r>
          </w:p>
        </w:tc>
        <w:tc>
          <w:tcPr>
            <w:tcW w:w="820" w:type="dxa"/>
            <w:tcBorders>
              <w:top w:val="single" w:sz="4" w:space="0" w:color="auto"/>
              <w:left w:val="single" w:sz="4" w:space="0" w:color="auto"/>
              <w:bottom w:val="single" w:sz="4"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1.19</w:t>
            </w:r>
          </w:p>
        </w:tc>
        <w:tc>
          <w:tcPr>
            <w:tcW w:w="820" w:type="dxa"/>
            <w:tcBorders>
              <w:top w:val="single" w:sz="4" w:space="0" w:color="auto"/>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5.11</w:t>
            </w:r>
          </w:p>
        </w:tc>
        <w:tc>
          <w:tcPr>
            <w:tcW w:w="82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2.54</w:t>
            </w:r>
          </w:p>
        </w:tc>
        <w:tc>
          <w:tcPr>
            <w:tcW w:w="820" w:type="dxa"/>
            <w:tcBorders>
              <w:top w:val="single" w:sz="4" w:space="0" w:color="auto"/>
              <w:left w:val="single" w:sz="4" w:space="0" w:color="auto"/>
              <w:bottom w:val="single" w:sz="4"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1.49</w:t>
            </w:r>
          </w:p>
        </w:tc>
      </w:tr>
      <w:tr w:rsidR="00091330" w:rsidRPr="00626389" w:rsidTr="00F22DA2">
        <w:trPr>
          <w:trHeight w:val="315"/>
          <w:jc w:val="center"/>
        </w:trPr>
        <w:tc>
          <w:tcPr>
            <w:tcW w:w="800" w:type="dxa"/>
            <w:vMerge/>
            <w:tcBorders>
              <w:top w:val="nil"/>
              <w:left w:val="single" w:sz="8" w:space="0" w:color="auto"/>
              <w:bottom w:val="single" w:sz="8" w:space="0" w:color="000000"/>
              <w:right w:val="nil"/>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1500" w:type="dxa"/>
            <w:tcBorders>
              <w:top w:val="nil"/>
              <w:left w:val="single" w:sz="8" w:space="0" w:color="auto"/>
              <w:bottom w:val="single" w:sz="8" w:space="0" w:color="auto"/>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High</w:t>
            </w:r>
          </w:p>
        </w:tc>
        <w:tc>
          <w:tcPr>
            <w:tcW w:w="820" w:type="dxa"/>
            <w:tcBorders>
              <w:top w:val="single" w:sz="4" w:space="0" w:color="auto"/>
              <w:left w:val="single" w:sz="8" w:space="0" w:color="auto"/>
              <w:bottom w:val="single" w:sz="8" w:space="0" w:color="auto"/>
              <w:right w:val="single" w:sz="4" w:space="0" w:color="auto"/>
            </w:tcBorders>
            <w:shd w:val="clear" w:color="000000" w:fill="C6EFCE"/>
            <w:noWrap/>
            <w:vAlign w:val="bottom"/>
            <w:hideMark/>
          </w:tcPr>
          <w:p w:rsidR="00033C7D" w:rsidRPr="006352C4" w:rsidRDefault="00033C7D" w:rsidP="00033C7D">
            <w:pPr>
              <w:jc w:val="right"/>
              <w:rPr>
                <w:rFonts w:ascii="Calibri" w:eastAsia="Times New Roman" w:hAnsi="Calibri" w:cs="Times New Roman"/>
                <w:color w:val="006100"/>
                <w:sz w:val="20"/>
                <w:szCs w:val="20"/>
                <w:lang w:val="en-US" w:eastAsia="en-US"/>
              </w:rPr>
            </w:pPr>
            <w:r w:rsidRPr="006352C4">
              <w:rPr>
                <w:rFonts w:ascii="Calibri" w:eastAsia="Times New Roman" w:hAnsi="Calibri" w:cs="Times New Roman"/>
                <w:color w:val="006100"/>
                <w:sz w:val="20"/>
                <w:szCs w:val="20"/>
                <w:lang w:val="en-US" w:eastAsia="en-US"/>
              </w:rPr>
              <w:t>4.09</w:t>
            </w:r>
          </w:p>
        </w:tc>
        <w:tc>
          <w:tcPr>
            <w:tcW w:w="820" w:type="dxa"/>
            <w:tcBorders>
              <w:top w:val="single" w:sz="4" w:space="0" w:color="auto"/>
              <w:left w:val="single" w:sz="4" w:space="0" w:color="auto"/>
              <w:bottom w:val="single" w:sz="8" w:space="0" w:color="auto"/>
              <w:right w:val="single" w:sz="4" w:space="0" w:color="auto"/>
            </w:tcBorders>
            <w:shd w:val="clear" w:color="000000" w:fill="C6EFCE"/>
            <w:noWrap/>
            <w:vAlign w:val="bottom"/>
            <w:hideMark/>
          </w:tcPr>
          <w:p w:rsidR="00033C7D" w:rsidRPr="006352C4" w:rsidRDefault="00033C7D" w:rsidP="00033C7D">
            <w:pPr>
              <w:jc w:val="right"/>
              <w:rPr>
                <w:rFonts w:ascii="Calibri" w:eastAsia="Times New Roman" w:hAnsi="Calibri" w:cs="Times New Roman"/>
                <w:color w:val="006100"/>
                <w:sz w:val="20"/>
                <w:szCs w:val="20"/>
                <w:lang w:val="en-US" w:eastAsia="en-US"/>
              </w:rPr>
            </w:pPr>
            <w:r w:rsidRPr="006352C4">
              <w:rPr>
                <w:rFonts w:ascii="Calibri" w:eastAsia="Times New Roman" w:hAnsi="Calibri" w:cs="Times New Roman"/>
                <w:color w:val="006100"/>
                <w:sz w:val="20"/>
                <w:szCs w:val="20"/>
                <w:lang w:val="en-US" w:eastAsia="en-US"/>
              </w:rPr>
              <w:t>2.04</w:t>
            </w:r>
          </w:p>
        </w:tc>
        <w:tc>
          <w:tcPr>
            <w:tcW w:w="820" w:type="dxa"/>
            <w:tcBorders>
              <w:top w:val="single" w:sz="4" w:space="0" w:color="auto"/>
              <w:left w:val="single" w:sz="4" w:space="0" w:color="auto"/>
              <w:bottom w:val="single" w:sz="8" w:space="0" w:color="auto"/>
              <w:right w:val="single" w:sz="8" w:space="0" w:color="auto"/>
            </w:tcBorders>
            <w:shd w:val="clear" w:color="000000" w:fill="C6EFCE"/>
            <w:noWrap/>
            <w:vAlign w:val="bottom"/>
            <w:hideMark/>
          </w:tcPr>
          <w:p w:rsidR="00033C7D" w:rsidRPr="006352C4" w:rsidRDefault="00033C7D" w:rsidP="00033C7D">
            <w:pPr>
              <w:jc w:val="right"/>
              <w:rPr>
                <w:rFonts w:ascii="Calibri" w:eastAsia="Times New Roman" w:hAnsi="Calibri" w:cs="Times New Roman"/>
                <w:color w:val="006100"/>
                <w:sz w:val="20"/>
                <w:szCs w:val="20"/>
                <w:lang w:val="en-US" w:eastAsia="en-US"/>
              </w:rPr>
            </w:pPr>
            <w:r w:rsidRPr="006352C4">
              <w:rPr>
                <w:rFonts w:ascii="Calibri" w:eastAsia="Times New Roman" w:hAnsi="Calibri" w:cs="Times New Roman"/>
                <w:color w:val="006100"/>
                <w:sz w:val="20"/>
                <w:szCs w:val="20"/>
                <w:lang w:val="en-US" w:eastAsia="en-US"/>
              </w:rPr>
              <w:t>1.19</w:t>
            </w:r>
            <w:bookmarkStart w:id="8" w:name="_GoBack"/>
            <w:bookmarkEnd w:id="8"/>
          </w:p>
        </w:tc>
        <w:tc>
          <w:tcPr>
            <w:tcW w:w="820" w:type="dxa"/>
            <w:tcBorders>
              <w:top w:val="single" w:sz="4" w:space="0" w:color="auto"/>
              <w:left w:val="single" w:sz="8"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5.45</w:t>
            </w:r>
          </w:p>
        </w:tc>
        <w:tc>
          <w:tcPr>
            <w:tcW w:w="820" w:type="dxa"/>
            <w:tcBorders>
              <w:top w:val="single" w:sz="4" w:space="0" w:color="auto"/>
              <w:left w:val="single" w:sz="4"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2.71</w:t>
            </w:r>
          </w:p>
        </w:tc>
        <w:tc>
          <w:tcPr>
            <w:tcW w:w="820" w:type="dxa"/>
            <w:tcBorders>
              <w:top w:val="single" w:sz="4" w:space="0" w:color="auto"/>
              <w:left w:val="single" w:sz="4" w:space="0" w:color="auto"/>
              <w:bottom w:val="single" w:sz="8"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1.59</w:t>
            </w:r>
          </w:p>
        </w:tc>
        <w:tc>
          <w:tcPr>
            <w:tcW w:w="820" w:type="dxa"/>
            <w:tcBorders>
              <w:top w:val="single" w:sz="4" w:space="0" w:color="auto"/>
              <w:left w:val="single" w:sz="8"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6.81</w:t>
            </w:r>
          </w:p>
        </w:tc>
        <w:tc>
          <w:tcPr>
            <w:tcW w:w="820" w:type="dxa"/>
            <w:tcBorders>
              <w:top w:val="single" w:sz="4" w:space="0" w:color="auto"/>
              <w:left w:val="single" w:sz="4"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3.39</w:t>
            </w:r>
          </w:p>
        </w:tc>
        <w:tc>
          <w:tcPr>
            <w:tcW w:w="820" w:type="dxa"/>
            <w:tcBorders>
              <w:top w:val="single" w:sz="4" w:space="0" w:color="auto"/>
              <w:left w:val="single" w:sz="4" w:space="0" w:color="auto"/>
              <w:bottom w:val="single" w:sz="8"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1.99</w:t>
            </w:r>
          </w:p>
        </w:tc>
      </w:tr>
      <w:tr w:rsidR="00091330" w:rsidRPr="00626389" w:rsidTr="00F22DA2">
        <w:trPr>
          <w:trHeight w:val="300"/>
          <w:jc w:val="center"/>
        </w:trPr>
        <w:tc>
          <w:tcPr>
            <w:tcW w:w="800" w:type="dxa"/>
            <w:vMerge w:val="restart"/>
            <w:tcBorders>
              <w:top w:val="nil"/>
              <w:left w:val="single" w:sz="8" w:space="0" w:color="auto"/>
              <w:bottom w:val="single" w:sz="8" w:space="0" w:color="000000"/>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High</w:t>
            </w:r>
          </w:p>
        </w:tc>
        <w:tc>
          <w:tcPr>
            <w:tcW w:w="1500" w:type="dxa"/>
            <w:tcBorders>
              <w:top w:val="nil"/>
              <w:left w:val="single" w:sz="8" w:space="0" w:color="auto"/>
              <w:bottom w:val="nil"/>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Low</w:t>
            </w:r>
          </w:p>
        </w:tc>
        <w:tc>
          <w:tcPr>
            <w:tcW w:w="820" w:type="dxa"/>
            <w:tcBorders>
              <w:top w:val="nil"/>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2.72</w:t>
            </w:r>
          </w:p>
        </w:tc>
        <w:tc>
          <w:tcPr>
            <w:tcW w:w="820" w:type="dxa"/>
            <w:tcBorders>
              <w:top w:val="nil"/>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1.36</w:t>
            </w:r>
          </w:p>
        </w:tc>
        <w:tc>
          <w:tcPr>
            <w:tcW w:w="820" w:type="dxa"/>
            <w:tcBorders>
              <w:top w:val="nil"/>
              <w:left w:val="nil"/>
              <w:bottom w:val="single" w:sz="4" w:space="0" w:color="auto"/>
              <w:right w:val="single" w:sz="8" w:space="0" w:color="auto"/>
            </w:tcBorders>
            <w:shd w:val="clear" w:color="auto" w:fill="auto"/>
            <w:noWrap/>
            <w:vAlign w:val="bottom"/>
            <w:hideMark/>
          </w:tcPr>
          <w:p w:rsidR="00033C7D" w:rsidRPr="00626389" w:rsidRDefault="00033C7D" w:rsidP="00033C7D">
            <w:pPr>
              <w:jc w:val="right"/>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0.80</w:t>
            </w:r>
          </w:p>
        </w:tc>
        <w:tc>
          <w:tcPr>
            <w:tcW w:w="820" w:type="dxa"/>
            <w:tcBorders>
              <w:top w:val="nil"/>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3.63</w:t>
            </w:r>
          </w:p>
        </w:tc>
        <w:tc>
          <w:tcPr>
            <w:tcW w:w="820" w:type="dxa"/>
            <w:tcBorders>
              <w:top w:val="nil"/>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1.81</w:t>
            </w:r>
          </w:p>
        </w:tc>
        <w:tc>
          <w:tcPr>
            <w:tcW w:w="820" w:type="dxa"/>
            <w:tcBorders>
              <w:top w:val="nil"/>
              <w:left w:val="single" w:sz="4" w:space="0" w:color="auto"/>
              <w:bottom w:val="single" w:sz="4"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1.06</w:t>
            </w:r>
          </w:p>
        </w:tc>
        <w:tc>
          <w:tcPr>
            <w:tcW w:w="820" w:type="dxa"/>
            <w:tcBorders>
              <w:top w:val="nil"/>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4.54</w:t>
            </w:r>
          </w:p>
        </w:tc>
        <w:tc>
          <w:tcPr>
            <w:tcW w:w="820" w:type="dxa"/>
            <w:tcBorders>
              <w:top w:val="nil"/>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2.26</w:t>
            </w:r>
          </w:p>
        </w:tc>
        <w:tc>
          <w:tcPr>
            <w:tcW w:w="820" w:type="dxa"/>
            <w:tcBorders>
              <w:top w:val="nil"/>
              <w:left w:val="single" w:sz="4" w:space="0" w:color="auto"/>
              <w:bottom w:val="single" w:sz="4"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1.33</w:t>
            </w:r>
          </w:p>
        </w:tc>
      </w:tr>
      <w:tr w:rsidR="00091330" w:rsidRPr="00626389" w:rsidTr="00F22DA2">
        <w:trPr>
          <w:trHeight w:val="300"/>
          <w:jc w:val="center"/>
        </w:trPr>
        <w:tc>
          <w:tcPr>
            <w:tcW w:w="800" w:type="dxa"/>
            <w:vMerge/>
            <w:tcBorders>
              <w:top w:val="nil"/>
              <w:left w:val="single" w:sz="8" w:space="0" w:color="auto"/>
              <w:bottom w:val="single" w:sz="8" w:space="0" w:color="000000"/>
              <w:right w:val="nil"/>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1500" w:type="dxa"/>
            <w:tcBorders>
              <w:top w:val="nil"/>
              <w:left w:val="single" w:sz="8" w:space="0" w:color="auto"/>
              <w:bottom w:val="nil"/>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Moderate</w:t>
            </w:r>
          </w:p>
        </w:tc>
        <w:tc>
          <w:tcPr>
            <w:tcW w:w="820" w:type="dxa"/>
            <w:tcBorders>
              <w:top w:val="single" w:sz="4" w:space="0" w:color="auto"/>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4.09</w:t>
            </w:r>
          </w:p>
        </w:tc>
        <w:tc>
          <w:tcPr>
            <w:tcW w:w="82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bCs/>
                <w:color w:val="006100"/>
                <w:sz w:val="20"/>
                <w:szCs w:val="20"/>
                <w:lang w:val="en-US" w:eastAsia="en-US"/>
              </w:rPr>
            </w:pPr>
            <w:r w:rsidRPr="00626389">
              <w:rPr>
                <w:rFonts w:ascii="Calibri" w:eastAsia="Times New Roman" w:hAnsi="Calibri" w:cs="Times New Roman"/>
                <w:bCs/>
                <w:color w:val="006100"/>
                <w:sz w:val="20"/>
                <w:szCs w:val="20"/>
                <w:lang w:val="en-US" w:eastAsia="en-US"/>
              </w:rPr>
              <w:t>2.04</w:t>
            </w:r>
          </w:p>
        </w:tc>
        <w:tc>
          <w:tcPr>
            <w:tcW w:w="820" w:type="dxa"/>
            <w:tcBorders>
              <w:top w:val="single" w:sz="4" w:space="0" w:color="auto"/>
              <w:left w:val="single" w:sz="4" w:space="0" w:color="auto"/>
              <w:bottom w:val="single" w:sz="4"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1.19</w:t>
            </w:r>
          </w:p>
        </w:tc>
        <w:tc>
          <w:tcPr>
            <w:tcW w:w="820" w:type="dxa"/>
            <w:tcBorders>
              <w:top w:val="single" w:sz="4" w:space="0" w:color="auto"/>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5.45</w:t>
            </w:r>
          </w:p>
        </w:tc>
        <w:tc>
          <w:tcPr>
            <w:tcW w:w="82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bCs/>
                <w:color w:val="006100"/>
                <w:sz w:val="20"/>
                <w:szCs w:val="20"/>
                <w:lang w:val="en-US" w:eastAsia="en-US"/>
              </w:rPr>
            </w:pPr>
            <w:r w:rsidRPr="00626389">
              <w:rPr>
                <w:rFonts w:ascii="Calibri" w:eastAsia="Times New Roman" w:hAnsi="Calibri" w:cs="Times New Roman"/>
                <w:bCs/>
                <w:color w:val="006100"/>
                <w:sz w:val="20"/>
                <w:szCs w:val="20"/>
                <w:lang w:val="en-US" w:eastAsia="en-US"/>
              </w:rPr>
              <w:t>2.71</w:t>
            </w:r>
          </w:p>
        </w:tc>
        <w:tc>
          <w:tcPr>
            <w:tcW w:w="820" w:type="dxa"/>
            <w:tcBorders>
              <w:top w:val="single" w:sz="4" w:space="0" w:color="auto"/>
              <w:left w:val="single" w:sz="4" w:space="0" w:color="auto"/>
              <w:bottom w:val="single" w:sz="4"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1.59</w:t>
            </w:r>
          </w:p>
        </w:tc>
        <w:tc>
          <w:tcPr>
            <w:tcW w:w="820" w:type="dxa"/>
            <w:tcBorders>
              <w:top w:val="single" w:sz="4" w:space="0" w:color="auto"/>
              <w:left w:val="single" w:sz="8"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6.81</w:t>
            </w:r>
          </w:p>
        </w:tc>
        <w:tc>
          <w:tcPr>
            <w:tcW w:w="82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3.39</w:t>
            </w:r>
          </w:p>
        </w:tc>
        <w:tc>
          <w:tcPr>
            <w:tcW w:w="820" w:type="dxa"/>
            <w:tcBorders>
              <w:top w:val="single" w:sz="4" w:space="0" w:color="auto"/>
              <w:left w:val="single" w:sz="4" w:space="0" w:color="auto"/>
              <w:bottom w:val="single" w:sz="4"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1.99</w:t>
            </w:r>
          </w:p>
        </w:tc>
      </w:tr>
      <w:tr w:rsidR="00091330" w:rsidRPr="00626389" w:rsidTr="00F22DA2">
        <w:trPr>
          <w:trHeight w:val="315"/>
          <w:jc w:val="center"/>
        </w:trPr>
        <w:tc>
          <w:tcPr>
            <w:tcW w:w="800" w:type="dxa"/>
            <w:vMerge/>
            <w:tcBorders>
              <w:top w:val="nil"/>
              <w:left w:val="single" w:sz="8" w:space="0" w:color="auto"/>
              <w:bottom w:val="single" w:sz="8" w:space="0" w:color="000000"/>
              <w:right w:val="nil"/>
            </w:tcBorders>
            <w:vAlign w:val="center"/>
            <w:hideMark/>
          </w:tcPr>
          <w:p w:rsidR="00033C7D" w:rsidRPr="00626389" w:rsidRDefault="00033C7D" w:rsidP="00033C7D">
            <w:pPr>
              <w:rPr>
                <w:rFonts w:ascii="Calibri" w:eastAsia="Times New Roman" w:hAnsi="Calibri" w:cs="Times New Roman"/>
                <w:color w:val="000000"/>
                <w:sz w:val="20"/>
                <w:szCs w:val="20"/>
                <w:lang w:val="en-US" w:eastAsia="en-US"/>
              </w:rPr>
            </w:pPr>
          </w:p>
        </w:tc>
        <w:tc>
          <w:tcPr>
            <w:tcW w:w="1500" w:type="dxa"/>
            <w:tcBorders>
              <w:top w:val="nil"/>
              <w:left w:val="single" w:sz="8" w:space="0" w:color="auto"/>
              <w:bottom w:val="single" w:sz="8" w:space="0" w:color="auto"/>
              <w:right w:val="nil"/>
            </w:tcBorders>
            <w:shd w:val="clear" w:color="auto" w:fill="auto"/>
            <w:vAlign w:val="center"/>
            <w:hideMark/>
          </w:tcPr>
          <w:p w:rsidR="00033C7D" w:rsidRPr="00626389" w:rsidRDefault="00033C7D" w:rsidP="00033C7D">
            <w:pPr>
              <w:jc w:val="center"/>
              <w:rPr>
                <w:rFonts w:ascii="Calibri" w:eastAsia="Times New Roman" w:hAnsi="Calibri" w:cs="Times New Roman"/>
                <w:color w:val="000000"/>
                <w:sz w:val="20"/>
                <w:szCs w:val="20"/>
                <w:lang w:val="en-US" w:eastAsia="en-US"/>
              </w:rPr>
            </w:pPr>
            <w:r w:rsidRPr="00626389">
              <w:rPr>
                <w:rFonts w:ascii="Calibri" w:eastAsia="Times New Roman" w:hAnsi="Calibri" w:cs="Times New Roman"/>
                <w:color w:val="000000"/>
                <w:sz w:val="20"/>
                <w:szCs w:val="20"/>
                <w:lang w:val="en-US" w:eastAsia="en-US"/>
              </w:rPr>
              <w:t>High</w:t>
            </w:r>
          </w:p>
        </w:tc>
        <w:tc>
          <w:tcPr>
            <w:tcW w:w="820" w:type="dxa"/>
            <w:tcBorders>
              <w:top w:val="single" w:sz="4" w:space="0" w:color="auto"/>
              <w:left w:val="single" w:sz="8"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5.45</w:t>
            </w:r>
          </w:p>
        </w:tc>
        <w:tc>
          <w:tcPr>
            <w:tcW w:w="820" w:type="dxa"/>
            <w:tcBorders>
              <w:top w:val="single" w:sz="4" w:space="0" w:color="auto"/>
              <w:left w:val="single" w:sz="4"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2.71</w:t>
            </w:r>
          </w:p>
        </w:tc>
        <w:tc>
          <w:tcPr>
            <w:tcW w:w="820" w:type="dxa"/>
            <w:tcBorders>
              <w:top w:val="single" w:sz="4" w:space="0" w:color="auto"/>
              <w:left w:val="single" w:sz="4" w:space="0" w:color="auto"/>
              <w:bottom w:val="single" w:sz="8"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1.59</w:t>
            </w:r>
          </w:p>
        </w:tc>
        <w:tc>
          <w:tcPr>
            <w:tcW w:w="820" w:type="dxa"/>
            <w:tcBorders>
              <w:top w:val="single" w:sz="4" w:space="0" w:color="auto"/>
              <w:left w:val="single" w:sz="8"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5.45</w:t>
            </w:r>
          </w:p>
        </w:tc>
        <w:tc>
          <w:tcPr>
            <w:tcW w:w="820" w:type="dxa"/>
            <w:tcBorders>
              <w:top w:val="single" w:sz="4" w:space="0" w:color="auto"/>
              <w:left w:val="single" w:sz="4"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3.62</w:t>
            </w:r>
          </w:p>
        </w:tc>
        <w:tc>
          <w:tcPr>
            <w:tcW w:w="820" w:type="dxa"/>
            <w:tcBorders>
              <w:top w:val="single" w:sz="4" w:space="0" w:color="auto"/>
              <w:left w:val="single" w:sz="4" w:space="0" w:color="auto"/>
              <w:bottom w:val="single" w:sz="8"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2.12</w:t>
            </w:r>
          </w:p>
        </w:tc>
        <w:tc>
          <w:tcPr>
            <w:tcW w:w="820" w:type="dxa"/>
            <w:tcBorders>
              <w:top w:val="single" w:sz="4" w:space="0" w:color="auto"/>
              <w:left w:val="single" w:sz="8"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9.08</w:t>
            </w:r>
          </w:p>
        </w:tc>
        <w:tc>
          <w:tcPr>
            <w:tcW w:w="820" w:type="dxa"/>
            <w:tcBorders>
              <w:top w:val="single" w:sz="4" w:space="0" w:color="auto"/>
              <w:left w:val="single" w:sz="4" w:space="0" w:color="auto"/>
              <w:bottom w:val="single" w:sz="8" w:space="0" w:color="auto"/>
              <w:right w:val="single" w:sz="4"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4.52</w:t>
            </w:r>
          </w:p>
        </w:tc>
        <w:tc>
          <w:tcPr>
            <w:tcW w:w="820" w:type="dxa"/>
            <w:tcBorders>
              <w:top w:val="single" w:sz="4" w:space="0" w:color="auto"/>
              <w:left w:val="single" w:sz="4" w:space="0" w:color="auto"/>
              <w:bottom w:val="single" w:sz="8" w:space="0" w:color="auto"/>
              <w:right w:val="single" w:sz="8" w:space="0" w:color="auto"/>
            </w:tcBorders>
            <w:shd w:val="clear" w:color="000000" w:fill="C6EFCE"/>
            <w:noWrap/>
            <w:vAlign w:val="bottom"/>
            <w:hideMark/>
          </w:tcPr>
          <w:p w:rsidR="00033C7D" w:rsidRPr="00626389" w:rsidRDefault="00033C7D" w:rsidP="00033C7D">
            <w:pPr>
              <w:jc w:val="right"/>
              <w:rPr>
                <w:rFonts w:ascii="Calibri" w:eastAsia="Times New Roman" w:hAnsi="Calibri" w:cs="Times New Roman"/>
                <w:color w:val="006100"/>
                <w:sz w:val="20"/>
                <w:szCs w:val="20"/>
                <w:lang w:val="en-US" w:eastAsia="en-US"/>
              </w:rPr>
            </w:pPr>
            <w:r w:rsidRPr="00626389">
              <w:rPr>
                <w:rFonts w:ascii="Calibri" w:eastAsia="Times New Roman" w:hAnsi="Calibri" w:cs="Times New Roman"/>
                <w:color w:val="006100"/>
                <w:sz w:val="20"/>
                <w:szCs w:val="20"/>
                <w:lang w:val="en-US" w:eastAsia="en-US"/>
              </w:rPr>
              <w:t>2.65</w:t>
            </w:r>
          </w:p>
        </w:tc>
      </w:tr>
    </w:tbl>
    <w:p w:rsidR="00873D2A" w:rsidRPr="007A0F6F" w:rsidRDefault="00873D2A" w:rsidP="00873D2A">
      <w:pPr>
        <w:autoSpaceDE w:val="0"/>
        <w:autoSpaceDN w:val="0"/>
        <w:adjustRightInd w:val="0"/>
        <w:jc w:val="both"/>
        <w:rPr>
          <w:rFonts w:ascii="Arial" w:eastAsia="Times New Roman" w:hAnsi="Arial" w:cs="Arial"/>
          <w:bCs/>
          <w:kern w:val="32"/>
          <w:lang w:val="en-US"/>
        </w:rPr>
      </w:pPr>
    </w:p>
    <w:p w:rsidR="00E326C3" w:rsidRPr="00364A1A" w:rsidRDefault="00A72F62" w:rsidP="00E326C3">
      <w:pPr>
        <w:jc w:val="both"/>
        <w:rPr>
          <w:rFonts w:ascii="Arial" w:eastAsia="Times New Roman" w:hAnsi="Arial" w:cs="Arial"/>
          <w:bCs/>
          <w:color w:val="222222"/>
          <w:lang w:val="en-US"/>
        </w:rPr>
      </w:pPr>
      <w:r w:rsidRPr="007A0F6F">
        <w:rPr>
          <w:rFonts w:ascii="Arial" w:hAnsi="Arial" w:cs="Arial"/>
          <w:lang w:val="en-US"/>
        </w:rPr>
        <w:br w:type="page"/>
      </w:r>
    </w:p>
    <w:p w:rsidR="00E326C3" w:rsidRPr="00A93E29" w:rsidRDefault="00E326C3" w:rsidP="00E326C3">
      <w:pPr>
        <w:jc w:val="both"/>
        <w:rPr>
          <w:rFonts w:ascii="Arial" w:hAnsi="Arial" w:cs="Arial"/>
          <w:b/>
          <w:lang w:val="pt-BR"/>
        </w:rPr>
      </w:pPr>
      <w:r w:rsidRPr="00A93E29">
        <w:rPr>
          <w:rFonts w:ascii="Arial" w:hAnsi="Arial" w:cs="Arial"/>
          <w:b/>
          <w:lang w:val="pt-BR"/>
        </w:rPr>
        <w:lastRenderedPageBreak/>
        <w:t>Referenc</w:t>
      </w:r>
      <w:r w:rsidR="00091330" w:rsidRPr="00A93E29">
        <w:rPr>
          <w:rFonts w:ascii="Arial" w:hAnsi="Arial" w:cs="Arial"/>
          <w:b/>
          <w:lang w:val="pt-BR"/>
        </w:rPr>
        <w:t>e</w:t>
      </w:r>
      <w:r w:rsidRPr="00A93E29">
        <w:rPr>
          <w:rFonts w:ascii="Arial" w:hAnsi="Arial" w:cs="Arial"/>
          <w:b/>
          <w:lang w:val="pt-BR"/>
        </w:rPr>
        <w:t>s</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sz w:val="22"/>
          <w:szCs w:val="22"/>
        </w:rPr>
        <w:fldChar w:fldCharType="begin" w:fldLock="1"/>
      </w:r>
      <w:r w:rsidRPr="00A93E29">
        <w:rPr>
          <w:rFonts w:ascii="Arial" w:hAnsi="Arial" w:cs="Arial"/>
          <w:sz w:val="22"/>
          <w:szCs w:val="22"/>
          <w:lang w:val="pt-BR"/>
        </w:rPr>
        <w:instrText xml:space="preserve">ADDIN Mendeley Bibliography CSL_BIBLIOGRAPHY </w:instrText>
      </w:r>
      <w:r w:rsidRPr="00A93E29">
        <w:rPr>
          <w:rFonts w:ascii="Arial" w:hAnsi="Arial" w:cs="Arial"/>
          <w:sz w:val="22"/>
          <w:szCs w:val="22"/>
        </w:rPr>
        <w:fldChar w:fldCharType="separate"/>
      </w:r>
      <w:r w:rsidRPr="00A93E29">
        <w:rPr>
          <w:rFonts w:ascii="Arial" w:hAnsi="Arial" w:cs="Arial"/>
          <w:noProof/>
          <w:sz w:val="22"/>
          <w:szCs w:val="22"/>
          <w:lang w:val="pt-BR"/>
        </w:rPr>
        <w:t xml:space="preserve">Akresh, R., Walque, D. de, and Kazianga, H. (2012). </w:t>
      </w:r>
      <w:r w:rsidRPr="00A93E29">
        <w:rPr>
          <w:rFonts w:ascii="Arial" w:hAnsi="Arial" w:cs="Arial"/>
          <w:noProof/>
          <w:sz w:val="22"/>
          <w:szCs w:val="22"/>
          <w:lang w:val="en-US"/>
        </w:rPr>
        <w:t xml:space="preserve">Alternative Cash Transfer Delivery Mechanisms: Impacts on Routine Preventative Health Clinic Visits in Burkina Faso. </w:t>
      </w:r>
      <w:r w:rsidRPr="00A93E29">
        <w:rPr>
          <w:rFonts w:ascii="Arial" w:hAnsi="Arial" w:cs="Arial"/>
          <w:i/>
          <w:iCs/>
          <w:noProof/>
          <w:sz w:val="22"/>
          <w:szCs w:val="22"/>
          <w:lang w:val="en-US"/>
        </w:rPr>
        <w:t>NBER Working Paper Series</w:t>
      </w:r>
      <w:r w:rsidRPr="00A93E29">
        <w:rPr>
          <w:rFonts w:ascii="Arial" w:hAnsi="Arial" w:cs="Arial"/>
          <w:noProof/>
          <w:sz w:val="22"/>
          <w:szCs w:val="22"/>
          <w:lang w:val="en-US"/>
        </w:rPr>
        <w:t>, (W 17785). Retrieved from http://www.nber.org/papers/w17785</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Alzúa, M., Cruces, G., and Ripani, L. (2010). Welfare programs and labor supply in developing countries . Experimental evidence from Latin America Welfare programs and labor supply in developing countries: Experimental evidence from Latin America. </w:t>
      </w:r>
      <w:r w:rsidRPr="00A93E29">
        <w:rPr>
          <w:rFonts w:ascii="Arial" w:hAnsi="Arial" w:cs="Arial"/>
          <w:i/>
          <w:iCs/>
          <w:noProof/>
          <w:sz w:val="22"/>
          <w:szCs w:val="22"/>
          <w:lang w:val="en-US"/>
        </w:rPr>
        <w:t>CEDLAS, Working Papers</w:t>
      </w:r>
      <w:r w:rsidRPr="00A93E29">
        <w:rPr>
          <w:rFonts w:ascii="Arial" w:hAnsi="Arial" w:cs="Arial"/>
          <w:noProof/>
          <w:sz w:val="22"/>
          <w:szCs w:val="22"/>
          <w:lang w:val="en-US"/>
        </w:rPr>
        <w:t>, (0095). Retrieved from http://www.chronicpoverty.org/uploads/publication_files/alzua_cruces_ripani_labour.pdf</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pt-BR"/>
        </w:rPr>
        <w:t xml:space="preserve">Amarante, V., Manacorda, M., Vigorito, A., and Zerpa, M. (2011). </w:t>
      </w:r>
      <w:r w:rsidRPr="00A93E29">
        <w:rPr>
          <w:rFonts w:ascii="Arial" w:hAnsi="Arial" w:cs="Arial"/>
          <w:noProof/>
          <w:sz w:val="22"/>
          <w:szCs w:val="22"/>
          <w:lang w:val="en-US"/>
        </w:rPr>
        <w:t>Social Assistance and Labor Market Outcomes: Evidence from the Uruguayan PANES. Retrieved from http://publications.iadb.org/handle/11319/5853</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Baird, S., McIntosh, C., and Özler, B. (2011). Cash or Condition? Evidence from a Cash Transfer Experiment. </w:t>
      </w:r>
      <w:r w:rsidRPr="00A93E29">
        <w:rPr>
          <w:rFonts w:ascii="Arial" w:hAnsi="Arial" w:cs="Arial"/>
          <w:i/>
          <w:iCs/>
          <w:noProof/>
          <w:sz w:val="22"/>
          <w:szCs w:val="22"/>
          <w:lang w:val="en-US"/>
        </w:rPr>
        <w:t>The Quarterly Journal of Economics</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126</w:t>
      </w:r>
      <w:r w:rsidRPr="00A93E29">
        <w:rPr>
          <w:rFonts w:ascii="Arial" w:hAnsi="Arial" w:cs="Arial"/>
          <w:noProof/>
          <w:sz w:val="22"/>
          <w:szCs w:val="22"/>
          <w:lang w:val="en-US"/>
        </w:rPr>
        <w:t>(4), 1709–1753. doi:10.1093/qje/qjr032</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Barbosa, A. L. N. de H., and Corseuil, C. H. L. (2014). Conditional cash transfer and informality in Brazil. </w:t>
      </w:r>
      <w:r w:rsidRPr="00A93E29">
        <w:rPr>
          <w:rFonts w:ascii="Arial" w:hAnsi="Arial" w:cs="Arial"/>
          <w:i/>
          <w:iCs/>
          <w:noProof/>
          <w:sz w:val="22"/>
          <w:szCs w:val="22"/>
          <w:lang w:val="en-US"/>
        </w:rPr>
        <w:t>IZA Journal of Labor and Development</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3</w:t>
      </w:r>
      <w:r w:rsidRPr="00A93E29">
        <w:rPr>
          <w:rFonts w:ascii="Arial" w:hAnsi="Arial" w:cs="Arial"/>
          <w:noProof/>
          <w:sz w:val="22"/>
          <w:szCs w:val="22"/>
          <w:lang w:val="en-US"/>
        </w:rPr>
        <w:t>(1), 37. doi:10.1186/s40175-014-0024-0</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Barham, T., Macours, K., and Maluccio, J. A. (2014). Schooling, Learning, and Earnings: Effects of a 3-Year Conditional Cash Transfer Program in Nicaragua After 10 Years. Washington DC. Retrieved from http://www.cedlas-er.org/sites/default/files/aux_files/barham-maluccio-macours_.pdf</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Barrientos, A., and Villa, J. M. (2013). Antipoverty transfers and labour force participation effects. </w:t>
      </w:r>
      <w:r w:rsidRPr="00A93E29">
        <w:rPr>
          <w:rFonts w:ascii="Arial" w:hAnsi="Arial" w:cs="Arial"/>
          <w:i/>
          <w:iCs/>
          <w:noProof/>
          <w:sz w:val="22"/>
          <w:szCs w:val="22"/>
          <w:lang w:val="en-US"/>
        </w:rPr>
        <w:t>Brooks World Poverty Institute</w:t>
      </w:r>
      <w:r w:rsidRPr="00A93E29">
        <w:rPr>
          <w:rFonts w:ascii="Arial" w:hAnsi="Arial" w:cs="Arial"/>
          <w:noProof/>
          <w:sz w:val="22"/>
          <w:szCs w:val="22"/>
          <w:lang w:val="en-US"/>
        </w:rPr>
        <w:t>, (185). Retrieved from http://www.bwpi.manchester.ac.uk/medialibrary/publications/working_papers/bwpi-wp-18513.pdf</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Behrman, Jere. (1993). The economic rationale for investing in nutrition in developing countries. World Development, Elsevier, vol. 21(11), pag. 1749-1771, November .</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Becker, Gary S., (1964). Human Capital: A Theoretical and Empirical Analysis, with Special Reference to Education. New York: Columbia University Press.</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Behrman, J. R., Parker, S. W., and Todd, P. E. (2005). Long-Term Impacts of the Oportunidades Conditional Cash Transfer Program on Rural Youth in Mexico. </w:t>
      </w:r>
      <w:r w:rsidRPr="00A93E29">
        <w:rPr>
          <w:rFonts w:ascii="Arial" w:hAnsi="Arial" w:cs="Arial"/>
          <w:i/>
          <w:iCs/>
          <w:noProof/>
          <w:sz w:val="22"/>
          <w:szCs w:val="22"/>
          <w:lang w:val="en-US"/>
        </w:rPr>
        <w:t>Ibero America Institute for Econ. Research (IAI) Discussion Papers</w:t>
      </w:r>
      <w:r w:rsidRPr="00A93E29">
        <w:rPr>
          <w:rFonts w:ascii="Arial" w:hAnsi="Arial" w:cs="Arial"/>
          <w:noProof/>
          <w:sz w:val="22"/>
          <w:szCs w:val="22"/>
          <w:lang w:val="en-US"/>
        </w:rPr>
        <w:t>. Retrieved from http://ideas.repec.org/p/got/iaidps/122.html</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Behrman, J. R., Parker, S. W., and Todd, P. E. (2011). Do Conditional Cash Transfers for Schooling Generate Lasting Benefits?: A Five-Year Followup of PROGRESA/Oportunidades. </w:t>
      </w:r>
      <w:r w:rsidRPr="00A93E29">
        <w:rPr>
          <w:rFonts w:ascii="Arial" w:hAnsi="Arial" w:cs="Arial"/>
          <w:i/>
          <w:iCs/>
          <w:noProof/>
          <w:sz w:val="22"/>
          <w:szCs w:val="22"/>
          <w:lang w:val="en-US"/>
        </w:rPr>
        <w:t>Journal of Human Resources</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46</w:t>
      </w:r>
      <w:r w:rsidRPr="00A93E29">
        <w:rPr>
          <w:rFonts w:ascii="Arial" w:hAnsi="Arial" w:cs="Arial"/>
          <w:noProof/>
          <w:sz w:val="22"/>
          <w:szCs w:val="22"/>
          <w:lang w:val="en-US"/>
        </w:rPr>
        <w:t>, 93–122.</w:t>
      </w:r>
    </w:p>
    <w:p w:rsidR="00FC4FC4" w:rsidRPr="00A93E29" w:rsidRDefault="00FC4FC4" w:rsidP="00E326C3">
      <w:pPr>
        <w:pStyle w:val="NormalWeb"/>
        <w:ind w:left="480" w:hanging="480"/>
        <w:rPr>
          <w:rFonts w:ascii="Arial" w:hAnsi="Arial" w:cs="Arial"/>
          <w:noProof/>
          <w:sz w:val="22"/>
          <w:szCs w:val="22"/>
          <w:lang w:val="en-US"/>
        </w:rPr>
      </w:pPr>
      <w:r w:rsidRPr="00A93E29">
        <w:rPr>
          <w:rFonts w:ascii="Arial" w:hAnsi="Arial" w:cs="Arial"/>
          <w:sz w:val="22"/>
          <w:szCs w:val="22"/>
          <w:lang w:val="en-US"/>
        </w:rPr>
        <w:lastRenderedPageBreak/>
        <w:t>Bettinger, Eric P., Bridget Terry Long, Philip Oreopoulos, and Lisa Sanbonmatsu. (2012). The Role of Application Assistance and Information in College Decisions: Results from the H&amp;R Block FAFSA Experiment. Quarterly Journal of Economics: 1205-1242.</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Benedetti, F., Ibarrarán, P., and McEwan, P. (2014). Do education and health conditions matter in a large cash transfer? Evidence from a Honduran experiment. </w:t>
      </w:r>
      <w:r w:rsidRPr="00A93E29">
        <w:rPr>
          <w:rFonts w:ascii="Arial" w:hAnsi="Arial" w:cs="Arial"/>
          <w:i/>
          <w:iCs/>
          <w:noProof/>
          <w:sz w:val="22"/>
          <w:szCs w:val="22"/>
          <w:lang w:val="en-US"/>
        </w:rPr>
        <w:t>IDB Working Paper Series</w:t>
      </w:r>
      <w:r w:rsidRPr="00A93E29">
        <w:rPr>
          <w:rFonts w:ascii="Arial" w:hAnsi="Arial" w:cs="Arial"/>
          <w:noProof/>
          <w:sz w:val="22"/>
          <w:szCs w:val="22"/>
          <w:lang w:val="en-US"/>
        </w:rPr>
        <w:t>.</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Benhassine, N., Devoto, F., Duflo, E., Dupas, P., and Pouliquen, V. (2014). Turning a Shove into a Nudge? A “Labeled Cash Transfer” for Education. Retrieved from http://www.nber.org/papers/w19227</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Bravo, David et. al (2008). An Econometric Cost-Benefit Analysis of Argentina's Youth Training Program”, Working Papers (Research Network), Inter-American Development Bank, November .</w:t>
      </w:r>
    </w:p>
    <w:p w:rsidR="00E326C3" w:rsidRPr="00A93E29" w:rsidRDefault="00E326C3" w:rsidP="00E326C3">
      <w:pPr>
        <w:spacing w:before="100" w:beforeAutospacing="1" w:after="100" w:afterAutospacing="1"/>
        <w:ind w:left="480" w:hanging="480"/>
        <w:rPr>
          <w:rFonts w:ascii="Arial" w:hAnsi="Arial" w:cs="Arial"/>
          <w:noProof/>
          <w:lang w:val="en-US"/>
        </w:rPr>
      </w:pPr>
      <w:r w:rsidRPr="00A93E29">
        <w:rPr>
          <w:rFonts w:ascii="Arial" w:hAnsi="Arial" w:cs="Arial"/>
          <w:lang w:val="en-US"/>
        </w:rPr>
        <w:t>Bosch, M., Maldonado, R., and Schady, N. (2013). The impact of conditional cash transfers on the labor market in Ecuador. Unpublished manuscript.</w:t>
      </w:r>
      <w:r w:rsidRPr="00A93E29">
        <w:rPr>
          <w:rFonts w:ascii="Arial" w:hAnsi="Arial" w:cs="Arial"/>
          <w:noProof/>
          <w:lang w:val="en-US"/>
        </w:rPr>
        <w:t xml:space="preserve"> Washington DC: Inter-American Development Bank</w:t>
      </w:r>
    </w:p>
    <w:p w:rsidR="00E326C3" w:rsidRPr="00A93E29" w:rsidRDefault="00E326C3" w:rsidP="00E326C3">
      <w:pPr>
        <w:spacing w:before="100" w:beforeAutospacing="1" w:after="100" w:afterAutospacing="1"/>
        <w:ind w:left="480" w:hanging="480"/>
        <w:rPr>
          <w:rFonts w:ascii="Arial" w:hAnsi="Arial" w:cs="Arial"/>
          <w:lang w:val="en-US"/>
        </w:rPr>
      </w:pPr>
      <w:r w:rsidRPr="00A93E29">
        <w:rPr>
          <w:rFonts w:ascii="Arial" w:hAnsi="Arial" w:cs="Arial"/>
          <w:lang w:val="en-US"/>
        </w:rPr>
        <w:t>Caldés, N. and Maluccio, J.(2005) “The cost of conditional cash transfers”, Journal of International Development, vol. 17 (2), pag. 151–168, March.</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De Brauw, A., and Hoddinott, J. (2008). Must Conditional Cash Transfer Programs Be Conditioned to Be Effective? </w:t>
      </w:r>
      <w:r w:rsidRPr="00A93E29">
        <w:rPr>
          <w:rFonts w:ascii="Arial" w:hAnsi="Arial" w:cs="Arial"/>
          <w:i/>
          <w:iCs/>
          <w:noProof/>
          <w:sz w:val="22"/>
          <w:szCs w:val="22"/>
          <w:lang w:val="en-US"/>
        </w:rPr>
        <w:t>International Food Policy Research Institute (IFPRI). Discussion Paper Series</w:t>
      </w:r>
      <w:r w:rsidRPr="00A93E29">
        <w:rPr>
          <w:rFonts w:ascii="Arial" w:hAnsi="Arial" w:cs="Arial"/>
          <w:noProof/>
          <w:sz w:val="22"/>
          <w:szCs w:val="22"/>
          <w:lang w:val="en-US"/>
        </w:rPr>
        <w:t>, (No.757). Retrieved from http://www.ifpri.org/sites/default/files/publications/ifpridp00757.pdf</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Fernald, L. C. H., and Hidrobo, M. (2011). Effect of Ecuador’s cash transfer program (Bono de Desarrollo Humano) on child development in infants and toddlers: a randomized effectiveness trial. </w:t>
      </w:r>
      <w:r w:rsidRPr="00A93E29">
        <w:rPr>
          <w:rFonts w:ascii="Arial" w:hAnsi="Arial" w:cs="Arial"/>
          <w:i/>
          <w:iCs/>
          <w:noProof/>
          <w:sz w:val="22"/>
          <w:szCs w:val="22"/>
          <w:lang w:val="en-US"/>
        </w:rPr>
        <w:t>Social Science and Medicine (1982)</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72</w:t>
      </w:r>
      <w:r w:rsidRPr="00A93E29">
        <w:rPr>
          <w:rFonts w:ascii="Arial" w:hAnsi="Arial" w:cs="Arial"/>
          <w:noProof/>
          <w:sz w:val="22"/>
          <w:szCs w:val="22"/>
          <w:lang w:val="en-US"/>
        </w:rPr>
        <w:t>(9), 1437–46. doi:10.1016/j.socscimed.2011.03.005</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Filmer, D., and Schady, N. (2014). The Medium-Term Effects of Scholarships in a Low-Income Country. </w:t>
      </w:r>
      <w:r w:rsidRPr="00A93E29">
        <w:rPr>
          <w:rFonts w:ascii="Arial" w:hAnsi="Arial" w:cs="Arial"/>
          <w:i/>
          <w:iCs/>
          <w:noProof/>
          <w:sz w:val="22"/>
          <w:szCs w:val="22"/>
          <w:lang w:val="en-US"/>
        </w:rPr>
        <w:t>Journal of Human Resources</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49</w:t>
      </w:r>
      <w:r w:rsidRPr="00A93E29">
        <w:rPr>
          <w:rFonts w:ascii="Arial" w:hAnsi="Arial" w:cs="Arial"/>
          <w:noProof/>
          <w:sz w:val="22"/>
          <w:szCs w:val="22"/>
          <w:lang w:val="en-US"/>
        </w:rPr>
        <w:t>(3), 663–694. doi:10.1353/jhr.2014.0022</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Firpo, S., Pieri, R., Pedroso, E., and Souza, A. P. (2014). Evidence of eligibility manipulation for conditional cash transfer programs. Economia, 15(3), 243–260. doi:10.1016/j.econ.2014.09.001</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Fiszbein, A., and Schady, N. (2009). </w:t>
      </w:r>
      <w:r w:rsidRPr="00A93E29">
        <w:rPr>
          <w:rFonts w:ascii="Arial" w:hAnsi="Arial" w:cs="Arial"/>
          <w:i/>
          <w:iCs/>
          <w:noProof/>
          <w:sz w:val="22"/>
          <w:szCs w:val="22"/>
          <w:lang w:val="en-US"/>
        </w:rPr>
        <w:t>Conditional Cash Transfers: Reducing Present and Future Poverty</w:t>
      </w:r>
      <w:r w:rsidRPr="00A93E29">
        <w:rPr>
          <w:rFonts w:ascii="Arial" w:hAnsi="Arial" w:cs="Arial"/>
          <w:noProof/>
          <w:sz w:val="22"/>
          <w:szCs w:val="22"/>
          <w:lang w:val="en-US"/>
        </w:rPr>
        <w:t>. Washington DC, United States: World Bank. Retrieved from https://openknowledge.worldbank.org/handle/10986/2597</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Gaarder, M., Glassman, A., and Todd, J. (2010). Conditional Cash Transfers and Health: Unpacking the Causal Chain. </w:t>
      </w:r>
      <w:r w:rsidRPr="00A93E29">
        <w:rPr>
          <w:rFonts w:ascii="Arial" w:hAnsi="Arial" w:cs="Arial"/>
          <w:i/>
          <w:iCs/>
          <w:noProof/>
          <w:sz w:val="22"/>
          <w:szCs w:val="22"/>
          <w:lang w:val="en-US"/>
        </w:rPr>
        <w:t>Journal of Development Effectiveness</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2</w:t>
      </w:r>
      <w:r w:rsidRPr="00A93E29">
        <w:rPr>
          <w:rFonts w:ascii="Arial" w:hAnsi="Arial" w:cs="Arial"/>
          <w:noProof/>
          <w:sz w:val="22"/>
          <w:szCs w:val="22"/>
          <w:lang w:val="en-US"/>
        </w:rPr>
        <w:t>(1), 6–50.</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Gabriel, P. and Schmitz. S, “An examination of occupational differences in the returns to market labor experience”, Journal of Business and Economic Research</w:t>
      </w:r>
    </w:p>
    <w:p w:rsidR="00E326C3" w:rsidRPr="00A93E29" w:rsidRDefault="00E326C3" w:rsidP="00E326C3">
      <w:pPr>
        <w:pStyle w:val="NormalWeb"/>
        <w:ind w:left="480" w:hanging="480"/>
        <w:rPr>
          <w:rFonts w:ascii="Arial" w:hAnsi="Arial" w:cs="Arial"/>
          <w:noProof/>
          <w:sz w:val="22"/>
          <w:szCs w:val="22"/>
          <w:lang w:val="es-ES_tradnl"/>
        </w:rPr>
      </w:pPr>
      <w:r w:rsidRPr="00A93E29">
        <w:rPr>
          <w:rFonts w:ascii="Arial" w:hAnsi="Arial" w:cs="Arial"/>
          <w:noProof/>
          <w:sz w:val="22"/>
          <w:szCs w:val="22"/>
          <w:lang w:val="en-US"/>
        </w:rPr>
        <w:lastRenderedPageBreak/>
        <w:t xml:space="preserve">Galiani, S., and McEwan, P. J. (2013). The heterogeneous impact of conditional cash transfers. </w:t>
      </w:r>
      <w:r w:rsidRPr="00A93E29">
        <w:rPr>
          <w:rFonts w:ascii="Arial" w:hAnsi="Arial" w:cs="Arial"/>
          <w:i/>
          <w:iCs/>
          <w:noProof/>
          <w:sz w:val="22"/>
          <w:szCs w:val="22"/>
          <w:lang w:val="es-ES_tradnl"/>
        </w:rPr>
        <w:t>Journal of Public Economics</w:t>
      </w:r>
      <w:r w:rsidRPr="00A93E29">
        <w:rPr>
          <w:rFonts w:ascii="Arial" w:hAnsi="Arial" w:cs="Arial"/>
          <w:noProof/>
          <w:sz w:val="22"/>
          <w:szCs w:val="22"/>
          <w:lang w:val="es-ES_tradnl"/>
        </w:rPr>
        <w:t xml:space="preserve">, </w:t>
      </w:r>
      <w:r w:rsidRPr="00A93E29">
        <w:rPr>
          <w:rFonts w:ascii="Arial" w:hAnsi="Arial" w:cs="Arial"/>
          <w:i/>
          <w:iCs/>
          <w:noProof/>
          <w:sz w:val="22"/>
          <w:szCs w:val="22"/>
          <w:lang w:val="es-ES_tradnl"/>
        </w:rPr>
        <w:t>103</w:t>
      </w:r>
      <w:r w:rsidRPr="00A93E29">
        <w:rPr>
          <w:rFonts w:ascii="Arial" w:hAnsi="Arial" w:cs="Arial"/>
          <w:noProof/>
          <w:sz w:val="22"/>
          <w:szCs w:val="22"/>
          <w:lang w:val="es-ES_tradnl"/>
        </w:rPr>
        <w:t>, 85–96. doi:10.1016/j.jpubeco.2013.04.004</w:t>
      </w:r>
    </w:p>
    <w:p w:rsidR="00E326C3" w:rsidRPr="00A93E29" w:rsidRDefault="00E326C3" w:rsidP="00E326C3">
      <w:pPr>
        <w:pStyle w:val="NormalWeb"/>
        <w:ind w:left="480" w:hanging="480"/>
        <w:rPr>
          <w:rFonts w:ascii="Arial" w:hAnsi="Arial" w:cs="Arial"/>
          <w:noProof/>
          <w:sz w:val="22"/>
          <w:szCs w:val="22"/>
          <w:lang w:val="es-ES_tradnl"/>
        </w:rPr>
      </w:pPr>
      <w:r w:rsidRPr="00A93E29">
        <w:rPr>
          <w:rFonts w:ascii="Arial" w:hAnsi="Arial" w:cs="Arial"/>
          <w:noProof/>
          <w:sz w:val="22"/>
          <w:szCs w:val="22"/>
          <w:lang w:val="es-ES_tradnl"/>
        </w:rPr>
        <w:t>García, A. (2012). Impactos de largo plazo del programa Familias en Acción en municipios de menos de 100 mil habitantes en los aspectos claves del desarrollo del capital humano. Bogotá, Colombia. Retrieved from https://sinergia.dnp.gov.co/Sinergia/Archivos/92646308-df90-4107-a074-8bf62ea9e862/Eval_Familias Acción Largo plazo.pdf</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Ibarraran, P and Rosas, D. “Evaluating the Impact of Job Training Programs in Latin America: Evidence from IDB funded operations”, Inter-American Development Bank.</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Integrated Social Protection and Labor Program for Jamaica (JA-L1037) Draft Operation Document.</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Levy, D. &amp; Ohls, J. ‘’Evaluation of Jamaica’s PATH Program: Final Report’’,  Journal of Development Effectiveness, Vol 2. No. 4, December 2010, 421-441</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Levy, S. (2006). </w:t>
      </w:r>
      <w:r w:rsidRPr="00A93E29">
        <w:rPr>
          <w:rFonts w:ascii="Arial" w:hAnsi="Arial" w:cs="Arial"/>
          <w:i/>
          <w:iCs/>
          <w:noProof/>
          <w:sz w:val="22"/>
          <w:szCs w:val="22"/>
          <w:lang w:val="en-US"/>
        </w:rPr>
        <w:t>Progress Against Poverty: Sustaining Mexico’s Progresa-Oportunidades Program</w:t>
      </w:r>
      <w:r w:rsidRPr="00A93E29">
        <w:rPr>
          <w:rFonts w:ascii="Arial" w:hAnsi="Arial" w:cs="Arial"/>
          <w:noProof/>
          <w:sz w:val="22"/>
          <w:szCs w:val="22"/>
          <w:lang w:val="en-US"/>
        </w:rPr>
        <w:t>. Washington DC, United States: Brookings Institution Press.</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Levy, S., and Schady, N. (2013). Latin America’s Social Policy Challenge: Education, Social Insurance, Redistribution. </w:t>
      </w:r>
      <w:r w:rsidRPr="00A93E29">
        <w:rPr>
          <w:rFonts w:ascii="Arial" w:hAnsi="Arial" w:cs="Arial"/>
          <w:i/>
          <w:iCs/>
          <w:noProof/>
          <w:sz w:val="22"/>
          <w:szCs w:val="22"/>
          <w:lang w:val="en-US"/>
        </w:rPr>
        <w:t>Journal of Economic Perspectives</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27</w:t>
      </w:r>
      <w:r w:rsidRPr="00A93E29">
        <w:rPr>
          <w:rFonts w:ascii="Arial" w:hAnsi="Arial" w:cs="Arial"/>
          <w:noProof/>
          <w:sz w:val="22"/>
          <w:szCs w:val="22"/>
          <w:lang w:val="en-US"/>
        </w:rPr>
        <w:t>(2), 193–218. doi:10.1257/jep.27.2.193</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London Economics “Cost Benefit Analysis of Interventions with Parents, Research Report DCSF-RW008”</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Macours, K., Schady, N., and Vakis, R. (2012). Cash Transfers, Behavioral Changes, and Cognitive Development in Early Childhood: Evidence from a Randomized Experiment. </w:t>
      </w:r>
      <w:r w:rsidRPr="00A93E29">
        <w:rPr>
          <w:rFonts w:ascii="Arial" w:hAnsi="Arial" w:cs="Arial"/>
          <w:i/>
          <w:iCs/>
          <w:noProof/>
          <w:sz w:val="22"/>
          <w:szCs w:val="22"/>
          <w:lang w:val="en-US"/>
        </w:rPr>
        <w:t>American Economic Journal: Applied Economics</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4</w:t>
      </w:r>
      <w:r w:rsidRPr="00A93E29">
        <w:rPr>
          <w:rFonts w:ascii="Arial" w:hAnsi="Arial" w:cs="Arial"/>
          <w:noProof/>
          <w:sz w:val="22"/>
          <w:szCs w:val="22"/>
          <w:lang w:val="en-US"/>
        </w:rPr>
        <w:t>(2), 247–73. Retrieved from http://ideas.repec.org/a/aea/aejapp/v4y2012i2p247-73.html</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Mincer, Jacob, Schooling, Experience, and Earnings. New York: National Bureau of Economic Research, 1974.</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Musgrave, Richard, “Cost-Benefit Analysis and the Theory of Public Finance”, Journal of Economic Literature, vol. 7, No. 3 (Sep., 1969), pp. 797-806. Musgrave, Richard</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Paes-Sousa, R., Regalía, F., and Stampini, M. (2013). Conditions for Success in Implementing CCT Programs: Lessons for Asia from Latin America and the Caribbean. </w:t>
      </w:r>
      <w:r w:rsidRPr="00A93E29">
        <w:rPr>
          <w:rFonts w:ascii="Arial" w:hAnsi="Arial" w:cs="Arial"/>
          <w:i/>
          <w:iCs/>
          <w:noProof/>
          <w:sz w:val="22"/>
          <w:szCs w:val="22"/>
          <w:lang w:val="en-US"/>
        </w:rPr>
        <w:t>Inter-American Development Bank. Policy Brief</w:t>
      </w:r>
      <w:r w:rsidRPr="00A93E29">
        <w:rPr>
          <w:rFonts w:ascii="Arial" w:hAnsi="Arial" w:cs="Arial"/>
          <w:noProof/>
          <w:sz w:val="22"/>
          <w:szCs w:val="22"/>
          <w:lang w:val="en-US"/>
        </w:rPr>
        <w:t>, (IDB-PB-192). Retrieved from http://www10.iadb.org/intal/intalcdi/PE/2013/11990.pdf</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Paxson, C., and Schady, N. (2010). Does Money Matter? The Effects of Cash Transfers on Child Development in Rural Ecuador. </w:t>
      </w:r>
      <w:r w:rsidRPr="00A93E29">
        <w:rPr>
          <w:rFonts w:ascii="Arial" w:hAnsi="Arial" w:cs="Arial"/>
          <w:i/>
          <w:iCs/>
          <w:noProof/>
          <w:sz w:val="22"/>
          <w:szCs w:val="22"/>
          <w:lang w:val="en-US"/>
        </w:rPr>
        <w:t>Economic Development and Cultural Change</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59</w:t>
      </w:r>
      <w:r w:rsidRPr="00A93E29">
        <w:rPr>
          <w:rFonts w:ascii="Arial" w:hAnsi="Arial" w:cs="Arial"/>
          <w:noProof/>
          <w:sz w:val="22"/>
          <w:szCs w:val="22"/>
          <w:lang w:val="en-US"/>
        </w:rPr>
        <w:t>(1), 187–229.</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Pinto, D., Ibarrarán, P., Stampini, M., Crace Carman, K., Guanais, F., Luoto, J., … Cali, J. (2014). Applying Behavioral Tools to the Design of Health Projects. </w:t>
      </w:r>
      <w:r w:rsidRPr="00A93E29">
        <w:rPr>
          <w:rFonts w:ascii="Arial" w:hAnsi="Arial" w:cs="Arial"/>
          <w:i/>
          <w:iCs/>
          <w:noProof/>
          <w:sz w:val="22"/>
          <w:szCs w:val="22"/>
          <w:lang w:val="en-US"/>
        </w:rPr>
        <w:t xml:space="preserve">Inter-American </w:t>
      </w:r>
      <w:r w:rsidRPr="00A93E29">
        <w:rPr>
          <w:rFonts w:ascii="Arial" w:hAnsi="Arial" w:cs="Arial"/>
          <w:i/>
          <w:iCs/>
          <w:noProof/>
          <w:sz w:val="22"/>
          <w:szCs w:val="22"/>
          <w:lang w:val="en-US"/>
        </w:rPr>
        <w:lastRenderedPageBreak/>
        <w:t>Development Bank Policy Brief</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IDB-PB-228</w:t>
      </w:r>
      <w:r w:rsidRPr="00A93E29">
        <w:rPr>
          <w:rFonts w:ascii="Arial" w:hAnsi="Arial" w:cs="Arial"/>
          <w:noProof/>
          <w:sz w:val="22"/>
          <w:szCs w:val="22"/>
          <w:lang w:val="en-US"/>
        </w:rPr>
        <w:t>. Retrieved from Applying Behavioral Tools to the Design of Health Projects</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Psacharopoulos and Patrinos (2012). “Returns to investment on education”, </w:t>
      </w:r>
      <w:hyperlink r:id="rId11" w:history="1">
        <w:r w:rsidRPr="00A93E29">
          <w:rPr>
            <w:rFonts w:ascii="Arial" w:hAnsi="Arial" w:cs="Arial"/>
            <w:noProof/>
            <w:sz w:val="22"/>
            <w:szCs w:val="22"/>
            <w:lang w:val="en-US"/>
          </w:rPr>
          <w:t>Policy Research Working Paper Series</w:t>
        </w:r>
      </w:hyperlink>
      <w:r w:rsidRPr="00A93E29">
        <w:rPr>
          <w:rFonts w:ascii="Arial" w:hAnsi="Arial" w:cs="Arial"/>
          <w:noProof/>
          <w:sz w:val="22"/>
          <w:szCs w:val="22"/>
          <w:lang w:val="en-US"/>
        </w:rPr>
        <w:t>, number 288, World Bank.</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pt-BR"/>
        </w:rPr>
        <w:t xml:space="preserve">Rasella, D., Aquino, R., Santos, C. A. T., Paes-Sousa, R., and Barreto, M. L. (2013). </w:t>
      </w:r>
      <w:r w:rsidRPr="00A93E29">
        <w:rPr>
          <w:rFonts w:ascii="Arial" w:hAnsi="Arial" w:cs="Arial"/>
          <w:noProof/>
          <w:sz w:val="22"/>
          <w:szCs w:val="22"/>
          <w:lang w:val="en-US"/>
        </w:rPr>
        <w:t xml:space="preserve">Effect of a conditional cash transfer programme on childhood mortality: a nationwide analysis of Brazilian municipalities. </w:t>
      </w:r>
      <w:r w:rsidRPr="00A93E29">
        <w:rPr>
          <w:rFonts w:ascii="Arial" w:hAnsi="Arial" w:cs="Arial"/>
          <w:i/>
          <w:iCs/>
          <w:noProof/>
          <w:sz w:val="22"/>
          <w:szCs w:val="22"/>
          <w:lang w:val="en-US"/>
        </w:rPr>
        <w:t>Lancet</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382</w:t>
      </w:r>
      <w:r w:rsidRPr="00A93E29">
        <w:rPr>
          <w:rFonts w:ascii="Arial" w:hAnsi="Arial" w:cs="Arial"/>
          <w:noProof/>
          <w:sz w:val="22"/>
          <w:szCs w:val="22"/>
          <w:lang w:val="en-US"/>
        </w:rPr>
        <w:t>(9886), 57–64. doi:10.1016/S0140-6736(13)60715-1</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Rodríguez-Oreggia, E., and Freije, S. (2008). </w:t>
      </w:r>
      <w:r w:rsidRPr="00A93E29">
        <w:rPr>
          <w:rFonts w:ascii="Arial" w:hAnsi="Arial" w:cs="Arial"/>
          <w:i/>
          <w:iCs/>
          <w:noProof/>
          <w:sz w:val="22"/>
          <w:szCs w:val="22"/>
          <w:lang w:val="en-US"/>
        </w:rPr>
        <w:t>Evaluación externa del Programa Oportunidades 2008. A diez años de intervención en zonas rurales (1997-2007): Tomo I Efectos de Oportunidades en áreas rurales a diez años de intervención</w:t>
      </w:r>
      <w:r w:rsidRPr="00A93E29">
        <w:rPr>
          <w:rFonts w:ascii="Arial" w:hAnsi="Arial" w:cs="Arial"/>
          <w:noProof/>
          <w:sz w:val="22"/>
          <w:szCs w:val="22"/>
          <w:lang w:val="en-US"/>
        </w:rPr>
        <w:t>. Mexico DF, Mexico.</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Ruiz-Arranz, M., Davis, B., Handa, S., Stampini, M., and Winters, P. (2006). Program Conditionality and Food Security: The impact of PROGRESA and PROCAMPO Transfers in Rural Mexico. </w:t>
      </w:r>
      <w:r w:rsidRPr="00A93E29">
        <w:rPr>
          <w:rFonts w:ascii="Arial" w:hAnsi="Arial" w:cs="Arial"/>
          <w:i/>
          <w:iCs/>
          <w:noProof/>
          <w:sz w:val="22"/>
          <w:szCs w:val="22"/>
          <w:lang w:val="en-US"/>
        </w:rPr>
        <w:t>Economia</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7</w:t>
      </w:r>
      <w:r w:rsidRPr="00A93E29">
        <w:rPr>
          <w:rFonts w:ascii="Arial" w:hAnsi="Arial" w:cs="Arial"/>
          <w:noProof/>
          <w:sz w:val="22"/>
          <w:szCs w:val="22"/>
          <w:lang w:val="en-US"/>
        </w:rPr>
        <w:t>(2), 249–278.</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Saavedra, J., and Garcia, S. (2012). Impacts of Conditional Cash Transfer Programs on Educational Outcomes in Developing Countries. </w:t>
      </w:r>
      <w:r w:rsidRPr="00A93E29">
        <w:rPr>
          <w:rFonts w:ascii="Arial" w:hAnsi="Arial" w:cs="Arial"/>
          <w:i/>
          <w:iCs/>
          <w:noProof/>
          <w:sz w:val="22"/>
          <w:szCs w:val="22"/>
          <w:lang w:val="en-US"/>
        </w:rPr>
        <w:t>RAND Corporation. Working Papers</w:t>
      </w:r>
      <w:r w:rsidRPr="00A93E29">
        <w:rPr>
          <w:rFonts w:ascii="Arial" w:hAnsi="Arial" w:cs="Arial"/>
          <w:noProof/>
          <w:sz w:val="22"/>
          <w:szCs w:val="22"/>
          <w:lang w:val="en-US"/>
        </w:rPr>
        <w:t>, (WR-921-1). Retrieved from http://www.rand.org/pubs/working_papers/WR921-1.html</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Schady, N., and Araujo, M. C. (2008). Cash Transfers, Conditions, and School Enrollment in Ecuador. </w:t>
      </w:r>
      <w:r w:rsidRPr="00A93E29">
        <w:rPr>
          <w:rFonts w:ascii="Arial" w:hAnsi="Arial" w:cs="Arial"/>
          <w:i/>
          <w:iCs/>
          <w:noProof/>
          <w:sz w:val="22"/>
          <w:szCs w:val="22"/>
          <w:lang w:val="en-US"/>
        </w:rPr>
        <w:t>Economia</w:t>
      </w:r>
      <w:r w:rsidRPr="00A93E29">
        <w:rPr>
          <w:rFonts w:ascii="Arial" w:hAnsi="Arial" w:cs="Arial"/>
          <w:noProof/>
          <w:sz w:val="22"/>
          <w:szCs w:val="22"/>
          <w:lang w:val="en-US"/>
        </w:rPr>
        <w:t xml:space="preserve">, </w:t>
      </w:r>
      <w:r w:rsidRPr="00A93E29">
        <w:rPr>
          <w:rFonts w:ascii="Arial" w:hAnsi="Arial" w:cs="Arial"/>
          <w:i/>
          <w:iCs/>
          <w:noProof/>
          <w:sz w:val="22"/>
          <w:szCs w:val="22"/>
          <w:lang w:val="en-US"/>
        </w:rPr>
        <w:t>8</w:t>
      </w:r>
      <w:r w:rsidRPr="00A93E29">
        <w:rPr>
          <w:rFonts w:ascii="Arial" w:hAnsi="Arial" w:cs="Arial"/>
          <w:noProof/>
          <w:sz w:val="22"/>
          <w:szCs w:val="22"/>
          <w:lang w:val="en-US"/>
        </w:rPr>
        <w:t>(2), 43–70. doi:10.1353/eco.0.0004</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 xml:space="preserve">Stampini, M., and Tornarolli, L. (2012). The Growth of Conditional Cash Transfers in Latin America and the Caribbean: Did They Go Too Far? </w:t>
      </w:r>
      <w:r w:rsidRPr="00A93E29">
        <w:rPr>
          <w:rFonts w:ascii="Arial" w:hAnsi="Arial" w:cs="Arial"/>
          <w:i/>
          <w:iCs/>
          <w:noProof/>
          <w:sz w:val="22"/>
          <w:szCs w:val="22"/>
          <w:lang w:val="en-US"/>
        </w:rPr>
        <w:t>Inter-American Development Bank. Policy Brief</w:t>
      </w:r>
      <w:r w:rsidRPr="00A93E29">
        <w:rPr>
          <w:rFonts w:ascii="Arial" w:hAnsi="Arial" w:cs="Arial"/>
          <w:noProof/>
          <w:sz w:val="22"/>
          <w:szCs w:val="22"/>
          <w:lang w:val="en-US"/>
        </w:rPr>
        <w:t>, (No 185). Retrieved from http://publications.iadb.org/bitstream/handle/11319/1448/The growth of conditional cash transfers in Latin America and the Caribbean: did they go too far?.pdf?sequence=1</w:t>
      </w:r>
    </w:p>
    <w:p w:rsidR="00E326C3" w:rsidRPr="00A93E29" w:rsidRDefault="00E326C3" w:rsidP="00E326C3">
      <w:pPr>
        <w:pStyle w:val="NormalWeb"/>
        <w:ind w:left="480" w:hanging="480"/>
        <w:rPr>
          <w:rFonts w:ascii="Arial" w:hAnsi="Arial" w:cs="Arial"/>
          <w:noProof/>
          <w:sz w:val="22"/>
          <w:szCs w:val="22"/>
          <w:lang w:val="en-US"/>
        </w:rPr>
      </w:pPr>
      <w:r w:rsidRPr="00A93E29">
        <w:rPr>
          <w:rFonts w:ascii="Arial" w:hAnsi="Arial" w:cs="Arial"/>
          <w:noProof/>
          <w:sz w:val="22"/>
          <w:szCs w:val="22"/>
          <w:lang w:val="en-US"/>
        </w:rPr>
        <w:t>The World Bank (2011). “Jamaica Social Protection Assessment. Diagnostic Study for the Reviews of the Safety Net Provision and Capacity”.</w:t>
      </w:r>
    </w:p>
    <w:p w:rsidR="006619B9" w:rsidRPr="00A93E29" w:rsidRDefault="00E326C3" w:rsidP="00E326C3">
      <w:pPr>
        <w:pStyle w:val="Heading1"/>
        <w:jc w:val="both"/>
        <w:rPr>
          <w:rFonts w:ascii="Arial" w:hAnsi="Arial" w:cs="Arial"/>
          <w:lang w:val="en-US"/>
        </w:rPr>
      </w:pPr>
      <w:r w:rsidRPr="00A93E29">
        <w:rPr>
          <w:rFonts w:ascii="Arial" w:hAnsi="Arial" w:cs="Arial"/>
          <w:sz w:val="22"/>
          <w:szCs w:val="22"/>
        </w:rPr>
        <w:fldChar w:fldCharType="end"/>
      </w:r>
      <w:r w:rsidRPr="00A93E29">
        <w:rPr>
          <w:rFonts w:ascii="Arial" w:hAnsi="Arial" w:cs="Arial"/>
          <w:lang w:val="en-US"/>
        </w:rPr>
        <w:t xml:space="preserve"> </w:t>
      </w:r>
    </w:p>
    <w:p w:rsidR="00C9540D" w:rsidRPr="00A93E29" w:rsidRDefault="00C9540D" w:rsidP="000C4EAB">
      <w:pPr>
        <w:jc w:val="both"/>
        <w:rPr>
          <w:rFonts w:ascii="Arial" w:hAnsi="Arial" w:cs="Arial"/>
          <w:lang w:val="en-US"/>
        </w:rPr>
      </w:pPr>
    </w:p>
    <w:sectPr w:rsidR="00C9540D" w:rsidRPr="00A93E29" w:rsidSect="008A0FC2">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DA2" w:rsidRDefault="00F22DA2" w:rsidP="00A56557">
      <w:r>
        <w:separator/>
      </w:r>
    </w:p>
  </w:endnote>
  <w:endnote w:type="continuationSeparator" w:id="0">
    <w:p w:rsidR="00F22DA2" w:rsidRDefault="00F22DA2" w:rsidP="00A5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955831"/>
      <w:docPartObj>
        <w:docPartGallery w:val="Page Numbers (Bottom of Page)"/>
        <w:docPartUnique/>
      </w:docPartObj>
    </w:sdtPr>
    <w:sdtEndPr/>
    <w:sdtContent>
      <w:p w:rsidR="00F22DA2" w:rsidRPr="00A26704" w:rsidRDefault="00F22DA2">
        <w:pPr>
          <w:pStyle w:val="Footer"/>
          <w:jc w:val="right"/>
          <w:rPr>
            <w:rFonts w:ascii="Times New Roman" w:hAnsi="Times New Roman" w:cs="Times New Roman"/>
          </w:rPr>
        </w:pPr>
        <w:r w:rsidRPr="00A26704">
          <w:rPr>
            <w:rFonts w:ascii="Times New Roman" w:hAnsi="Times New Roman" w:cs="Times New Roman"/>
          </w:rPr>
          <w:fldChar w:fldCharType="begin"/>
        </w:r>
        <w:r w:rsidRPr="00A26704">
          <w:rPr>
            <w:rFonts w:ascii="Times New Roman" w:hAnsi="Times New Roman" w:cs="Times New Roman"/>
          </w:rPr>
          <w:instrText xml:space="preserve"> PAGE   \* MERGEFORMAT </w:instrText>
        </w:r>
        <w:r w:rsidRPr="00A26704">
          <w:rPr>
            <w:rFonts w:ascii="Times New Roman" w:hAnsi="Times New Roman" w:cs="Times New Roman"/>
          </w:rPr>
          <w:fldChar w:fldCharType="separate"/>
        </w:r>
        <w:r w:rsidR="006352C4">
          <w:rPr>
            <w:rFonts w:ascii="Times New Roman" w:hAnsi="Times New Roman" w:cs="Times New Roman"/>
            <w:noProof/>
          </w:rPr>
          <w:t>17</w:t>
        </w:r>
        <w:r w:rsidRPr="00A26704">
          <w:rPr>
            <w:rFonts w:ascii="Times New Roman" w:hAnsi="Times New Roman" w:cs="Times New Roman"/>
            <w:noProof/>
          </w:rPr>
          <w:fldChar w:fldCharType="end"/>
        </w:r>
      </w:p>
    </w:sdtContent>
  </w:sdt>
  <w:p w:rsidR="00F22DA2" w:rsidRDefault="00F22D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DA2" w:rsidRDefault="00F22DA2" w:rsidP="00A56557">
      <w:r>
        <w:separator/>
      </w:r>
    </w:p>
  </w:footnote>
  <w:footnote w:type="continuationSeparator" w:id="0">
    <w:p w:rsidR="00F22DA2" w:rsidRDefault="00F22DA2" w:rsidP="00A56557">
      <w:r>
        <w:continuationSeparator/>
      </w:r>
    </w:p>
  </w:footnote>
  <w:footnote w:id="1">
    <w:p w:rsidR="00F22DA2" w:rsidRPr="000C4EAB" w:rsidRDefault="00F22DA2" w:rsidP="00A93E29">
      <w:pPr>
        <w:pStyle w:val="FootnoteText"/>
        <w:tabs>
          <w:tab w:val="left" w:pos="360"/>
        </w:tabs>
        <w:ind w:left="360" w:hanging="360"/>
        <w:jc w:val="both"/>
        <w:rPr>
          <w:lang w:val="en-US"/>
        </w:rPr>
      </w:pPr>
      <w:r>
        <w:rPr>
          <w:rStyle w:val="FootnoteReference"/>
        </w:rPr>
        <w:footnoteRef/>
      </w:r>
      <w:r w:rsidRPr="000C4EAB">
        <w:rPr>
          <w:lang w:val="en-US"/>
        </w:rPr>
        <w:t xml:space="preserve"> </w:t>
      </w:r>
      <w:r w:rsidR="00A93E29">
        <w:rPr>
          <w:lang w:val="en-US"/>
        </w:rPr>
        <w:tab/>
      </w:r>
      <w:r>
        <w:rPr>
          <w:lang w:val="en-US"/>
        </w:rPr>
        <w:t>This section is based on the research note “Conditional Cash Transfers” prepared by the IDB’s Social Protection and Health Division in coordination with the Social Sector Department.</w:t>
      </w:r>
    </w:p>
  </w:footnote>
  <w:footnote w:id="2">
    <w:p w:rsidR="00F22DA2" w:rsidRPr="00B11287" w:rsidRDefault="00F22DA2" w:rsidP="00A93E29">
      <w:pPr>
        <w:pStyle w:val="FootnoteText"/>
        <w:tabs>
          <w:tab w:val="left" w:pos="360"/>
        </w:tabs>
        <w:ind w:left="360" w:hanging="360"/>
        <w:jc w:val="both"/>
        <w:rPr>
          <w:lang w:val="en-US"/>
        </w:rPr>
      </w:pPr>
      <w:r>
        <w:rPr>
          <w:rStyle w:val="FootnoteReference"/>
        </w:rPr>
        <w:footnoteRef/>
      </w:r>
      <w:r w:rsidRPr="00B11287">
        <w:rPr>
          <w:lang w:val="en-US"/>
        </w:rPr>
        <w:t xml:space="preserve"> </w:t>
      </w:r>
      <w:r w:rsidR="00A93E29">
        <w:rPr>
          <w:lang w:val="en-US"/>
        </w:rPr>
        <w:tab/>
      </w:r>
      <w:r w:rsidRPr="00B11287">
        <w:rPr>
          <w:rFonts w:cs="Arial"/>
          <w:szCs w:val="24"/>
          <w:lang w:val="en-US"/>
        </w:rPr>
        <w:t xml:space="preserve">There is an extensive theoretical and empirical literature that justifies the use </w:t>
      </w:r>
      <w:r>
        <w:rPr>
          <w:rFonts w:cs="Arial"/>
          <w:szCs w:val="24"/>
          <w:lang w:val="en-US"/>
        </w:rPr>
        <w:t xml:space="preserve">of </w:t>
      </w:r>
      <w:r w:rsidRPr="00B11287">
        <w:rPr>
          <w:rFonts w:cs="Arial"/>
          <w:szCs w:val="24"/>
          <w:lang w:val="en-US"/>
        </w:rPr>
        <w:t>rates</w:t>
      </w:r>
      <w:r>
        <w:rPr>
          <w:rFonts w:cs="Arial"/>
          <w:szCs w:val="24"/>
          <w:lang w:val="en-US"/>
        </w:rPr>
        <w:t xml:space="preserve"> lower than 12%</w:t>
      </w:r>
      <w:r w:rsidRPr="00B11287">
        <w:rPr>
          <w:rFonts w:cs="Arial"/>
          <w:szCs w:val="24"/>
          <w:lang w:val="en-US"/>
        </w:rPr>
        <w:t xml:space="preserve"> to analyze values ​​social projects since these projects have important externalities, are performed in the medium and long term, and the monetization of benefits is not as straightforward. Analysis Zhuang et al. (2007) found that developed countries as France, Germany, Italy and Spain use rates between 3 and 7% for evaluating social projects while developing countries opt for rates between 8 and 15%. The work of Lopez (2008), estimating discount rates for nine Latin American countries indicates that the selection of the rate depends on growth expectations. That is, in a scenario of economic growth in the discount rate should </w:t>
      </w:r>
      <w:r w:rsidR="009E101A">
        <w:rPr>
          <w:rFonts w:cs="Arial"/>
          <w:szCs w:val="24"/>
          <w:lang w:val="en-US"/>
        </w:rPr>
        <w:t>be between 3 and 4%, </w:t>
      </w:r>
      <w:r w:rsidRPr="00B11287">
        <w:rPr>
          <w:rFonts w:cs="Arial"/>
          <w:szCs w:val="24"/>
          <w:lang w:val="en-US"/>
        </w:rPr>
        <w:t>while in a stage of accelerated growth rate may be from 5 or even 7%. In the case of Latin America, some authors have used lower rates 12% to evaluate projects. For example, De Castillo and Lema (1998) used a discount rate of 8% to economically analyze some social funds in Bolivia, economic impact assessments of projects of nutrition in health and education use rates 8% Martinez and Fernandez ( 2008), Heckman et al. (2010) used a discount rate of between 3 and 5%, and Lomborg (2010) using a discount rate of 3 and 6% to analyze the cost benefit in terms of education Conditional Cash Transfer Program in case of three Latin American countries. Finally, for projects of Health, WHO (Edejer Tan-Torres e</w:t>
      </w:r>
      <w:r w:rsidR="00A93E29">
        <w:rPr>
          <w:rFonts w:cs="Arial"/>
          <w:szCs w:val="24"/>
          <w:lang w:val="en-US"/>
        </w:rPr>
        <w:t>t al. 2003) recommends using 3% </w:t>
      </w:r>
      <w:r w:rsidRPr="00B11287">
        <w:rPr>
          <w:rFonts w:cs="Arial"/>
          <w:szCs w:val="24"/>
          <w:lang w:val="en-US"/>
        </w:rPr>
        <w:t>discount rate and suggest that sensitivity analyzes for health effects are discounted at a rate of 0% and costs with 6%.</w:t>
      </w:r>
    </w:p>
  </w:footnote>
  <w:footnote w:id="3">
    <w:p w:rsidR="00F22DA2" w:rsidRPr="00E326C3" w:rsidRDefault="00F22DA2" w:rsidP="00A93E29">
      <w:pPr>
        <w:pStyle w:val="FootnoteText"/>
        <w:tabs>
          <w:tab w:val="left" w:pos="360"/>
        </w:tabs>
        <w:ind w:left="360" w:hanging="360"/>
        <w:jc w:val="both"/>
        <w:rPr>
          <w:lang w:val="en-US"/>
        </w:rPr>
      </w:pPr>
      <w:r>
        <w:rPr>
          <w:rStyle w:val="FootnoteReference"/>
        </w:rPr>
        <w:footnoteRef/>
      </w:r>
      <w:r w:rsidRPr="00E8333A">
        <w:rPr>
          <w:lang w:val="en-US"/>
        </w:rPr>
        <w:t xml:space="preserve"> </w:t>
      </w:r>
      <w:r w:rsidR="00A93E29">
        <w:rPr>
          <w:lang w:val="en-US"/>
        </w:rPr>
        <w:tab/>
      </w:r>
      <w:r>
        <w:rPr>
          <w:lang w:val="en-US"/>
        </w:rPr>
        <w:t xml:space="preserve">There are </w:t>
      </w:r>
      <w:r w:rsidRPr="00A93E29">
        <w:rPr>
          <w:rFonts w:cs="Arial"/>
          <w:szCs w:val="24"/>
          <w:lang w:val="en-US"/>
        </w:rPr>
        <w:t>different</w:t>
      </w:r>
      <w:r>
        <w:rPr>
          <w:lang w:val="en-US"/>
        </w:rPr>
        <w:t xml:space="preserve"> kinds of opportunity costs of participants. For example, t</w:t>
      </w:r>
      <w:r w:rsidRPr="00E8333A">
        <w:rPr>
          <w:lang w:val="en-US"/>
        </w:rPr>
        <w:t xml:space="preserve">here is evidence that foregone earnings may </w:t>
      </w:r>
      <w:r>
        <w:rPr>
          <w:lang w:val="en-US"/>
        </w:rPr>
        <w:t xml:space="preserve">have an impact on </w:t>
      </w:r>
      <w:r w:rsidRPr="00E8333A">
        <w:rPr>
          <w:lang w:val="en-US"/>
        </w:rPr>
        <w:t xml:space="preserve">potential enrollees </w:t>
      </w:r>
      <w:r>
        <w:rPr>
          <w:lang w:val="en-US"/>
        </w:rPr>
        <w:t>that</w:t>
      </w:r>
      <w:r w:rsidRPr="00E8333A">
        <w:rPr>
          <w:lang w:val="en-US"/>
        </w:rPr>
        <w:t xml:space="preserve"> lack information </w:t>
      </w:r>
      <w:r>
        <w:rPr>
          <w:lang w:val="en-US"/>
        </w:rPr>
        <w:t>on the</w:t>
      </w:r>
      <w:r w:rsidRPr="00E8333A">
        <w:rPr>
          <w:lang w:val="en-US"/>
        </w:rPr>
        <w:t xml:space="preserve"> payoff</w:t>
      </w:r>
      <w:r>
        <w:rPr>
          <w:lang w:val="en-US"/>
        </w:rPr>
        <w:t xml:space="preserve"> of going to</w:t>
      </w:r>
      <w:r w:rsidRPr="00E8333A">
        <w:rPr>
          <w:lang w:val="en-US"/>
        </w:rPr>
        <w:t xml:space="preserve"> colleg</w:t>
      </w:r>
      <w:r>
        <w:rPr>
          <w:lang w:val="en-US"/>
        </w:rPr>
        <w:t>e(</w:t>
      </w:r>
      <w:r w:rsidRPr="00E326C3">
        <w:rPr>
          <w:lang w:val="en-US"/>
        </w:rPr>
        <w:t xml:space="preserve">Bettinger, Long, Oreopoulos, and Sanbonmatsu </w:t>
      </w:r>
      <w:r>
        <w:rPr>
          <w:lang w:val="en-US"/>
        </w:rPr>
        <w:t>(</w:t>
      </w:r>
      <w:r w:rsidRPr="00E326C3">
        <w:rPr>
          <w:lang w:val="en-US"/>
        </w:rPr>
        <w:t>2012</w:t>
      </w:r>
      <w:r>
        <w:rPr>
          <w:lang w:val="en-US"/>
        </w:rPr>
        <w:t>)</w:t>
      </w:r>
      <w:r w:rsidR="009E101A">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FC2" w:rsidRPr="008A0FC2" w:rsidRDefault="008A0FC2" w:rsidP="008A0FC2">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602"/>
    <w:multiLevelType w:val="hybridMultilevel"/>
    <w:tmpl w:val="DBE695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4F6D42"/>
    <w:multiLevelType w:val="hybridMultilevel"/>
    <w:tmpl w:val="1500F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A969B1"/>
    <w:multiLevelType w:val="hybridMultilevel"/>
    <w:tmpl w:val="CBBC8A04"/>
    <w:lvl w:ilvl="0" w:tplc="74461A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007420"/>
    <w:multiLevelType w:val="hybridMultilevel"/>
    <w:tmpl w:val="C972A19C"/>
    <w:lvl w:ilvl="0" w:tplc="8390B5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7A76DF"/>
    <w:multiLevelType w:val="multilevel"/>
    <w:tmpl w:val="D5360E3A"/>
    <w:lvl w:ilvl="0">
      <w:start w:val="1"/>
      <w:numFmt w:val="decimal"/>
      <w:lvlText w:val="%1."/>
      <w:lvlJc w:val="left"/>
      <w:pPr>
        <w:ind w:left="720" w:hanging="360"/>
      </w:pPr>
      <w:rPr>
        <w:rFonts w:eastAsia="Times New Roman" w:cs="Times New Roman" w:hint="default"/>
        <w:b w:val="0"/>
        <w:color w:val="auto"/>
      </w:rPr>
    </w:lvl>
    <w:lvl w:ilvl="1">
      <w:start w:val="2"/>
      <w:numFmt w:val="decimal"/>
      <w:isLgl/>
      <w:lvlText w:val="%1.%2"/>
      <w:lvlJc w:val="left"/>
      <w:pPr>
        <w:ind w:left="750" w:hanging="390"/>
      </w:pPr>
      <w:rPr>
        <w:rFonts w:ascii="Cambria" w:eastAsia="Times New Roman" w:hAnsi="Cambria" w:cs="Times New Roman" w:hint="default"/>
        <w:b/>
        <w:i w:val="0"/>
        <w:color w:val="000000"/>
        <w:sz w:val="26"/>
        <w:szCs w:val="26"/>
      </w:rPr>
    </w:lvl>
    <w:lvl w:ilvl="2">
      <w:start w:val="1"/>
      <w:numFmt w:val="decimal"/>
      <w:isLgl/>
      <w:lvlText w:val="%1.%2.%3"/>
      <w:lvlJc w:val="left"/>
      <w:pPr>
        <w:ind w:left="1080" w:hanging="720"/>
      </w:pPr>
      <w:rPr>
        <w:rFonts w:ascii="Cambria" w:eastAsia="Times New Roman" w:hAnsi="Cambria" w:cs="Times New Roman" w:hint="default"/>
        <w:b/>
        <w:i/>
        <w:color w:val="000000"/>
        <w:sz w:val="28"/>
      </w:rPr>
    </w:lvl>
    <w:lvl w:ilvl="3">
      <w:start w:val="1"/>
      <w:numFmt w:val="decimal"/>
      <w:isLgl/>
      <w:lvlText w:val="%1.%2.%3.%4"/>
      <w:lvlJc w:val="left"/>
      <w:pPr>
        <w:ind w:left="1440" w:hanging="1080"/>
      </w:pPr>
      <w:rPr>
        <w:rFonts w:ascii="Cambria" w:eastAsia="Times New Roman" w:hAnsi="Cambria" w:cs="Times New Roman" w:hint="default"/>
        <w:b/>
        <w:i/>
        <w:color w:val="000000"/>
        <w:sz w:val="28"/>
      </w:rPr>
    </w:lvl>
    <w:lvl w:ilvl="4">
      <w:start w:val="1"/>
      <w:numFmt w:val="decimal"/>
      <w:isLgl/>
      <w:lvlText w:val="%1.%2.%3.%4.%5"/>
      <w:lvlJc w:val="left"/>
      <w:pPr>
        <w:ind w:left="1440" w:hanging="1080"/>
      </w:pPr>
      <w:rPr>
        <w:rFonts w:ascii="Cambria" w:eastAsia="Times New Roman" w:hAnsi="Cambria" w:cs="Times New Roman" w:hint="default"/>
        <w:b/>
        <w:i/>
        <w:color w:val="000000"/>
        <w:sz w:val="28"/>
      </w:rPr>
    </w:lvl>
    <w:lvl w:ilvl="5">
      <w:start w:val="1"/>
      <w:numFmt w:val="decimal"/>
      <w:isLgl/>
      <w:lvlText w:val="%1.%2.%3.%4.%5.%6"/>
      <w:lvlJc w:val="left"/>
      <w:pPr>
        <w:ind w:left="1800" w:hanging="1440"/>
      </w:pPr>
      <w:rPr>
        <w:rFonts w:ascii="Cambria" w:eastAsia="Times New Roman" w:hAnsi="Cambria" w:cs="Times New Roman" w:hint="default"/>
        <w:b/>
        <w:i/>
        <w:color w:val="000000"/>
        <w:sz w:val="28"/>
      </w:rPr>
    </w:lvl>
    <w:lvl w:ilvl="6">
      <w:start w:val="1"/>
      <w:numFmt w:val="decimal"/>
      <w:isLgl/>
      <w:lvlText w:val="%1.%2.%3.%4.%5.%6.%7"/>
      <w:lvlJc w:val="left"/>
      <w:pPr>
        <w:ind w:left="1800" w:hanging="1440"/>
      </w:pPr>
      <w:rPr>
        <w:rFonts w:ascii="Cambria" w:eastAsia="Times New Roman" w:hAnsi="Cambria" w:cs="Times New Roman" w:hint="default"/>
        <w:b/>
        <w:i/>
        <w:color w:val="000000"/>
        <w:sz w:val="28"/>
      </w:rPr>
    </w:lvl>
    <w:lvl w:ilvl="7">
      <w:start w:val="1"/>
      <w:numFmt w:val="decimal"/>
      <w:isLgl/>
      <w:lvlText w:val="%1.%2.%3.%4.%5.%6.%7.%8"/>
      <w:lvlJc w:val="left"/>
      <w:pPr>
        <w:ind w:left="2160" w:hanging="1800"/>
      </w:pPr>
      <w:rPr>
        <w:rFonts w:ascii="Cambria" w:eastAsia="Times New Roman" w:hAnsi="Cambria" w:cs="Times New Roman" w:hint="default"/>
        <w:b/>
        <w:i/>
        <w:color w:val="000000"/>
        <w:sz w:val="28"/>
      </w:rPr>
    </w:lvl>
    <w:lvl w:ilvl="8">
      <w:start w:val="1"/>
      <w:numFmt w:val="decimal"/>
      <w:isLgl/>
      <w:lvlText w:val="%1.%2.%3.%4.%5.%6.%7.%8.%9"/>
      <w:lvlJc w:val="left"/>
      <w:pPr>
        <w:ind w:left="2160" w:hanging="1800"/>
      </w:pPr>
      <w:rPr>
        <w:rFonts w:ascii="Cambria" w:eastAsia="Times New Roman" w:hAnsi="Cambria" w:cs="Times New Roman" w:hint="default"/>
        <w:b/>
        <w:i/>
        <w:color w:val="000000"/>
        <w:sz w:val="28"/>
      </w:rPr>
    </w:lvl>
  </w:abstractNum>
  <w:abstractNum w:abstractNumId="5">
    <w:nsid w:val="0DAB7FC9"/>
    <w:multiLevelType w:val="multilevel"/>
    <w:tmpl w:val="4ECC5498"/>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nsid w:val="11E94E2E"/>
    <w:multiLevelType w:val="hybridMultilevel"/>
    <w:tmpl w:val="172080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50814A5"/>
    <w:multiLevelType w:val="hybridMultilevel"/>
    <w:tmpl w:val="E266D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BD1F38"/>
    <w:multiLevelType w:val="hybridMultilevel"/>
    <w:tmpl w:val="C83A1016"/>
    <w:lvl w:ilvl="0" w:tplc="7F0EA81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A3DBA"/>
    <w:multiLevelType w:val="hybridMultilevel"/>
    <w:tmpl w:val="79BA4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nsid w:val="1EB540CE"/>
    <w:multiLevelType w:val="multilevel"/>
    <w:tmpl w:val="BA34ED1C"/>
    <w:lvl w:ilvl="0">
      <w:start w:val="16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EFC6E2D"/>
    <w:multiLevelType w:val="multilevel"/>
    <w:tmpl w:val="1264EDC6"/>
    <w:lvl w:ilvl="0">
      <w:start w:val="10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2B1156C"/>
    <w:multiLevelType w:val="hybridMultilevel"/>
    <w:tmpl w:val="A90E1640"/>
    <w:lvl w:ilvl="0" w:tplc="DD4C3A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3C7CE6"/>
    <w:multiLevelType w:val="hybridMultilevel"/>
    <w:tmpl w:val="35B23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6830C2"/>
    <w:multiLevelType w:val="hybridMultilevel"/>
    <w:tmpl w:val="5F084D4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6C5DA5"/>
    <w:multiLevelType w:val="hybridMultilevel"/>
    <w:tmpl w:val="B16CF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67592E"/>
    <w:multiLevelType w:val="hybridMultilevel"/>
    <w:tmpl w:val="7A323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953C33"/>
    <w:multiLevelType w:val="hybridMultilevel"/>
    <w:tmpl w:val="942C01EE"/>
    <w:lvl w:ilvl="0" w:tplc="F7B20B72">
      <w:start w:val="6"/>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73D60F9"/>
    <w:multiLevelType w:val="hybridMultilevel"/>
    <w:tmpl w:val="DF905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8C6F91"/>
    <w:multiLevelType w:val="hybridMultilevel"/>
    <w:tmpl w:val="17CA143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9D5131"/>
    <w:multiLevelType w:val="multilevel"/>
    <w:tmpl w:val="2DA451F8"/>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nsid w:val="47CC2C71"/>
    <w:multiLevelType w:val="hybridMultilevel"/>
    <w:tmpl w:val="ACC6C0E8"/>
    <w:lvl w:ilvl="0" w:tplc="51D0F89A">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A879B9"/>
    <w:multiLevelType w:val="hybridMultilevel"/>
    <w:tmpl w:val="DBFE5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011FB2"/>
    <w:multiLevelType w:val="hybridMultilevel"/>
    <w:tmpl w:val="2C3EB61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90969B7"/>
    <w:multiLevelType w:val="hybridMultilevel"/>
    <w:tmpl w:val="7810587E"/>
    <w:lvl w:ilvl="0" w:tplc="74461A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9D50158"/>
    <w:multiLevelType w:val="hybridMultilevel"/>
    <w:tmpl w:val="597A3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9923C8"/>
    <w:multiLevelType w:val="multilevel"/>
    <w:tmpl w:val="CCEE753C"/>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8">
    <w:nsid w:val="65A81A7F"/>
    <w:multiLevelType w:val="multilevel"/>
    <w:tmpl w:val="867E12B8"/>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lvlText w:val="%2."/>
      <w:lvlJc w:val="righ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9">
    <w:nsid w:val="69EE173A"/>
    <w:multiLevelType w:val="multilevel"/>
    <w:tmpl w:val="8B6A0778"/>
    <w:lvl w:ilvl="0">
      <w:start w:val="2"/>
      <w:numFmt w:val="decimal"/>
      <w:lvlText w:val="%1."/>
      <w:lvlJc w:val="left"/>
      <w:pPr>
        <w:ind w:left="720" w:hanging="360"/>
      </w:pPr>
      <w:rPr>
        <w:rFonts w:eastAsia="Times New Roman" w:cs="Times New Roman" w:hint="default"/>
        <w:b/>
        <w:color w:val="auto"/>
      </w:rPr>
    </w:lvl>
    <w:lvl w:ilvl="1">
      <w:start w:val="1"/>
      <w:numFmt w:val="decimal"/>
      <w:isLgl/>
      <w:lvlText w:val="%1.%2"/>
      <w:lvlJc w:val="left"/>
      <w:pPr>
        <w:ind w:left="750" w:hanging="390"/>
      </w:pPr>
      <w:rPr>
        <w:rFonts w:ascii="Cambria" w:eastAsia="Times New Roman" w:hAnsi="Cambria" w:cs="Times New Roman" w:hint="default"/>
        <w:b/>
        <w:i w:val="0"/>
        <w:color w:val="000000"/>
        <w:sz w:val="26"/>
        <w:szCs w:val="26"/>
      </w:rPr>
    </w:lvl>
    <w:lvl w:ilvl="2">
      <w:start w:val="1"/>
      <w:numFmt w:val="decimal"/>
      <w:isLgl/>
      <w:lvlText w:val="%1.%2.%3"/>
      <w:lvlJc w:val="left"/>
      <w:pPr>
        <w:ind w:left="1080" w:hanging="720"/>
      </w:pPr>
      <w:rPr>
        <w:rFonts w:ascii="Cambria" w:eastAsia="Times New Roman" w:hAnsi="Cambria" w:cs="Times New Roman" w:hint="default"/>
        <w:b/>
        <w:i/>
        <w:color w:val="000000"/>
        <w:sz w:val="28"/>
      </w:rPr>
    </w:lvl>
    <w:lvl w:ilvl="3">
      <w:start w:val="1"/>
      <w:numFmt w:val="decimal"/>
      <w:isLgl/>
      <w:lvlText w:val="%1.%2.%3.%4"/>
      <w:lvlJc w:val="left"/>
      <w:pPr>
        <w:ind w:left="1440" w:hanging="1080"/>
      </w:pPr>
      <w:rPr>
        <w:rFonts w:ascii="Cambria" w:eastAsia="Times New Roman" w:hAnsi="Cambria" w:cs="Times New Roman" w:hint="default"/>
        <w:b/>
        <w:i/>
        <w:color w:val="000000"/>
        <w:sz w:val="28"/>
      </w:rPr>
    </w:lvl>
    <w:lvl w:ilvl="4">
      <w:start w:val="1"/>
      <w:numFmt w:val="decimal"/>
      <w:isLgl/>
      <w:lvlText w:val="%1.%2.%3.%4.%5"/>
      <w:lvlJc w:val="left"/>
      <w:pPr>
        <w:ind w:left="1440" w:hanging="1080"/>
      </w:pPr>
      <w:rPr>
        <w:rFonts w:ascii="Cambria" w:eastAsia="Times New Roman" w:hAnsi="Cambria" w:cs="Times New Roman" w:hint="default"/>
        <w:b/>
        <w:i/>
        <w:color w:val="000000"/>
        <w:sz w:val="28"/>
      </w:rPr>
    </w:lvl>
    <w:lvl w:ilvl="5">
      <w:start w:val="1"/>
      <w:numFmt w:val="decimal"/>
      <w:isLgl/>
      <w:lvlText w:val="%1.%2.%3.%4.%5.%6"/>
      <w:lvlJc w:val="left"/>
      <w:pPr>
        <w:ind w:left="1800" w:hanging="1440"/>
      </w:pPr>
      <w:rPr>
        <w:rFonts w:ascii="Cambria" w:eastAsia="Times New Roman" w:hAnsi="Cambria" w:cs="Times New Roman" w:hint="default"/>
        <w:b/>
        <w:i/>
        <w:color w:val="000000"/>
        <w:sz w:val="28"/>
      </w:rPr>
    </w:lvl>
    <w:lvl w:ilvl="6">
      <w:start w:val="1"/>
      <w:numFmt w:val="decimal"/>
      <w:isLgl/>
      <w:lvlText w:val="%1.%2.%3.%4.%5.%6.%7"/>
      <w:lvlJc w:val="left"/>
      <w:pPr>
        <w:ind w:left="1800" w:hanging="1440"/>
      </w:pPr>
      <w:rPr>
        <w:rFonts w:ascii="Cambria" w:eastAsia="Times New Roman" w:hAnsi="Cambria" w:cs="Times New Roman" w:hint="default"/>
        <w:b/>
        <w:i/>
        <w:color w:val="000000"/>
        <w:sz w:val="28"/>
      </w:rPr>
    </w:lvl>
    <w:lvl w:ilvl="7">
      <w:start w:val="1"/>
      <w:numFmt w:val="decimal"/>
      <w:isLgl/>
      <w:lvlText w:val="%1.%2.%3.%4.%5.%6.%7.%8"/>
      <w:lvlJc w:val="left"/>
      <w:pPr>
        <w:ind w:left="2160" w:hanging="1800"/>
      </w:pPr>
      <w:rPr>
        <w:rFonts w:ascii="Cambria" w:eastAsia="Times New Roman" w:hAnsi="Cambria" w:cs="Times New Roman" w:hint="default"/>
        <w:b/>
        <w:i/>
        <w:color w:val="000000"/>
        <w:sz w:val="28"/>
      </w:rPr>
    </w:lvl>
    <w:lvl w:ilvl="8">
      <w:start w:val="1"/>
      <w:numFmt w:val="decimal"/>
      <w:isLgl/>
      <w:lvlText w:val="%1.%2.%3.%4.%5.%6.%7.%8.%9"/>
      <w:lvlJc w:val="left"/>
      <w:pPr>
        <w:ind w:left="2160" w:hanging="1800"/>
      </w:pPr>
      <w:rPr>
        <w:rFonts w:ascii="Cambria" w:eastAsia="Times New Roman" w:hAnsi="Cambria" w:cs="Times New Roman" w:hint="default"/>
        <w:b/>
        <w:i/>
        <w:color w:val="000000"/>
        <w:sz w:val="28"/>
      </w:rPr>
    </w:lvl>
  </w:abstractNum>
  <w:abstractNum w:abstractNumId="30">
    <w:nsid w:val="6E126699"/>
    <w:multiLevelType w:val="hybridMultilevel"/>
    <w:tmpl w:val="7D92DB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E1D19A9"/>
    <w:multiLevelType w:val="hybridMultilevel"/>
    <w:tmpl w:val="91D06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B81728"/>
    <w:multiLevelType w:val="hybridMultilevel"/>
    <w:tmpl w:val="87A402E8"/>
    <w:lvl w:ilvl="0" w:tplc="20C0EE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9"/>
  </w:num>
  <w:num w:numId="3">
    <w:abstractNumId w:val="12"/>
  </w:num>
  <w:num w:numId="4">
    <w:abstractNumId w:val="11"/>
  </w:num>
  <w:num w:numId="5">
    <w:abstractNumId w:val="31"/>
  </w:num>
  <w:num w:numId="6">
    <w:abstractNumId w:val="27"/>
  </w:num>
  <w:num w:numId="7">
    <w:abstractNumId w:val="28"/>
  </w:num>
  <w:num w:numId="8">
    <w:abstractNumId w:val="5"/>
  </w:num>
  <w:num w:numId="9">
    <w:abstractNumId w:val="10"/>
  </w:num>
  <w:num w:numId="10">
    <w:abstractNumId w:val="15"/>
  </w:num>
  <w:num w:numId="11">
    <w:abstractNumId w:val="20"/>
  </w:num>
  <w:num w:numId="12">
    <w:abstractNumId w:val="0"/>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26"/>
  </w:num>
  <w:num w:numId="17">
    <w:abstractNumId w:val="9"/>
  </w:num>
  <w:num w:numId="18">
    <w:abstractNumId w:val="24"/>
  </w:num>
  <w:num w:numId="19">
    <w:abstractNumId w:val="14"/>
  </w:num>
  <w:num w:numId="20">
    <w:abstractNumId w:val="30"/>
  </w:num>
  <w:num w:numId="21">
    <w:abstractNumId w:val="6"/>
  </w:num>
  <w:num w:numId="22">
    <w:abstractNumId w:val="7"/>
  </w:num>
  <w:num w:numId="23">
    <w:abstractNumId w:val="2"/>
  </w:num>
  <w:num w:numId="24">
    <w:abstractNumId w:val="3"/>
  </w:num>
  <w:num w:numId="25">
    <w:abstractNumId w:val="22"/>
  </w:num>
  <w:num w:numId="26">
    <w:abstractNumId w:val="25"/>
  </w:num>
  <w:num w:numId="27">
    <w:abstractNumId w:val="13"/>
  </w:num>
  <w:num w:numId="28">
    <w:abstractNumId w:val="18"/>
  </w:num>
  <w:num w:numId="29">
    <w:abstractNumId w:val="8"/>
  </w:num>
  <w:num w:numId="30">
    <w:abstractNumId w:val="32"/>
  </w:num>
  <w:num w:numId="31">
    <w:abstractNumId w:val="23"/>
  </w:num>
  <w:num w:numId="32">
    <w:abstractNumId w:val="29"/>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n-U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s-AR" w:vendorID="64" w:dllVersion="131078" w:nlCheck="1" w:checkStyle="1"/>
  <w:defaultTabStop w:val="720"/>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141"/>
    <w:rsid w:val="0000398B"/>
    <w:rsid w:val="0000671F"/>
    <w:rsid w:val="00011E26"/>
    <w:rsid w:val="0001428E"/>
    <w:rsid w:val="00027D32"/>
    <w:rsid w:val="00033C7D"/>
    <w:rsid w:val="00035677"/>
    <w:rsid w:val="00044B1D"/>
    <w:rsid w:val="0005131B"/>
    <w:rsid w:val="00085E31"/>
    <w:rsid w:val="00090665"/>
    <w:rsid w:val="00091330"/>
    <w:rsid w:val="000913EB"/>
    <w:rsid w:val="000A4C1A"/>
    <w:rsid w:val="000B27A3"/>
    <w:rsid w:val="000B5756"/>
    <w:rsid w:val="000B5F2F"/>
    <w:rsid w:val="000C23A7"/>
    <w:rsid w:val="000C4EAB"/>
    <w:rsid w:val="000D2582"/>
    <w:rsid w:val="000D5F62"/>
    <w:rsid w:val="000F7970"/>
    <w:rsid w:val="00102D00"/>
    <w:rsid w:val="0011081F"/>
    <w:rsid w:val="0011244D"/>
    <w:rsid w:val="0011403F"/>
    <w:rsid w:val="00115846"/>
    <w:rsid w:val="00116D3F"/>
    <w:rsid w:val="0015154B"/>
    <w:rsid w:val="0018778E"/>
    <w:rsid w:val="00187D62"/>
    <w:rsid w:val="001A0387"/>
    <w:rsid w:val="001A53CC"/>
    <w:rsid w:val="001B599F"/>
    <w:rsid w:val="001C1BE9"/>
    <w:rsid w:val="001C2A65"/>
    <w:rsid w:val="001D0964"/>
    <w:rsid w:val="001D627C"/>
    <w:rsid w:val="001E21EB"/>
    <w:rsid w:val="001F789C"/>
    <w:rsid w:val="001F7AF5"/>
    <w:rsid w:val="00204729"/>
    <w:rsid w:val="00205571"/>
    <w:rsid w:val="002206EB"/>
    <w:rsid w:val="0022616E"/>
    <w:rsid w:val="00280C69"/>
    <w:rsid w:val="0029092E"/>
    <w:rsid w:val="00293153"/>
    <w:rsid w:val="002A0D81"/>
    <w:rsid w:val="002A3D3A"/>
    <w:rsid w:val="002A7464"/>
    <w:rsid w:val="002B3E34"/>
    <w:rsid w:val="002B7D1C"/>
    <w:rsid w:val="002B7E7F"/>
    <w:rsid w:val="002C058C"/>
    <w:rsid w:val="002F5AC4"/>
    <w:rsid w:val="003027ED"/>
    <w:rsid w:val="00303129"/>
    <w:rsid w:val="0031338F"/>
    <w:rsid w:val="00316510"/>
    <w:rsid w:val="0031717C"/>
    <w:rsid w:val="00324DED"/>
    <w:rsid w:val="00333B8C"/>
    <w:rsid w:val="00333EC3"/>
    <w:rsid w:val="003376B4"/>
    <w:rsid w:val="003419E2"/>
    <w:rsid w:val="003432DE"/>
    <w:rsid w:val="00344319"/>
    <w:rsid w:val="00347296"/>
    <w:rsid w:val="00352A58"/>
    <w:rsid w:val="00364A1A"/>
    <w:rsid w:val="00371F7B"/>
    <w:rsid w:val="00383C26"/>
    <w:rsid w:val="00392F16"/>
    <w:rsid w:val="003B5D84"/>
    <w:rsid w:val="003C05E7"/>
    <w:rsid w:val="003C24B4"/>
    <w:rsid w:val="003C2F41"/>
    <w:rsid w:val="003C49EB"/>
    <w:rsid w:val="003E502C"/>
    <w:rsid w:val="003F3138"/>
    <w:rsid w:val="003F3BBD"/>
    <w:rsid w:val="003F4475"/>
    <w:rsid w:val="0041396E"/>
    <w:rsid w:val="004211F6"/>
    <w:rsid w:val="00424BF2"/>
    <w:rsid w:val="00424F2A"/>
    <w:rsid w:val="004321DB"/>
    <w:rsid w:val="0045164C"/>
    <w:rsid w:val="00452738"/>
    <w:rsid w:val="00453B22"/>
    <w:rsid w:val="00461276"/>
    <w:rsid w:val="00461D96"/>
    <w:rsid w:val="004718D5"/>
    <w:rsid w:val="00472012"/>
    <w:rsid w:val="00473B71"/>
    <w:rsid w:val="0047507F"/>
    <w:rsid w:val="00480328"/>
    <w:rsid w:val="00497777"/>
    <w:rsid w:val="004A456D"/>
    <w:rsid w:val="004B72B8"/>
    <w:rsid w:val="004B7D99"/>
    <w:rsid w:val="004C0D44"/>
    <w:rsid w:val="004C4260"/>
    <w:rsid w:val="004C69C2"/>
    <w:rsid w:val="004D0731"/>
    <w:rsid w:val="004D168C"/>
    <w:rsid w:val="004D4520"/>
    <w:rsid w:val="004D7A59"/>
    <w:rsid w:val="004E09DA"/>
    <w:rsid w:val="00504AAD"/>
    <w:rsid w:val="005212B0"/>
    <w:rsid w:val="00530540"/>
    <w:rsid w:val="005346C0"/>
    <w:rsid w:val="00541611"/>
    <w:rsid w:val="00543F6B"/>
    <w:rsid w:val="00546113"/>
    <w:rsid w:val="005510BB"/>
    <w:rsid w:val="005515FA"/>
    <w:rsid w:val="005545BD"/>
    <w:rsid w:val="00584407"/>
    <w:rsid w:val="00586319"/>
    <w:rsid w:val="005A51A3"/>
    <w:rsid w:val="005B39BE"/>
    <w:rsid w:val="005B68BB"/>
    <w:rsid w:val="005C38F5"/>
    <w:rsid w:val="005C7D74"/>
    <w:rsid w:val="005D32DE"/>
    <w:rsid w:val="005E1B24"/>
    <w:rsid w:val="00605AEF"/>
    <w:rsid w:val="0060704C"/>
    <w:rsid w:val="0061068A"/>
    <w:rsid w:val="0062142E"/>
    <w:rsid w:val="00626389"/>
    <w:rsid w:val="006339F3"/>
    <w:rsid w:val="006352C4"/>
    <w:rsid w:val="006362D3"/>
    <w:rsid w:val="00646951"/>
    <w:rsid w:val="0065146F"/>
    <w:rsid w:val="006562C1"/>
    <w:rsid w:val="006619B9"/>
    <w:rsid w:val="00663980"/>
    <w:rsid w:val="006642FE"/>
    <w:rsid w:val="006676DC"/>
    <w:rsid w:val="006814DA"/>
    <w:rsid w:val="0068367D"/>
    <w:rsid w:val="006871ED"/>
    <w:rsid w:val="006A18F9"/>
    <w:rsid w:val="006C1DDA"/>
    <w:rsid w:val="006C7FDE"/>
    <w:rsid w:val="006D7AC7"/>
    <w:rsid w:val="006F0736"/>
    <w:rsid w:val="0070226E"/>
    <w:rsid w:val="00707ED3"/>
    <w:rsid w:val="00713BD7"/>
    <w:rsid w:val="00723DE1"/>
    <w:rsid w:val="00724998"/>
    <w:rsid w:val="00724DA4"/>
    <w:rsid w:val="0073710E"/>
    <w:rsid w:val="00755E9E"/>
    <w:rsid w:val="00756131"/>
    <w:rsid w:val="00761D8B"/>
    <w:rsid w:val="00761F92"/>
    <w:rsid w:val="00771729"/>
    <w:rsid w:val="00773A3B"/>
    <w:rsid w:val="0077419A"/>
    <w:rsid w:val="00791D88"/>
    <w:rsid w:val="0079533B"/>
    <w:rsid w:val="007A0F6F"/>
    <w:rsid w:val="007A2527"/>
    <w:rsid w:val="007A2FFF"/>
    <w:rsid w:val="007B59D1"/>
    <w:rsid w:val="007C3A28"/>
    <w:rsid w:val="007C6D90"/>
    <w:rsid w:val="007D1156"/>
    <w:rsid w:val="007D3C06"/>
    <w:rsid w:val="007E26C3"/>
    <w:rsid w:val="007E2DBD"/>
    <w:rsid w:val="007E4564"/>
    <w:rsid w:val="007F0196"/>
    <w:rsid w:val="007F0947"/>
    <w:rsid w:val="007F48AD"/>
    <w:rsid w:val="007F55FF"/>
    <w:rsid w:val="0081047F"/>
    <w:rsid w:val="00817E23"/>
    <w:rsid w:val="0084290E"/>
    <w:rsid w:val="00856A37"/>
    <w:rsid w:val="008628BD"/>
    <w:rsid w:val="00873D2A"/>
    <w:rsid w:val="008742A6"/>
    <w:rsid w:val="0087704F"/>
    <w:rsid w:val="00881D9F"/>
    <w:rsid w:val="008953B1"/>
    <w:rsid w:val="00896AFC"/>
    <w:rsid w:val="008A0FC2"/>
    <w:rsid w:val="008A5530"/>
    <w:rsid w:val="008B6402"/>
    <w:rsid w:val="008C5321"/>
    <w:rsid w:val="008D2E8F"/>
    <w:rsid w:val="008D538C"/>
    <w:rsid w:val="008E0016"/>
    <w:rsid w:val="008E04D3"/>
    <w:rsid w:val="008E1E4F"/>
    <w:rsid w:val="008E54D9"/>
    <w:rsid w:val="008F1F9C"/>
    <w:rsid w:val="00902405"/>
    <w:rsid w:val="00905695"/>
    <w:rsid w:val="009120D2"/>
    <w:rsid w:val="0091352A"/>
    <w:rsid w:val="009202DF"/>
    <w:rsid w:val="00924141"/>
    <w:rsid w:val="009308F9"/>
    <w:rsid w:val="00931784"/>
    <w:rsid w:val="00941A7C"/>
    <w:rsid w:val="00947A21"/>
    <w:rsid w:val="009510AF"/>
    <w:rsid w:val="00954432"/>
    <w:rsid w:val="009558D9"/>
    <w:rsid w:val="00956666"/>
    <w:rsid w:val="00987712"/>
    <w:rsid w:val="0098793F"/>
    <w:rsid w:val="00990668"/>
    <w:rsid w:val="009A41F3"/>
    <w:rsid w:val="009A49CE"/>
    <w:rsid w:val="009A6BFA"/>
    <w:rsid w:val="009B46D9"/>
    <w:rsid w:val="009C2306"/>
    <w:rsid w:val="009D13C3"/>
    <w:rsid w:val="009D7694"/>
    <w:rsid w:val="009E02EE"/>
    <w:rsid w:val="009E101A"/>
    <w:rsid w:val="009E50E9"/>
    <w:rsid w:val="009F259D"/>
    <w:rsid w:val="00A050B7"/>
    <w:rsid w:val="00A06446"/>
    <w:rsid w:val="00A072DE"/>
    <w:rsid w:val="00A1353B"/>
    <w:rsid w:val="00A1766F"/>
    <w:rsid w:val="00A22F06"/>
    <w:rsid w:val="00A25EEC"/>
    <w:rsid w:val="00A26704"/>
    <w:rsid w:val="00A366F1"/>
    <w:rsid w:val="00A412F0"/>
    <w:rsid w:val="00A50E65"/>
    <w:rsid w:val="00A51086"/>
    <w:rsid w:val="00A56557"/>
    <w:rsid w:val="00A674E5"/>
    <w:rsid w:val="00A7133F"/>
    <w:rsid w:val="00A72F62"/>
    <w:rsid w:val="00A749A0"/>
    <w:rsid w:val="00A80018"/>
    <w:rsid w:val="00A93E29"/>
    <w:rsid w:val="00A97828"/>
    <w:rsid w:val="00A97C8C"/>
    <w:rsid w:val="00AB340D"/>
    <w:rsid w:val="00AB5ABC"/>
    <w:rsid w:val="00AC40D0"/>
    <w:rsid w:val="00AE01C4"/>
    <w:rsid w:val="00AE2545"/>
    <w:rsid w:val="00AE5158"/>
    <w:rsid w:val="00AE762B"/>
    <w:rsid w:val="00AF1BF6"/>
    <w:rsid w:val="00AF481C"/>
    <w:rsid w:val="00AF6C1B"/>
    <w:rsid w:val="00B0083C"/>
    <w:rsid w:val="00B03827"/>
    <w:rsid w:val="00B06F4A"/>
    <w:rsid w:val="00B11287"/>
    <w:rsid w:val="00B15465"/>
    <w:rsid w:val="00B22608"/>
    <w:rsid w:val="00B431F5"/>
    <w:rsid w:val="00B55192"/>
    <w:rsid w:val="00B5741A"/>
    <w:rsid w:val="00B63460"/>
    <w:rsid w:val="00B711C7"/>
    <w:rsid w:val="00B823B7"/>
    <w:rsid w:val="00B851F2"/>
    <w:rsid w:val="00B85E3D"/>
    <w:rsid w:val="00B87B41"/>
    <w:rsid w:val="00B90054"/>
    <w:rsid w:val="00B90842"/>
    <w:rsid w:val="00B96B97"/>
    <w:rsid w:val="00BA64FD"/>
    <w:rsid w:val="00BA7AE0"/>
    <w:rsid w:val="00BB0C09"/>
    <w:rsid w:val="00BB5A6A"/>
    <w:rsid w:val="00BC0DD3"/>
    <w:rsid w:val="00BC3366"/>
    <w:rsid w:val="00BC44F0"/>
    <w:rsid w:val="00BF5977"/>
    <w:rsid w:val="00C122D6"/>
    <w:rsid w:val="00C305B6"/>
    <w:rsid w:val="00C44F3A"/>
    <w:rsid w:val="00C47C68"/>
    <w:rsid w:val="00C52D38"/>
    <w:rsid w:val="00C62C16"/>
    <w:rsid w:val="00C649C4"/>
    <w:rsid w:val="00C679AC"/>
    <w:rsid w:val="00C72B0F"/>
    <w:rsid w:val="00C85CD4"/>
    <w:rsid w:val="00C8783A"/>
    <w:rsid w:val="00C92D25"/>
    <w:rsid w:val="00C9540D"/>
    <w:rsid w:val="00CA2C25"/>
    <w:rsid w:val="00CC1405"/>
    <w:rsid w:val="00CD4D2F"/>
    <w:rsid w:val="00CE0F7D"/>
    <w:rsid w:val="00D02E65"/>
    <w:rsid w:val="00D1305E"/>
    <w:rsid w:val="00D318C8"/>
    <w:rsid w:val="00D31C41"/>
    <w:rsid w:val="00D342E5"/>
    <w:rsid w:val="00D541FA"/>
    <w:rsid w:val="00D65588"/>
    <w:rsid w:val="00D748E2"/>
    <w:rsid w:val="00D77D63"/>
    <w:rsid w:val="00D9714C"/>
    <w:rsid w:val="00DA730D"/>
    <w:rsid w:val="00DB70CB"/>
    <w:rsid w:val="00DC17B6"/>
    <w:rsid w:val="00DC2394"/>
    <w:rsid w:val="00DC58BD"/>
    <w:rsid w:val="00DE6FCF"/>
    <w:rsid w:val="00DF3399"/>
    <w:rsid w:val="00DF3E47"/>
    <w:rsid w:val="00DF4AC4"/>
    <w:rsid w:val="00DF63C9"/>
    <w:rsid w:val="00E02F11"/>
    <w:rsid w:val="00E05A46"/>
    <w:rsid w:val="00E10C91"/>
    <w:rsid w:val="00E13EB0"/>
    <w:rsid w:val="00E25451"/>
    <w:rsid w:val="00E25CAC"/>
    <w:rsid w:val="00E326C3"/>
    <w:rsid w:val="00E33DFD"/>
    <w:rsid w:val="00E363F3"/>
    <w:rsid w:val="00E368B5"/>
    <w:rsid w:val="00E42CC5"/>
    <w:rsid w:val="00E45287"/>
    <w:rsid w:val="00E454B9"/>
    <w:rsid w:val="00E5294C"/>
    <w:rsid w:val="00E57C98"/>
    <w:rsid w:val="00E65EE2"/>
    <w:rsid w:val="00E73F80"/>
    <w:rsid w:val="00E8333A"/>
    <w:rsid w:val="00E92DDF"/>
    <w:rsid w:val="00E952FB"/>
    <w:rsid w:val="00EA1118"/>
    <w:rsid w:val="00EB0376"/>
    <w:rsid w:val="00EB38DB"/>
    <w:rsid w:val="00EB6614"/>
    <w:rsid w:val="00EC0CBB"/>
    <w:rsid w:val="00ED06D8"/>
    <w:rsid w:val="00ED094C"/>
    <w:rsid w:val="00ED3768"/>
    <w:rsid w:val="00EE0AF7"/>
    <w:rsid w:val="00EF38ED"/>
    <w:rsid w:val="00EF5D75"/>
    <w:rsid w:val="00F03EA8"/>
    <w:rsid w:val="00F0788A"/>
    <w:rsid w:val="00F12BA5"/>
    <w:rsid w:val="00F22DA2"/>
    <w:rsid w:val="00F22F78"/>
    <w:rsid w:val="00F36CB9"/>
    <w:rsid w:val="00F4181C"/>
    <w:rsid w:val="00F44F0D"/>
    <w:rsid w:val="00F55C9A"/>
    <w:rsid w:val="00F76E69"/>
    <w:rsid w:val="00F80DE9"/>
    <w:rsid w:val="00F81BDC"/>
    <w:rsid w:val="00F852CB"/>
    <w:rsid w:val="00F85F44"/>
    <w:rsid w:val="00F86982"/>
    <w:rsid w:val="00FA2E5B"/>
    <w:rsid w:val="00FA4B29"/>
    <w:rsid w:val="00FC3B0B"/>
    <w:rsid w:val="00FC4FC4"/>
    <w:rsid w:val="00FD5F1B"/>
    <w:rsid w:val="00FD7D30"/>
    <w:rsid w:val="00FE284F"/>
    <w:rsid w:val="00FF0393"/>
    <w:rsid w:val="00FF6CBD"/>
    <w:rsid w:val="00FF74AE"/>
    <w:rsid w:val="00FF7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AC4"/>
  </w:style>
  <w:style w:type="paragraph" w:styleId="Heading1">
    <w:name w:val="heading 1"/>
    <w:aliases w:val="Heading 1.I"/>
    <w:basedOn w:val="Normal"/>
    <w:next w:val="Normal"/>
    <w:link w:val="Heading1Char"/>
    <w:qFormat/>
    <w:rsid w:val="00A565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2F62"/>
    <w:pPr>
      <w:keepNext/>
      <w:spacing w:before="240" w:after="60" w:line="276" w:lineRule="auto"/>
      <w:outlineLvl w:val="1"/>
    </w:pPr>
    <w:rPr>
      <w:rFonts w:ascii="Cambria" w:eastAsia="Times New Roman" w:hAnsi="Cambria" w:cs="Times New Roman"/>
      <w:b/>
      <w:bCs/>
      <w:i/>
      <w:iCs/>
      <w:sz w:val="28"/>
      <w:szCs w:val="28"/>
      <w:lang w:val="es-AR" w:eastAsia="x-none"/>
    </w:rPr>
  </w:style>
  <w:style w:type="paragraph" w:styleId="Heading4">
    <w:name w:val="heading 4"/>
    <w:aliases w:val="Heading 4.a"/>
    <w:next w:val="Normal"/>
    <w:link w:val="Heading4Char"/>
    <w:qFormat/>
    <w:rsid w:val="00DF4AC4"/>
    <w:pPr>
      <w:keepNext/>
      <w:tabs>
        <w:tab w:val="left" w:pos="1440"/>
        <w:tab w:val="num" w:pos="1800"/>
      </w:tabs>
      <w:spacing w:before="120" w:after="120"/>
      <w:ind w:left="1800" w:hanging="360"/>
      <w:jc w:val="both"/>
      <w:outlineLvl w:val="3"/>
    </w:pPr>
    <w:rPr>
      <w:rFonts w:ascii="Times New Roman Bold" w:eastAsia="Times New Roman" w:hAnsi="Times New Roman Bold" w:cs="Times New Roman"/>
      <w:b/>
      <w:noProof/>
      <w:sz w:val="24"/>
      <w:szCs w:val="20"/>
      <w:lang w:val="es-AR" w:eastAsia="es-AR"/>
    </w:rPr>
  </w:style>
  <w:style w:type="paragraph" w:styleId="Heading5">
    <w:name w:val="heading 5"/>
    <w:aliases w:val="Heading 5.(i)"/>
    <w:next w:val="Normal"/>
    <w:link w:val="Heading5Char"/>
    <w:qFormat/>
    <w:rsid w:val="00DF4AC4"/>
    <w:pPr>
      <w:keepNext/>
      <w:tabs>
        <w:tab w:val="num" w:pos="2088"/>
      </w:tabs>
      <w:spacing w:before="120" w:after="120"/>
      <w:ind w:left="2088" w:hanging="288"/>
      <w:jc w:val="both"/>
      <w:outlineLvl w:val="4"/>
    </w:pPr>
    <w:rPr>
      <w:rFonts w:ascii="Times New Roman Bold" w:eastAsia="Times New Roman" w:hAnsi="Times New Roman Bold" w:cs="Times New Roman"/>
      <w:b/>
      <w:noProof/>
      <w:sz w:val="24"/>
      <w:szCs w:val="20"/>
      <w:lang w:val="es-AR"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414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24141"/>
  </w:style>
  <w:style w:type="character" w:customStyle="1" w:styleId="Heading1Char">
    <w:name w:val="Heading 1 Char"/>
    <w:aliases w:val="Heading 1.I Char"/>
    <w:basedOn w:val="DefaultParagraphFont"/>
    <w:link w:val="Heading1"/>
    <w:uiPriority w:val="9"/>
    <w:rsid w:val="00A5655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56557"/>
    <w:pPr>
      <w:ind w:left="720"/>
      <w:contextualSpacing/>
    </w:pPr>
  </w:style>
  <w:style w:type="paragraph" w:styleId="FootnoteText">
    <w:name w:val="footnote text"/>
    <w:aliases w:val="fn,Texto nota pie Car Car,Texto nota pie Car Car Car Car Car Car,Texto nota pie Car Car Car Car Car,Texto nota pie Car Car Car Car Car Car Car,Texto nota pie Car Car Car,footnote,Footnote Text Char1 Char,Footnote Text Char Char Char,ADB"/>
    <w:basedOn w:val="Normal"/>
    <w:link w:val="FootnoteTextChar"/>
    <w:uiPriority w:val="99"/>
    <w:unhideWhenUsed/>
    <w:rsid w:val="00A56557"/>
    <w:rPr>
      <w:sz w:val="20"/>
      <w:szCs w:val="20"/>
    </w:rPr>
  </w:style>
  <w:style w:type="character" w:customStyle="1" w:styleId="FootnoteTextChar">
    <w:name w:val="Footnote Text Char"/>
    <w:aliases w:val="fn Char,Texto nota pie Car Car Char,Texto nota pie Car Car Car Car Car Car Char,Texto nota pie Car Car Car Car Car Char,Texto nota pie Car Car Car Car Car Car Car Char,Texto nota pie Car Car Car Char,footnote Char,ADB Char"/>
    <w:basedOn w:val="DefaultParagraphFont"/>
    <w:link w:val="FootnoteText"/>
    <w:uiPriority w:val="99"/>
    <w:rsid w:val="00A56557"/>
    <w:rPr>
      <w:rFonts w:eastAsiaTheme="minorEastAsia"/>
      <w:sz w:val="20"/>
      <w:szCs w:val="20"/>
    </w:rPr>
  </w:style>
  <w:style w:type="character" w:styleId="FootnoteReference">
    <w:name w:val="footnote reference"/>
    <w:aliases w:val="Fußnotenzeichen DISS,16 Point,Superscript 6 Point,ftref,BVI fnr,Знак сноски 1,referencia nota al pie,Footnote Referencefra,FC,Ref,de nota al pie,titulo 2,Ref. de nota al pie."/>
    <w:basedOn w:val="DefaultParagraphFont"/>
    <w:uiPriority w:val="99"/>
    <w:unhideWhenUsed/>
    <w:rsid w:val="00A56557"/>
    <w:rPr>
      <w:vertAlign w:val="superscript"/>
    </w:rPr>
  </w:style>
  <w:style w:type="character" w:styleId="Hyperlink">
    <w:name w:val="Hyperlink"/>
    <w:basedOn w:val="DefaultParagraphFont"/>
    <w:uiPriority w:val="99"/>
    <w:unhideWhenUsed/>
    <w:rsid w:val="00A56557"/>
    <w:rPr>
      <w:color w:val="0000FF" w:themeColor="hyperlink"/>
      <w:u w:val="single"/>
    </w:rPr>
  </w:style>
  <w:style w:type="paragraph" w:styleId="BalloonText">
    <w:name w:val="Balloon Text"/>
    <w:basedOn w:val="Normal"/>
    <w:link w:val="BalloonTextChar"/>
    <w:uiPriority w:val="99"/>
    <w:semiHidden/>
    <w:unhideWhenUsed/>
    <w:rsid w:val="00A56557"/>
    <w:rPr>
      <w:rFonts w:ascii="Tahoma" w:hAnsi="Tahoma" w:cs="Tahoma"/>
      <w:sz w:val="16"/>
      <w:szCs w:val="16"/>
    </w:rPr>
  </w:style>
  <w:style w:type="character" w:customStyle="1" w:styleId="BalloonTextChar">
    <w:name w:val="Balloon Text Char"/>
    <w:basedOn w:val="DefaultParagraphFont"/>
    <w:link w:val="BalloonText"/>
    <w:uiPriority w:val="99"/>
    <w:semiHidden/>
    <w:rsid w:val="00A56557"/>
    <w:rPr>
      <w:rFonts w:ascii="Tahoma" w:hAnsi="Tahoma" w:cs="Tahoma"/>
      <w:sz w:val="16"/>
      <w:szCs w:val="16"/>
    </w:rPr>
  </w:style>
  <w:style w:type="paragraph" w:styleId="Header">
    <w:name w:val="header"/>
    <w:basedOn w:val="Normal"/>
    <w:link w:val="HeaderChar"/>
    <w:uiPriority w:val="99"/>
    <w:unhideWhenUsed/>
    <w:rsid w:val="005C38F5"/>
    <w:pPr>
      <w:tabs>
        <w:tab w:val="center" w:pos="4680"/>
        <w:tab w:val="right" w:pos="9360"/>
      </w:tabs>
    </w:pPr>
  </w:style>
  <w:style w:type="character" w:customStyle="1" w:styleId="HeaderChar">
    <w:name w:val="Header Char"/>
    <w:basedOn w:val="DefaultParagraphFont"/>
    <w:link w:val="Header"/>
    <w:uiPriority w:val="99"/>
    <w:rsid w:val="005C38F5"/>
  </w:style>
  <w:style w:type="paragraph" w:styleId="Footer">
    <w:name w:val="footer"/>
    <w:basedOn w:val="Normal"/>
    <w:link w:val="FooterChar"/>
    <w:uiPriority w:val="99"/>
    <w:unhideWhenUsed/>
    <w:rsid w:val="005C38F5"/>
    <w:pPr>
      <w:tabs>
        <w:tab w:val="center" w:pos="4680"/>
        <w:tab w:val="right" w:pos="9360"/>
      </w:tabs>
    </w:pPr>
  </w:style>
  <w:style w:type="character" w:customStyle="1" w:styleId="FooterChar">
    <w:name w:val="Footer Char"/>
    <w:basedOn w:val="DefaultParagraphFont"/>
    <w:link w:val="Footer"/>
    <w:uiPriority w:val="99"/>
    <w:rsid w:val="005C38F5"/>
  </w:style>
  <w:style w:type="paragraph" w:styleId="TOC1">
    <w:name w:val="toc 1"/>
    <w:basedOn w:val="Normal"/>
    <w:next w:val="Normal"/>
    <w:autoRedefine/>
    <w:uiPriority w:val="39"/>
    <w:unhideWhenUsed/>
    <w:rsid w:val="00D541FA"/>
    <w:pPr>
      <w:spacing w:after="100"/>
    </w:pPr>
  </w:style>
  <w:style w:type="character" w:customStyle="1" w:styleId="il">
    <w:name w:val="il"/>
    <w:basedOn w:val="DefaultParagraphFont"/>
    <w:rsid w:val="0084290E"/>
  </w:style>
  <w:style w:type="paragraph" w:customStyle="1" w:styleId="ColorfulList-Accent11">
    <w:name w:val="Colorful List - Accent 11"/>
    <w:basedOn w:val="Normal"/>
    <w:link w:val="ColorfulList-Accent1Char"/>
    <w:uiPriority w:val="34"/>
    <w:qFormat/>
    <w:rsid w:val="00352A58"/>
    <w:pPr>
      <w:ind w:left="720"/>
      <w:contextualSpacing/>
    </w:pPr>
    <w:rPr>
      <w:rFonts w:ascii="Calibri" w:eastAsia="Calibri" w:hAnsi="Calibri" w:cs="Times New Roman"/>
      <w:lang w:val="es-ES_tradnl" w:eastAsia="en-US"/>
    </w:rPr>
  </w:style>
  <w:style w:type="paragraph" w:styleId="Title">
    <w:name w:val="Title"/>
    <w:basedOn w:val="Normal"/>
    <w:link w:val="TitleChar"/>
    <w:qFormat/>
    <w:rsid w:val="00352A58"/>
    <w:pPr>
      <w:tabs>
        <w:tab w:val="left" w:pos="1440"/>
        <w:tab w:val="left" w:pos="3060"/>
      </w:tabs>
      <w:jc w:val="center"/>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rsid w:val="00352A58"/>
    <w:rPr>
      <w:rFonts w:ascii="Times New Roman" w:eastAsia="Times New Roman" w:hAnsi="Times New Roman" w:cs="Times New Roman"/>
      <w:sz w:val="24"/>
      <w:szCs w:val="20"/>
      <w:lang w:val="es-ES_tradnl" w:eastAsia="en-US"/>
    </w:rPr>
  </w:style>
  <w:style w:type="paragraph" w:customStyle="1" w:styleId="Newpage">
    <w:name w:val="Newpage"/>
    <w:basedOn w:val="Normal"/>
    <w:rsid w:val="00352A58"/>
    <w:pPr>
      <w:tabs>
        <w:tab w:val="left" w:pos="1440"/>
        <w:tab w:val="left" w:pos="3060"/>
      </w:tabs>
      <w:jc w:val="center"/>
    </w:pPr>
    <w:rPr>
      <w:rFonts w:ascii="Times New Roman" w:eastAsia="Times New Roman" w:hAnsi="Times New Roman" w:cs="Arial"/>
      <w:b/>
      <w:smallCaps/>
      <w:spacing w:val="-3"/>
      <w:sz w:val="24"/>
      <w:szCs w:val="20"/>
      <w:lang w:val="es-ES_tradnl" w:eastAsia="en-US"/>
    </w:rPr>
  </w:style>
  <w:style w:type="paragraph" w:styleId="BodyText">
    <w:name w:val="Body Text"/>
    <w:basedOn w:val="Normal"/>
    <w:link w:val="BodyTextChar"/>
    <w:rsid w:val="00352A58"/>
    <w:pPr>
      <w:tabs>
        <w:tab w:val="left" w:pos="3060"/>
      </w:tabs>
      <w:jc w:val="center"/>
    </w:pPr>
    <w:rPr>
      <w:rFonts w:ascii="Times New Roman" w:eastAsia="Times New Roman" w:hAnsi="Times New Roman" w:cs="Times New Roman"/>
      <w:sz w:val="24"/>
      <w:szCs w:val="20"/>
      <w:lang w:val="es-ES_tradnl" w:eastAsia="en-US"/>
    </w:rPr>
  </w:style>
  <w:style w:type="character" w:customStyle="1" w:styleId="BodyTextChar">
    <w:name w:val="Body Text Char"/>
    <w:basedOn w:val="DefaultParagraphFont"/>
    <w:link w:val="BodyText"/>
    <w:rsid w:val="00352A58"/>
    <w:rPr>
      <w:rFonts w:ascii="Times New Roman" w:eastAsia="Times New Roman" w:hAnsi="Times New Roman" w:cs="Times New Roman"/>
      <w:sz w:val="24"/>
      <w:szCs w:val="20"/>
      <w:lang w:val="es-ES_tradnl" w:eastAsia="en-US"/>
    </w:rPr>
  </w:style>
  <w:style w:type="character" w:customStyle="1" w:styleId="ColorfulList-Accent1Char">
    <w:name w:val="Colorful List - Accent 1 Char"/>
    <w:link w:val="ColorfulList-Accent11"/>
    <w:uiPriority w:val="34"/>
    <w:rsid w:val="00352A58"/>
    <w:rPr>
      <w:rFonts w:ascii="Calibri" w:eastAsia="Calibri" w:hAnsi="Calibri" w:cs="Times New Roman"/>
      <w:lang w:val="es-ES_tradnl" w:eastAsia="en-US"/>
    </w:rPr>
  </w:style>
  <w:style w:type="character" w:styleId="CommentReference">
    <w:name w:val="annotation reference"/>
    <w:basedOn w:val="DefaultParagraphFont"/>
    <w:unhideWhenUsed/>
    <w:rsid w:val="002206EB"/>
    <w:rPr>
      <w:sz w:val="16"/>
      <w:szCs w:val="16"/>
    </w:rPr>
  </w:style>
  <w:style w:type="paragraph" w:styleId="CommentText">
    <w:name w:val="annotation text"/>
    <w:basedOn w:val="Normal"/>
    <w:link w:val="CommentTextChar"/>
    <w:unhideWhenUsed/>
    <w:rsid w:val="002206EB"/>
    <w:rPr>
      <w:sz w:val="20"/>
      <w:szCs w:val="20"/>
    </w:rPr>
  </w:style>
  <w:style w:type="character" w:customStyle="1" w:styleId="CommentTextChar">
    <w:name w:val="Comment Text Char"/>
    <w:basedOn w:val="DefaultParagraphFont"/>
    <w:link w:val="CommentText"/>
    <w:rsid w:val="002206EB"/>
    <w:rPr>
      <w:sz w:val="20"/>
      <w:szCs w:val="20"/>
    </w:rPr>
  </w:style>
  <w:style w:type="paragraph" w:styleId="CommentSubject">
    <w:name w:val="annotation subject"/>
    <w:basedOn w:val="CommentText"/>
    <w:next w:val="CommentText"/>
    <w:link w:val="CommentSubjectChar"/>
    <w:uiPriority w:val="99"/>
    <w:semiHidden/>
    <w:unhideWhenUsed/>
    <w:rsid w:val="002206EB"/>
    <w:rPr>
      <w:b/>
      <w:bCs/>
    </w:rPr>
  </w:style>
  <w:style w:type="character" w:customStyle="1" w:styleId="CommentSubjectChar">
    <w:name w:val="Comment Subject Char"/>
    <w:basedOn w:val="CommentTextChar"/>
    <w:link w:val="CommentSubject"/>
    <w:uiPriority w:val="99"/>
    <w:semiHidden/>
    <w:rsid w:val="002206EB"/>
    <w:rPr>
      <w:b/>
      <w:bCs/>
      <w:sz w:val="20"/>
      <w:szCs w:val="20"/>
    </w:rPr>
  </w:style>
  <w:style w:type="character" w:styleId="FollowedHyperlink">
    <w:name w:val="FollowedHyperlink"/>
    <w:basedOn w:val="DefaultParagraphFont"/>
    <w:uiPriority w:val="99"/>
    <w:semiHidden/>
    <w:unhideWhenUsed/>
    <w:rsid w:val="001F789C"/>
    <w:rPr>
      <w:color w:val="800080" w:themeColor="followedHyperlink"/>
      <w:u w:val="single"/>
    </w:rPr>
  </w:style>
  <w:style w:type="table" w:styleId="TableGrid">
    <w:name w:val="Table Grid"/>
    <w:basedOn w:val="TableNormal"/>
    <w:uiPriority w:val="59"/>
    <w:rsid w:val="006C7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Heading 4.a Char"/>
    <w:basedOn w:val="DefaultParagraphFont"/>
    <w:link w:val="Heading4"/>
    <w:rsid w:val="00DF4AC4"/>
    <w:rPr>
      <w:rFonts w:ascii="Times New Roman Bold" w:eastAsia="Times New Roman" w:hAnsi="Times New Roman Bold" w:cs="Times New Roman"/>
      <w:b/>
      <w:noProof/>
      <w:sz w:val="24"/>
      <w:szCs w:val="20"/>
      <w:lang w:val="es-AR" w:eastAsia="es-AR"/>
    </w:rPr>
  </w:style>
  <w:style w:type="character" w:customStyle="1" w:styleId="Heading5Char">
    <w:name w:val="Heading 5 Char"/>
    <w:aliases w:val="Heading 5.(i) Char"/>
    <w:basedOn w:val="DefaultParagraphFont"/>
    <w:link w:val="Heading5"/>
    <w:rsid w:val="00DF4AC4"/>
    <w:rPr>
      <w:rFonts w:ascii="Times New Roman Bold" w:eastAsia="Times New Roman" w:hAnsi="Times New Roman Bold" w:cs="Times New Roman"/>
      <w:b/>
      <w:noProof/>
      <w:sz w:val="24"/>
      <w:szCs w:val="20"/>
      <w:lang w:val="es-AR" w:eastAsia="es-AR"/>
    </w:rPr>
  </w:style>
  <w:style w:type="paragraph" w:customStyle="1" w:styleId="Paragraph">
    <w:name w:val="Paragraph"/>
    <w:aliases w:val="paragraph,p,PARAGRAPH,PG,pa,at"/>
    <w:basedOn w:val="BodyTextIndent"/>
    <w:link w:val="ParagraphChar"/>
    <w:qFormat/>
    <w:rsid w:val="00DF4AC4"/>
    <w:pPr>
      <w:tabs>
        <w:tab w:val="num" w:pos="720"/>
      </w:tabs>
      <w:spacing w:before="120"/>
      <w:ind w:left="720" w:hanging="720"/>
      <w:jc w:val="both"/>
      <w:outlineLvl w:val="1"/>
    </w:pPr>
    <w:rPr>
      <w:rFonts w:ascii="Times New Roman" w:eastAsia="Times New Roman" w:hAnsi="Times New Roman" w:cs="Times New Roman"/>
      <w:sz w:val="24"/>
      <w:szCs w:val="20"/>
      <w:lang w:eastAsia="en-US"/>
    </w:rPr>
  </w:style>
  <w:style w:type="paragraph" w:customStyle="1" w:styleId="Listavistosa-nfasis11">
    <w:name w:val="Lista vistosa - Énfasis 11"/>
    <w:basedOn w:val="Normal"/>
    <w:link w:val="Listavistosa-nfasis1Car"/>
    <w:uiPriority w:val="34"/>
    <w:qFormat/>
    <w:rsid w:val="00DF4AC4"/>
    <w:pPr>
      <w:ind w:left="720"/>
      <w:contextualSpacing/>
    </w:pPr>
    <w:rPr>
      <w:rFonts w:ascii="Calibri" w:eastAsia="Calibri" w:hAnsi="Calibri" w:cs="Times New Roman"/>
      <w:lang w:val="es-ES_tradnl" w:eastAsia="en-US"/>
    </w:rPr>
  </w:style>
  <w:style w:type="character" w:customStyle="1" w:styleId="Listavistosa-nfasis1Car">
    <w:name w:val="Lista vistosa - Énfasis 1 Car"/>
    <w:link w:val="Listavistosa-nfasis11"/>
    <w:uiPriority w:val="34"/>
    <w:rsid w:val="00DF4AC4"/>
    <w:rPr>
      <w:rFonts w:ascii="Calibri" w:eastAsia="Calibri" w:hAnsi="Calibri" w:cs="Times New Roman"/>
      <w:lang w:val="es-ES_tradnl" w:eastAsia="en-US"/>
    </w:rPr>
  </w:style>
  <w:style w:type="character" w:customStyle="1" w:styleId="ParagraphChar">
    <w:name w:val="Paragraph Char"/>
    <w:link w:val="Paragraph"/>
    <w:rsid w:val="00DF4AC4"/>
    <w:rPr>
      <w:rFonts w:ascii="Times New Roman" w:eastAsia="Times New Roman" w:hAnsi="Times New Roman" w:cs="Times New Roman"/>
      <w:sz w:val="24"/>
      <w:szCs w:val="20"/>
      <w:lang w:eastAsia="en-US"/>
    </w:rPr>
  </w:style>
  <w:style w:type="paragraph" w:customStyle="1" w:styleId="AutoNumpara">
    <w:name w:val="AutoNumpara"/>
    <w:basedOn w:val="BodyTextIndent"/>
    <w:link w:val="AutoNumparaChar"/>
    <w:rsid w:val="00DF4AC4"/>
    <w:pPr>
      <w:tabs>
        <w:tab w:val="num" w:pos="720"/>
      </w:tabs>
      <w:spacing w:before="120"/>
      <w:ind w:left="720" w:hanging="720"/>
      <w:jc w:val="both"/>
    </w:pPr>
    <w:rPr>
      <w:rFonts w:ascii="Times New Roman" w:eastAsia="Times New Roman" w:hAnsi="Times New Roman" w:cs="Times New Roman"/>
      <w:noProof/>
      <w:spacing w:val="-2"/>
      <w:sz w:val="24"/>
      <w:szCs w:val="20"/>
      <w:lang w:val="es-ES_tradnl" w:eastAsia="en-US"/>
    </w:rPr>
  </w:style>
  <w:style w:type="character" w:customStyle="1" w:styleId="AutoNumparaChar">
    <w:name w:val="AutoNumpara Char"/>
    <w:basedOn w:val="BodyTextIndentChar"/>
    <w:link w:val="AutoNumpara"/>
    <w:rsid w:val="00DF4AC4"/>
    <w:rPr>
      <w:rFonts w:ascii="Times New Roman" w:eastAsia="Times New Roman" w:hAnsi="Times New Roman" w:cs="Times New Roman"/>
      <w:noProof/>
      <w:spacing w:val="-2"/>
      <w:sz w:val="24"/>
      <w:szCs w:val="20"/>
      <w:lang w:val="es-ES_tradnl" w:eastAsia="en-US"/>
    </w:rPr>
  </w:style>
  <w:style w:type="paragraph" w:styleId="BodyTextIndent">
    <w:name w:val="Body Text Indent"/>
    <w:basedOn w:val="Normal"/>
    <w:link w:val="BodyTextIndentChar"/>
    <w:uiPriority w:val="99"/>
    <w:semiHidden/>
    <w:unhideWhenUsed/>
    <w:rsid w:val="00DF4AC4"/>
    <w:pPr>
      <w:spacing w:after="120"/>
      <w:ind w:left="360"/>
    </w:pPr>
  </w:style>
  <w:style w:type="character" w:customStyle="1" w:styleId="BodyTextIndentChar">
    <w:name w:val="Body Text Indent Char"/>
    <w:basedOn w:val="DefaultParagraphFont"/>
    <w:link w:val="BodyTextIndent"/>
    <w:uiPriority w:val="99"/>
    <w:semiHidden/>
    <w:rsid w:val="00DF4AC4"/>
  </w:style>
  <w:style w:type="paragraph" w:customStyle="1" w:styleId="Chapter">
    <w:name w:val="Chapter"/>
    <w:basedOn w:val="Normal"/>
    <w:next w:val="Normal"/>
    <w:rsid w:val="00DF4AC4"/>
    <w:pPr>
      <w:tabs>
        <w:tab w:val="num" w:pos="648"/>
        <w:tab w:val="left" w:pos="1440"/>
      </w:tabs>
      <w:spacing w:after="240"/>
      <w:ind w:firstLine="288"/>
      <w:jc w:val="center"/>
    </w:pPr>
    <w:rPr>
      <w:rFonts w:ascii="Times New Roman" w:eastAsia="Times New Roman" w:hAnsi="Times New Roman" w:cs="Times New Roman"/>
      <w:b/>
      <w:smallCaps/>
      <w:sz w:val="24"/>
      <w:szCs w:val="20"/>
      <w:lang w:eastAsia="en-US"/>
    </w:rPr>
  </w:style>
  <w:style w:type="paragraph" w:customStyle="1" w:styleId="FirstHeading">
    <w:name w:val="FirstHeading"/>
    <w:basedOn w:val="Normal"/>
    <w:rsid w:val="00DF4AC4"/>
    <w:pPr>
      <w:keepNext/>
      <w:numPr>
        <w:numId w:val="9"/>
      </w:numPr>
      <w:tabs>
        <w:tab w:val="left" w:pos="0"/>
        <w:tab w:val="left" w:pos="90"/>
      </w:tabs>
      <w:spacing w:before="120" w:after="120"/>
    </w:pPr>
    <w:rPr>
      <w:rFonts w:ascii="Times New Roman" w:eastAsia="Times New Roman" w:hAnsi="Times New Roman" w:cs="Times New Roman"/>
      <w:b/>
      <w:sz w:val="24"/>
      <w:szCs w:val="20"/>
      <w:lang w:eastAsia="en-US"/>
    </w:rPr>
  </w:style>
  <w:style w:type="paragraph" w:customStyle="1" w:styleId="SecHeading">
    <w:name w:val="SecHeading"/>
    <w:basedOn w:val="Normal"/>
    <w:next w:val="Paragraph"/>
    <w:rsid w:val="00DF4AC4"/>
    <w:pPr>
      <w:keepNext/>
      <w:numPr>
        <w:ilvl w:val="1"/>
        <w:numId w:val="9"/>
      </w:numPr>
      <w:spacing w:before="120" w:after="120"/>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DF4AC4"/>
    <w:pPr>
      <w:numPr>
        <w:ilvl w:val="2"/>
      </w:numPr>
    </w:pPr>
  </w:style>
  <w:style w:type="paragraph" w:customStyle="1" w:styleId="Subheading2">
    <w:name w:val="Subheading2"/>
    <w:basedOn w:val="SecHeading"/>
    <w:rsid w:val="00DF4AC4"/>
    <w:pPr>
      <w:numPr>
        <w:ilvl w:val="3"/>
      </w:numPr>
    </w:pPr>
  </w:style>
  <w:style w:type="paragraph" w:customStyle="1" w:styleId="subpar">
    <w:name w:val="subpar"/>
    <w:basedOn w:val="BodyTextIndent3"/>
    <w:rsid w:val="00DF4AC4"/>
    <w:pPr>
      <w:tabs>
        <w:tab w:val="num" w:pos="360"/>
      </w:tabs>
      <w:spacing w:before="12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DF4AC4"/>
    <w:pPr>
      <w:tabs>
        <w:tab w:val="left" w:pos="0"/>
      </w:tabs>
    </w:pPr>
  </w:style>
  <w:style w:type="paragraph" w:styleId="BodyTextIndent3">
    <w:name w:val="Body Text Indent 3"/>
    <w:basedOn w:val="Normal"/>
    <w:link w:val="BodyTextIndent3Char"/>
    <w:uiPriority w:val="99"/>
    <w:semiHidden/>
    <w:unhideWhenUsed/>
    <w:rsid w:val="00DF4AC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F4AC4"/>
    <w:rPr>
      <w:sz w:val="16"/>
      <w:szCs w:val="16"/>
    </w:rPr>
  </w:style>
  <w:style w:type="paragraph" w:styleId="Revision">
    <w:name w:val="Revision"/>
    <w:hidden/>
    <w:uiPriority w:val="99"/>
    <w:semiHidden/>
    <w:rsid w:val="00F03EA8"/>
  </w:style>
  <w:style w:type="paragraph" w:styleId="TOCHeading">
    <w:name w:val="TOC Heading"/>
    <w:basedOn w:val="Heading1"/>
    <w:next w:val="Normal"/>
    <w:uiPriority w:val="39"/>
    <w:semiHidden/>
    <w:unhideWhenUsed/>
    <w:qFormat/>
    <w:rsid w:val="00A72F62"/>
    <w:pPr>
      <w:outlineLvl w:val="9"/>
    </w:pPr>
  </w:style>
  <w:style w:type="paragraph" w:styleId="TOC2">
    <w:name w:val="toc 2"/>
    <w:basedOn w:val="Normal"/>
    <w:next w:val="Normal"/>
    <w:autoRedefine/>
    <w:uiPriority w:val="39"/>
    <w:unhideWhenUsed/>
    <w:rsid w:val="00A72F62"/>
    <w:pPr>
      <w:spacing w:after="100"/>
      <w:ind w:left="220"/>
    </w:pPr>
  </w:style>
  <w:style w:type="character" w:customStyle="1" w:styleId="Heading2Char">
    <w:name w:val="Heading 2 Char"/>
    <w:basedOn w:val="DefaultParagraphFont"/>
    <w:link w:val="Heading2"/>
    <w:uiPriority w:val="9"/>
    <w:rsid w:val="00A72F62"/>
    <w:rPr>
      <w:rFonts w:ascii="Cambria" w:eastAsia="Times New Roman" w:hAnsi="Cambria" w:cs="Times New Roman"/>
      <w:b/>
      <w:bCs/>
      <w:i/>
      <w:iCs/>
      <w:sz w:val="28"/>
      <w:szCs w:val="28"/>
      <w:lang w:val="es-AR" w:eastAsia="x-none"/>
    </w:rPr>
  </w:style>
  <w:style w:type="paragraph" w:customStyle="1" w:styleId="Default">
    <w:name w:val="Default"/>
    <w:rsid w:val="00A72F62"/>
    <w:pPr>
      <w:autoSpaceDE w:val="0"/>
      <w:autoSpaceDN w:val="0"/>
      <w:adjustRightInd w:val="0"/>
    </w:pPr>
    <w:rPr>
      <w:rFonts w:ascii="Cambria" w:eastAsia="Calibri" w:hAnsi="Cambria" w:cs="Cambria"/>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AC4"/>
  </w:style>
  <w:style w:type="paragraph" w:styleId="Heading1">
    <w:name w:val="heading 1"/>
    <w:aliases w:val="Heading 1.I"/>
    <w:basedOn w:val="Normal"/>
    <w:next w:val="Normal"/>
    <w:link w:val="Heading1Char"/>
    <w:qFormat/>
    <w:rsid w:val="00A565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2F62"/>
    <w:pPr>
      <w:keepNext/>
      <w:spacing w:before="240" w:after="60" w:line="276" w:lineRule="auto"/>
      <w:outlineLvl w:val="1"/>
    </w:pPr>
    <w:rPr>
      <w:rFonts w:ascii="Cambria" w:eastAsia="Times New Roman" w:hAnsi="Cambria" w:cs="Times New Roman"/>
      <w:b/>
      <w:bCs/>
      <w:i/>
      <w:iCs/>
      <w:sz w:val="28"/>
      <w:szCs w:val="28"/>
      <w:lang w:val="es-AR" w:eastAsia="x-none"/>
    </w:rPr>
  </w:style>
  <w:style w:type="paragraph" w:styleId="Heading4">
    <w:name w:val="heading 4"/>
    <w:aliases w:val="Heading 4.a"/>
    <w:next w:val="Normal"/>
    <w:link w:val="Heading4Char"/>
    <w:qFormat/>
    <w:rsid w:val="00DF4AC4"/>
    <w:pPr>
      <w:keepNext/>
      <w:tabs>
        <w:tab w:val="left" w:pos="1440"/>
        <w:tab w:val="num" w:pos="1800"/>
      </w:tabs>
      <w:spacing w:before="120" w:after="120"/>
      <w:ind w:left="1800" w:hanging="360"/>
      <w:jc w:val="both"/>
      <w:outlineLvl w:val="3"/>
    </w:pPr>
    <w:rPr>
      <w:rFonts w:ascii="Times New Roman Bold" w:eastAsia="Times New Roman" w:hAnsi="Times New Roman Bold" w:cs="Times New Roman"/>
      <w:b/>
      <w:noProof/>
      <w:sz w:val="24"/>
      <w:szCs w:val="20"/>
      <w:lang w:val="es-AR" w:eastAsia="es-AR"/>
    </w:rPr>
  </w:style>
  <w:style w:type="paragraph" w:styleId="Heading5">
    <w:name w:val="heading 5"/>
    <w:aliases w:val="Heading 5.(i)"/>
    <w:next w:val="Normal"/>
    <w:link w:val="Heading5Char"/>
    <w:qFormat/>
    <w:rsid w:val="00DF4AC4"/>
    <w:pPr>
      <w:keepNext/>
      <w:tabs>
        <w:tab w:val="num" w:pos="2088"/>
      </w:tabs>
      <w:spacing w:before="120" w:after="120"/>
      <w:ind w:left="2088" w:hanging="288"/>
      <w:jc w:val="both"/>
      <w:outlineLvl w:val="4"/>
    </w:pPr>
    <w:rPr>
      <w:rFonts w:ascii="Times New Roman Bold" w:eastAsia="Times New Roman" w:hAnsi="Times New Roman Bold" w:cs="Times New Roman"/>
      <w:b/>
      <w:noProof/>
      <w:sz w:val="24"/>
      <w:szCs w:val="20"/>
      <w:lang w:val="es-AR"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414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24141"/>
  </w:style>
  <w:style w:type="character" w:customStyle="1" w:styleId="Heading1Char">
    <w:name w:val="Heading 1 Char"/>
    <w:aliases w:val="Heading 1.I Char"/>
    <w:basedOn w:val="DefaultParagraphFont"/>
    <w:link w:val="Heading1"/>
    <w:uiPriority w:val="9"/>
    <w:rsid w:val="00A5655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56557"/>
    <w:pPr>
      <w:ind w:left="720"/>
      <w:contextualSpacing/>
    </w:pPr>
  </w:style>
  <w:style w:type="paragraph" w:styleId="FootnoteText">
    <w:name w:val="footnote text"/>
    <w:aliases w:val="fn,Texto nota pie Car Car,Texto nota pie Car Car Car Car Car Car,Texto nota pie Car Car Car Car Car,Texto nota pie Car Car Car Car Car Car Car,Texto nota pie Car Car Car,footnote,Footnote Text Char1 Char,Footnote Text Char Char Char,ADB"/>
    <w:basedOn w:val="Normal"/>
    <w:link w:val="FootnoteTextChar"/>
    <w:uiPriority w:val="99"/>
    <w:unhideWhenUsed/>
    <w:rsid w:val="00A56557"/>
    <w:rPr>
      <w:sz w:val="20"/>
      <w:szCs w:val="20"/>
    </w:rPr>
  </w:style>
  <w:style w:type="character" w:customStyle="1" w:styleId="FootnoteTextChar">
    <w:name w:val="Footnote Text Char"/>
    <w:aliases w:val="fn Char,Texto nota pie Car Car Char,Texto nota pie Car Car Car Car Car Car Char,Texto nota pie Car Car Car Car Car Char,Texto nota pie Car Car Car Car Car Car Car Char,Texto nota pie Car Car Car Char,footnote Char,ADB Char"/>
    <w:basedOn w:val="DefaultParagraphFont"/>
    <w:link w:val="FootnoteText"/>
    <w:uiPriority w:val="99"/>
    <w:rsid w:val="00A56557"/>
    <w:rPr>
      <w:rFonts w:eastAsiaTheme="minorEastAsia"/>
      <w:sz w:val="20"/>
      <w:szCs w:val="20"/>
    </w:rPr>
  </w:style>
  <w:style w:type="character" w:styleId="FootnoteReference">
    <w:name w:val="footnote reference"/>
    <w:aliases w:val="Fußnotenzeichen DISS,16 Point,Superscript 6 Point,ftref,BVI fnr,Знак сноски 1,referencia nota al pie,Footnote Referencefra,FC,Ref,de nota al pie,titulo 2,Ref. de nota al pie."/>
    <w:basedOn w:val="DefaultParagraphFont"/>
    <w:uiPriority w:val="99"/>
    <w:unhideWhenUsed/>
    <w:rsid w:val="00A56557"/>
    <w:rPr>
      <w:vertAlign w:val="superscript"/>
    </w:rPr>
  </w:style>
  <w:style w:type="character" w:styleId="Hyperlink">
    <w:name w:val="Hyperlink"/>
    <w:basedOn w:val="DefaultParagraphFont"/>
    <w:uiPriority w:val="99"/>
    <w:unhideWhenUsed/>
    <w:rsid w:val="00A56557"/>
    <w:rPr>
      <w:color w:val="0000FF" w:themeColor="hyperlink"/>
      <w:u w:val="single"/>
    </w:rPr>
  </w:style>
  <w:style w:type="paragraph" w:styleId="BalloonText">
    <w:name w:val="Balloon Text"/>
    <w:basedOn w:val="Normal"/>
    <w:link w:val="BalloonTextChar"/>
    <w:uiPriority w:val="99"/>
    <w:semiHidden/>
    <w:unhideWhenUsed/>
    <w:rsid w:val="00A56557"/>
    <w:rPr>
      <w:rFonts w:ascii="Tahoma" w:hAnsi="Tahoma" w:cs="Tahoma"/>
      <w:sz w:val="16"/>
      <w:szCs w:val="16"/>
    </w:rPr>
  </w:style>
  <w:style w:type="character" w:customStyle="1" w:styleId="BalloonTextChar">
    <w:name w:val="Balloon Text Char"/>
    <w:basedOn w:val="DefaultParagraphFont"/>
    <w:link w:val="BalloonText"/>
    <w:uiPriority w:val="99"/>
    <w:semiHidden/>
    <w:rsid w:val="00A56557"/>
    <w:rPr>
      <w:rFonts w:ascii="Tahoma" w:hAnsi="Tahoma" w:cs="Tahoma"/>
      <w:sz w:val="16"/>
      <w:szCs w:val="16"/>
    </w:rPr>
  </w:style>
  <w:style w:type="paragraph" w:styleId="Header">
    <w:name w:val="header"/>
    <w:basedOn w:val="Normal"/>
    <w:link w:val="HeaderChar"/>
    <w:uiPriority w:val="99"/>
    <w:unhideWhenUsed/>
    <w:rsid w:val="005C38F5"/>
    <w:pPr>
      <w:tabs>
        <w:tab w:val="center" w:pos="4680"/>
        <w:tab w:val="right" w:pos="9360"/>
      </w:tabs>
    </w:pPr>
  </w:style>
  <w:style w:type="character" w:customStyle="1" w:styleId="HeaderChar">
    <w:name w:val="Header Char"/>
    <w:basedOn w:val="DefaultParagraphFont"/>
    <w:link w:val="Header"/>
    <w:uiPriority w:val="99"/>
    <w:rsid w:val="005C38F5"/>
  </w:style>
  <w:style w:type="paragraph" w:styleId="Footer">
    <w:name w:val="footer"/>
    <w:basedOn w:val="Normal"/>
    <w:link w:val="FooterChar"/>
    <w:uiPriority w:val="99"/>
    <w:unhideWhenUsed/>
    <w:rsid w:val="005C38F5"/>
    <w:pPr>
      <w:tabs>
        <w:tab w:val="center" w:pos="4680"/>
        <w:tab w:val="right" w:pos="9360"/>
      </w:tabs>
    </w:pPr>
  </w:style>
  <w:style w:type="character" w:customStyle="1" w:styleId="FooterChar">
    <w:name w:val="Footer Char"/>
    <w:basedOn w:val="DefaultParagraphFont"/>
    <w:link w:val="Footer"/>
    <w:uiPriority w:val="99"/>
    <w:rsid w:val="005C38F5"/>
  </w:style>
  <w:style w:type="paragraph" w:styleId="TOC1">
    <w:name w:val="toc 1"/>
    <w:basedOn w:val="Normal"/>
    <w:next w:val="Normal"/>
    <w:autoRedefine/>
    <w:uiPriority w:val="39"/>
    <w:unhideWhenUsed/>
    <w:rsid w:val="00D541FA"/>
    <w:pPr>
      <w:spacing w:after="100"/>
    </w:pPr>
  </w:style>
  <w:style w:type="character" w:customStyle="1" w:styleId="il">
    <w:name w:val="il"/>
    <w:basedOn w:val="DefaultParagraphFont"/>
    <w:rsid w:val="0084290E"/>
  </w:style>
  <w:style w:type="paragraph" w:customStyle="1" w:styleId="ColorfulList-Accent11">
    <w:name w:val="Colorful List - Accent 11"/>
    <w:basedOn w:val="Normal"/>
    <w:link w:val="ColorfulList-Accent1Char"/>
    <w:uiPriority w:val="34"/>
    <w:qFormat/>
    <w:rsid w:val="00352A58"/>
    <w:pPr>
      <w:ind w:left="720"/>
      <w:contextualSpacing/>
    </w:pPr>
    <w:rPr>
      <w:rFonts w:ascii="Calibri" w:eastAsia="Calibri" w:hAnsi="Calibri" w:cs="Times New Roman"/>
      <w:lang w:val="es-ES_tradnl" w:eastAsia="en-US"/>
    </w:rPr>
  </w:style>
  <w:style w:type="paragraph" w:styleId="Title">
    <w:name w:val="Title"/>
    <w:basedOn w:val="Normal"/>
    <w:link w:val="TitleChar"/>
    <w:qFormat/>
    <w:rsid w:val="00352A58"/>
    <w:pPr>
      <w:tabs>
        <w:tab w:val="left" w:pos="1440"/>
        <w:tab w:val="left" w:pos="3060"/>
      </w:tabs>
      <w:jc w:val="center"/>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rsid w:val="00352A58"/>
    <w:rPr>
      <w:rFonts w:ascii="Times New Roman" w:eastAsia="Times New Roman" w:hAnsi="Times New Roman" w:cs="Times New Roman"/>
      <w:sz w:val="24"/>
      <w:szCs w:val="20"/>
      <w:lang w:val="es-ES_tradnl" w:eastAsia="en-US"/>
    </w:rPr>
  </w:style>
  <w:style w:type="paragraph" w:customStyle="1" w:styleId="Newpage">
    <w:name w:val="Newpage"/>
    <w:basedOn w:val="Normal"/>
    <w:rsid w:val="00352A58"/>
    <w:pPr>
      <w:tabs>
        <w:tab w:val="left" w:pos="1440"/>
        <w:tab w:val="left" w:pos="3060"/>
      </w:tabs>
      <w:jc w:val="center"/>
    </w:pPr>
    <w:rPr>
      <w:rFonts w:ascii="Times New Roman" w:eastAsia="Times New Roman" w:hAnsi="Times New Roman" w:cs="Arial"/>
      <w:b/>
      <w:smallCaps/>
      <w:spacing w:val="-3"/>
      <w:sz w:val="24"/>
      <w:szCs w:val="20"/>
      <w:lang w:val="es-ES_tradnl" w:eastAsia="en-US"/>
    </w:rPr>
  </w:style>
  <w:style w:type="paragraph" w:styleId="BodyText">
    <w:name w:val="Body Text"/>
    <w:basedOn w:val="Normal"/>
    <w:link w:val="BodyTextChar"/>
    <w:rsid w:val="00352A58"/>
    <w:pPr>
      <w:tabs>
        <w:tab w:val="left" w:pos="3060"/>
      </w:tabs>
      <w:jc w:val="center"/>
    </w:pPr>
    <w:rPr>
      <w:rFonts w:ascii="Times New Roman" w:eastAsia="Times New Roman" w:hAnsi="Times New Roman" w:cs="Times New Roman"/>
      <w:sz w:val="24"/>
      <w:szCs w:val="20"/>
      <w:lang w:val="es-ES_tradnl" w:eastAsia="en-US"/>
    </w:rPr>
  </w:style>
  <w:style w:type="character" w:customStyle="1" w:styleId="BodyTextChar">
    <w:name w:val="Body Text Char"/>
    <w:basedOn w:val="DefaultParagraphFont"/>
    <w:link w:val="BodyText"/>
    <w:rsid w:val="00352A58"/>
    <w:rPr>
      <w:rFonts w:ascii="Times New Roman" w:eastAsia="Times New Roman" w:hAnsi="Times New Roman" w:cs="Times New Roman"/>
      <w:sz w:val="24"/>
      <w:szCs w:val="20"/>
      <w:lang w:val="es-ES_tradnl" w:eastAsia="en-US"/>
    </w:rPr>
  </w:style>
  <w:style w:type="character" w:customStyle="1" w:styleId="ColorfulList-Accent1Char">
    <w:name w:val="Colorful List - Accent 1 Char"/>
    <w:link w:val="ColorfulList-Accent11"/>
    <w:uiPriority w:val="34"/>
    <w:rsid w:val="00352A58"/>
    <w:rPr>
      <w:rFonts w:ascii="Calibri" w:eastAsia="Calibri" w:hAnsi="Calibri" w:cs="Times New Roman"/>
      <w:lang w:val="es-ES_tradnl" w:eastAsia="en-US"/>
    </w:rPr>
  </w:style>
  <w:style w:type="character" w:styleId="CommentReference">
    <w:name w:val="annotation reference"/>
    <w:basedOn w:val="DefaultParagraphFont"/>
    <w:unhideWhenUsed/>
    <w:rsid w:val="002206EB"/>
    <w:rPr>
      <w:sz w:val="16"/>
      <w:szCs w:val="16"/>
    </w:rPr>
  </w:style>
  <w:style w:type="paragraph" w:styleId="CommentText">
    <w:name w:val="annotation text"/>
    <w:basedOn w:val="Normal"/>
    <w:link w:val="CommentTextChar"/>
    <w:unhideWhenUsed/>
    <w:rsid w:val="002206EB"/>
    <w:rPr>
      <w:sz w:val="20"/>
      <w:szCs w:val="20"/>
    </w:rPr>
  </w:style>
  <w:style w:type="character" w:customStyle="1" w:styleId="CommentTextChar">
    <w:name w:val="Comment Text Char"/>
    <w:basedOn w:val="DefaultParagraphFont"/>
    <w:link w:val="CommentText"/>
    <w:rsid w:val="002206EB"/>
    <w:rPr>
      <w:sz w:val="20"/>
      <w:szCs w:val="20"/>
    </w:rPr>
  </w:style>
  <w:style w:type="paragraph" w:styleId="CommentSubject">
    <w:name w:val="annotation subject"/>
    <w:basedOn w:val="CommentText"/>
    <w:next w:val="CommentText"/>
    <w:link w:val="CommentSubjectChar"/>
    <w:uiPriority w:val="99"/>
    <w:semiHidden/>
    <w:unhideWhenUsed/>
    <w:rsid w:val="002206EB"/>
    <w:rPr>
      <w:b/>
      <w:bCs/>
    </w:rPr>
  </w:style>
  <w:style w:type="character" w:customStyle="1" w:styleId="CommentSubjectChar">
    <w:name w:val="Comment Subject Char"/>
    <w:basedOn w:val="CommentTextChar"/>
    <w:link w:val="CommentSubject"/>
    <w:uiPriority w:val="99"/>
    <w:semiHidden/>
    <w:rsid w:val="002206EB"/>
    <w:rPr>
      <w:b/>
      <w:bCs/>
      <w:sz w:val="20"/>
      <w:szCs w:val="20"/>
    </w:rPr>
  </w:style>
  <w:style w:type="character" w:styleId="FollowedHyperlink">
    <w:name w:val="FollowedHyperlink"/>
    <w:basedOn w:val="DefaultParagraphFont"/>
    <w:uiPriority w:val="99"/>
    <w:semiHidden/>
    <w:unhideWhenUsed/>
    <w:rsid w:val="001F789C"/>
    <w:rPr>
      <w:color w:val="800080" w:themeColor="followedHyperlink"/>
      <w:u w:val="single"/>
    </w:rPr>
  </w:style>
  <w:style w:type="table" w:styleId="TableGrid">
    <w:name w:val="Table Grid"/>
    <w:basedOn w:val="TableNormal"/>
    <w:uiPriority w:val="59"/>
    <w:rsid w:val="006C7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Heading 4.a Char"/>
    <w:basedOn w:val="DefaultParagraphFont"/>
    <w:link w:val="Heading4"/>
    <w:rsid w:val="00DF4AC4"/>
    <w:rPr>
      <w:rFonts w:ascii="Times New Roman Bold" w:eastAsia="Times New Roman" w:hAnsi="Times New Roman Bold" w:cs="Times New Roman"/>
      <w:b/>
      <w:noProof/>
      <w:sz w:val="24"/>
      <w:szCs w:val="20"/>
      <w:lang w:val="es-AR" w:eastAsia="es-AR"/>
    </w:rPr>
  </w:style>
  <w:style w:type="character" w:customStyle="1" w:styleId="Heading5Char">
    <w:name w:val="Heading 5 Char"/>
    <w:aliases w:val="Heading 5.(i) Char"/>
    <w:basedOn w:val="DefaultParagraphFont"/>
    <w:link w:val="Heading5"/>
    <w:rsid w:val="00DF4AC4"/>
    <w:rPr>
      <w:rFonts w:ascii="Times New Roman Bold" w:eastAsia="Times New Roman" w:hAnsi="Times New Roman Bold" w:cs="Times New Roman"/>
      <w:b/>
      <w:noProof/>
      <w:sz w:val="24"/>
      <w:szCs w:val="20"/>
      <w:lang w:val="es-AR" w:eastAsia="es-AR"/>
    </w:rPr>
  </w:style>
  <w:style w:type="paragraph" w:customStyle="1" w:styleId="Paragraph">
    <w:name w:val="Paragraph"/>
    <w:aliases w:val="paragraph,p,PARAGRAPH,PG,pa,at"/>
    <w:basedOn w:val="BodyTextIndent"/>
    <w:link w:val="ParagraphChar"/>
    <w:qFormat/>
    <w:rsid w:val="00DF4AC4"/>
    <w:pPr>
      <w:tabs>
        <w:tab w:val="num" w:pos="720"/>
      </w:tabs>
      <w:spacing w:before="120"/>
      <w:ind w:left="720" w:hanging="720"/>
      <w:jc w:val="both"/>
      <w:outlineLvl w:val="1"/>
    </w:pPr>
    <w:rPr>
      <w:rFonts w:ascii="Times New Roman" w:eastAsia="Times New Roman" w:hAnsi="Times New Roman" w:cs="Times New Roman"/>
      <w:sz w:val="24"/>
      <w:szCs w:val="20"/>
      <w:lang w:eastAsia="en-US"/>
    </w:rPr>
  </w:style>
  <w:style w:type="paragraph" w:customStyle="1" w:styleId="Listavistosa-nfasis11">
    <w:name w:val="Lista vistosa - Énfasis 11"/>
    <w:basedOn w:val="Normal"/>
    <w:link w:val="Listavistosa-nfasis1Car"/>
    <w:uiPriority w:val="34"/>
    <w:qFormat/>
    <w:rsid w:val="00DF4AC4"/>
    <w:pPr>
      <w:ind w:left="720"/>
      <w:contextualSpacing/>
    </w:pPr>
    <w:rPr>
      <w:rFonts w:ascii="Calibri" w:eastAsia="Calibri" w:hAnsi="Calibri" w:cs="Times New Roman"/>
      <w:lang w:val="es-ES_tradnl" w:eastAsia="en-US"/>
    </w:rPr>
  </w:style>
  <w:style w:type="character" w:customStyle="1" w:styleId="Listavistosa-nfasis1Car">
    <w:name w:val="Lista vistosa - Énfasis 1 Car"/>
    <w:link w:val="Listavistosa-nfasis11"/>
    <w:uiPriority w:val="34"/>
    <w:rsid w:val="00DF4AC4"/>
    <w:rPr>
      <w:rFonts w:ascii="Calibri" w:eastAsia="Calibri" w:hAnsi="Calibri" w:cs="Times New Roman"/>
      <w:lang w:val="es-ES_tradnl" w:eastAsia="en-US"/>
    </w:rPr>
  </w:style>
  <w:style w:type="character" w:customStyle="1" w:styleId="ParagraphChar">
    <w:name w:val="Paragraph Char"/>
    <w:link w:val="Paragraph"/>
    <w:rsid w:val="00DF4AC4"/>
    <w:rPr>
      <w:rFonts w:ascii="Times New Roman" w:eastAsia="Times New Roman" w:hAnsi="Times New Roman" w:cs="Times New Roman"/>
      <w:sz w:val="24"/>
      <w:szCs w:val="20"/>
      <w:lang w:eastAsia="en-US"/>
    </w:rPr>
  </w:style>
  <w:style w:type="paragraph" w:customStyle="1" w:styleId="AutoNumpara">
    <w:name w:val="AutoNumpara"/>
    <w:basedOn w:val="BodyTextIndent"/>
    <w:link w:val="AutoNumparaChar"/>
    <w:rsid w:val="00DF4AC4"/>
    <w:pPr>
      <w:tabs>
        <w:tab w:val="num" w:pos="720"/>
      </w:tabs>
      <w:spacing w:before="120"/>
      <w:ind w:left="720" w:hanging="720"/>
      <w:jc w:val="both"/>
    </w:pPr>
    <w:rPr>
      <w:rFonts w:ascii="Times New Roman" w:eastAsia="Times New Roman" w:hAnsi="Times New Roman" w:cs="Times New Roman"/>
      <w:noProof/>
      <w:spacing w:val="-2"/>
      <w:sz w:val="24"/>
      <w:szCs w:val="20"/>
      <w:lang w:val="es-ES_tradnl" w:eastAsia="en-US"/>
    </w:rPr>
  </w:style>
  <w:style w:type="character" w:customStyle="1" w:styleId="AutoNumparaChar">
    <w:name w:val="AutoNumpara Char"/>
    <w:basedOn w:val="BodyTextIndentChar"/>
    <w:link w:val="AutoNumpara"/>
    <w:rsid w:val="00DF4AC4"/>
    <w:rPr>
      <w:rFonts w:ascii="Times New Roman" w:eastAsia="Times New Roman" w:hAnsi="Times New Roman" w:cs="Times New Roman"/>
      <w:noProof/>
      <w:spacing w:val="-2"/>
      <w:sz w:val="24"/>
      <w:szCs w:val="20"/>
      <w:lang w:val="es-ES_tradnl" w:eastAsia="en-US"/>
    </w:rPr>
  </w:style>
  <w:style w:type="paragraph" w:styleId="BodyTextIndent">
    <w:name w:val="Body Text Indent"/>
    <w:basedOn w:val="Normal"/>
    <w:link w:val="BodyTextIndentChar"/>
    <w:uiPriority w:val="99"/>
    <w:semiHidden/>
    <w:unhideWhenUsed/>
    <w:rsid w:val="00DF4AC4"/>
    <w:pPr>
      <w:spacing w:after="120"/>
      <w:ind w:left="360"/>
    </w:pPr>
  </w:style>
  <w:style w:type="character" w:customStyle="1" w:styleId="BodyTextIndentChar">
    <w:name w:val="Body Text Indent Char"/>
    <w:basedOn w:val="DefaultParagraphFont"/>
    <w:link w:val="BodyTextIndent"/>
    <w:uiPriority w:val="99"/>
    <w:semiHidden/>
    <w:rsid w:val="00DF4AC4"/>
  </w:style>
  <w:style w:type="paragraph" w:customStyle="1" w:styleId="Chapter">
    <w:name w:val="Chapter"/>
    <w:basedOn w:val="Normal"/>
    <w:next w:val="Normal"/>
    <w:rsid w:val="00DF4AC4"/>
    <w:pPr>
      <w:tabs>
        <w:tab w:val="num" w:pos="648"/>
        <w:tab w:val="left" w:pos="1440"/>
      </w:tabs>
      <w:spacing w:after="240"/>
      <w:ind w:firstLine="288"/>
      <w:jc w:val="center"/>
    </w:pPr>
    <w:rPr>
      <w:rFonts w:ascii="Times New Roman" w:eastAsia="Times New Roman" w:hAnsi="Times New Roman" w:cs="Times New Roman"/>
      <w:b/>
      <w:smallCaps/>
      <w:sz w:val="24"/>
      <w:szCs w:val="20"/>
      <w:lang w:eastAsia="en-US"/>
    </w:rPr>
  </w:style>
  <w:style w:type="paragraph" w:customStyle="1" w:styleId="FirstHeading">
    <w:name w:val="FirstHeading"/>
    <w:basedOn w:val="Normal"/>
    <w:rsid w:val="00DF4AC4"/>
    <w:pPr>
      <w:keepNext/>
      <w:numPr>
        <w:numId w:val="9"/>
      </w:numPr>
      <w:tabs>
        <w:tab w:val="left" w:pos="0"/>
        <w:tab w:val="left" w:pos="90"/>
      </w:tabs>
      <w:spacing w:before="120" w:after="120"/>
    </w:pPr>
    <w:rPr>
      <w:rFonts w:ascii="Times New Roman" w:eastAsia="Times New Roman" w:hAnsi="Times New Roman" w:cs="Times New Roman"/>
      <w:b/>
      <w:sz w:val="24"/>
      <w:szCs w:val="20"/>
      <w:lang w:eastAsia="en-US"/>
    </w:rPr>
  </w:style>
  <w:style w:type="paragraph" w:customStyle="1" w:styleId="SecHeading">
    <w:name w:val="SecHeading"/>
    <w:basedOn w:val="Normal"/>
    <w:next w:val="Paragraph"/>
    <w:rsid w:val="00DF4AC4"/>
    <w:pPr>
      <w:keepNext/>
      <w:numPr>
        <w:ilvl w:val="1"/>
        <w:numId w:val="9"/>
      </w:numPr>
      <w:spacing w:before="120" w:after="120"/>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DF4AC4"/>
    <w:pPr>
      <w:numPr>
        <w:ilvl w:val="2"/>
      </w:numPr>
    </w:pPr>
  </w:style>
  <w:style w:type="paragraph" w:customStyle="1" w:styleId="Subheading2">
    <w:name w:val="Subheading2"/>
    <w:basedOn w:val="SecHeading"/>
    <w:rsid w:val="00DF4AC4"/>
    <w:pPr>
      <w:numPr>
        <w:ilvl w:val="3"/>
      </w:numPr>
    </w:pPr>
  </w:style>
  <w:style w:type="paragraph" w:customStyle="1" w:styleId="subpar">
    <w:name w:val="subpar"/>
    <w:basedOn w:val="BodyTextIndent3"/>
    <w:rsid w:val="00DF4AC4"/>
    <w:pPr>
      <w:tabs>
        <w:tab w:val="num" w:pos="360"/>
      </w:tabs>
      <w:spacing w:before="12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DF4AC4"/>
    <w:pPr>
      <w:tabs>
        <w:tab w:val="left" w:pos="0"/>
      </w:tabs>
    </w:pPr>
  </w:style>
  <w:style w:type="paragraph" w:styleId="BodyTextIndent3">
    <w:name w:val="Body Text Indent 3"/>
    <w:basedOn w:val="Normal"/>
    <w:link w:val="BodyTextIndent3Char"/>
    <w:uiPriority w:val="99"/>
    <w:semiHidden/>
    <w:unhideWhenUsed/>
    <w:rsid w:val="00DF4AC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F4AC4"/>
    <w:rPr>
      <w:sz w:val="16"/>
      <w:szCs w:val="16"/>
    </w:rPr>
  </w:style>
  <w:style w:type="paragraph" w:styleId="Revision">
    <w:name w:val="Revision"/>
    <w:hidden/>
    <w:uiPriority w:val="99"/>
    <w:semiHidden/>
    <w:rsid w:val="00F03EA8"/>
  </w:style>
  <w:style w:type="paragraph" w:styleId="TOCHeading">
    <w:name w:val="TOC Heading"/>
    <w:basedOn w:val="Heading1"/>
    <w:next w:val="Normal"/>
    <w:uiPriority w:val="39"/>
    <w:semiHidden/>
    <w:unhideWhenUsed/>
    <w:qFormat/>
    <w:rsid w:val="00A72F62"/>
    <w:pPr>
      <w:outlineLvl w:val="9"/>
    </w:pPr>
  </w:style>
  <w:style w:type="paragraph" w:styleId="TOC2">
    <w:name w:val="toc 2"/>
    <w:basedOn w:val="Normal"/>
    <w:next w:val="Normal"/>
    <w:autoRedefine/>
    <w:uiPriority w:val="39"/>
    <w:unhideWhenUsed/>
    <w:rsid w:val="00A72F62"/>
    <w:pPr>
      <w:spacing w:after="100"/>
      <w:ind w:left="220"/>
    </w:pPr>
  </w:style>
  <w:style w:type="character" w:customStyle="1" w:styleId="Heading2Char">
    <w:name w:val="Heading 2 Char"/>
    <w:basedOn w:val="DefaultParagraphFont"/>
    <w:link w:val="Heading2"/>
    <w:uiPriority w:val="9"/>
    <w:rsid w:val="00A72F62"/>
    <w:rPr>
      <w:rFonts w:ascii="Cambria" w:eastAsia="Times New Roman" w:hAnsi="Cambria" w:cs="Times New Roman"/>
      <w:b/>
      <w:bCs/>
      <w:i/>
      <w:iCs/>
      <w:sz w:val="28"/>
      <w:szCs w:val="28"/>
      <w:lang w:val="es-AR" w:eastAsia="x-none"/>
    </w:rPr>
  </w:style>
  <w:style w:type="paragraph" w:customStyle="1" w:styleId="Default">
    <w:name w:val="Default"/>
    <w:rsid w:val="00A72F62"/>
    <w:pPr>
      <w:autoSpaceDE w:val="0"/>
      <w:autoSpaceDN w:val="0"/>
      <w:adjustRightInd w:val="0"/>
    </w:pPr>
    <w:rPr>
      <w:rFonts w:ascii="Cambria" w:eastAsia="Calibri" w:hAnsi="Cambria" w:cs="Cambria"/>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779">
      <w:bodyDiv w:val="1"/>
      <w:marLeft w:val="0"/>
      <w:marRight w:val="0"/>
      <w:marTop w:val="0"/>
      <w:marBottom w:val="0"/>
      <w:divBdr>
        <w:top w:val="none" w:sz="0" w:space="0" w:color="auto"/>
        <w:left w:val="none" w:sz="0" w:space="0" w:color="auto"/>
        <w:bottom w:val="none" w:sz="0" w:space="0" w:color="auto"/>
        <w:right w:val="none" w:sz="0" w:space="0" w:color="auto"/>
      </w:divBdr>
    </w:div>
    <w:div w:id="35862539">
      <w:bodyDiv w:val="1"/>
      <w:marLeft w:val="0"/>
      <w:marRight w:val="0"/>
      <w:marTop w:val="0"/>
      <w:marBottom w:val="0"/>
      <w:divBdr>
        <w:top w:val="none" w:sz="0" w:space="0" w:color="auto"/>
        <w:left w:val="none" w:sz="0" w:space="0" w:color="auto"/>
        <w:bottom w:val="none" w:sz="0" w:space="0" w:color="auto"/>
        <w:right w:val="none" w:sz="0" w:space="0" w:color="auto"/>
      </w:divBdr>
    </w:div>
    <w:div w:id="78406799">
      <w:bodyDiv w:val="1"/>
      <w:marLeft w:val="0"/>
      <w:marRight w:val="0"/>
      <w:marTop w:val="0"/>
      <w:marBottom w:val="0"/>
      <w:divBdr>
        <w:top w:val="none" w:sz="0" w:space="0" w:color="auto"/>
        <w:left w:val="none" w:sz="0" w:space="0" w:color="auto"/>
        <w:bottom w:val="none" w:sz="0" w:space="0" w:color="auto"/>
        <w:right w:val="none" w:sz="0" w:space="0" w:color="auto"/>
      </w:divBdr>
    </w:div>
    <w:div w:id="106235889">
      <w:bodyDiv w:val="1"/>
      <w:marLeft w:val="0"/>
      <w:marRight w:val="0"/>
      <w:marTop w:val="0"/>
      <w:marBottom w:val="0"/>
      <w:divBdr>
        <w:top w:val="none" w:sz="0" w:space="0" w:color="auto"/>
        <w:left w:val="none" w:sz="0" w:space="0" w:color="auto"/>
        <w:bottom w:val="none" w:sz="0" w:space="0" w:color="auto"/>
        <w:right w:val="none" w:sz="0" w:space="0" w:color="auto"/>
      </w:divBdr>
    </w:div>
    <w:div w:id="108353836">
      <w:bodyDiv w:val="1"/>
      <w:marLeft w:val="0"/>
      <w:marRight w:val="0"/>
      <w:marTop w:val="0"/>
      <w:marBottom w:val="0"/>
      <w:divBdr>
        <w:top w:val="none" w:sz="0" w:space="0" w:color="auto"/>
        <w:left w:val="none" w:sz="0" w:space="0" w:color="auto"/>
        <w:bottom w:val="none" w:sz="0" w:space="0" w:color="auto"/>
        <w:right w:val="none" w:sz="0" w:space="0" w:color="auto"/>
      </w:divBdr>
    </w:div>
    <w:div w:id="110902934">
      <w:bodyDiv w:val="1"/>
      <w:marLeft w:val="0"/>
      <w:marRight w:val="0"/>
      <w:marTop w:val="0"/>
      <w:marBottom w:val="0"/>
      <w:divBdr>
        <w:top w:val="none" w:sz="0" w:space="0" w:color="auto"/>
        <w:left w:val="none" w:sz="0" w:space="0" w:color="auto"/>
        <w:bottom w:val="none" w:sz="0" w:space="0" w:color="auto"/>
        <w:right w:val="none" w:sz="0" w:space="0" w:color="auto"/>
      </w:divBdr>
    </w:div>
    <w:div w:id="121073927">
      <w:bodyDiv w:val="1"/>
      <w:marLeft w:val="0"/>
      <w:marRight w:val="0"/>
      <w:marTop w:val="0"/>
      <w:marBottom w:val="0"/>
      <w:divBdr>
        <w:top w:val="none" w:sz="0" w:space="0" w:color="auto"/>
        <w:left w:val="none" w:sz="0" w:space="0" w:color="auto"/>
        <w:bottom w:val="none" w:sz="0" w:space="0" w:color="auto"/>
        <w:right w:val="none" w:sz="0" w:space="0" w:color="auto"/>
      </w:divBdr>
    </w:div>
    <w:div w:id="132449232">
      <w:bodyDiv w:val="1"/>
      <w:marLeft w:val="0"/>
      <w:marRight w:val="0"/>
      <w:marTop w:val="0"/>
      <w:marBottom w:val="0"/>
      <w:divBdr>
        <w:top w:val="none" w:sz="0" w:space="0" w:color="auto"/>
        <w:left w:val="none" w:sz="0" w:space="0" w:color="auto"/>
        <w:bottom w:val="none" w:sz="0" w:space="0" w:color="auto"/>
        <w:right w:val="none" w:sz="0" w:space="0" w:color="auto"/>
      </w:divBdr>
    </w:div>
    <w:div w:id="140510161">
      <w:bodyDiv w:val="1"/>
      <w:marLeft w:val="0"/>
      <w:marRight w:val="0"/>
      <w:marTop w:val="0"/>
      <w:marBottom w:val="0"/>
      <w:divBdr>
        <w:top w:val="none" w:sz="0" w:space="0" w:color="auto"/>
        <w:left w:val="none" w:sz="0" w:space="0" w:color="auto"/>
        <w:bottom w:val="none" w:sz="0" w:space="0" w:color="auto"/>
        <w:right w:val="none" w:sz="0" w:space="0" w:color="auto"/>
      </w:divBdr>
    </w:div>
    <w:div w:id="168643846">
      <w:bodyDiv w:val="1"/>
      <w:marLeft w:val="0"/>
      <w:marRight w:val="0"/>
      <w:marTop w:val="0"/>
      <w:marBottom w:val="0"/>
      <w:divBdr>
        <w:top w:val="none" w:sz="0" w:space="0" w:color="auto"/>
        <w:left w:val="none" w:sz="0" w:space="0" w:color="auto"/>
        <w:bottom w:val="none" w:sz="0" w:space="0" w:color="auto"/>
        <w:right w:val="none" w:sz="0" w:space="0" w:color="auto"/>
      </w:divBdr>
    </w:div>
    <w:div w:id="170992668">
      <w:bodyDiv w:val="1"/>
      <w:marLeft w:val="0"/>
      <w:marRight w:val="0"/>
      <w:marTop w:val="0"/>
      <w:marBottom w:val="0"/>
      <w:divBdr>
        <w:top w:val="none" w:sz="0" w:space="0" w:color="auto"/>
        <w:left w:val="none" w:sz="0" w:space="0" w:color="auto"/>
        <w:bottom w:val="none" w:sz="0" w:space="0" w:color="auto"/>
        <w:right w:val="none" w:sz="0" w:space="0" w:color="auto"/>
      </w:divBdr>
    </w:div>
    <w:div w:id="184832930">
      <w:bodyDiv w:val="1"/>
      <w:marLeft w:val="0"/>
      <w:marRight w:val="0"/>
      <w:marTop w:val="0"/>
      <w:marBottom w:val="0"/>
      <w:divBdr>
        <w:top w:val="none" w:sz="0" w:space="0" w:color="auto"/>
        <w:left w:val="none" w:sz="0" w:space="0" w:color="auto"/>
        <w:bottom w:val="none" w:sz="0" w:space="0" w:color="auto"/>
        <w:right w:val="none" w:sz="0" w:space="0" w:color="auto"/>
      </w:divBdr>
    </w:div>
    <w:div w:id="222328711">
      <w:bodyDiv w:val="1"/>
      <w:marLeft w:val="0"/>
      <w:marRight w:val="0"/>
      <w:marTop w:val="0"/>
      <w:marBottom w:val="0"/>
      <w:divBdr>
        <w:top w:val="none" w:sz="0" w:space="0" w:color="auto"/>
        <w:left w:val="none" w:sz="0" w:space="0" w:color="auto"/>
        <w:bottom w:val="none" w:sz="0" w:space="0" w:color="auto"/>
        <w:right w:val="none" w:sz="0" w:space="0" w:color="auto"/>
      </w:divBdr>
    </w:div>
    <w:div w:id="245380909">
      <w:bodyDiv w:val="1"/>
      <w:marLeft w:val="0"/>
      <w:marRight w:val="0"/>
      <w:marTop w:val="0"/>
      <w:marBottom w:val="0"/>
      <w:divBdr>
        <w:top w:val="none" w:sz="0" w:space="0" w:color="auto"/>
        <w:left w:val="none" w:sz="0" w:space="0" w:color="auto"/>
        <w:bottom w:val="none" w:sz="0" w:space="0" w:color="auto"/>
        <w:right w:val="none" w:sz="0" w:space="0" w:color="auto"/>
      </w:divBdr>
    </w:div>
    <w:div w:id="252668099">
      <w:bodyDiv w:val="1"/>
      <w:marLeft w:val="0"/>
      <w:marRight w:val="0"/>
      <w:marTop w:val="0"/>
      <w:marBottom w:val="0"/>
      <w:divBdr>
        <w:top w:val="none" w:sz="0" w:space="0" w:color="auto"/>
        <w:left w:val="none" w:sz="0" w:space="0" w:color="auto"/>
        <w:bottom w:val="none" w:sz="0" w:space="0" w:color="auto"/>
        <w:right w:val="none" w:sz="0" w:space="0" w:color="auto"/>
      </w:divBdr>
    </w:div>
    <w:div w:id="268051528">
      <w:bodyDiv w:val="1"/>
      <w:marLeft w:val="0"/>
      <w:marRight w:val="0"/>
      <w:marTop w:val="0"/>
      <w:marBottom w:val="0"/>
      <w:divBdr>
        <w:top w:val="none" w:sz="0" w:space="0" w:color="auto"/>
        <w:left w:val="none" w:sz="0" w:space="0" w:color="auto"/>
        <w:bottom w:val="none" w:sz="0" w:space="0" w:color="auto"/>
        <w:right w:val="none" w:sz="0" w:space="0" w:color="auto"/>
      </w:divBdr>
    </w:div>
    <w:div w:id="287009661">
      <w:bodyDiv w:val="1"/>
      <w:marLeft w:val="0"/>
      <w:marRight w:val="0"/>
      <w:marTop w:val="0"/>
      <w:marBottom w:val="0"/>
      <w:divBdr>
        <w:top w:val="none" w:sz="0" w:space="0" w:color="auto"/>
        <w:left w:val="none" w:sz="0" w:space="0" w:color="auto"/>
        <w:bottom w:val="none" w:sz="0" w:space="0" w:color="auto"/>
        <w:right w:val="none" w:sz="0" w:space="0" w:color="auto"/>
      </w:divBdr>
    </w:div>
    <w:div w:id="291133292">
      <w:bodyDiv w:val="1"/>
      <w:marLeft w:val="0"/>
      <w:marRight w:val="0"/>
      <w:marTop w:val="0"/>
      <w:marBottom w:val="0"/>
      <w:divBdr>
        <w:top w:val="none" w:sz="0" w:space="0" w:color="auto"/>
        <w:left w:val="none" w:sz="0" w:space="0" w:color="auto"/>
        <w:bottom w:val="none" w:sz="0" w:space="0" w:color="auto"/>
        <w:right w:val="none" w:sz="0" w:space="0" w:color="auto"/>
      </w:divBdr>
    </w:div>
    <w:div w:id="297955970">
      <w:bodyDiv w:val="1"/>
      <w:marLeft w:val="0"/>
      <w:marRight w:val="0"/>
      <w:marTop w:val="0"/>
      <w:marBottom w:val="0"/>
      <w:divBdr>
        <w:top w:val="none" w:sz="0" w:space="0" w:color="auto"/>
        <w:left w:val="none" w:sz="0" w:space="0" w:color="auto"/>
        <w:bottom w:val="none" w:sz="0" w:space="0" w:color="auto"/>
        <w:right w:val="none" w:sz="0" w:space="0" w:color="auto"/>
      </w:divBdr>
    </w:div>
    <w:div w:id="310790612">
      <w:bodyDiv w:val="1"/>
      <w:marLeft w:val="0"/>
      <w:marRight w:val="0"/>
      <w:marTop w:val="0"/>
      <w:marBottom w:val="0"/>
      <w:divBdr>
        <w:top w:val="none" w:sz="0" w:space="0" w:color="auto"/>
        <w:left w:val="none" w:sz="0" w:space="0" w:color="auto"/>
        <w:bottom w:val="none" w:sz="0" w:space="0" w:color="auto"/>
        <w:right w:val="none" w:sz="0" w:space="0" w:color="auto"/>
      </w:divBdr>
    </w:div>
    <w:div w:id="315108492">
      <w:bodyDiv w:val="1"/>
      <w:marLeft w:val="0"/>
      <w:marRight w:val="0"/>
      <w:marTop w:val="0"/>
      <w:marBottom w:val="0"/>
      <w:divBdr>
        <w:top w:val="none" w:sz="0" w:space="0" w:color="auto"/>
        <w:left w:val="none" w:sz="0" w:space="0" w:color="auto"/>
        <w:bottom w:val="none" w:sz="0" w:space="0" w:color="auto"/>
        <w:right w:val="none" w:sz="0" w:space="0" w:color="auto"/>
      </w:divBdr>
    </w:div>
    <w:div w:id="328800316">
      <w:bodyDiv w:val="1"/>
      <w:marLeft w:val="0"/>
      <w:marRight w:val="0"/>
      <w:marTop w:val="0"/>
      <w:marBottom w:val="0"/>
      <w:divBdr>
        <w:top w:val="none" w:sz="0" w:space="0" w:color="auto"/>
        <w:left w:val="none" w:sz="0" w:space="0" w:color="auto"/>
        <w:bottom w:val="none" w:sz="0" w:space="0" w:color="auto"/>
        <w:right w:val="none" w:sz="0" w:space="0" w:color="auto"/>
      </w:divBdr>
    </w:div>
    <w:div w:id="340204686">
      <w:bodyDiv w:val="1"/>
      <w:marLeft w:val="0"/>
      <w:marRight w:val="0"/>
      <w:marTop w:val="0"/>
      <w:marBottom w:val="0"/>
      <w:divBdr>
        <w:top w:val="none" w:sz="0" w:space="0" w:color="auto"/>
        <w:left w:val="none" w:sz="0" w:space="0" w:color="auto"/>
        <w:bottom w:val="none" w:sz="0" w:space="0" w:color="auto"/>
        <w:right w:val="none" w:sz="0" w:space="0" w:color="auto"/>
      </w:divBdr>
    </w:div>
    <w:div w:id="355424888">
      <w:bodyDiv w:val="1"/>
      <w:marLeft w:val="0"/>
      <w:marRight w:val="0"/>
      <w:marTop w:val="0"/>
      <w:marBottom w:val="0"/>
      <w:divBdr>
        <w:top w:val="none" w:sz="0" w:space="0" w:color="auto"/>
        <w:left w:val="none" w:sz="0" w:space="0" w:color="auto"/>
        <w:bottom w:val="none" w:sz="0" w:space="0" w:color="auto"/>
        <w:right w:val="none" w:sz="0" w:space="0" w:color="auto"/>
      </w:divBdr>
    </w:div>
    <w:div w:id="361827260">
      <w:bodyDiv w:val="1"/>
      <w:marLeft w:val="0"/>
      <w:marRight w:val="0"/>
      <w:marTop w:val="0"/>
      <w:marBottom w:val="0"/>
      <w:divBdr>
        <w:top w:val="none" w:sz="0" w:space="0" w:color="auto"/>
        <w:left w:val="none" w:sz="0" w:space="0" w:color="auto"/>
        <w:bottom w:val="none" w:sz="0" w:space="0" w:color="auto"/>
        <w:right w:val="none" w:sz="0" w:space="0" w:color="auto"/>
      </w:divBdr>
    </w:div>
    <w:div w:id="372191272">
      <w:bodyDiv w:val="1"/>
      <w:marLeft w:val="0"/>
      <w:marRight w:val="0"/>
      <w:marTop w:val="0"/>
      <w:marBottom w:val="0"/>
      <w:divBdr>
        <w:top w:val="none" w:sz="0" w:space="0" w:color="auto"/>
        <w:left w:val="none" w:sz="0" w:space="0" w:color="auto"/>
        <w:bottom w:val="none" w:sz="0" w:space="0" w:color="auto"/>
        <w:right w:val="none" w:sz="0" w:space="0" w:color="auto"/>
      </w:divBdr>
    </w:div>
    <w:div w:id="401370800">
      <w:bodyDiv w:val="1"/>
      <w:marLeft w:val="0"/>
      <w:marRight w:val="0"/>
      <w:marTop w:val="0"/>
      <w:marBottom w:val="0"/>
      <w:divBdr>
        <w:top w:val="none" w:sz="0" w:space="0" w:color="auto"/>
        <w:left w:val="none" w:sz="0" w:space="0" w:color="auto"/>
        <w:bottom w:val="none" w:sz="0" w:space="0" w:color="auto"/>
        <w:right w:val="none" w:sz="0" w:space="0" w:color="auto"/>
      </w:divBdr>
    </w:div>
    <w:div w:id="449055785">
      <w:bodyDiv w:val="1"/>
      <w:marLeft w:val="0"/>
      <w:marRight w:val="0"/>
      <w:marTop w:val="0"/>
      <w:marBottom w:val="0"/>
      <w:divBdr>
        <w:top w:val="none" w:sz="0" w:space="0" w:color="auto"/>
        <w:left w:val="none" w:sz="0" w:space="0" w:color="auto"/>
        <w:bottom w:val="none" w:sz="0" w:space="0" w:color="auto"/>
        <w:right w:val="none" w:sz="0" w:space="0" w:color="auto"/>
      </w:divBdr>
    </w:div>
    <w:div w:id="451173646">
      <w:bodyDiv w:val="1"/>
      <w:marLeft w:val="0"/>
      <w:marRight w:val="0"/>
      <w:marTop w:val="0"/>
      <w:marBottom w:val="0"/>
      <w:divBdr>
        <w:top w:val="none" w:sz="0" w:space="0" w:color="auto"/>
        <w:left w:val="none" w:sz="0" w:space="0" w:color="auto"/>
        <w:bottom w:val="none" w:sz="0" w:space="0" w:color="auto"/>
        <w:right w:val="none" w:sz="0" w:space="0" w:color="auto"/>
      </w:divBdr>
    </w:div>
    <w:div w:id="472646447">
      <w:bodyDiv w:val="1"/>
      <w:marLeft w:val="0"/>
      <w:marRight w:val="0"/>
      <w:marTop w:val="0"/>
      <w:marBottom w:val="0"/>
      <w:divBdr>
        <w:top w:val="none" w:sz="0" w:space="0" w:color="auto"/>
        <w:left w:val="none" w:sz="0" w:space="0" w:color="auto"/>
        <w:bottom w:val="none" w:sz="0" w:space="0" w:color="auto"/>
        <w:right w:val="none" w:sz="0" w:space="0" w:color="auto"/>
      </w:divBdr>
    </w:div>
    <w:div w:id="529294735">
      <w:bodyDiv w:val="1"/>
      <w:marLeft w:val="0"/>
      <w:marRight w:val="0"/>
      <w:marTop w:val="0"/>
      <w:marBottom w:val="0"/>
      <w:divBdr>
        <w:top w:val="none" w:sz="0" w:space="0" w:color="auto"/>
        <w:left w:val="none" w:sz="0" w:space="0" w:color="auto"/>
        <w:bottom w:val="none" w:sz="0" w:space="0" w:color="auto"/>
        <w:right w:val="none" w:sz="0" w:space="0" w:color="auto"/>
      </w:divBdr>
    </w:div>
    <w:div w:id="537593946">
      <w:bodyDiv w:val="1"/>
      <w:marLeft w:val="0"/>
      <w:marRight w:val="0"/>
      <w:marTop w:val="0"/>
      <w:marBottom w:val="0"/>
      <w:divBdr>
        <w:top w:val="none" w:sz="0" w:space="0" w:color="auto"/>
        <w:left w:val="none" w:sz="0" w:space="0" w:color="auto"/>
        <w:bottom w:val="none" w:sz="0" w:space="0" w:color="auto"/>
        <w:right w:val="none" w:sz="0" w:space="0" w:color="auto"/>
      </w:divBdr>
    </w:div>
    <w:div w:id="553735238">
      <w:bodyDiv w:val="1"/>
      <w:marLeft w:val="0"/>
      <w:marRight w:val="0"/>
      <w:marTop w:val="0"/>
      <w:marBottom w:val="0"/>
      <w:divBdr>
        <w:top w:val="none" w:sz="0" w:space="0" w:color="auto"/>
        <w:left w:val="none" w:sz="0" w:space="0" w:color="auto"/>
        <w:bottom w:val="none" w:sz="0" w:space="0" w:color="auto"/>
        <w:right w:val="none" w:sz="0" w:space="0" w:color="auto"/>
      </w:divBdr>
    </w:div>
    <w:div w:id="561258549">
      <w:bodyDiv w:val="1"/>
      <w:marLeft w:val="0"/>
      <w:marRight w:val="0"/>
      <w:marTop w:val="0"/>
      <w:marBottom w:val="0"/>
      <w:divBdr>
        <w:top w:val="none" w:sz="0" w:space="0" w:color="auto"/>
        <w:left w:val="none" w:sz="0" w:space="0" w:color="auto"/>
        <w:bottom w:val="none" w:sz="0" w:space="0" w:color="auto"/>
        <w:right w:val="none" w:sz="0" w:space="0" w:color="auto"/>
      </w:divBdr>
    </w:div>
    <w:div w:id="567495456">
      <w:bodyDiv w:val="1"/>
      <w:marLeft w:val="0"/>
      <w:marRight w:val="0"/>
      <w:marTop w:val="0"/>
      <w:marBottom w:val="0"/>
      <w:divBdr>
        <w:top w:val="none" w:sz="0" w:space="0" w:color="auto"/>
        <w:left w:val="none" w:sz="0" w:space="0" w:color="auto"/>
        <w:bottom w:val="none" w:sz="0" w:space="0" w:color="auto"/>
        <w:right w:val="none" w:sz="0" w:space="0" w:color="auto"/>
      </w:divBdr>
    </w:div>
    <w:div w:id="570968719">
      <w:bodyDiv w:val="1"/>
      <w:marLeft w:val="0"/>
      <w:marRight w:val="0"/>
      <w:marTop w:val="0"/>
      <w:marBottom w:val="0"/>
      <w:divBdr>
        <w:top w:val="none" w:sz="0" w:space="0" w:color="auto"/>
        <w:left w:val="none" w:sz="0" w:space="0" w:color="auto"/>
        <w:bottom w:val="none" w:sz="0" w:space="0" w:color="auto"/>
        <w:right w:val="none" w:sz="0" w:space="0" w:color="auto"/>
      </w:divBdr>
    </w:div>
    <w:div w:id="587344924">
      <w:bodyDiv w:val="1"/>
      <w:marLeft w:val="0"/>
      <w:marRight w:val="0"/>
      <w:marTop w:val="0"/>
      <w:marBottom w:val="0"/>
      <w:divBdr>
        <w:top w:val="none" w:sz="0" w:space="0" w:color="auto"/>
        <w:left w:val="none" w:sz="0" w:space="0" w:color="auto"/>
        <w:bottom w:val="none" w:sz="0" w:space="0" w:color="auto"/>
        <w:right w:val="none" w:sz="0" w:space="0" w:color="auto"/>
      </w:divBdr>
    </w:div>
    <w:div w:id="590819153">
      <w:bodyDiv w:val="1"/>
      <w:marLeft w:val="0"/>
      <w:marRight w:val="0"/>
      <w:marTop w:val="0"/>
      <w:marBottom w:val="0"/>
      <w:divBdr>
        <w:top w:val="none" w:sz="0" w:space="0" w:color="auto"/>
        <w:left w:val="none" w:sz="0" w:space="0" w:color="auto"/>
        <w:bottom w:val="none" w:sz="0" w:space="0" w:color="auto"/>
        <w:right w:val="none" w:sz="0" w:space="0" w:color="auto"/>
      </w:divBdr>
    </w:div>
    <w:div w:id="620453910">
      <w:bodyDiv w:val="1"/>
      <w:marLeft w:val="0"/>
      <w:marRight w:val="0"/>
      <w:marTop w:val="0"/>
      <w:marBottom w:val="0"/>
      <w:divBdr>
        <w:top w:val="none" w:sz="0" w:space="0" w:color="auto"/>
        <w:left w:val="none" w:sz="0" w:space="0" w:color="auto"/>
        <w:bottom w:val="none" w:sz="0" w:space="0" w:color="auto"/>
        <w:right w:val="none" w:sz="0" w:space="0" w:color="auto"/>
      </w:divBdr>
    </w:div>
    <w:div w:id="623121366">
      <w:bodyDiv w:val="1"/>
      <w:marLeft w:val="0"/>
      <w:marRight w:val="0"/>
      <w:marTop w:val="0"/>
      <w:marBottom w:val="0"/>
      <w:divBdr>
        <w:top w:val="none" w:sz="0" w:space="0" w:color="auto"/>
        <w:left w:val="none" w:sz="0" w:space="0" w:color="auto"/>
        <w:bottom w:val="none" w:sz="0" w:space="0" w:color="auto"/>
        <w:right w:val="none" w:sz="0" w:space="0" w:color="auto"/>
      </w:divBdr>
    </w:div>
    <w:div w:id="634874768">
      <w:bodyDiv w:val="1"/>
      <w:marLeft w:val="0"/>
      <w:marRight w:val="0"/>
      <w:marTop w:val="0"/>
      <w:marBottom w:val="0"/>
      <w:divBdr>
        <w:top w:val="none" w:sz="0" w:space="0" w:color="auto"/>
        <w:left w:val="none" w:sz="0" w:space="0" w:color="auto"/>
        <w:bottom w:val="none" w:sz="0" w:space="0" w:color="auto"/>
        <w:right w:val="none" w:sz="0" w:space="0" w:color="auto"/>
      </w:divBdr>
    </w:div>
    <w:div w:id="657610927">
      <w:bodyDiv w:val="1"/>
      <w:marLeft w:val="0"/>
      <w:marRight w:val="0"/>
      <w:marTop w:val="0"/>
      <w:marBottom w:val="0"/>
      <w:divBdr>
        <w:top w:val="none" w:sz="0" w:space="0" w:color="auto"/>
        <w:left w:val="none" w:sz="0" w:space="0" w:color="auto"/>
        <w:bottom w:val="none" w:sz="0" w:space="0" w:color="auto"/>
        <w:right w:val="none" w:sz="0" w:space="0" w:color="auto"/>
      </w:divBdr>
    </w:div>
    <w:div w:id="664166341">
      <w:bodyDiv w:val="1"/>
      <w:marLeft w:val="0"/>
      <w:marRight w:val="0"/>
      <w:marTop w:val="0"/>
      <w:marBottom w:val="0"/>
      <w:divBdr>
        <w:top w:val="none" w:sz="0" w:space="0" w:color="auto"/>
        <w:left w:val="none" w:sz="0" w:space="0" w:color="auto"/>
        <w:bottom w:val="none" w:sz="0" w:space="0" w:color="auto"/>
        <w:right w:val="none" w:sz="0" w:space="0" w:color="auto"/>
      </w:divBdr>
    </w:div>
    <w:div w:id="713232585">
      <w:bodyDiv w:val="1"/>
      <w:marLeft w:val="0"/>
      <w:marRight w:val="0"/>
      <w:marTop w:val="0"/>
      <w:marBottom w:val="0"/>
      <w:divBdr>
        <w:top w:val="none" w:sz="0" w:space="0" w:color="auto"/>
        <w:left w:val="none" w:sz="0" w:space="0" w:color="auto"/>
        <w:bottom w:val="none" w:sz="0" w:space="0" w:color="auto"/>
        <w:right w:val="none" w:sz="0" w:space="0" w:color="auto"/>
      </w:divBdr>
    </w:div>
    <w:div w:id="716977564">
      <w:bodyDiv w:val="1"/>
      <w:marLeft w:val="0"/>
      <w:marRight w:val="0"/>
      <w:marTop w:val="0"/>
      <w:marBottom w:val="0"/>
      <w:divBdr>
        <w:top w:val="none" w:sz="0" w:space="0" w:color="auto"/>
        <w:left w:val="none" w:sz="0" w:space="0" w:color="auto"/>
        <w:bottom w:val="none" w:sz="0" w:space="0" w:color="auto"/>
        <w:right w:val="none" w:sz="0" w:space="0" w:color="auto"/>
      </w:divBdr>
    </w:div>
    <w:div w:id="722631393">
      <w:bodyDiv w:val="1"/>
      <w:marLeft w:val="0"/>
      <w:marRight w:val="0"/>
      <w:marTop w:val="0"/>
      <w:marBottom w:val="0"/>
      <w:divBdr>
        <w:top w:val="none" w:sz="0" w:space="0" w:color="auto"/>
        <w:left w:val="none" w:sz="0" w:space="0" w:color="auto"/>
        <w:bottom w:val="none" w:sz="0" w:space="0" w:color="auto"/>
        <w:right w:val="none" w:sz="0" w:space="0" w:color="auto"/>
      </w:divBdr>
    </w:div>
    <w:div w:id="730495476">
      <w:bodyDiv w:val="1"/>
      <w:marLeft w:val="0"/>
      <w:marRight w:val="0"/>
      <w:marTop w:val="0"/>
      <w:marBottom w:val="0"/>
      <w:divBdr>
        <w:top w:val="none" w:sz="0" w:space="0" w:color="auto"/>
        <w:left w:val="none" w:sz="0" w:space="0" w:color="auto"/>
        <w:bottom w:val="none" w:sz="0" w:space="0" w:color="auto"/>
        <w:right w:val="none" w:sz="0" w:space="0" w:color="auto"/>
      </w:divBdr>
    </w:div>
    <w:div w:id="731201743">
      <w:bodyDiv w:val="1"/>
      <w:marLeft w:val="0"/>
      <w:marRight w:val="0"/>
      <w:marTop w:val="0"/>
      <w:marBottom w:val="0"/>
      <w:divBdr>
        <w:top w:val="none" w:sz="0" w:space="0" w:color="auto"/>
        <w:left w:val="none" w:sz="0" w:space="0" w:color="auto"/>
        <w:bottom w:val="none" w:sz="0" w:space="0" w:color="auto"/>
        <w:right w:val="none" w:sz="0" w:space="0" w:color="auto"/>
      </w:divBdr>
    </w:div>
    <w:div w:id="731971958">
      <w:bodyDiv w:val="1"/>
      <w:marLeft w:val="0"/>
      <w:marRight w:val="0"/>
      <w:marTop w:val="0"/>
      <w:marBottom w:val="0"/>
      <w:divBdr>
        <w:top w:val="none" w:sz="0" w:space="0" w:color="auto"/>
        <w:left w:val="none" w:sz="0" w:space="0" w:color="auto"/>
        <w:bottom w:val="none" w:sz="0" w:space="0" w:color="auto"/>
        <w:right w:val="none" w:sz="0" w:space="0" w:color="auto"/>
      </w:divBdr>
    </w:div>
    <w:div w:id="737241864">
      <w:bodyDiv w:val="1"/>
      <w:marLeft w:val="0"/>
      <w:marRight w:val="0"/>
      <w:marTop w:val="0"/>
      <w:marBottom w:val="0"/>
      <w:divBdr>
        <w:top w:val="none" w:sz="0" w:space="0" w:color="auto"/>
        <w:left w:val="none" w:sz="0" w:space="0" w:color="auto"/>
        <w:bottom w:val="none" w:sz="0" w:space="0" w:color="auto"/>
        <w:right w:val="none" w:sz="0" w:space="0" w:color="auto"/>
      </w:divBdr>
    </w:div>
    <w:div w:id="744649158">
      <w:bodyDiv w:val="1"/>
      <w:marLeft w:val="0"/>
      <w:marRight w:val="0"/>
      <w:marTop w:val="0"/>
      <w:marBottom w:val="0"/>
      <w:divBdr>
        <w:top w:val="none" w:sz="0" w:space="0" w:color="auto"/>
        <w:left w:val="none" w:sz="0" w:space="0" w:color="auto"/>
        <w:bottom w:val="none" w:sz="0" w:space="0" w:color="auto"/>
        <w:right w:val="none" w:sz="0" w:space="0" w:color="auto"/>
      </w:divBdr>
    </w:div>
    <w:div w:id="777068681">
      <w:bodyDiv w:val="1"/>
      <w:marLeft w:val="0"/>
      <w:marRight w:val="0"/>
      <w:marTop w:val="0"/>
      <w:marBottom w:val="0"/>
      <w:divBdr>
        <w:top w:val="none" w:sz="0" w:space="0" w:color="auto"/>
        <w:left w:val="none" w:sz="0" w:space="0" w:color="auto"/>
        <w:bottom w:val="none" w:sz="0" w:space="0" w:color="auto"/>
        <w:right w:val="none" w:sz="0" w:space="0" w:color="auto"/>
      </w:divBdr>
    </w:div>
    <w:div w:id="806433413">
      <w:bodyDiv w:val="1"/>
      <w:marLeft w:val="0"/>
      <w:marRight w:val="0"/>
      <w:marTop w:val="0"/>
      <w:marBottom w:val="0"/>
      <w:divBdr>
        <w:top w:val="none" w:sz="0" w:space="0" w:color="auto"/>
        <w:left w:val="none" w:sz="0" w:space="0" w:color="auto"/>
        <w:bottom w:val="none" w:sz="0" w:space="0" w:color="auto"/>
        <w:right w:val="none" w:sz="0" w:space="0" w:color="auto"/>
      </w:divBdr>
    </w:div>
    <w:div w:id="812798135">
      <w:bodyDiv w:val="1"/>
      <w:marLeft w:val="0"/>
      <w:marRight w:val="0"/>
      <w:marTop w:val="0"/>
      <w:marBottom w:val="0"/>
      <w:divBdr>
        <w:top w:val="none" w:sz="0" w:space="0" w:color="auto"/>
        <w:left w:val="none" w:sz="0" w:space="0" w:color="auto"/>
        <w:bottom w:val="none" w:sz="0" w:space="0" w:color="auto"/>
        <w:right w:val="none" w:sz="0" w:space="0" w:color="auto"/>
      </w:divBdr>
    </w:div>
    <w:div w:id="818229060">
      <w:bodyDiv w:val="1"/>
      <w:marLeft w:val="0"/>
      <w:marRight w:val="0"/>
      <w:marTop w:val="0"/>
      <w:marBottom w:val="0"/>
      <w:divBdr>
        <w:top w:val="none" w:sz="0" w:space="0" w:color="auto"/>
        <w:left w:val="none" w:sz="0" w:space="0" w:color="auto"/>
        <w:bottom w:val="none" w:sz="0" w:space="0" w:color="auto"/>
        <w:right w:val="none" w:sz="0" w:space="0" w:color="auto"/>
      </w:divBdr>
    </w:div>
    <w:div w:id="829637752">
      <w:bodyDiv w:val="1"/>
      <w:marLeft w:val="0"/>
      <w:marRight w:val="0"/>
      <w:marTop w:val="0"/>
      <w:marBottom w:val="0"/>
      <w:divBdr>
        <w:top w:val="none" w:sz="0" w:space="0" w:color="auto"/>
        <w:left w:val="none" w:sz="0" w:space="0" w:color="auto"/>
        <w:bottom w:val="none" w:sz="0" w:space="0" w:color="auto"/>
        <w:right w:val="none" w:sz="0" w:space="0" w:color="auto"/>
      </w:divBdr>
    </w:div>
    <w:div w:id="834564262">
      <w:bodyDiv w:val="1"/>
      <w:marLeft w:val="0"/>
      <w:marRight w:val="0"/>
      <w:marTop w:val="0"/>
      <w:marBottom w:val="0"/>
      <w:divBdr>
        <w:top w:val="none" w:sz="0" w:space="0" w:color="auto"/>
        <w:left w:val="none" w:sz="0" w:space="0" w:color="auto"/>
        <w:bottom w:val="none" w:sz="0" w:space="0" w:color="auto"/>
        <w:right w:val="none" w:sz="0" w:space="0" w:color="auto"/>
      </w:divBdr>
    </w:div>
    <w:div w:id="841429582">
      <w:bodyDiv w:val="1"/>
      <w:marLeft w:val="0"/>
      <w:marRight w:val="0"/>
      <w:marTop w:val="0"/>
      <w:marBottom w:val="0"/>
      <w:divBdr>
        <w:top w:val="none" w:sz="0" w:space="0" w:color="auto"/>
        <w:left w:val="none" w:sz="0" w:space="0" w:color="auto"/>
        <w:bottom w:val="none" w:sz="0" w:space="0" w:color="auto"/>
        <w:right w:val="none" w:sz="0" w:space="0" w:color="auto"/>
      </w:divBdr>
    </w:div>
    <w:div w:id="850030313">
      <w:bodyDiv w:val="1"/>
      <w:marLeft w:val="0"/>
      <w:marRight w:val="0"/>
      <w:marTop w:val="0"/>
      <w:marBottom w:val="0"/>
      <w:divBdr>
        <w:top w:val="none" w:sz="0" w:space="0" w:color="auto"/>
        <w:left w:val="none" w:sz="0" w:space="0" w:color="auto"/>
        <w:bottom w:val="none" w:sz="0" w:space="0" w:color="auto"/>
        <w:right w:val="none" w:sz="0" w:space="0" w:color="auto"/>
      </w:divBdr>
    </w:div>
    <w:div w:id="862062072">
      <w:bodyDiv w:val="1"/>
      <w:marLeft w:val="0"/>
      <w:marRight w:val="0"/>
      <w:marTop w:val="0"/>
      <w:marBottom w:val="0"/>
      <w:divBdr>
        <w:top w:val="none" w:sz="0" w:space="0" w:color="auto"/>
        <w:left w:val="none" w:sz="0" w:space="0" w:color="auto"/>
        <w:bottom w:val="none" w:sz="0" w:space="0" w:color="auto"/>
        <w:right w:val="none" w:sz="0" w:space="0" w:color="auto"/>
      </w:divBdr>
    </w:div>
    <w:div w:id="871571854">
      <w:bodyDiv w:val="1"/>
      <w:marLeft w:val="0"/>
      <w:marRight w:val="0"/>
      <w:marTop w:val="0"/>
      <w:marBottom w:val="0"/>
      <w:divBdr>
        <w:top w:val="none" w:sz="0" w:space="0" w:color="auto"/>
        <w:left w:val="none" w:sz="0" w:space="0" w:color="auto"/>
        <w:bottom w:val="none" w:sz="0" w:space="0" w:color="auto"/>
        <w:right w:val="none" w:sz="0" w:space="0" w:color="auto"/>
      </w:divBdr>
    </w:div>
    <w:div w:id="885795475">
      <w:bodyDiv w:val="1"/>
      <w:marLeft w:val="0"/>
      <w:marRight w:val="0"/>
      <w:marTop w:val="0"/>
      <w:marBottom w:val="0"/>
      <w:divBdr>
        <w:top w:val="none" w:sz="0" w:space="0" w:color="auto"/>
        <w:left w:val="none" w:sz="0" w:space="0" w:color="auto"/>
        <w:bottom w:val="none" w:sz="0" w:space="0" w:color="auto"/>
        <w:right w:val="none" w:sz="0" w:space="0" w:color="auto"/>
      </w:divBdr>
    </w:div>
    <w:div w:id="915044659">
      <w:bodyDiv w:val="1"/>
      <w:marLeft w:val="0"/>
      <w:marRight w:val="0"/>
      <w:marTop w:val="0"/>
      <w:marBottom w:val="0"/>
      <w:divBdr>
        <w:top w:val="none" w:sz="0" w:space="0" w:color="auto"/>
        <w:left w:val="none" w:sz="0" w:space="0" w:color="auto"/>
        <w:bottom w:val="none" w:sz="0" w:space="0" w:color="auto"/>
        <w:right w:val="none" w:sz="0" w:space="0" w:color="auto"/>
      </w:divBdr>
    </w:div>
    <w:div w:id="917639121">
      <w:bodyDiv w:val="1"/>
      <w:marLeft w:val="0"/>
      <w:marRight w:val="0"/>
      <w:marTop w:val="0"/>
      <w:marBottom w:val="0"/>
      <w:divBdr>
        <w:top w:val="none" w:sz="0" w:space="0" w:color="auto"/>
        <w:left w:val="none" w:sz="0" w:space="0" w:color="auto"/>
        <w:bottom w:val="none" w:sz="0" w:space="0" w:color="auto"/>
        <w:right w:val="none" w:sz="0" w:space="0" w:color="auto"/>
      </w:divBdr>
    </w:div>
    <w:div w:id="927616598">
      <w:bodyDiv w:val="1"/>
      <w:marLeft w:val="0"/>
      <w:marRight w:val="0"/>
      <w:marTop w:val="0"/>
      <w:marBottom w:val="0"/>
      <w:divBdr>
        <w:top w:val="none" w:sz="0" w:space="0" w:color="auto"/>
        <w:left w:val="none" w:sz="0" w:space="0" w:color="auto"/>
        <w:bottom w:val="none" w:sz="0" w:space="0" w:color="auto"/>
        <w:right w:val="none" w:sz="0" w:space="0" w:color="auto"/>
      </w:divBdr>
    </w:div>
    <w:div w:id="946934401">
      <w:bodyDiv w:val="1"/>
      <w:marLeft w:val="0"/>
      <w:marRight w:val="0"/>
      <w:marTop w:val="0"/>
      <w:marBottom w:val="0"/>
      <w:divBdr>
        <w:top w:val="none" w:sz="0" w:space="0" w:color="auto"/>
        <w:left w:val="none" w:sz="0" w:space="0" w:color="auto"/>
        <w:bottom w:val="none" w:sz="0" w:space="0" w:color="auto"/>
        <w:right w:val="none" w:sz="0" w:space="0" w:color="auto"/>
      </w:divBdr>
    </w:div>
    <w:div w:id="997728832">
      <w:bodyDiv w:val="1"/>
      <w:marLeft w:val="0"/>
      <w:marRight w:val="0"/>
      <w:marTop w:val="0"/>
      <w:marBottom w:val="0"/>
      <w:divBdr>
        <w:top w:val="none" w:sz="0" w:space="0" w:color="auto"/>
        <w:left w:val="none" w:sz="0" w:space="0" w:color="auto"/>
        <w:bottom w:val="none" w:sz="0" w:space="0" w:color="auto"/>
        <w:right w:val="none" w:sz="0" w:space="0" w:color="auto"/>
      </w:divBdr>
    </w:div>
    <w:div w:id="1012024072">
      <w:bodyDiv w:val="1"/>
      <w:marLeft w:val="0"/>
      <w:marRight w:val="0"/>
      <w:marTop w:val="0"/>
      <w:marBottom w:val="0"/>
      <w:divBdr>
        <w:top w:val="none" w:sz="0" w:space="0" w:color="auto"/>
        <w:left w:val="none" w:sz="0" w:space="0" w:color="auto"/>
        <w:bottom w:val="none" w:sz="0" w:space="0" w:color="auto"/>
        <w:right w:val="none" w:sz="0" w:space="0" w:color="auto"/>
      </w:divBdr>
    </w:div>
    <w:div w:id="1023358538">
      <w:bodyDiv w:val="1"/>
      <w:marLeft w:val="0"/>
      <w:marRight w:val="0"/>
      <w:marTop w:val="0"/>
      <w:marBottom w:val="0"/>
      <w:divBdr>
        <w:top w:val="none" w:sz="0" w:space="0" w:color="auto"/>
        <w:left w:val="none" w:sz="0" w:space="0" w:color="auto"/>
        <w:bottom w:val="none" w:sz="0" w:space="0" w:color="auto"/>
        <w:right w:val="none" w:sz="0" w:space="0" w:color="auto"/>
      </w:divBdr>
    </w:div>
    <w:div w:id="1039008969">
      <w:bodyDiv w:val="1"/>
      <w:marLeft w:val="0"/>
      <w:marRight w:val="0"/>
      <w:marTop w:val="0"/>
      <w:marBottom w:val="0"/>
      <w:divBdr>
        <w:top w:val="none" w:sz="0" w:space="0" w:color="auto"/>
        <w:left w:val="none" w:sz="0" w:space="0" w:color="auto"/>
        <w:bottom w:val="none" w:sz="0" w:space="0" w:color="auto"/>
        <w:right w:val="none" w:sz="0" w:space="0" w:color="auto"/>
      </w:divBdr>
    </w:div>
    <w:div w:id="1043017694">
      <w:bodyDiv w:val="1"/>
      <w:marLeft w:val="0"/>
      <w:marRight w:val="0"/>
      <w:marTop w:val="0"/>
      <w:marBottom w:val="0"/>
      <w:divBdr>
        <w:top w:val="none" w:sz="0" w:space="0" w:color="auto"/>
        <w:left w:val="none" w:sz="0" w:space="0" w:color="auto"/>
        <w:bottom w:val="none" w:sz="0" w:space="0" w:color="auto"/>
        <w:right w:val="none" w:sz="0" w:space="0" w:color="auto"/>
      </w:divBdr>
    </w:div>
    <w:div w:id="1049037569">
      <w:bodyDiv w:val="1"/>
      <w:marLeft w:val="0"/>
      <w:marRight w:val="0"/>
      <w:marTop w:val="0"/>
      <w:marBottom w:val="0"/>
      <w:divBdr>
        <w:top w:val="none" w:sz="0" w:space="0" w:color="auto"/>
        <w:left w:val="none" w:sz="0" w:space="0" w:color="auto"/>
        <w:bottom w:val="none" w:sz="0" w:space="0" w:color="auto"/>
        <w:right w:val="none" w:sz="0" w:space="0" w:color="auto"/>
      </w:divBdr>
    </w:div>
    <w:div w:id="1082920496">
      <w:bodyDiv w:val="1"/>
      <w:marLeft w:val="0"/>
      <w:marRight w:val="0"/>
      <w:marTop w:val="0"/>
      <w:marBottom w:val="0"/>
      <w:divBdr>
        <w:top w:val="none" w:sz="0" w:space="0" w:color="auto"/>
        <w:left w:val="none" w:sz="0" w:space="0" w:color="auto"/>
        <w:bottom w:val="none" w:sz="0" w:space="0" w:color="auto"/>
        <w:right w:val="none" w:sz="0" w:space="0" w:color="auto"/>
      </w:divBdr>
    </w:div>
    <w:div w:id="1090543820">
      <w:bodyDiv w:val="1"/>
      <w:marLeft w:val="0"/>
      <w:marRight w:val="0"/>
      <w:marTop w:val="0"/>
      <w:marBottom w:val="0"/>
      <w:divBdr>
        <w:top w:val="none" w:sz="0" w:space="0" w:color="auto"/>
        <w:left w:val="none" w:sz="0" w:space="0" w:color="auto"/>
        <w:bottom w:val="none" w:sz="0" w:space="0" w:color="auto"/>
        <w:right w:val="none" w:sz="0" w:space="0" w:color="auto"/>
      </w:divBdr>
    </w:div>
    <w:div w:id="1090735262">
      <w:bodyDiv w:val="1"/>
      <w:marLeft w:val="0"/>
      <w:marRight w:val="0"/>
      <w:marTop w:val="0"/>
      <w:marBottom w:val="0"/>
      <w:divBdr>
        <w:top w:val="none" w:sz="0" w:space="0" w:color="auto"/>
        <w:left w:val="none" w:sz="0" w:space="0" w:color="auto"/>
        <w:bottom w:val="none" w:sz="0" w:space="0" w:color="auto"/>
        <w:right w:val="none" w:sz="0" w:space="0" w:color="auto"/>
      </w:divBdr>
    </w:div>
    <w:div w:id="1096173676">
      <w:bodyDiv w:val="1"/>
      <w:marLeft w:val="0"/>
      <w:marRight w:val="0"/>
      <w:marTop w:val="0"/>
      <w:marBottom w:val="0"/>
      <w:divBdr>
        <w:top w:val="none" w:sz="0" w:space="0" w:color="auto"/>
        <w:left w:val="none" w:sz="0" w:space="0" w:color="auto"/>
        <w:bottom w:val="none" w:sz="0" w:space="0" w:color="auto"/>
        <w:right w:val="none" w:sz="0" w:space="0" w:color="auto"/>
      </w:divBdr>
    </w:div>
    <w:div w:id="1107693940">
      <w:bodyDiv w:val="1"/>
      <w:marLeft w:val="0"/>
      <w:marRight w:val="0"/>
      <w:marTop w:val="0"/>
      <w:marBottom w:val="0"/>
      <w:divBdr>
        <w:top w:val="none" w:sz="0" w:space="0" w:color="auto"/>
        <w:left w:val="none" w:sz="0" w:space="0" w:color="auto"/>
        <w:bottom w:val="none" w:sz="0" w:space="0" w:color="auto"/>
        <w:right w:val="none" w:sz="0" w:space="0" w:color="auto"/>
      </w:divBdr>
    </w:div>
    <w:div w:id="1121648832">
      <w:bodyDiv w:val="1"/>
      <w:marLeft w:val="0"/>
      <w:marRight w:val="0"/>
      <w:marTop w:val="0"/>
      <w:marBottom w:val="0"/>
      <w:divBdr>
        <w:top w:val="none" w:sz="0" w:space="0" w:color="auto"/>
        <w:left w:val="none" w:sz="0" w:space="0" w:color="auto"/>
        <w:bottom w:val="none" w:sz="0" w:space="0" w:color="auto"/>
        <w:right w:val="none" w:sz="0" w:space="0" w:color="auto"/>
      </w:divBdr>
    </w:div>
    <w:div w:id="1128625608">
      <w:bodyDiv w:val="1"/>
      <w:marLeft w:val="0"/>
      <w:marRight w:val="0"/>
      <w:marTop w:val="0"/>
      <w:marBottom w:val="0"/>
      <w:divBdr>
        <w:top w:val="none" w:sz="0" w:space="0" w:color="auto"/>
        <w:left w:val="none" w:sz="0" w:space="0" w:color="auto"/>
        <w:bottom w:val="none" w:sz="0" w:space="0" w:color="auto"/>
        <w:right w:val="none" w:sz="0" w:space="0" w:color="auto"/>
      </w:divBdr>
    </w:div>
    <w:div w:id="1170103147">
      <w:bodyDiv w:val="1"/>
      <w:marLeft w:val="0"/>
      <w:marRight w:val="0"/>
      <w:marTop w:val="0"/>
      <w:marBottom w:val="0"/>
      <w:divBdr>
        <w:top w:val="none" w:sz="0" w:space="0" w:color="auto"/>
        <w:left w:val="none" w:sz="0" w:space="0" w:color="auto"/>
        <w:bottom w:val="none" w:sz="0" w:space="0" w:color="auto"/>
        <w:right w:val="none" w:sz="0" w:space="0" w:color="auto"/>
      </w:divBdr>
    </w:div>
    <w:div w:id="1190945617">
      <w:bodyDiv w:val="1"/>
      <w:marLeft w:val="0"/>
      <w:marRight w:val="0"/>
      <w:marTop w:val="0"/>
      <w:marBottom w:val="0"/>
      <w:divBdr>
        <w:top w:val="none" w:sz="0" w:space="0" w:color="auto"/>
        <w:left w:val="none" w:sz="0" w:space="0" w:color="auto"/>
        <w:bottom w:val="none" w:sz="0" w:space="0" w:color="auto"/>
        <w:right w:val="none" w:sz="0" w:space="0" w:color="auto"/>
      </w:divBdr>
    </w:div>
    <w:div w:id="1196314011">
      <w:bodyDiv w:val="1"/>
      <w:marLeft w:val="0"/>
      <w:marRight w:val="0"/>
      <w:marTop w:val="0"/>
      <w:marBottom w:val="0"/>
      <w:divBdr>
        <w:top w:val="none" w:sz="0" w:space="0" w:color="auto"/>
        <w:left w:val="none" w:sz="0" w:space="0" w:color="auto"/>
        <w:bottom w:val="none" w:sz="0" w:space="0" w:color="auto"/>
        <w:right w:val="none" w:sz="0" w:space="0" w:color="auto"/>
      </w:divBdr>
    </w:div>
    <w:div w:id="1239170982">
      <w:bodyDiv w:val="1"/>
      <w:marLeft w:val="0"/>
      <w:marRight w:val="0"/>
      <w:marTop w:val="0"/>
      <w:marBottom w:val="0"/>
      <w:divBdr>
        <w:top w:val="none" w:sz="0" w:space="0" w:color="auto"/>
        <w:left w:val="none" w:sz="0" w:space="0" w:color="auto"/>
        <w:bottom w:val="none" w:sz="0" w:space="0" w:color="auto"/>
        <w:right w:val="none" w:sz="0" w:space="0" w:color="auto"/>
      </w:divBdr>
    </w:div>
    <w:div w:id="1272400660">
      <w:bodyDiv w:val="1"/>
      <w:marLeft w:val="0"/>
      <w:marRight w:val="0"/>
      <w:marTop w:val="0"/>
      <w:marBottom w:val="0"/>
      <w:divBdr>
        <w:top w:val="none" w:sz="0" w:space="0" w:color="auto"/>
        <w:left w:val="none" w:sz="0" w:space="0" w:color="auto"/>
        <w:bottom w:val="none" w:sz="0" w:space="0" w:color="auto"/>
        <w:right w:val="none" w:sz="0" w:space="0" w:color="auto"/>
      </w:divBdr>
    </w:div>
    <w:div w:id="1278025484">
      <w:bodyDiv w:val="1"/>
      <w:marLeft w:val="0"/>
      <w:marRight w:val="0"/>
      <w:marTop w:val="0"/>
      <w:marBottom w:val="0"/>
      <w:divBdr>
        <w:top w:val="none" w:sz="0" w:space="0" w:color="auto"/>
        <w:left w:val="none" w:sz="0" w:space="0" w:color="auto"/>
        <w:bottom w:val="none" w:sz="0" w:space="0" w:color="auto"/>
        <w:right w:val="none" w:sz="0" w:space="0" w:color="auto"/>
      </w:divBdr>
    </w:div>
    <w:div w:id="1283463578">
      <w:bodyDiv w:val="1"/>
      <w:marLeft w:val="0"/>
      <w:marRight w:val="0"/>
      <w:marTop w:val="0"/>
      <w:marBottom w:val="0"/>
      <w:divBdr>
        <w:top w:val="none" w:sz="0" w:space="0" w:color="auto"/>
        <w:left w:val="none" w:sz="0" w:space="0" w:color="auto"/>
        <w:bottom w:val="none" w:sz="0" w:space="0" w:color="auto"/>
        <w:right w:val="none" w:sz="0" w:space="0" w:color="auto"/>
      </w:divBdr>
    </w:div>
    <w:div w:id="1305306334">
      <w:bodyDiv w:val="1"/>
      <w:marLeft w:val="0"/>
      <w:marRight w:val="0"/>
      <w:marTop w:val="0"/>
      <w:marBottom w:val="0"/>
      <w:divBdr>
        <w:top w:val="none" w:sz="0" w:space="0" w:color="auto"/>
        <w:left w:val="none" w:sz="0" w:space="0" w:color="auto"/>
        <w:bottom w:val="none" w:sz="0" w:space="0" w:color="auto"/>
        <w:right w:val="none" w:sz="0" w:space="0" w:color="auto"/>
      </w:divBdr>
    </w:div>
    <w:div w:id="1324158807">
      <w:bodyDiv w:val="1"/>
      <w:marLeft w:val="0"/>
      <w:marRight w:val="0"/>
      <w:marTop w:val="0"/>
      <w:marBottom w:val="0"/>
      <w:divBdr>
        <w:top w:val="none" w:sz="0" w:space="0" w:color="auto"/>
        <w:left w:val="none" w:sz="0" w:space="0" w:color="auto"/>
        <w:bottom w:val="none" w:sz="0" w:space="0" w:color="auto"/>
        <w:right w:val="none" w:sz="0" w:space="0" w:color="auto"/>
      </w:divBdr>
    </w:div>
    <w:div w:id="1324774590">
      <w:bodyDiv w:val="1"/>
      <w:marLeft w:val="0"/>
      <w:marRight w:val="0"/>
      <w:marTop w:val="0"/>
      <w:marBottom w:val="0"/>
      <w:divBdr>
        <w:top w:val="none" w:sz="0" w:space="0" w:color="auto"/>
        <w:left w:val="none" w:sz="0" w:space="0" w:color="auto"/>
        <w:bottom w:val="none" w:sz="0" w:space="0" w:color="auto"/>
        <w:right w:val="none" w:sz="0" w:space="0" w:color="auto"/>
      </w:divBdr>
    </w:div>
    <w:div w:id="1324966581">
      <w:bodyDiv w:val="1"/>
      <w:marLeft w:val="0"/>
      <w:marRight w:val="0"/>
      <w:marTop w:val="0"/>
      <w:marBottom w:val="0"/>
      <w:divBdr>
        <w:top w:val="none" w:sz="0" w:space="0" w:color="auto"/>
        <w:left w:val="none" w:sz="0" w:space="0" w:color="auto"/>
        <w:bottom w:val="none" w:sz="0" w:space="0" w:color="auto"/>
        <w:right w:val="none" w:sz="0" w:space="0" w:color="auto"/>
      </w:divBdr>
    </w:div>
    <w:div w:id="1333029535">
      <w:bodyDiv w:val="1"/>
      <w:marLeft w:val="0"/>
      <w:marRight w:val="0"/>
      <w:marTop w:val="0"/>
      <w:marBottom w:val="0"/>
      <w:divBdr>
        <w:top w:val="none" w:sz="0" w:space="0" w:color="auto"/>
        <w:left w:val="none" w:sz="0" w:space="0" w:color="auto"/>
        <w:bottom w:val="none" w:sz="0" w:space="0" w:color="auto"/>
        <w:right w:val="none" w:sz="0" w:space="0" w:color="auto"/>
      </w:divBdr>
    </w:div>
    <w:div w:id="1339231157">
      <w:bodyDiv w:val="1"/>
      <w:marLeft w:val="0"/>
      <w:marRight w:val="0"/>
      <w:marTop w:val="0"/>
      <w:marBottom w:val="0"/>
      <w:divBdr>
        <w:top w:val="none" w:sz="0" w:space="0" w:color="auto"/>
        <w:left w:val="none" w:sz="0" w:space="0" w:color="auto"/>
        <w:bottom w:val="none" w:sz="0" w:space="0" w:color="auto"/>
        <w:right w:val="none" w:sz="0" w:space="0" w:color="auto"/>
      </w:divBdr>
    </w:div>
    <w:div w:id="1352147162">
      <w:bodyDiv w:val="1"/>
      <w:marLeft w:val="0"/>
      <w:marRight w:val="0"/>
      <w:marTop w:val="0"/>
      <w:marBottom w:val="0"/>
      <w:divBdr>
        <w:top w:val="none" w:sz="0" w:space="0" w:color="auto"/>
        <w:left w:val="none" w:sz="0" w:space="0" w:color="auto"/>
        <w:bottom w:val="none" w:sz="0" w:space="0" w:color="auto"/>
        <w:right w:val="none" w:sz="0" w:space="0" w:color="auto"/>
      </w:divBdr>
    </w:div>
    <w:div w:id="1381203711">
      <w:bodyDiv w:val="1"/>
      <w:marLeft w:val="0"/>
      <w:marRight w:val="0"/>
      <w:marTop w:val="0"/>
      <w:marBottom w:val="0"/>
      <w:divBdr>
        <w:top w:val="none" w:sz="0" w:space="0" w:color="auto"/>
        <w:left w:val="none" w:sz="0" w:space="0" w:color="auto"/>
        <w:bottom w:val="none" w:sz="0" w:space="0" w:color="auto"/>
        <w:right w:val="none" w:sz="0" w:space="0" w:color="auto"/>
      </w:divBdr>
    </w:div>
    <w:div w:id="1400129386">
      <w:bodyDiv w:val="1"/>
      <w:marLeft w:val="0"/>
      <w:marRight w:val="0"/>
      <w:marTop w:val="0"/>
      <w:marBottom w:val="0"/>
      <w:divBdr>
        <w:top w:val="none" w:sz="0" w:space="0" w:color="auto"/>
        <w:left w:val="none" w:sz="0" w:space="0" w:color="auto"/>
        <w:bottom w:val="none" w:sz="0" w:space="0" w:color="auto"/>
        <w:right w:val="none" w:sz="0" w:space="0" w:color="auto"/>
      </w:divBdr>
    </w:div>
    <w:div w:id="1412002141">
      <w:bodyDiv w:val="1"/>
      <w:marLeft w:val="0"/>
      <w:marRight w:val="0"/>
      <w:marTop w:val="0"/>
      <w:marBottom w:val="0"/>
      <w:divBdr>
        <w:top w:val="none" w:sz="0" w:space="0" w:color="auto"/>
        <w:left w:val="none" w:sz="0" w:space="0" w:color="auto"/>
        <w:bottom w:val="none" w:sz="0" w:space="0" w:color="auto"/>
        <w:right w:val="none" w:sz="0" w:space="0" w:color="auto"/>
      </w:divBdr>
    </w:div>
    <w:div w:id="1418139414">
      <w:bodyDiv w:val="1"/>
      <w:marLeft w:val="0"/>
      <w:marRight w:val="0"/>
      <w:marTop w:val="0"/>
      <w:marBottom w:val="0"/>
      <w:divBdr>
        <w:top w:val="none" w:sz="0" w:space="0" w:color="auto"/>
        <w:left w:val="none" w:sz="0" w:space="0" w:color="auto"/>
        <w:bottom w:val="none" w:sz="0" w:space="0" w:color="auto"/>
        <w:right w:val="none" w:sz="0" w:space="0" w:color="auto"/>
      </w:divBdr>
    </w:div>
    <w:div w:id="1478492871">
      <w:bodyDiv w:val="1"/>
      <w:marLeft w:val="0"/>
      <w:marRight w:val="0"/>
      <w:marTop w:val="0"/>
      <w:marBottom w:val="0"/>
      <w:divBdr>
        <w:top w:val="none" w:sz="0" w:space="0" w:color="auto"/>
        <w:left w:val="none" w:sz="0" w:space="0" w:color="auto"/>
        <w:bottom w:val="none" w:sz="0" w:space="0" w:color="auto"/>
        <w:right w:val="none" w:sz="0" w:space="0" w:color="auto"/>
      </w:divBdr>
    </w:div>
    <w:div w:id="1484273600">
      <w:bodyDiv w:val="1"/>
      <w:marLeft w:val="0"/>
      <w:marRight w:val="0"/>
      <w:marTop w:val="0"/>
      <w:marBottom w:val="0"/>
      <w:divBdr>
        <w:top w:val="none" w:sz="0" w:space="0" w:color="auto"/>
        <w:left w:val="none" w:sz="0" w:space="0" w:color="auto"/>
        <w:bottom w:val="none" w:sz="0" w:space="0" w:color="auto"/>
        <w:right w:val="none" w:sz="0" w:space="0" w:color="auto"/>
      </w:divBdr>
    </w:div>
    <w:div w:id="1494835307">
      <w:bodyDiv w:val="1"/>
      <w:marLeft w:val="0"/>
      <w:marRight w:val="0"/>
      <w:marTop w:val="0"/>
      <w:marBottom w:val="0"/>
      <w:divBdr>
        <w:top w:val="none" w:sz="0" w:space="0" w:color="auto"/>
        <w:left w:val="none" w:sz="0" w:space="0" w:color="auto"/>
        <w:bottom w:val="none" w:sz="0" w:space="0" w:color="auto"/>
        <w:right w:val="none" w:sz="0" w:space="0" w:color="auto"/>
      </w:divBdr>
    </w:div>
    <w:div w:id="1496218700">
      <w:bodyDiv w:val="1"/>
      <w:marLeft w:val="0"/>
      <w:marRight w:val="0"/>
      <w:marTop w:val="0"/>
      <w:marBottom w:val="0"/>
      <w:divBdr>
        <w:top w:val="none" w:sz="0" w:space="0" w:color="auto"/>
        <w:left w:val="none" w:sz="0" w:space="0" w:color="auto"/>
        <w:bottom w:val="none" w:sz="0" w:space="0" w:color="auto"/>
        <w:right w:val="none" w:sz="0" w:space="0" w:color="auto"/>
      </w:divBdr>
    </w:div>
    <w:div w:id="1499811004">
      <w:bodyDiv w:val="1"/>
      <w:marLeft w:val="0"/>
      <w:marRight w:val="0"/>
      <w:marTop w:val="0"/>
      <w:marBottom w:val="0"/>
      <w:divBdr>
        <w:top w:val="none" w:sz="0" w:space="0" w:color="auto"/>
        <w:left w:val="none" w:sz="0" w:space="0" w:color="auto"/>
        <w:bottom w:val="none" w:sz="0" w:space="0" w:color="auto"/>
        <w:right w:val="none" w:sz="0" w:space="0" w:color="auto"/>
      </w:divBdr>
    </w:div>
    <w:div w:id="1509099047">
      <w:bodyDiv w:val="1"/>
      <w:marLeft w:val="0"/>
      <w:marRight w:val="0"/>
      <w:marTop w:val="0"/>
      <w:marBottom w:val="0"/>
      <w:divBdr>
        <w:top w:val="none" w:sz="0" w:space="0" w:color="auto"/>
        <w:left w:val="none" w:sz="0" w:space="0" w:color="auto"/>
        <w:bottom w:val="none" w:sz="0" w:space="0" w:color="auto"/>
        <w:right w:val="none" w:sz="0" w:space="0" w:color="auto"/>
      </w:divBdr>
    </w:div>
    <w:div w:id="1526943379">
      <w:bodyDiv w:val="1"/>
      <w:marLeft w:val="0"/>
      <w:marRight w:val="0"/>
      <w:marTop w:val="0"/>
      <w:marBottom w:val="0"/>
      <w:divBdr>
        <w:top w:val="none" w:sz="0" w:space="0" w:color="auto"/>
        <w:left w:val="none" w:sz="0" w:space="0" w:color="auto"/>
        <w:bottom w:val="none" w:sz="0" w:space="0" w:color="auto"/>
        <w:right w:val="none" w:sz="0" w:space="0" w:color="auto"/>
      </w:divBdr>
    </w:div>
    <w:div w:id="1528373799">
      <w:bodyDiv w:val="1"/>
      <w:marLeft w:val="0"/>
      <w:marRight w:val="0"/>
      <w:marTop w:val="0"/>
      <w:marBottom w:val="0"/>
      <w:divBdr>
        <w:top w:val="none" w:sz="0" w:space="0" w:color="auto"/>
        <w:left w:val="none" w:sz="0" w:space="0" w:color="auto"/>
        <w:bottom w:val="none" w:sz="0" w:space="0" w:color="auto"/>
        <w:right w:val="none" w:sz="0" w:space="0" w:color="auto"/>
      </w:divBdr>
    </w:div>
    <w:div w:id="1542933376">
      <w:bodyDiv w:val="1"/>
      <w:marLeft w:val="0"/>
      <w:marRight w:val="0"/>
      <w:marTop w:val="0"/>
      <w:marBottom w:val="0"/>
      <w:divBdr>
        <w:top w:val="none" w:sz="0" w:space="0" w:color="auto"/>
        <w:left w:val="none" w:sz="0" w:space="0" w:color="auto"/>
        <w:bottom w:val="none" w:sz="0" w:space="0" w:color="auto"/>
        <w:right w:val="none" w:sz="0" w:space="0" w:color="auto"/>
      </w:divBdr>
    </w:div>
    <w:div w:id="1555388504">
      <w:bodyDiv w:val="1"/>
      <w:marLeft w:val="0"/>
      <w:marRight w:val="0"/>
      <w:marTop w:val="0"/>
      <w:marBottom w:val="0"/>
      <w:divBdr>
        <w:top w:val="none" w:sz="0" w:space="0" w:color="auto"/>
        <w:left w:val="none" w:sz="0" w:space="0" w:color="auto"/>
        <w:bottom w:val="none" w:sz="0" w:space="0" w:color="auto"/>
        <w:right w:val="none" w:sz="0" w:space="0" w:color="auto"/>
      </w:divBdr>
    </w:div>
    <w:div w:id="1557660232">
      <w:bodyDiv w:val="1"/>
      <w:marLeft w:val="0"/>
      <w:marRight w:val="0"/>
      <w:marTop w:val="0"/>
      <w:marBottom w:val="0"/>
      <w:divBdr>
        <w:top w:val="none" w:sz="0" w:space="0" w:color="auto"/>
        <w:left w:val="none" w:sz="0" w:space="0" w:color="auto"/>
        <w:bottom w:val="none" w:sz="0" w:space="0" w:color="auto"/>
        <w:right w:val="none" w:sz="0" w:space="0" w:color="auto"/>
      </w:divBdr>
    </w:div>
    <w:div w:id="1568416659">
      <w:bodyDiv w:val="1"/>
      <w:marLeft w:val="0"/>
      <w:marRight w:val="0"/>
      <w:marTop w:val="0"/>
      <w:marBottom w:val="0"/>
      <w:divBdr>
        <w:top w:val="none" w:sz="0" w:space="0" w:color="auto"/>
        <w:left w:val="none" w:sz="0" w:space="0" w:color="auto"/>
        <w:bottom w:val="none" w:sz="0" w:space="0" w:color="auto"/>
        <w:right w:val="none" w:sz="0" w:space="0" w:color="auto"/>
      </w:divBdr>
    </w:div>
    <w:div w:id="1573083862">
      <w:bodyDiv w:val="1"/>
      <w:marLeft w:val="0"/>
      <w:marRight w:val="0"/>
      <w:marTop w:val="0"/>
      <w:marBottom w:val="0"/>
      <w:divBdr>
        <w:top w:val="none" w:sz="0" w:space="0" w:color="auto"/>
        <w:left w:val="none" w:sz="0" w:space="0" w:color="auto"/>
        <w:bottom w:val="none" w:sz="0" w:space="0" w:color="auto"/>
        <w:right w:val="none" w:sz="0" w:space="0" w:color="auto"/>
      </w:divBdr>
    </w:div>
    <w:div w:id="1588540282">
      <w:bodyDiv w:val="1"/>
      <w:marLeft w:val="0"/>
      <w:marRight w:val="0"/>
      <w:marTop w:val="0"/>
      <w:marBottom w:val="0"/>
      <w:divBdr>
        <w:top w:val="none" w:sz="0" w:space="0" w:color="auto"/>
        <w:left w:val="none" w:sz="0" w:space="0" w:color="auto"/>
        <w:bottom w:val="none" w:sz="0" w:space="0" w:color="auto"/>
        <w:right w:val="none" w:sz="0" w:space="0" w:color="auto"/>
      </w:divBdr>
    </w:div>
    <w:div w:id="1624118774">
      <w:bodyDiv w:val="1"/>
      <w:marLeft w:val="0"/>
      <w:marRight w:val="0"/>
      <w:marTop w:val="0"/>
      <w:marBottom w:val="0"/>
      <w:divBdr>
        <w:top w:val="none" w:sz="0" w:space="0" w:color="auto"/>
        <w:left w:val="none" w:sz="0" w:space="0" w:color="auto"/>
        <w:bottom w:val="none" w:sz="0" w:space="0" w:color="auto"/>
        <w:right w:val="none" w:sz="0" w:space="0" w:color="auto"/>
      </w:divBdr>
    </w:div>
    <w:div w:id="1628663221">
      <w:bodyDiv w:val="1"/>
      <w:marLeft w:val="0"/>
      <w:marRight w:val="0"/>
      <w:marTop w:val="0"/>
      <w:marBottom w:val="0"/>
      <w:divBdr>
        <w:top w:val="none" w:sz="0" w:space="0" w:color="auto"/>
        <w:left w:val="none" w:sz="0" w:space="0" w:color="auto"/>
        <w:bottom w:val="none" w:sz="0" w:space="0" w:color="auto"/>
        <w:right w:val="none" w:sz="0" w:space="0" w:color="auto"/>
      </w:divBdr>
    </w:div>
    <w:div w:id="1637639781">
      <w:bodyDiv w:val="1"/>
      <w:marLeft w:val="0"/>
      <w:marRight w:val="0"/>
      <w:marTop w:val="0"/>
      <w:marBottom w:val="0"/>
      <w:divBdr>
        <w:top w:val="none" w:sz="0" w:space="0" w:color="auto"/>
        <w:left w:val="none" w:sz="0" w:space="0" w:color="auto"/>
        <w:bottom w:val="none" w:sz="0" w:space="0" w:color="auto"/>
        <w:right w:val="none" w:sz="0" w:space="0" w:color="auto"/>
      </w:divBdr>
    </w:div>
    <w:div w:id="1680229253">
      <w:bodyDiv w:val="1"/>
      <w:marLeft w:val="0"/>
      <w:marRight w:val="0"/>
      <w:marTop w:val="0"/>
      <w:marBottom w:val="0"/>
      <w:divBdr>
        <w:top w:val="none" w:sz="0" w:space="0" w:color="auto"/>
        <w:left w:val="none" w:sz="0" w:space="0" w:color="auto"/>
        <w:bottom w:val="none" w:sz="0" w:space="0" w:color="auto"/>
        <w:right w:val="none" w:sz="0" w:space="0" w:color="auto"/>
      </w:divBdr>
    </w:div>
    <w:div w:id="1713264630">
      <w:bodyDiv w:val="1"/>
      <w:marLeft w:val="0"/>
      <w:marRight w:val="0"/>
      <w:marTop w:val="0"/>
      <w:marBottom w:val="0"/>
      <w:divBdr>
        <w:top w:val="none" w:sz="0" w:space="0" w:color="auto"/>
        <w:left w:val="none" w:sz="0" w:space="0" w:color="auto"/>
        <w:bottom w:val="none" w:sz="0" w:space="0" w:color="auto"/>
        <w:right w:val="none" w:sz="0" w:space="0" w:color="auto"/>
      </w:divBdr>
    </w:div>
    <w:div w:id="1730376259">
      <w:bodyDiv w:val="1"/>
      <w:marLeft w:val="0"/>
      <w:marRight w:val="0"/>
      <w:marTop w:val="0"/>
      <w:marBottom w:val="0"/>
      <w:divBdr>
        <w:top w:val="none" w:sz="0" w:space="0" w:color="auto"/>
        <w:left w:val="none" w:sz="0" w:space="0" w:color="auto"/>
        <w:bottom w:val="none" w:sz="0" w:space="0" w:color="auto"/>
        <w:right w:val="none" w:sz="0" w:space="0" w:color="auto"/>
      </w:divBdr>
    </w:div>
    <w:div w:id="1737127685">
      <w:bodyDiv w:val="1"/>
      <w:marLeft w:val="0"/>
      <w:marRight w:val="0"/>
      <w:marTop w:val="0"/>
      <w:marBottom w:val="0"/>
      <w:divBdr>
        <w:top w:val="none" w:sz="0" w:space="0" w:color="auto"/>
        <w:left w:val="none" w:sz="0" w:space="0" w:color="auto"/>
        <w:bottom w:val="none" w:sz="0" w:space="0" w:color="auto"/>
        <w:right w:val="none" w:sz="0" w:space="0" w:color="auto"/>
      </w:divBdr>
    </w:div>
    <w:div w:id="1797722753">
      <w:bodyDiv w:val="1"/>
      <w:marLeft w:val="0"/>
      <w:marRight w:val="0"/>
      <w:marTop w:val="0"/>
      <w:marBottom w:val="0"/>
      <w:divBdr>
        <w:top w:val="none" w:sz="0" w:space="0" w:color="auto"/>
        <w:left w:val="none" w:sz="0" w:space="0" w:color="auto"/>
        <w:bottom w:val="none" w:sz="0" w:space="0" w:color="auto"/>
        <w:right w:val="none" w:sz="0" w:space="0" w:color="auto"/>
      </w:divBdr>
    </w:div>
    <w:div w:id="1798209438">
      <w:bodyDiv w:val="1"/>
      <w:marLeft w:val="0"/>
      <w:marRight w:val="0"/>
      <w:marTop w:val="0"/>
      <w:marBottom w:val="0"/>
      <w:divBdr>
        <w:top w:val="none" w:sz="0" w:space="0" w:color="auto"/>
        <w:left w:val="none" w:sz="0" w:space="0" w:color="auto"/>
        <w:bottom w:val="none" w:sz="0" w:space="0" w:color="auto"/>
        <w:right w:val="none" w:sz="0" w:space="0" w:color="auto"/>
      </w:divBdr>
    </w:div>
    <w:div w:id="1825508803">
      <w:bodyDiv w:val="1"/>
      <w:marLeft w:val="0"/>
      <w:marRight w:val="0"/>
      <w:marTop w:val="0"/>
      <w:marBottom w:val="0"/>
      <w:divBdr>
        <w:top w:val="none" w:sz="0" w:space="0" w:color="auto"/>
        <w:left w:val="none" w:sz="0" w:space="0" w:color="auto"/>
        <w:bottom w:val="none" w:sz="0" w:space="0" w:color="auto"/>
        <w:right w:val="none" w:sz="0" w:space="0" w:color="auto"/>
      </w:divBdr>
    </w:div>
    <w:div w:id="1833334263">
      <w:bodyDiv w:val="1"/>
      <w:marLeft w:val="0"/>
      <w:marRight w:val="0"/>
      <w:marTop w:val="0"/>
      <w:marBottom w:val="0"/>
      <w:divBdr>
        <w:top w:val="none" w:sz="0" w:space="0" w:color="auto"/>
        <w:left w:val="none" w:sz="0" w:space="0" w:color="auto"/>
        <w:bottom w:val="none" w:sz="0" w:space="0" w:color="auto"/>
        <w:right w:val="none" w:sz="0" w:space="0" w:color="auto"/>
      </w:divBdr>
    </w:div>
    <w:div w:id="1843353677">
      <w:bodyDiv w:val="1"/>
      <w:marLeft w:val="0"/>
      <w:marRight w:val="0"/>
      <w:marTop w:val="0"/>
      <w:marBottom w:val="0"/>
      <w:divBdr>
        <w:top w:val="none" w:sz="0" w:space="0" w:color="auto"/>
        <w:left w:val="none" w:sz="0" w:space="0" w:color="auto"/>
        <w:bottom w:val="none" w:sz="0" w:space="0" w:color="auto"/>
        <w:right w:val="none" w:sz="0" w:space="0" w:color="auto"/>
      </w:divBdr>
    </w:div>
    <w:div w:id="1852455540">
      <w:bodyDiv w:val="1"/>
      <w:marLeft w:val="0"/>
      <w:marRight w:val="0"/>
      <w:marTop w:val="0"/>
      <w:marBottom w:val="0"/>
      <w:divBdr>
        <w:top w:val="none" w:sz="0" w:space="0" w:color="auto"/>
        <w:left w:val="none" w:sz="0" w:space="0" w:color="auto"/>
        <w:bottom w:val="none" w:sz="0" w:space="0" w:color="auto"/>
        <w:right w:val="none" w:sz="0" w:space="0" w:color="auto"/>
      </w:divBdr>
    </w:div>
    <w:div w:id="1857772747">
      <w:bodyDiv w:val="1"/>
      <w:marLeft w:val="0"/>
      <w:marRight w:val="0"/>
      <w:marTop w:val="0"/>
      <w:marBottom w:val="0"/>
      <w:divBdr>
        <w:top w:val="none" w:sz="0" w:space="0" w:color="auto"/>
        <w:left w:val="none" w:sz="0" w:space="0" w:color="auto"/>
        <w:bottom w:val="none" w:sz="0" w:space="0" w:color="auto"/>
        <w:right w:val="none" w:sz="0" w:space="0" w:color="auto"/>
      </w:divBdr>
    </w:div>
    <w:div w:id="1869635305">
      <w:bodyDiv w:val="1"/>
      <w:marLeft w:val="0"/>
      <w:marRight w:val="0"/>
      <w:marTop w:val="0"/>
      <w:marBottom w:val="0"/>
      <w:divBdr>
        <w:top w:val="none" w:sz="0" w:space="0" w:color="auto"/>
        <w:left w:val="none" w:sz="0" w:space="0" w:color="auto"/>
        <w:bottom w:val="none" w:sz="0" w:space="0" w:color="auto"/>
        <w:right w:val="none" w:sz="0" w:space="0" w:color="auto"/>
      </w:divBdr>
    </w:div>
    <w:div w:id="1871988320">
      <w:bodyDiv w:val="1"/>
      <w:marLeft w:val="0"/>
      <w:marRight w:val="0"/>
      <w:marTop w:val="0"/>
      <w:marBottom w:val="0"/>
      <w:divBdr>
        <w:top w:val="none" w:sz="0" w:space="0" w:color="auto"/>
        <w:left w:val="none" w:sz="0" w:space="0" w:color="auto"/>
        <w:bottom w:val="none" w:sz="0" w:space="0" w:color="auto"/>
        <w:right w:val="none" w:sz="0" w:space="0" w:color="auto"/>
      </w:divBdr>
    </w:div>
    <w:div w:id="1895235644">
      <w:bodyDiv w:val="1"/>
      <w:marLeft w:val="0"/>
      <w:marRight w:val="0"/>
      <w:marTop w:val="0"/>
      <w:marBottom w:val="0"/>
      <w:divBdr>
        <w:top w:val="none" w:sz="0" w:space="0" w:color="auto"/>
        <w:left w:val="none" w:sz="0" w:space="0" w:color="auto"/>
        <w:bottom w:val="none" w:sz="0" w:space="0" w:color="auto"/>
        <w:right w:val="none" w:sz="0" w:space="0" w:color="auto"/>
      </w:divBdr>
    </w:div>
    <w:div w:id="1942565455">
      <w:bodyDiv w:val="1"/>
      <w:marLeft w:val="0"/>
      <w:marRight w:val="0"/>
      <w:marTop w:val="0"/>
      <w:marBottom w:val="0"/>
      <w:divBdr>
        <w:top w:val="none" w:sz="0" w:space="0" w:color="auto"/>
        <w:left w:val="none" w:sz="0" w:space="0" w:color="auto"/>
        <w:bottom w:val="none" w:sz="0" w:space="0" w:color="auto"/>
        <w:right w:val="none" w:sz="0" w:space="0" w:color="auto"/>
      </w:divBdr>
    </w:div>
    <w:div w:id="1959874632">
      <w:bodyDiv w:val="1"/>
      <w:marLeft w:val="0"/>
      <w:marRight w:val="0"/>
      <w:marTop w:val="0"/>
      <w:marBottom w:val="0"/>
      <w:divBdr>
        <w:top w:val="none" w:sz="0" w:space="0" w:color="auto"/>
        <w:left w:val="none" w:sz="0" w:space="0" w:color="auto"/>
        <w:bottom w:val="none" w:sz="0" w:space="0" w:color="auto"/>
        <w:right w:val="none" w:sz="0" w:space="0" w:color="auto"/>
      </w:divBdr>
    </w:div>
    <w:div w:id="1969435823">
      <w:bodyDiv w:val="1"/>
      <w:marLeft w:val="0"/>
      <w:marRight w:val="0"/>
      <w:marTop w:val="0"/>
      <w:marBottom w:val="0"/>
      <w:divBdr>
        <w:top w:val="none" w:sz="0" w:space="0" w:color="auto"/>
        <w:left w:val="none" w:sz="0" w:space="0" w:color="auto"/>
        <w:bottom w:val="none" w:sz="0" w:space="0" w:color="auto"/>
        <w:right w:val="none" w:sz="0" w:space="0" w:color="auto"/>
      </w:divBdr>
    </w:div>
    <w:div w:id="1996182704">
      <w:bodyDiv w:val="1"/>
      <w:marLeft w:val="0"/>
      <w:marRight w:val="0"/>
      <w:marTop w:val="0"/>
      <w:marBottom w:val="0"/>
      <w:divBdr>
        <w:top w:val="none" w:sz="0" w:space="0" w:color="auto"/>
        <w:left w:val="none" w:sz="0" w:space="0" w:color="auto"/>
        <w:bottom w:val="none" w:sz="0" w:space="0" w:color="auto"/>
        <w:right w:val="none" w:sz="0" w:space="0" w:color="auto"/>
      </w:divBdr>
    </w:div>
    <w:div w:id="2008482342">
      <w:bodyDiv w:val="1"/>
      <w:marLeft w:val="0"/>
      <w:marRight w:val="0"/>
      <w:marTop w:val="0"/>
      <w:marBottom w:val="0"/>
      <w:divBdr>
        <w:top w:val="none" w:sz="0" w:space="0" w:color="auto"/>
        <w:left w:val="none" w:sz="0" w:space="0" w:color="auto"/>
        <w:bottom w:val="none" w:sz="0" w:space="0" w:color="auto"/>
        <w:right w:val="none" w:sz="0" w:space="0" w:color="auto"/>
      </w:divBdr>
    </w:div>
    <w:div w:id="2008633674">
      <w:bodyDiv w:val="1"/>
      <w:marLeft w:val="0"/>
      <w:marRight w:val="0"/>
      <w:marTop w:val="0"/>
      <w:marBottom w:val="0"/>
      <w:divBdr>
        <w:top w:val="none" w:sz="0" w:space="0" w:color="auto"/>
        <w:left w:val="none" w:sz="0" w:space="0" w:color="auto"/>
        <w:bottom w:val="none" w:sz="0" w:space="0" w:color="auto"/>
        <w:right w:val="none" w:sz="0" w:space="0" w:color="auto"/>
      </w:divBdr>
    </w:div>
    <w:div w:id="2014914274">
      <w:bodyDiv w:val="1"/>
      <w:marLeft w:val="0"/>
      <w:marRight w:val="0"/>
      <w:marTop w:val="0"/>
      <w:marBottom w:val="0"/>
      <w:divBdr>
        <w:top w:val="none" w:sz="0" w:space="0" w:color="auto"/>
        <w:left w:val="none" w:sz="0" w:space="0" w:color="auto"/>
        <w:bottom w:val="none" w:sz="0" w:space="0" w:color="auto"/>
        <w:right w:val="none" w:sz="0" w:space="0" w:color="auto"/>
      </w:divBdr>
    </w:div>
    <w:div w:id="2017533319">
      <w:bodyDiv w:val="1"/>
      <w:marLeft w:val="0"/>
      <w:marRight w:val="0"/>
      <w:marTop w:val="0"/>
      <w:marBottom w:val="0"/>
      <w:divBdr>
        <w:top w:val="none" w:sz="0" w:space="0" w:color="auto"/>
        <w:left w:val="none" w:sz="0" w:space="0" w:color="auto"/>
        <w:bottom w:val="none" w:sz="0" w:space="0" w:color="auto"/>
        <w:right w:val="none" w:sz="0" w:space="0" w:color="auto"/>
      </w:divBdr>
    </w:div>
    <w:div w:id="2036803386">
      <w:bodyDiv w:val="1"/>
      <w:marLeft w:val="0"/>
      <w:marRight w:val="0"/>
      <w:marTop w:val="0"/>
      <w:marBottom w:val="0"/>
      <w:divBdr>
        <w:top w:val="none" w:sz="0" w:space="0" w:color="auto"/>
        <w:left w:val="none" w:sz="0" w:space="0" w:color="auto"/>
        <w:bottom w:val="none" w:sz="0" w:space="0" w:color="auto"/>
        <w:right w:val="none" w:sz="0" w:space="0" w:color="auto"/>
      </w:divBdr>
    </w:div>
    <w:div w:id="2047831762">
      <w:bodyDiv w:val="1"/>
      <w:marLeft w:val="0"/>
      <w:marRight w:val="0"/>
      <w:marTop w:val="0"/>
      <w:marBottom w:val="0"/>
      <w:divBdr>
        <w:top w:val="none" w:sz="0" w:space="0" w:color="auto"/>
        <w:left w:val="none" w:sz="0" w:space="0" w:color="auto"/>
        <w:bottom w:val="none" w:sz="0" w:space="0" w:color="auto"/>
        <w:right w:val="none" w:sz="0" w:space="0" w:color="auto"/>
      </w:divBdr>
    </w:div>
    <w:div w:id="2048604265">
      <w:bodyDiv w:val="1"/>
      <w:marLeft w:val="0"/>
      <w:marRight w:val="0"/>
      <w:marTop w:val="0"/>
      <w:marBottom w:val="0"/>
      <w:divBdr>
        <w:top w:val="none" w:sz="0" w:space="0" w:color="auto"/>
        <w:left w:val="none" w:sz="0" w:space="0" w:color="auto"/>
        <w:bottom w:val="none" w:sz="0" w:space="0" w:color="auto"/>
        <w:right w:val="none" w:sz="0" w:space="0" w:color="auto"/>
      </w:divBdr>
    </w:div>
    <w:div w:id="2058773213">
      <w:bodyDiv w:val="1"/>
      <w:marLeft w:val="0"/>
      <w:marRight w:val="0"/>
      <w:marTop w:val="0"/>
      <w:marBottom w:val="0"/>
      <w:divBdr>
        <w:top w:val="none" w:sz="0" w:space="0" w:color="auto"/>
        <w:left w:val="none" w:sz="0" w:space="0" w:color="auto"/>
        <w:bottom w:val="none" w:sz="0" w:space="0" w:color="auto"/>
        <w:right w:val="none" w:sz="0" w:space="0" w:color="auto"/>
      </w:divBdr>
    </w:div>
    <w:div w:id="2064979473">
      <w:bodyDiv w:val="1"/>
      <w:marLeft w:val="0"/>
      <w:marRight w:val="0"/>
      <w:marTop w:val="0"/>
      <w:marBottom w:val="0"/>
      <w:divBdr>
        <w:top w:val="none" w:sz="0" w:space="0" w:color="auto"/>
        <w:left w:val="none" w:sz="0" w:space="0" w:color="auto"/>
        <w:bottom w:val="none" w:sz="0" w:space="0" w:color="auto"/>
        <w:right w:val="none" w:sz="0" w:space="0" w:color="auto"/>
      </w:divBdr>
    </w:div>
    <w:div w:id="2073577725">
      <w:bodyDiv w:val="1"/>
      <w:marLeft w:val="0"/>
      <w:marRight w:val="0"/>
      <w:marTop w:val="0"/>
      <w:marBottom w:val="0"/>
      <w:divBdr>
        <w:top w:val="none" w:sz="0" w:space="0" w:color="auto"/>
        <w:left w:val="none" w:sz="0" w:space="0" w:color="auto"/>
        <w:bottom w:val="none" w:sz="0" w:space="0" w:color="auto"/>
        <w:right w:val="none" w:sz="0" w:space="0" w:color="auto"/>
      </w:divBdr>
    </w:div>
    <w:div w:id="2079478792">
      <w:bodyDiv w:val="1"/>
      <w:marLeft w:val="0"/>
      <w:marRight w:val="0"/>
      <w:marTop w:val="0"/>
      <w:marBottom w:val="0"/>
      <w:divBdr>
        <w:top w:val="none" w:sz="0" w:space="0" w:color="auto"/>
        <w:left w:val="none" w:sz="0" w:space="0" w:color="auto"/>
        <w:bottom w:val="none" w:sz="0" w:space="0" w:color="auto"/>
        <w:right w:val="none" w:sz="0" w:space="0" w:color="auto"/>
      </w:divBdr>
    </w:div>
    <w:div w:id="2085881080">
      <w:bodyDiv w:val="1"/>
      <w:marLeft w:val="0"/>
      <w:marRight w:val="0"/>
      <w:marTop w:val="0"/>
      <w:marBottom w:val="0"/>
      <w:divBdr>
        <w:top w:val="none" w:sz="0" w:space="0" w:color="auto"/>
        <w:left w:val="none" w:sz="0" w:space="0" w:color="auto"/>
        <w:bottom w:val="none" w:sz="0" w:space="0" w:color="auto"/>
        <w:right w:val="none" w:sz="0" w:space="0" w:color="auto"/>
      </w:divBdr>
    </w:div>
    <w:div w:id="2108958749">
      <w:bodyDiv w:val="1"/>
      <w:marLeft w:val="0"/>
      <w:marRight w:val="0"/>
      <w:marTop w:val="0"/>
      <w:marBottom w:val="0"/>
      <w:divBdr>
        <w:top w:val="none" w:sz="0" w:space="0" w:color="auto"/>
        <w:left w:val="none" w:sz="0" w:space="0" w:color="auto"/>
        <w:bottom w:val="none" w:sz="0" w:space="0" w:color="auto"/>
        <w:right w:val="none" w:sz="0" w:space="0" w:color="auto"/>
      </w:divBdr>
    </w:div>
    <w:div w:id="2115636152">
      <w:bodyDiv w:val="1"/>
      <w:marLeft w:val="0"/>
      <w:marRight w:val="0"/>
      <w:marTop w:val="0"/>
      <w:marBottom w:val="0"/>
      <w:divBdr>
        <w:top w:val="none" w:sz="0" w:space="0" w:color="auto"/>
        <w:left w:val="none" w:sz="0" w:space="0" w:color="auto"/>
        <w:bottom w:val="none" w:sz="0" w:space="0" w:color="auto"/>
        <w:right w:val="none" w:sz="0" w:space="0" w:color="auto"/>
      </w:divBdr>
    </w:div>
    <w:div w:id="2118135605">
      <w:bodyDiv w:val="1"/>
      <w:marLeft w:val="0"/>
      <w:marRight w:val="0"/>
      <w:marTop w:val="0"/>
      <w:marBottom w:val="0"/>
      <w:divBdr>
        <w:top w:val="none" w:sz="0" w:space="0" w:color="auto"/>
        <w:left w:val="none" w:sz="0" w:space="0" w:color="auto"/>
        <w:bottom w:val="none" w:sz="0" w:space="0" w:color="auto"/>
        <w:right w:val="none" w:sz="0" w:space="0" w:color="auto"/>
      </w:divBdr>
    </w:div>
    <w:div w:id="2126583690">
      <w:bodyDiv w:val="1"/>
      <w:marLeft w:val="0"/>
      <w:marRight w:val="0"/>
      <w:marTop w:val="0"/>
      <w:marBottom w:val="0"/>
      <w:divBdr>
        <w:top w:val="none" w:sz="0" w:space="0" w:color="auto"/>
        <w:left w:val="none" w:sz="0" w:space="0" w:color="auto"/>
        <w:bottom w:val="none" w:sz="0" w:space="0" w:color="auto"/>
        <w:right w:val="none" w:sz="0" w:space="0" w:color="auto"/>
      </w:divBdr>
    </w:div>
    <w:div w:id="2136018606">
      <w:bodyDiv w:val="1"/>
      <w:marLeft w:val="0"/>
      <w:marRight w:val="0"/>
      <w:marTop w:val="0"/>
      <w:marBottom w:val="0"/>
      <w:divBdr>
        <w:top w:val="none" w:sz="0" w:space="0" w:color="auto"/>
        <w:left w:val="none" w:sz="0" w:space="0" w:color="auto"/>
        <w:bottom w:val="none" w:sz="0" w:space="0" w:color="auto"/>
        <w:right w:val="none" w:sz="0" w:space="0" w:color="auto"/>
      </w:divBdr>
    </w:div>
    <w:div w:id="2136293186">
      <w:bodyDiv w:val="1"/>
      <w:marLeft w:val="0"/>
      <w:marRight w:val="0"/>
      <w:marTop w:val="0"/>
      <w:marBottom w:val="0"/>
      <w:divBdr>
        <w:top w:val="none" w:sz="0" w:space="0" w:color="auto"/>
        <w:left w:val="none" w:sz="0" w:space="0" w:color="auto"/>
        <w:bottom w:val="none" w:sz="0" w:space="0" w:color="auto"/>
        <w:right w:val="none" w:sz="0" w:space="0" w:color="auto"/>
      </w:divBdr>
    </w:div>
    <w:div w:id="2138720692">
      <w:bodyDiv w:val="1"/>
      <w:marLeft w:val="0"/>
      <w:marRight w:val="0"/>
      <w:marTop w:val="0"/>
      <w:marBottom w:val="0"/>
      <w:divBdr>
        <w:top w:val="none" w:sz="0" w:space="0" w:color="auto"/>
        <w:left w:val="none" w:sz="0" w:space="0" w:color="auto"/>
        <w:bottom w:val="none" w:sz="0" w:space="0" w:color="auto"/>
        <w:right w:val="none" w:sz="0" w:space="0" w:color="auto"/>
      </w:divBdr>
    </w:div>
    <w:div w:id="213944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eas.repec.org/s/wbk/wbrwp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D153F2798205B4AB0DD94D3A1A117BA" ma:contentTypeVersion="0" ma:contentTypeDescription="A content type to manage public (operations) IDB documents" ma:contentTypeScope="" ma:versionID="b93073c98ecd8920435fbc2ad4796732">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39714929</IDBDocs_x0020_Number>
    <Document_x0020_Author xmlns="9c571b2f-e523-4ab2-ba2e-09e151a03ef4">Ibarraran, Pablo</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JA-L1053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Whole&lt;/APPROVAL_DESC&gt;&lt;PD_OBJ_TYPE&gt;0&lt;/PD_OBJ_TYPE&gt;&lt;DTAPPROVAL&gt;Oct 21 2015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PR-4326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C1214589-E026-4A4A-AD0A-A5C1AAF02004}"/>
</file>

<file path=customXml/itemProps2.xml><?xml version="1.0" encoding="utf-8"?>
<ds:datastoreItem xmlns:ds="http://schemas.openxmlformats.org/officeDocument/2006/customXml" ds:itemID="{85B20224-05C5-4450-92A2-6E1FBC07B4C5}"/>
</file>

<file path=customXml/itemProps3.xml><?xml version="1.0" encoding="utf-8"?>
<ds:datastoreItem xmlns:ds="http://schemas.openxmlformats.org/officeDocument/2006/customXml" ds:itemID="{50AEFA53-AAA0-4627-93FA-3744414342AA}"/>
</file>

<file path=customXml/itemProps4.xml><?xml version="1.0" encoding="utf-8"?>
<ds:datastoreItem xmlns:ds="http://schemas.openxmlformats.org/officeDocument/2006/customXml" ds:itemID="{EFA640A2-99CA-4DE9-AD01-25658AF3A3D3}"/>
</file>

<file path=customXml/itemProps5.xml><?xml version="1.0" encoding="utf-8"?>
<ds:datastoreItem xmlns:ds="http://schemas.openxmlformats.org/officeDocument/2006/customXml" ds:itemID="{9FE9A16E-0504-41A4-B52A-5E22004222FF}"/>
</file>

<file path=customXml/itemProps6.xml><?xml version="1.0" encoding="utf-8"?>
<ds:datastoreItem xmlns:ds="http://schemas.openxmlformats.org/officeDocument/2006/customXml" ds:itemID="{2304CEC8-8BCF-45BF-B119-6FBB82125DE0}"/>
</file>

<file path=docProps/app.xml><?xml version="1.0" encoding="utf-8"?>
<Properties xmlns="http://schemas.openxmlformats.org/officeDocument/2006/extended-properties" xmlns:vt="http://schemas.openxmlformats.org/officeDocument/2006/docPropsVTypes">
  <Template>Normal.dotm</Template>
  <TotalTime>42</TotalTime>
  <Pages>17</Pages>
  <Words>5974</Words>
  <Characters>34058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39953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link - Cost-Benefit Analysis</dc:title>
  <dc:creator>User</dc:creator>
  <cp:lastModifiedBy>Inter-American Development Bank</cp:lastModifiedBy>
  <cp:revision>9</cp:revision>
  <cp:lastPrinted>2015-06-23T15:20:00Z</cp:lastPrinted>
  <dcterms:created xsi:type="dcterms:W3CDTF">2015-07-08T00:23:00Z</dcterms:created>
  <dcterms:modified xsi:type="dcterms:W3CDTF">2015-07-17T12:25:00Z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0x01010046CF21643EE8D14686A648AA6DAD0892005D153F2798205B4AB0DD94D3A1A117BA</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