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5B31" w:rsidRPr="0006088F" w:rsidRDefault="00AE5B31" w:rsidP="00AE5B31">
      <w:pPr>
        <w:pStyle w:val="Title"/>
        <w:tabs>
          <w:tab w:val="clear" w:pos="1440"/>
          <w:tab w:val="clear" w:pos="3060"/>
        </w:tabs>
        <w:outlineLvl w:val="9"/>
        <w:rPr>
          <w:smallCaps/>
          <w:sz w:val="28"/>
          <w:szCs w:val="28"/>
          <w:lang w:val="es-ES"/>
        </w:rPr>
      </w:pPr>
      <w:bookmarkStart w:id="0" w:name="_GoBack"/>
      <w:bookmarkEnd w:id="0"/>
      <w:r w:rsidRPr="0006088F">
        <w:rPr>
          <w:smallCaps/>
          <w:sz w:val="28"/>
          <w:szCs w:val="28"/>
          <w:lang w:val="es-ES"/>
        </w:rPr>
        <w:t>Banco Interamericano de Desarrollo</w:t>
      </w:r>
    </w:p>
    <w:p w:rsidR="00AE5B31" w:rsidRPr="0006088F" w:rsidRDefault="00AE5B31" w:rsidP="00AE5B31">
      <w:pPr>
        <w:pStyle w:val="ListParagraph"/>
        <w:ind w:left="0"/>
        <w:jc w:val="center"/>
        <w:rPr>
          <w:b/>
          <w:sz w:val="28"/>
          <w:szCs w:val="28"/>
          <w:lang w:val="es-ES"/>
        </w:rPr>
      </w:pPr>
    </w:p>
    <w:p w:rsidR="00AE5B31" w:rsidRPr="004E793D" w:rsidRDefault="00AE5B31" w:rsidP="00AE5B31">
      <w:pPr>
        <w:tabs>
          <w:tab w:val="left" w:pos="1440"/>
          <w:tab w:val="left" w:pos="3060"/>
        </w:tabs>
        <w:jc w:val="center"/>
        <w:rPr>
          <w:b/>
          <w:smallCaps/>
          <w:sz w:val="32"/>
          <w:szCs w:val="32"/>
          <w:lang w:val="es-CR"/>
        </w:rPr>
      </w:pPr>
      <w:r>
        <w:rPr>
          <w:b/>
          <w:smallCaps/>
          <w:sz w:val="32"/>
          <w:szCs w:val="32"/>
        </w:rPr>
        <w:t>PANAM</w:t>
      </w:r>
      <w:r>
        <w:rPr>
          <w:b/>
          <w:smallCaps/>
          <w:sz w:val="32"/>
          <w:szCs w:val="32"/>
          <w:lang w:val="es-CR"/>
        </w:rPr>
        <w:t>Á</w:t>
      </w:r>
    </w:p>
    <w:p w:rsidR="00AE5B31" w:rsidRPr="0006088F" w:rsidRDefault="00AE5B31" w:rsidP="00AE5B31">
      <w:pPr>
        <w:tabs>
          <w:tab w:val="left" w:pos="1440"/>
          <w:tab w:val="left" w:pos="3060"/>
        </w:tabs>
        <w:jc w:val="center"/>
        <w:rPr>
          <w:b/>
          <w:smallCaps/>
          <w:sz w:val="28"/>
          <w:szCs w:val="28"/>
          <w:lang w:val="es-ES"/>
        </w:rPr>
      </w:pPr>
    </w:p>
    <w:p w:rsidR="00AE5B31" w:rsidRPr="0006088F" w:rsidRDefault="00AE5B31" w:rsidP="00AE5B31">
      <w:pPr>
        <w:tabs>
          <w:tab w:val="left" w:pos="1440"/>
          <w:tab w:val="left" w:pos="3060"/>
        </w:tabs>
        <w:jc w:val="center"/>
        <w:rPr>
          <w:b/>
          <w:smallCaps/>
          <w:szCs w:val="24"/>
          <w:lang w:val="es-ES"/>
        </w:rPr>
      </w:pPr>
    </w:p>
    <w:p w:rsidR="00AE5B31" w:rsidRPr="0006088F" w:rsidRDefault="00AE5B31" w:rsidP="00AE5B31">
      <w:pPr>
        <w:tabs>
          <w:tab w:val="left" w:pos="1440"/>
          <w:tab w:val="left" w:pos="3060"/>
        </w:tabs>
        <w:jc w:val="center"/>
        <w:rPr>
          <w:b/>
          <w:smallCaps/>
          <w:szCs w:val="24"/>
        </w:rPr>
      </w:pPr>
    </w:p>
    <w:p w:rsidR="00AE5B31" w:rsidRPr="0006088F" w:rsidRDefault="00AE5B31" w:rsidP="00AE5B31">
      <w:pPr>
        <w:tabs>
          <w:tab w:val="left" w:pos="1440"/>
          <w:tab w:val="left" w:pos="3060"/>
        </w:tabs>
        <w:jc w:val="center"/>
        <w:rPr>
          <w:b/>
          <w:smallCaps/>
          <w:szCs w:val="24"/>
        </w:rPr>
      </w:pPr>
    </w:p>
    <w:p w:rsidR="00AE5B31" w:rsidRPr="0006088F" w:rsidRDefault="00AE5B31" w:rsidP="00AE5B31">
      <w:pPr>
        <w:tabs>
          <w:tab w:val="left" w:pos="1440"/>
          <w:tab w:val="left" w:pos="3060"/>
        </w:tabs>
        <w:jc w:val="center"/>
        <w:rPr>
          <w:b/>
          <w:smallCaps/>
          <w:szCs w:val="24"/>
        </w:rPr>
      </w:pPr>
    </w:p>
    <w:p w:rsidR="00AE5B31" w:rsidRPr="0006088F" w:rsidRDefault="00AE5B31" w:rsidP="00AE5B31">
      <w:pPr>
        <w:tabs>
          <w:tab w:val="left" w:pos="1440"/>
          <w:tab w:val="left" w:pos="3060"/>
        </w:tabs>
        <w:jc w:val="center"/>
        <w:rPr>
          <w:b/>
          <w:smallCaps/>
          <w:szCs w:val="24"/>
        </w:rPr>
      </w:pPr>
    </w:p>
    <w:p w:rsidR="00AE5B31" w:rsidRPr="0006088F" w:rsidRDefault="00AE5B31" w:rsidP="00AE5B31">
      <w:pPr>
        <w:tabs>
          <w:tab w:val="left" w:pos="1440"/>
          <w:tab w:val="left" w:pos="3060"/>
        </w:tabs>
        <w:jc w:val="center"/>
        <w:rPr>
          <w:b/>
          <w:smallCaps/>
          <w:szCs w:val="24"/>
        </w:rPr>
      </w:pPr>
    </w:p>
    <w:p w:rsidR="00AE5B31" w:rsidRPr="0006088F" w:rsidRDefault="00AE5B31" w:rsidP="00AE5B31">
      <w:pPr>
        <w:tabs>
          <w:tab w:val="left" w:pos="1440"/>
          <w:tab w:val="left" w:pos="3060"/>
        </w:tabs>
        <w:jc w:val="center"/>
        <w:rPr>
          <w:b/>
          <w:smallCaps/>
          <w:szCs w:val="24"/>
        </w:rPr>
      </w:pPr>
    </w:p>
    <w:p w:rsidR="00AE5B31" w:rsidRPr="0006088F" w:rsidRDefault="00AE5B31" w:rsidP="00AE5B31">
      <w:pPr>
        <w:tabs>
          <w:tab w:val="left" w:pos="1440"/>
          <w:tab w:val="left" w:pos="3060"/>
        </w:tabs>
        <w:jc w:val="center"/>
        <w:rPr>
          <w:b/>
          <w:smallCaps/>
          <w:szCs w:val="24"/>
        </w:rPr>
      </w:pPr>
    </w:p>
    <w:p w:rsidR="00AE5B31" w:rsidRPr="0006088F" w:rsidRDefault="00AE5B31" w:rsidP="00AE5B31">
      <w:pPr>
        <w:tabs>
          <w:tab w:val="left" w:pos="1440"/>
          <w:tab w:val="left" w:pos="3060"/>
        </w:tabs>
        <w:jc w:val="center"/>
        <w:rPr>
          <w:b/>
          <w:smallCaps/>
          <w:szCs w:val="24"/>
        </w:rPr>
      </w:pPr>
    </w:p>
    <w:p w:rsidR="00AE5B31" w:rsidRDefault="00AE5B31" w:rsidP="00AE5B31">
      <w:pPr>
        <w:tabs>
          <w:tab w:val="left" w:pos="1440"/>
          <w:tab w:val="left" w:pos="3060"/>
        </w:tabs>
        <w:jc w:val="center"/>
        <w:rPr>
          <w:b/>
          <w:smallCaps/>
          <w:szCs w:val="24"/>
        </w:rPr>
      </w:pPr>
    </w:p>
    <w:p w:rsidR="00AE5B31" w:rsidRPr="0006088F" w:rsidRDefault="00AE5B31" w:rsidP="00AE5B31">
      <w:pPr>
        <w:tabs>
          <w:tab w:val="left" w:pos="1440"/>
          <w:tab w:val="left" w:pos="3060"/>
        </w:tabs>
        <w:jc w:val="center"/>
        <w:rPr>
          <w:b/>
          <w:smallCaps/>
          <w:szCs w:val="24"/>
        </w:rPr>
      </w:pPr>
    </w:p>
    <w:p w:rsidR="00AE5B31" w:rsidRPr="0006088F" w:rsidRDefault="00AE5B31" w:rsidP="00AE5B31">
      <w:pPr>
        <w:tabs>
          <w:tab w:val="left" w:pos="1440"/>
          <w:tab w:val="left" w:pos="3060"/>
        </w:tabs>
        <w:jc w:val="center"/>
        <w:rPr>
          <w:b/>
          <w:smallCaps/>
          <w:szCs w:val="24"/>
        </w:rPr>
      </w:pPr>
    </w:p>
    <w:p w:rsidR="00AE5B31" w:rsidRPr="00B162B0" w:rsidRDefault="00AE5B31" w:rsidP="00AE5B31">
      <w:pPr>
        <w:tabs>
          <w:tab w:val="left" w:pos="1440"/>
          <w:tab w:val="left" w:pos="3060"/>
        </w:tabs>
        <w:jc w:val="center"/>
        <w:rPr>
          <w:b/>
          <w:smallCaps/>
          <w:sz w:val="28"/>
          <w:szCs w:val="28"/>
        </w:rPr>
      </w:pPr>
      <w:r w:rsidRPr="00B162B0">
        <w:rPr>
          <w:b/>
          <w:smallCaps/>
          <w:sz w:val="28"/>
          <w:szCs w:val="28"/>
        </w:rPr>
        <w:t>Consultoría para la realización del modelado de procesos, estimación de ahorros y evaluación económica, para los pasos de frontera terrestres de Nicaragua (peñas blancas y san pancho), costa rica (las tablillas) y panamá (paso canoas y guabito)</w:t>
      </w:r>
    </w:p>
    <w:p w:rsidR="00AE5B31" w:rsidRPr="0006088F" w:rsidRDefault="00AE5B31" w:rsidP="00AE5B31">
      <w:pPr>
        <w:tabs>
          <w:tab w:val="left" w:pos="1440"/>
          <w:tab w:val="left" w:pos="3060"/>
        </w:tabs>
        <w:jc w:val="center"/>
        <w:rPr>
          <w:b/>
          <w:smallCaps/>
          <w:szCs w:val="24"/>
        </w:rPr>
      </w:pPr>
    </w:p>
    <w:p w:rsidR="00AE5B31" w:rsidRPr="0006088F" w:rsidRDefault="00AE5B31" w:rsidP="00AE5B31">
      <w:pPr>
        <w:tabs>
          <w:tab w:val="left" w:pos="1440"/>
          <w:tab w:val="left" w:pos="3060"/>
        </w:tabs>
        <w:jc w:val="center"/>
        <w:rPr>
          <w:b/>
          <w:smallCaps/>
          <w:szCs w:val="24"/>
        </w:rPr>
      </w:pPr>
    </w:p>
    <w:p w:rsidR="00AE5B31" w:rsidRPr="0006088F" w:rsidRDefault="00AE5B31" w:rsidP="00AE5B31">
      <w:pPr>
        <w:tabs>
          <w:tab w:val="left" w:pos="1440"/>
          <w:tab w:val="left" w:pos="3060"/>
        </w:tabs>
        <w:jc w:val="center"/>
        <w:rPr>
          <w:b/>
          <w:smallCaps/>
          <w:szCs w:val="24"/>
        </w:rPr>
      </w:pPr>
    </w:p>
    <w:p w:rsidR="00AE5B31" w:rsidRPr="0006088F" w:rsidRDefault="00AE5B31" w:rsidP="00AE5B31">
      <w:pPr>
        <w:tabs>
          <w:tab w:val="left" w:pos="1440"/>
          <w:tab w:val="left" w:pos="3060"/>
        </w:tabs>
        <w:jc w:val="center"/>
        <w:rPr>
          <w:b/>
          <w:smallCaps/>
          <w:sz w:val="28"/>
          <w:szCs w:val="28"/>
        </w:rPr>
      </w:pPr>
      <w:r>
        <w:rPr>
          <w:b/>
          <w:smallCaps/>
          <w:sz w:val="28"/>
          <w:szCs w:val="28"/>
        </w:rPr>
        <w:t>Paso de Frontera Guabito</w:t>
      </w:r>
    </w:p>
    <w:p w:rsidR="00AE5B31" w:rsidRPr="0006088F" w:rsidRDefault="00AE5B31" w:rsidP="00AE5B31">
      <w:pPr>
        <w:tabs>
          <w:tab w:val="left" w:pos="1440"/>
          <w:tab w:val="left" w:pos="3060"/>
        </w:tabs>
        <w:jc w:val="center"/>
        <w:outlineLvl w:val="0"/>
        <w:rPr>
          <w:b/>
          <w:bCs/>
          <w:smallCaps/>
          <w:sz w:val="28"/>
          <w:szCs w:val="28"/>
        </w:rPr>
      </w:pPr>
    </w:p>
    <w:p w:rsidR="00AE5B31" w:rsidRPr="00A6559C" w:rsidRDefault="00AE5B31" w:rsidP="00AE5B31">
      <w:pPr>
        <w:jc w:val="center"/>
        <w:rPr>
          <w:b/>
          <w:sz w:val="28"/>
          <w:lang w:val="es-ES"/>
        </w:rPr>
      </w:pPr>
      <w:bookmarkStart w:id="1" w:name="_Toc393875470"/>
      <w:r w:rsidRPr="00A6559C">
        <w:rPr>
          <w:b/>
          <w:sz w:val="28"/>
          <w:lang w:val="es-ES"/>
        </w:rPr>
        <w:t>Anexo de Análisis Económico</w:t>
      </w:r>
      <w:bookmarkEnd w:id="1"/>
    </w:p>
    <w:p w:rsidR="00AE5B31" w:rsidRPr="0006088F" w:rsidRDefault="00AE5B31" w:rsidP="00AE5B31">
      <w:pPr>
        <w:tabs>
          <w:tab w:val="left" w:pos="1440"/>
          <w:tab w:val="left" w:pos="3060"/>
        </w:tabs>
        <w:outlineLvl w:val="0"/>
        <w:rPr>
          <w:b/>
          <w:smallCaps/>
          <w:szCs w:val="24"/>
          <w:lang w:val="es-ES"/>
        </w:rPr>
      </w:pPr>
    </w:p>
    <w:p w:rsidR="00AE5B31" w:rsidRDefault="00AE5B31" w:rsidP="00AE5B31">
      <w:pPr>
        <w:pStyle w:val="ListParagraph"/>
        <w:ind w:left="0"/>
        <w:jc w:val="center"/>
        <w:rPr>
          <w:b/>
          <w:szCs w:val="24"/>
          <w:lang w:val="es-ES"/>
        </w:rPr>
      </w:pPr>
    </w:p>
    <w:p w:rsidR="00AE5B31" w:rsidRPr="0006088F" w:rsidRDefault="00AE5B31" w:rsidP="00AE5B31">
      <w:pPr>
        <w:pStyle w:val="ListParagraph"/>
        <w:ind w:left="0"/>
        <w:jc w:val="center"/>
        <w:rPr>
          <w:b/>
          <w:szCs w:val="24"/>
          <w:lang w:val="es-ES"/>
        </w:rPr>
      </w:pPr>
    </w:p>
    <w:p w:rsidR="00AE5B31" w:rsidRPr="0006088F" w:rsidRDefault="00AE5B31" w:rsidP="00AE5B31">
      <w:pPr>
        <w:pStyle w:val="ListParagraph"/>
        <w:ind w:left="0"/>
        <w:jc w:val="center"/>
        <w:rPr>
          <w:b/>
          <w:szCs w:val="24"/>
          <w:lang w:val="es-ES"/>
        </w:rPr>
      </w:pPr>
      <w:r>
        <w:rPr>
          <w:b/>
          <w:szCs w:val="24"/>
          <w:lang w:val="es-ES"/>
        </w:rPr>
        <w:t>AGOSTO 2014</w:t>
      </w:r>
    </w:p>
    <w:p w:rsidR="00AE5B31" w:rsidRPr="0006088F" w:rsidRDefault="00AE5B31" w:rsidP="00AE5B31">
      <w:pPr>
        <w:pStyle w:val="ListParagraph"/>
        <w:ind w:left="0"/>
        <w:jc w:val="center"/>
        <w:rPr>
          <w:b/>
          <w:szCs w:val="24"/>
          <w:lang w:val="es-ES"/>
        </w:rPr>
      </w:pPr>
    </w:p>
    <w:p w:rsidR="00AE5B31" w:rsidRPr="0006088F" w:rsidRDefault="00AE5B31" w:rsidP="00AE5B31">
      <w:pPr>
        <w:pStyle w:val="ListParagraph"/>
        <w:ind w:left="0"/>
        <w:jc w:val="center"/>
        <w:rPr>
          <w:b/>
          <w:szCs w:val="24"/>
          <w:lang w:val="es-ES"/>
        </w:rPr>
      </w:pPr>
    </w:p>
    <w:p w:rsidR="00AE5B31" w:rsidRDefault="00AE5B31" w:rsidP="00AE5B31">
      <w:pPr>
        <w:pStyle w:val="ListParagraph"/>
        <w:ind w:left="0"/>
        <w:jc w:val="center"/>
        <w:rPr>
          <w:b/>
          <w:szCs w:val="24"/>
          <w:lang w:val="es-ES"/>
        </w:rPr>
      </w:pPr>
    </w:p>
    <w:p w:rsidR="00AE5B31" w:rsidRDefault="00AE5B31" w:rsidP="00AE5B31">
      <w:pPr>
        <w:pStyle w:val="ListParagraph"/>
        <w:ind w:left="0"/>
        <w:jc w:val="center"/>
        <w:rPr>
          <w:b/>
          <w:szCs w:val="24"/>
          <w:lang w:val="es-ES"/>
        </w:rPr>
      </w:pPr>
    </w:p>
    <w:p w:rsidR="00AE5B31" w:rsidRDefault="00AE5B31" w:rsidP="00AE5B31">
      <w:pPr>
        <w:pStyle w:val="ListParagraph"/>
        <w:ind w:left="0"/>
        <w:jc w:val="center"/>
        <w:rPr>
          <w:b/>
          <w:szCs w:val="24"/>
          <w:lang w:val="es-ES"/>
        </w:rPr>
      </w:pPr>
    </w:p>
    <w:p w:rsidR="00AE5B31" w:rsidRPr="00C60591" w:rsidRDefault="00AE5B31" w:rsidP="00AE5B31">
      <w:pPr>
        <w:tabs>
          <w:tab w:val="left" w:pos="1440"/>
          <w:tab w:val="left" w:pos="3060"/>
        </w:tabs>
        <w:jc w:val="center"/>
      </w:pPr>
    </w:p>
    <w:p w:rsidR="00AE5B31" w:rsidRPr="00FE6A09" w:rsidRDefault="00AE5B31" w:rsidP="00AE5B31">
      <w:pPr>
        <w:pStyle w:val="BodyText"/>
        <w:pBdr>
          <w:top w:val="single" w:sz="4" w:space="1" w:color="auto"/>
          <w:left w:val="single" w:sz="4" w:space="4" w:color="auto"/>
          <w:bottom w:val="single" w:sz="4" w:space="1" w:color="auto"/>
          <w:right w:val="single" w:sz="4" w:space="4" w:color="auto"/>
        </w:pBdr>
        <w:tabs>
          <w:tab w:val="left" w:pos="1440"/>
        </w:tabs>
        <w:jc w:val="both"/>
        <w:rPr>
          <w:sz w:val="22"/>
          <w:szCs w:val="22"/>
          <w:lang w:val="es-CR"/>
        </w:rPr>
      </w:pPr>
      <w:r w:rsidRPr="00FE6A09">
        <w:rPr>
          <w:sz w:val="22"/>
          <w:szCs w:val="22"/>
          <w:lang w:val="es-CR"/>
        </w:rPr>
        <w:t>Este document</w:t>
      </w:r>
      <w:r>
        <w:rPr>
          <w:sz w:val="22"/>
          <w:szCs w:val="22"/>
          <w:lang w:val="es-CR"/>
        </w:rPr>
        <w:t>o</w:t>
      </w:r>
      <w:r w:rsidRPr="00FE6A09">
        <w:rPr>
          <w:sz w:val="22"/>
          <w:szCs w:val="22"/>
          <w:lang w:val="es-CR"/>
        </w:rPr>
        <w:t xml:space="preserve"> fue preparado por:</w:t>
      </w:r>
      <w:r>
        <w:rPr>
          <w:sz w:val="22"/>
          <w:szCs w:val="22"/>
          <w:lang w:val="es-CR"/>
        </w:rPr>
        <w:t xml:space="preserve"> Federico Villalobos Carballo. Economista, MBA en Empresas del Sector de las Infraestructuras y Especialista Certificado en Alianzas Público Privadas para el Desarrollo de Proyectos de Infraestructura.</w:t>
      </w:r>
    </w:p>
    <w:p w:rsidR="00AE5B31" w:rsidRPr="00FE6A09" w:rsidRDefault="00AE5B31" w:rsidP="00AE5B31">
      <w:pPr>
        <w:pStyle w:val="BodyText"/>
        <w:pBdr>
          <w:top w:val="single" w:sz="4" w:space="1" w:color="auto"/>
          <w:left w:val="single" w:sz="4" w:space="4" w:color="auto"/>
          <w:bottom w:val="single" w:sz="4" w:space="1" w:color="auto"/>
          <w:right w:val="single" w:sz="4" w:space="4" w:color="auto"/>
        </w:pBdr>
        <w:tabs>
          <w:tab w:val="left" w:pos="1440"/>
        </w:tabs>
        <w:jc w:val="both"/>
        <w:rPr>
          <w:sz w:val="22"/>
          <w:szCs w:val="22"/>
          <w:lang w:val="es-CR"/>
        </w:rPr>
      </w:pPr>
      <w:r>
        <w:rPr>
          <w:noProof/>
          <w:sz w:val="22"/>
          <w:szCs w:val="22"/>
          <w:lang w:val="en-US"/>
        </w:rPr>
        <w:drawing>
          <wp:anchor distT="0" distB="0" distL="114300" distR="114300" simplePos="0" relativeHeight="251662336" behindDoc="0" locked="0" layoutInCell="1" allowOverlap="1" wp14:anchorId="0B20934A" wp14:editId="7BBF3D0B">
            <wp:simplePos x="0" y="0"/>
            <wp:positionH relativeFrom="margin">
              <wp:posOffset>3150870</wp:posOffset>
            </wp:positionH>
            <wp:positionV relativeFrom="paragraph">
              <wp:posOffset>114935</wp:posOffset>
            </wp:positionV>
            <wp:extent cx="2686050" cy="503634"/>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 GtECH.png"/>
                    <pic:cNvPicPr/>
                  </pic:nvPicPr>
                  <pic:blipFill>
                    <a:blip r:embed="rId8">
                      <a:extLst>
                        <a:ext uri="{28A0092B-C50C-407E-A947-70E740481C1C}">
                          <a14:useLocalDpi xmlns:a14="http://schemas.microsoft.com/office/drawing/2010/main" val="0"/>
                        </a:ext>
                      </a:extLst>
                    </a:blip>
                    <a:stretch>
                      <a:fillRect/>
                    </a:stretch>
                  </pic:blipFill>
                  <pic:spPr>
                    <a:xfrm>
                      <a:off x="0" y="0"/>
                      <a:ext cx="2686050" cy="503634"/>
                    </a:xfrm>
                    <a:prstGeom prst="rect">
                      <a:avLst/>
                    </a:prstGeom>
                  </pic:spPr>
                </pic:pic>
              </a:graphicData>
            </a:graphic>
          </wp:anchor>
        </w:drawing>
      </w:r>
    </w:p>
    <w:p w:rsidR="00AE5B31" w:rsidRPr="00FE6A09" w:rsidRDefault="00AE5B31" w:rsidP="00AE5B31">
      <w:pPr>
        <w:pStyle w:val="BodyText"/>
        <w:pBdr>
          <w:top w:val="single" w:sz="4" w:space="1" w:color="auto"/>
          <w:left w:val="single" w:sz="4" w:space="4" w:color="auto"/>
          <w:bottom w:val="single" w:sz="4" w:space="1" w:color="auto"/>
          <w:right w:val="single" w:sz="4" w:space="4" w:color="auto"/>
        </w:pBdr>
        <w:tabs>
          <w:tab w:val="left" w:pos="1440"/>
        </w:tabs>
        <w:jc w:val="both"/>
        <w:rPr>
          <w:sz w:val="22"/>
          <w:szCs w:val="22"/>
          <w:lang w:val="es-CR"/>
        </w:rPr>
      </w:pPr>
    </w:p>
    <w:p w:rsidR="00AE5B31" w:rsidRPr="00FE6A09" w:rsidRDefault="00AE5B31" w:rsidP="00AE5B31">
      <w:pPr>
        <w:pStyle w:val="BodyText"/>
        <w:pBdr>
          <w:top w:val="single" w:sz="4" w:space="1" w:color="auto"/>
          <w:left w:val="single" w:sz="4" w:space="4" w:color="auto"/>
          <w:bottom w:val="single" w:sz="4" w:space="1" w:color="auto"/>
          <w:right w:val="single" w:sz="4" w:space="4" w:color="auto"/>
        </w:pBdr>
        <w:tabs>
          <w:tab w:val="left" w:pos="1440"/>
        </w:tabs>
        <w:jc w:val="both"/>
        <w:rPr>
          <w:sz w:val="22"/>
          <w:szCs w:val="22"/>
          <w:lang w:val="es-CR"/>
        </w:rPr>
      </w:pPr>
    </w:p>
    <w:p w:rsidR="00AE5B31" w:rsidRPr="00FE6A09" w:rsidRDefault="00AE5B31" w:rsidP="00AE5B31">
      <w:pPr>
        <w:pStyle w:val="BodyText"/>
        <w:pBdr>
          <w:top w:val="single" w:sz="4" w:space="1" w:color="auto"/>
          <w:left w:val="single" w:sz="4" w:space="4" w:color="auto"/>
          <w:bottom w:val="single" w:sz="4" w:space="1" w:color="auto"/>
          <w:right w:val="single" w:sz="4" w:space="4" w:color="auto"/>
        </w:pBdr>
        <w:tabs>
          <w:tab w:val="left" w:pos="1440"/>
        </w:tabs>
        <w:jc w:val="both"/>
        <w:rPr>
          <w:b/>
          <w:sz w:val="22"/>
          <w:szCs w:val="22"/>
          <w:lang w:val="es-CR"/>
        </w:rPr>
      </w:pPr>
    </w:p>
    <w:sdt>
      <w:sdtPr>
        <w:rPr>
          <w:rFonts w:ascii="Times New Roman" w:eastAsia="Times New Roman" w:hAnsi="Times New Roman" w:cs="Times New Roman"/>
          <w:color w:val="auto"/>
          <w:sz w:val="24"/>
          <w:szCs w:val="20"/>
          <w:lang w:val="es-ES"/>
        </w:rPr>
        <w:id w:val="1796329483"/>
        <w:docPartObj>
          <w:docPartGallery w:val="Table of Contents"/>
          <w:docPartUnique/>
        </w:docPartObj>
      </w:sdtPr>
      <w:sdtEndPr>
        <w:rPr>
          <w:b/>
          <w:bCs/>
        </w:rPr>
      </w:sdtEndPr>
      <w:sdtContent>
        <w:p w:rsidR="00AE5B31" w:rsidRDefault="00AE5B31" w:rsidP="00AE5B31">
          <w:pPr>
            <w:pStyle w:val="TOCHeading"/>
            <w:jc w:val="center"/>
          </w:pPr>
          <w:r>
            <w:rPr>
              <w:lang w:val="es-ES"/>
            </w:rPr>
            <w:t>Índice</w:t>
          </w:r>
        </w:p>
        <w:p w:rsidR="00AE5B31" w:rsidRDefault="00AE5B31" w:rsidP="00AE5B31">
          <w:pPr>
            <w:pStyle w:val="TOC1"/>
            <w:tabs>
              <w:tab w:val="right" w:leader="dot" w:pos="9137"/>
            </w:tabs>
            <w:rPr>
              <w:rFonts w:asciiTheme="minorHAnsi" w:eastAsiaTheme="minorEastAsia" w:hAnsiTheme="minorHAnsi" w:cstheme="minorBidi"/>
              <w:noProof/>
              <w:sz w:val="22"/>
              <w:szCs w:val="22"/>
              <w:lang w:val="en-US"/>
            </w:rPr>
          </w:pPr>
          <w:r>
            <w:fldChar w:fldCharType="begin"/>
          </w:r>
          <w:r>
            <w:instrText xml:space="preserve"> TOC \o "1-3" \h \z \u </w:instrText>
          </w:r>
          <w:r>
            <w:fldChar w:fldCharType="separate"/>
          </w:r>
          <w:hyperlink w:anchor="_Toc428992890" w:history="1">
            <w:r w:rsidRPr="001E1310">
              <w:rPr>
                <w:rStyle w:val="Hyperlink"/>
                <w:rFonts w:ascii="Times New Roman" w:hAnsi="Times New Roman"/>
                <w:noProof/>
              </w:rPr>
              <w:t>Introducción</w:t>
            </w:r>
            <w:r>
              <w:rPr>
                <w:noProof/>
                <w:webHidden/>
              </w:rPr>
              <w:tab/>
            </w:r>
            <w:r>
              <w:rPr>
                <w:noProof/>
                <w:webHidden/>
              </w:rPr>
              <w:fldChar w:fldCharType="begin"/>
            </w:r>
            <w:r>
              <w:rPr>
                <w:noProof/>
                <w:webHidden/>
              </w:rPr>
              <w:instrText xml:space="preserve"> PAGEREF _Toc428992890 \h </w:instrText>
            </w:r>
            <w:r>
              <w:rPr>
                <w:noProof/>
                <w:webHidden/>
              </w:rPr>
            </w:r>
            <w:r>
              <w:rPr>
                <w:noProof/>
                <w:webHidden/>
              </w:rPr>
              <w:fldChar w:fldCharType="separate"/>
            </w:r>
            <w:r>
              <w:rPr>
                <w:noProof/>
                <w:webHidden/>
              </w:rPr>
              <w:t>- 3 -</w:t>
            </w:r>
            <w:r>
              <w:rPr>
                <w:noProof/>
                <w:webHidden/>
              </w:rPr>
              <w:fldChar w:fldCharType="end"/>
            </w:r>
          </w:hyperlink>
        </w:p>
        <w:p w:rsidR="00AE5B31" w:rsidRDefault="002D6F0E" w:rsidP="00AE5B31">
          <w:pPr>
            <w:pStyle w:val="TOC1"/>
            <w:tabs>
              <w:tab w:val="left" w:pos="440"/>
              <w:tab w:val="right" w:leader="dot" w:pos="9137"/>
            </w:tabs>
            <w:rPr>
              <w:rFonts w:asciiTheme="minorHAnsi" w:eastAsiaTheme="minorEastAsia" w:hAnsiTheme="minorHAnsi" w:cstheme="minorBidi"/>
              <w:noProof/>
              <w:sz w:val="22"/>
              <w:szCs w:val="22"/>
              <w:lang w:val="en-US"/>
            </w:rPr>
          </w:pPr>
          <w:hyperlink w:anchor="_Toc428992891" w:history="1">
            <w:r w:rsidR="00AE5B31" w:rsidRPr="001E1310">
              <w:rPr>
                <w:rStyle w:val="Hyperlink"/>
                <w:rFonts w:ascii="Times New Roman" w:hAnsi="Times New Roman"/>
                <w:noProof/>
              </w:rPr>
              <w:t>1.</w:t>
            </w:r>
            <w:r w:rsidR="00AE5B31">
              <w:rPr>
                <w:rFonts w:asciiTheme="minorHAnsi" w:eastAsiaTheme="minorEastAsia" w:hAnsiTheme="minorHAnsi" w:cstheme="minorBidi"/>
                <w:noProof/>
                <w:sz w:val="22"/>
                <w:szCs w:val="22"/>
                <w:lang w:val="en-US"/>
              </w:rPr>
              <w:tab/>
            </w:r>
            <w:r w:rsidR="00AE5B31" w:rsidRPr="001E1310">
              <w:rPr>
                <w:rStyle w:val="Hyperlink"/>
                <w:rFonts w:ascii="Times New Roman" w:hAnsi="Times New Roman"/>
                <w:noProof/>
              </w:rPr>
              <w:t>Demanda Actual y Proyectada 2015-2038</w:t>
            </w:r>
            <w:r w:rsidR="00AE5B31">
              <w:rPr>
                <w:noProof/>
                <w:webHidden/>
              </w:rPr>
              <w:tab/>
            </w:r>
            <w:r w:rsidR="00AE5B31">
              <w:rPr>
                <w:noProof/>
                <w:webHidden/>
              </w:rPr>
              <w:fldChar w:fldCharType="begin"/>
            </w:r>
            <w:r w:rsidR="00AE5B31">
              <w:rPr>
                <w:noProof/>
                <w:webHidden/>
              </w:rPr>
              <w:instrText xml:space="preserve"> PAGEREF _Toc428992891 \h </w:instrText>
            </w:r>
            <w:r w:rsidR="00AE5B31">
              <w:rPr>
                <w:noProof/>
                <w:webHidden/>
              </w:rPr>
            </w:r>
            <w:r w:rsidR="00AE5B31">
              <w:rPr>
                <w:noProof/>
                <w:webHidden/>
              </w:rPr>
              <w:fldChar w:fldCharType="separate"/>
            </w:r>
            <w:r w:rsidR="00AE5B31">
              <w:rPr>
                <w:noProof/>
                <w:webHidden/>
              </w:rPr>
              <w:t>- 5 -</w:t>
            </w:r>
            <w:r w:rsidR="00AE5B31">
              <w:rPr>
                <w:noProof/>
                <w:webHidden/>
              </w:rPr>
              <w:fldChar w:fldCharType="end"/>
            </w:r>
          </w:hyperlink>
        </w:p>
        <w:p w:rsidR="00AE5B31" w:rsidRDefault="002D6F0E" w:rsidP="00AE5B31">
          <w:pPr>
            <w:pStyle w:val="TOC2"/>
            <w:tabs>
              <w:tab w:val="right" w:leader="dot" w:pos="9137"/>
            </w:tabs>
            <w:rPr>
              <w:rFonts w:cstheme="minorBidi"/>
              <w:noProof/>
            </w:rPr>
          </w:pPr>
          <w:hyperlink w:anchor="_Toc428992892" w:history="1">
            <w:r w:rsidR="00AE5B31" w:rsidRPr="001E1310">
              <w:rPr>
                <w:rStyle w:val="Hyperlink"/>
                <w:rFonts w:ascii="Times New Roman" w:hAnsi="Times New Roman"/>
                <w:noProof/>
              </w:rPr>
              <w:t>Tránsito de Personas</w:t>
            </w:r>
            <w:r w:rsidR="00AE5B31">
              <w:rPr>
                <w:noProof/>
                <w:webHidden/>
              </w:rPr>
              <w:tab/>
            </w:r>
            <w:r w:rsidR="00AE5B31">
              <w:rPr>
                <w:noProof/>
                <w:webHidden/>
              </w:rPr>
              <w:fldChar w:fldCharType="begin"/>
            </w:r>
            <w:r w:rsidR="00AE5B31">
              <w:rPr>
                <w:noProof/>
                <w:webHidden/>
              </w:rPr>
              <w:instrText xml:space="preserve"> PAGEREF _Toc428992892 \h </w:instrText>
            </w:r>
            <w:r w:rsidR="00AE5B31">
              <w:rPr>
                <w:noProof/>
                <w:webHidden/>
              </w:rPr>
            </w:r>
            <w:r w:rsidR="00AE5B31">
              <w:rPr>
                <w:noProof/>
                <w:webHidden/>
              </w:rPr>
              <w:fldChar w:fldCharType="separate"/>
            </w:r>
            <w:r w:rsidR="00AE5B31">
              <w:rPr>
                <w:noProof/>
                <w:webHidden/>
              </w:rPr>
              <w:t>- 5 -</w:t>
            </w:r>
            <w:r w:rsidR="00AE5B31">
              <w:rPr>
                <w:noProof/>
                <w:webHidden/>
              </w:rPr>
              <w:fldChar w:fldCharType="end"/>
            </w:r>
          </w:hyperlink>
        </w:p>
        <w:p w:rsidR="00AE5B31" w:rsidRDefault="002D6F0E" w:rsidP="00AE5B31">
          <w:pPr>
            <w:pStyle w:val="TOC2"/>
            <w:tabs>
              <w:tab w:val="right" w:leader="dot" w:pos="9137"/>
            </w:tabs>
            <w:rPr>
              <w:rFonts w:cstheme="minorBidi"/>
              <w:noProof/>
            </w:rPr>
          </w:pPr>
          <w:hyperlink w:anchor="_Toc428992893" w:history="1">
            <w:r w:rsidR="00AE5B31" w:rsidRPr="001E1310">
              <w:rPr>
                <w:rStyle w:val="Hyperlink"/>
                <w:rFonts w:ascii="Times New Roman" w:hAnsi="Times New Roman"/>
                <w:noProof/>
              </w:rPr>
              <w:t>Transporte de Carga</w:t>
            </w:r>
            <w:r w:rsidR="00AE5B31">
              <w:rPr>
                <w:noProof/>
                <w:webHidden/>
              </w:rPr>
              <w:tab/>
            </w:r>
            <w:r w:rsidR="00AE5B31">
              <w:rPr>
                <w:noProof/>
                <w:webHidden/>
              </w:rPr>
              <w:fldChar w:fldCharType="begin"/>
            </w:r>
            <w:r w:rsidR="00AE5B31">
              <w:rPr>
                <w:noProof/>
                <w:webHidden/>
              </w:rPr>
              <w:instrText xml:space="preserve"> PAGEREF _Toc428992893 \h </w:instrText>
            </w:r>
            <w:r w:rsidR="00AE5B31">
              <w:rPr>
                <w:noProof/>
                <w:webHidden/>
              </w:rPr>
            </w:r>
            <w:r w:rsidR="00AE5B31">
              <w:rPr>
                <w:noProof/>
                <w:webHidden/>
              </w:rPr>
              <w:fldChar w:fldCharType="separate"/>
            </w:r>
            <w:r w:rsidR="00AE5B31">
              <w:rPr>
                <w:noProof/>
                <w:webHidden/>
              </w:rPr>
              <w:t>- 10 -</w:t>
            </w:r>
            <w:r w:rsidR="00AE5B31">
              <w:rPr>
                <w:noProof/>
                <w:webHidden/>
              </w:rPr>
              <w:fldChar w:fldCharType="end"/>
            </w:r>
          </w:hyperlink>
        </w:p>
        <w:p w:rsidR="00AE5B31" w:rsidRDefault="002D6F0E" w:rsidP="00AE5B31">
          <w:pPr>
            <w:pStyle w:val="TOC1"/>
            <w:tabs>
              <w:tab w:val="left" w:pos="440"/>
              <w:tab w:val="right" w:leader="dot" w:pos="9137"/>
            </w:tabs>
            <w:rPr>
              <w:rFonts w:asciiTheme="minorHAnsi" w:eastAsiaTheme="minorEastAsia" w:hAnsiTheme="minorHAnsi" w:cstheme="minorBidi"/>
              <w:noProof/>
              <w:sz w:val="22"/>
              <w:szCs w:val="22"/>
              <w:lang w:val="en-US"/>
            </w:rPr>
          </w:pPr>
          <w:hyperlink w:anchor="_Toc428992894" w:history="1">
            <w:r w:rsidR="00AE5B31" w:rsidRPr="001E1310">
              <w:rPr>
                <w:rStyle w:val="Hyperlink"/>
                <w:rFonts w:ascii="Times New Roman" w:hAnsi="Times New Roman"/>
                <w:noProof/>
              </w:rPr>
              <w:t>2.</w:t>
            </w:r>
            <w:r w:rsidR="00AE5B31">
              <w:rPr>
                <w:rFonts w:asciiTheme="minorHAnsi" w:eastAsiaTheme="minorEastAsia" w:hAnsiTheme="minorHAnsi" w:cstheme="minorBidi"/>
                <w:noProof/>
                <w:sz w:val="22"/>
                <w:szCs w:val="22"/>
                <w:lang w:val="en-US"/>
              </w:rPr>
              <w:tab/>
            </w:r>
            <w:r w:rsidR="00AE5B31" w:rsidRPr="001E1310">
              <w:rPr>
                <w:rStyle w:val="Hyperlink"/>
                <w:rFonts w:ascii="Times New Roman" w:hAnsi="Times New Roman"/>
                <w:noProof/>
              </w:rPr>
              <w:t>Metodología e Insumos para la Evaluación Económica</w:t>
            </w:r>
            <w:r w:rsidR="00AE5B31">
              <w:rPr>
                <w:noProof/>
                <w:webHidden/>
              </w:rPr>
              <w:tab/>
            </w:r>
            <w:r w:rsidR="00AE5B31">
              <w:rPr>
                <w:noProof/>
                <w:webHidden/>
              </w:rPr>
              <w:fldChar w:fldCharType="begin"/>
            </w:r>
            <w:r w:rsidR="00AE5B31">
              <w:rPr>
                <w:noProof/>
                <w:webHidden/>
              </w:rPr>
              <w:instrText xml:space="preserve"> PAGEREF _Toc428992894 \h </w:instrText>
            </w:r>
            <w:r w:rsidR="00AE5B31">
              <w:rPr>
                <w:noProof/>
                <w:webHidden/>
              </w:rPr>
            </w:r>
            <w:r w:rsidR="00AE5B31">
              <w:rPr>
                <w:noProof/>
                <w:webHidden/>
              </w:rPr>
              <w:fldChar w:fldCharType="separate"/>
            </w:r>
            <w:r w:rsidR="00AE5B31">
              <w:rPr>
                <w:noProof/>
                <w:webHidden/>
              </w:rPr>
              <w:t>- 15 -</w:t>
            </w:r>
            <w:r w:rsidR="00AE5B31">
              <w:rPr>
                <w:noProof/>
                <w:webHidden/>
              </w:rPr>
              <w:fldChar w:fldCharType="end"/>
            </w:r>
          </w:hyperlink>
        </w:p>
        <w:p w:rsidR="00AE5B31" w:rsidRDefault="002D6F0E" w:rsidP="00AE5B31">
          <w:pPr>
            <w:pStyle w:val="TOC1"/>
            <w:tabs>
              <w:tab w:val="left" w:pos="440"/>
              <w:tab w:val="right" w:leader="dot" w:pos="9137"/>
            </w:tabs>
            <w:rPr>
              <w:rFonts w:asciiTheme="minorHAnsi" w:eastAsiaTheme="minorEastAsia" w:hAnsiTheme="minorHAnsi" w:cstheme="minorBidi"/>
              <w:noProof/>
              <w:sz w:val="22"/>
              <w:szCs w:val="22"/>
              <w:lang w:val="en-US"/>
            </w:rPr>
          </w:pPr>
          <w:hyperlink w:anchor="_Toc428992895" w:history="1">
            <w:r w:rsidR="00AE5B31" w:rsidRPr="001E1310">
              <w:rPr>
                <w:rStyle w:val="Hyperlink"/>
                <w:rFonts w:ascii="Times New Roman" w:hAnsi="Times New Roman"/>
                <w:noProof/>
              </w:rPr>
              <w:t>3.</w:t>
            </w:r>
            <w:r w:rsidR="00AE5B31">
              <w:rPr>
                <w:rFonts w:asciiTheme="minorHAnsi" w:eastAsiaTheme="minorEastAsia" w:hAnsiTheme="minorHAnsi" w:cstheme="minorBidi"/>
                <w:noProof/>
                <w:sz w:val="22"/>
                <w:szCs w:val="22"/>
                <w:lang w:val="en-US"/>
              </w:rPr>
              <w:tab/>
            </w:r>
            <w:r w:rsidR="00AE5B31" w:rsidRPr="001E1310">
              <w:rPr>
                <w:rStyle w:val="Hyperlink"/>
                <w:rFonts w:ascii="Times New Roman" w:hAnsi="Times New Roman"/>
                <w:noProof/>
              </w:rPr>
              <w:t>Costos de Inversión y Mantenimiento</w:t>
            </w:r>
            <w:r w:rsidR="00AE5B31">
              <w:rPr>
                <w:noProof/>
                <w:webHidden/>
              </w:rPr>
              <w:tab/>
            </w:r>
            <w:r w:rsidR="00AE5B31">
              <w:rPr>
                <w:noProof/>
                <w:webHidden/>
              </w:rPr>
              <w:fldChar w:fldCharType="begin"/>
            </w:r>
            <w:r w:rsidR="00AE5B31">
              <w:rPr>
                <w:noProof/>
                <w:webHidden/>
              </w:rPr>
              <w:instrText xml:space="preserve"> PAGEREF _Toc428992895 \h </w:instrText>
            </w:r>
            <w:r w:rsidR="00AE5B31">
              <w:rPr>
                <w:noProof/>
                <w:webHidden/>
              </w:rPr>
            </w:r>
            <w:r w:rsidR="00AE5B31">
              <w:rPr>
                <w:noProof/>
                <w:webHidden/>
              </w:rPr>
              <w:fldChar w:fldCharType="separate"/>
            </w:r>
            <w:r w:rsidR="00AE5B31">
              <w:rPr>
                <w:noProof/>
                <w:webHidden/>
              </w:rPr>
              <w:t>- 17 -</w:t>
            </w:r>
            <w:r w:rsidR="00AE5B31">
              <w:rPr>
                <w:noProof/>
                <w:webHidden/>
              </w:rPr>
              <w:fldChar w:fldCharType="end"/>
            </w:r>
          </w:hyperlink>
        </w:p>
        <w:p w:rsidR="00AE5B31" w:rsidRDefault="002D6F0E" w:rsidP="00AE5B31">
          <w:pPr>
            <w:pStyle w:val="TOC1"/>
            <w:tabs>
              <w:tab w:val="left" w:pos="440"/>
              <w:tab w:val="right" w:leader="dot" w:pos="9137"/>
            </w:tabs>
            <w:rPr>
              <w:rFonts w:asciiTheme="minorHAnsi" w:eastAsiaTheme="minorEastAsia" w:hAnsiTheme="minorHAnsi" w:cstheme="minorBidi"/>
              <w:noProof/>
              <w:sz w:val="22"/>
              <w:szCs w:val="22"/>
              <w:lang w:val="en-US"/>
            </w:rPr>
          </w:pPr>
          <w:hyperlink w:anchor="_Toc428992896" w:history="1">
            <w:r w:rsidR="00AE5B31" w:rsidRPr="001E1310">
              <w:rPr>
                <w:rStyle w:val="Hyperlink"/>
                <w:rFonts w:ascii="Times New Roman" w:hAnsi="Times New Roman"/>
                <w:noProof/>
              </w:rPr>
              <w:t>4.</w:t>
            </w:r>
            <w:r w:rsidR="00AE5B31">
              <w:rPr>
                <w:rFonts w:asciiTheme="minorHAnsi" w:eastAsiaTheme="minorEastAsia" w:hAnsiTheme="minorHAnsi" w:cstheme="minorBidi"/>
                <w:noProof/>
                <w:sz w:val="22"/>
                <w:szCs w:val="22"/>
                <w:lang w:val="en-US"/>
              </w:rPr>
              <w:tab/>
            </w:r>
            <w:r w:rsidR="00AE5B31" w:rsidRPr="001E1310">
              <w:rPr>
                <w:rStyle w:val="Hyperlink"/>
                <w:rFonts w:ascii="Times New Roman" w:hAnsi="Times New Roman"/>
                <w:noProof/>
              </w:rPr>
              <w:t>Costos para los Usuarios</w:t>
            </w:r>
            <w:r w:rsidR="00AE5B31">
              <w:rPr>
                <w:noProof/>
                <w:webHidden/>
              </w:rPr>
              <w:tab/>
            </w:r>
            <w:r w:rsidR="00AE5B31">
              <w:rPr>
                <w:noProof/>
                <w:webHidden/>
              </w:rPr>
              <w:fldChar w:fldCharType="begin"/>
            </w:r>
            <w:r w:rsidR="00AE5B31">
              <w:rPr>
                <w:noProof/>
                <w:webHidden/>
              </w:rPr>
              <w:instrText xml:space="preserve"> PAGEREF _Toc428992896 \h </w:instrText>
            </w:r>
            <w:r w:rsidR="00AE5B31">
              <w:rPr>
                <w:noProof/>
                <w:webHidden/>
              </w:rPr>
            </w:r>
            <w:r w:rsidR="00AE5B31">
              <w:rPr>
                <w:noProof/>
                <w:webHidden/>
              </w:rPr>
              <w:fldChar w:fldCharType="separate"/>
            </w:r>
            <w:r w:rsidR="00AE5B31">
              <w:rPr>
                <w:noProof/>
                <w:webHidden/>
              </w:rPr>
              <w:t>- 20 -</w:t>
            </w:r>
            <w:r w:rsidR="00AE5B31">
              <w:rPr>
                <w:noProof/>
                <w:webHidden/>
              </w:rPr>
              <w:fldChar w:fldCharType="end"/>
            </w:r>
          </w:hyperlink>
        </w:p>
        <w:p w:rsidR="00AE5B31" w:rsidRDefault="002D6F0E" w:rsidP="00AE5B31">
          <w:pPr>
            <w:pStyle w:val="TOC1"/>
            <w:tabs>
              <w:tab w:val="left" w:pos="440"/>
              <w:tab w:val="right" w:leader="dot" w:pos="9137"/>
            </w:tabs>
            <w:rPr>
              <w:rFonts w:asciiTheme="minorHAnsi" w:eastAsiaTheme="minorEastAsia" w:hAnsiTheme="minorHAnsi" w:cstheme="minorBidi"/>
              <w:noProof/>
              <w:sz w:val="22"/>
              <w:szCs w:val="22"/>
              <w:lang w:val="en-US"/>
            </w:rPr>
          </w:pPr>
          <w:hyperlink w:anchor="_Toc428992897" w:history="1">
            <w:r w:rsidR="00AE5B31" w:rsidRPr="001E1310">
              <w:rPr>
                <w:rStyle w:val="Hyperlink"/>
                <w:rFonts w:ascii="Times New Roman" w:hAnsi="Times New Roman"/>
                <w:noProof/>
              </w:rPr>
              <w:t>5.</w:t>
            </w:r>
            <w:r w:rsidR="00AE5B31">
              <w:rPr>
                <w:rFonts w:asciiTheme="minorHAnsi" w:eastAsiaTheme="minorEastAsia" w:hAnsiTheme="minorHAnsi" w:cstheme="minorBidi"/>
                <w:noProof/>
                <w:sz w:val="22"/>
                <w:szCs w:val="22"/>
                <w:lang w:val="en-US"/>
              </w:rPr>
              <w:tab/>
            </w:r>
            <w:r w:rsidR="00AE5B31" w:rsidRPr="001E1310">
              <w:rPr>
                <w:rStyle w:val="Hyperlink"/>
                <w:rFonts w:ascii="Times New Roman" w:hAnsi="Times New Roman"/>
                <w:noProof/>
              </w:rPr>
              <w:t>Beneficios</w:t>
            </w:r>
            <w:r w:rsidR="00AE5B31">
              <w:rPr>
                <w:noProof/>
                <w:webHidden/>
              </w:rPr>
              <w:tab/>
            </w:r>
            <w:r w:rsidR="00AE5B31">
              <w:rPr>
                <w:noProof/>
                <w:webHidden/>
              </w:rPr>
              <w:fldChar w:fldCharType="begin"/>
            </w:r>
            <w:r w:rsidR="00AE5B31">
              <w:rPr>
                <w:noProof/>
                <w:webHidden/>
              </w:rPr>
              <w:instrText xml:space="preserve"> PAGEREF _Toc428992897 \h </w:instrText>
            </w:r>
            <w:r w:rsidR="00AE5B31">
              <w:rPr>
                <w:noProof/>
                <w:webHidden/>
              </w:rPr>
            </w:r>
            <w:r w:rsidR="00AE5B31">
              <w:rPr>
                <w:noProof/>
                <w:webHidden/>
              </w:rPr>
              <w:fldChar w:fldCharType="separate"/>
            </w:r>
            <w:r w:rsidR="00AE5B31">
              <w:rPr>
                <w:noProof/>
                <w:webHidden/>
              </w:rPr>
              <w:t>- 30 -</w:t>
            </w:r>
            <w:r w:rsidR="00AE5B31">
              <w:rPr>
                <w:noProof/>
                <w:webHidden/>
              </w:rPr>
              <w:fldChar w:fldCharType="end"/>
            </w:r>
          </w:hyperlink>
        </w:p>
        <w:p w:rsidR="00AE5B31" w:rsidRDefault="002D6F0E" w:rsidP="00AE5B31">
          <w:pPr>
            <w:pStyle w:val="TOC1"/>
            <w:tabs>
              <w:tab w:val="left" w:pos="440"/>
              <w:tab w:val="right" w:leader="dot" w:pos="9137"/>
            </w:tabs>
            <w:rPr>
              <w:rFonts w:asciiTheme="minorHAnsi" w:eastAsiaTheme="minorEastAsia" w:hAnsiTheme="minorHAnsi" w:cstheme="minorBidi"/>
              <w:noProof/>
              <w:sz w:val="22"/>
              <w:szCs w:val="22"/>
              <w:lang w:val="en-US"/>
            </w:rPr>
          </w:pPr>
          <w:hyperlink w:anchor="_Toc428992898" w:history="1">
            <w:r w:rsidR="00AE5B31" w:rsidRPr="001E1310">
              <w:rPr>
                <w:rStyle w:val="Hyperlink"/>
                <w:rFonts w:ascii="Times New Roman" w:hAnsi="Times New Roman"/>
                <w:noProof/>
              </w:rPr>
              <w:t>6.</w:t>
            </w:r>
            <w:r w:rsidR="00AE5B31">
              <w:rPr>
                <w:rFonts w:asciiTheme="minorHAnsi" w:eastAsiaTheme="minorEastAsia" w:hAnsiTheme="minorHAnsi" w:cstheme="minorBidi"/>
                <w:noProof/>
                <w:sz w:val="22"/>
                <w:szCs w:val="22"/>
                <w:lang w:val="en-US"/>
              </w:rPr>
              <w:tab/>
            </w:r>
            <w:r w:rsidR="00AE5B31" w:rsidRPr="001E1310">
              <w:rPr>
                <w:rStyle w:val="Hyperlink"/>
                <w:rFonts w:ascii="Times New Roman" w:hAnsi="Times New Roman"/>
                <w:noProof/>
              </w:rPr>
              <w:t>Rentabilidad Económica</w:t>
            </w:r>
            <w:r w:rsidR="00AE5B31">
              <w:rPr>
                <w:noProof/>
                <w:webHidden/>
              </w:rPr>
              <w:tab/>
            </w:r>
            <w:r w:rsidR="00AE5B31">
              <w:rPr>
                <w:noProof/>
                <w:webHidden/>
              </w:rPr>
              <w:fldChar w:fldCharType="begin"/>
            </w:r>
            <w:r w:rsidR="00AE5B31">
              <w:rPr>
                <w:noProof/>
                <w:webHidden/>
              </w:rPr>
              <w:instrText xml:space="preserve"> PAGEREF _Toc428992898 \h </w:instrText>
            </w:r>
            <w:r w:rsidR="00AE5B31">
              <w:rPr>
                <w:noProof/>
                <w:webHidden/>
              </w:rPr>
            </w:r>
            <w:r w:rsidR="00AE5B31">
              <w:rPr>
                <w:noProof/>
                <w:webHidden/>
              </w:rPr>
              <w:fldChar w:fldCharType="separate"/>
            </w:r>
            <w:r w:rsidR="00AE5B31">
              <w:rPr>
                <w:noProof/>
                <w:webHidden/>
              </w:rPr>
              <w:t>- 34 -</w:t>
            </w:r>
            <w:r w:rsidR="00AE5B31">
              <w:rPr>
                <w:noProof/>
                <w:webHidden/>
              </w:rPr>
              <w:fldChar w:fldCharType="end"/>
            </w:r>
          </w:hyperlink>
        </w:p>
        <w:p w:rsidR="00AE5B31" w:rsidRDefault="002D6F0E" w:rsidP="00AE5B31">
          <w:pPr>
            <w:pStyle w:val="TOC1"/>
            <w:tabs>
              <w:tab w:val="left" w:pos="440"/>
              <w:tab w:val="right" w:leader="dot" w:pos="9137"/>
            </w:tabs>
            <w:rPr>
              <w:rFonts w:asciiTheme="minorHAnsi" w:eastAsiaTheme="minorEastAsia" w:hAnsiTheme="minorHAnsi" w:cstheme="minorBidi"/>
              <w:noProof/>
              <w:sz w:val="22"/>
              <w:szCs w:val="22"/>
              <w:lang w:val="en-US"/>
            </w:rPr>
          </w:pPr>
          <w:hyperlink w:anchor="_Toc428992899" w:history="1">
            <w:r w:rsidR="00AE5B31" w:rsidRPr="001E1310">
              <w:rPr>
                <w:rStyle w:val="Hyperlink"/>
                <w:rFonts w:ascii="Times New Roman" w:hAnsi="Times New Roman"/>
                <w:noProof/>
              </w:rPr>
              <w:t>7.</w:t>
            </w:r>
            <w:r w:rsidR="00AE5B31">
              <w:rPr>
                <w:rFonts w:asciiTheme="minorHAnsi" w:eastAsiaTheme="minorEastAsia" w:hAnsiTheme="minorHAnsi" w:cstheme="minorBidi"/>
                <w:noProof/>
                <w:sz w:val="22"/>
                <w:szCs w:val="22"/>
                <w:lang w:val="en-US"/>
              </w:rPr>
              <w:tab/>
            </w:r>
            <w:r w:rsidR="00AE5B31" w:rsidRPr="001E1310">
              <w:rPr>
                <w:rStyle w:val="Hyperlink"/>
                <w:rFonts w:ascii="Times New Roman" w:hAnsi="Times New Roman"/>
                <w:noProof/>
              </w:rPr>
              <w:t>Análisis de Sensibilidad</w:t>
            </w:r>
            <w:r w:rsidR="00AE5B31">
              <w:rPr>
                <w:noProof/>
                <w:webHidden/>
              </w:rPr>
              <w:tab/>
            </w:r>
            <w:r w:rsidR="00AE5B31">
              <w:rPr>
                <w:noProof/>
                <w:webHidden/>
              </w:rPr>
              <w:fldChar w:fldCharType="begin"/>
            </w:r>
            <w:r w:rsidR="00AE5B31">
              <w:rPr>
                <w:noProof/>
                <w:webHidden/>
              </w:rPr>
              <w:instrText xml:space="preserve"> PAGEREF _Toc428992899 \h </w:instrText>
            </w:r>
            <w:r w:rsidR="00AE5B31">
              <w:rPr>
                <w:noProof/>
                <w:webHidden/>
              </w:rPr>
            </w:r>
            <w:r w:rsidR="00AE5B31">
              <w:rPr>
                <w:noProof/>
                <w:webHidden/>
              </w:rPr>
              <w:fldChar w:fldCharType="separate"/>
            </w:r>
            <w:r w:rsidR="00AE5B31">
              <w:rPr>
                <w:noProof/>
                <w:webHidden/>
              </w:rPr>
              <w:t>- 38 -</w:t>
            </w:r>
            <w:r w:rsidR="00AE5B31">
              <w:rPr>
                <w:noProof/>
                <w:webHidden/>
              </w:rPr>
              <w:fldChar w:fldCharType="end"/>
            </w:r>
          </w:hyperlink>
        </w:p>
        <w:p w:rsidR="00AE5B31" w:rsidRDefault="002D6F0E" w:rsidP="00AE5B31">
          <w:pPr>
            <w:pStyle w:val="TOC1"/>
            <w:tabs>
              <w:tab w:val="left" w:pos="440"/>
              <w:tab w:val="right" w:leader="dot" w:pos="9137"/>
            </w:tabs>
            <w:rPr>
              <w:rFonts w:asciiTheme="minorHAnsi" w:eastAsiaTheme="minorEastAsia" w:hAnsiTheme="minorHAnsi" w:cstheme="minorBidi"/>
              <w:noProof/>
              <w:sz w:val="22"/>
              <w:szCs w:val="22"/>
              <w:lang w:val="en-US"/>
            </w:rPr>
          </w:pPr>
          <w:hyperlink w:anchor="_Toc428992900" w:history="1">
            <w:r w:rsidR="00AE5B31" w:rsidRPr="001E1310">
              <w:rPr>
                <w:rStyle w:val="Hyperlink"/>
                <w:rFonts w:ascii="Times New Roman" w:hAnsi="Times New Roman"/>
                <w:noProof/>
              </w:rPr>
              <w:t>8.</w:t>
            </w:r>
            <w:r w:rsidR="00AE5B31">
              <w:rPr>
                <w:rFonts w:asciiTheme="minorHAnsi" w:eastAsiaTheme="minorEastAsia" w:hAnsiTheme="minorHAnsi" w:cstheme="minorBidi"/>
                <w:noProof/>
                <w:sz w:val="22"/>
                <w:szCs w:val="22"/>
                <w:lang w:val="en-US"/>
              </w:rPr>
              <w:tab/>
            </w:r>
            <w:r w:rsidR="00AE5B31" w:rsidRPr="001E1310">
              <w:rPr>
                <w:rStyle w:val="Hyperlink"/>
                <w:rFonts w:ascii="Times New Roman" w:hAnsi="Times New Roman"/>
                <w:noProof/>
              </w:rPr>
              <w:t>Resumen del Análisis de Viabilidad Económica</w:t>
            </w:r>
            <w:r w:rsidR="00AE5B31">
              <w:rPr>
                <w:noProof/>
                <w:webHidden/>
              </w:rPr>
              <w:tab/>
            </w:r>
            <w:r w:rsidR="00AE5B31">
              <w:rPr>
                <w:noProof/>
                <w:webHidden/>
              </w:rPr>
              <w:fldChar w:fldCharType="begin"/>
            </w:r>
            <w:r w:rsidR="00AE5B31">
              <w:rPr>
                <w:noProof/>
                <w:webHidden/>
              </w:rPr>
              <w:instrText xml:space="preserve"> PAGEREF _Toc428992900 \h </w:instrText>
            </w:r>
            <w:r w:rsidR="00AE5B31">
              <w:rPr>
                <w:noProof/>
                <w:webHidden/>
              </w:rPr>
            </w:r>
            <w:r w:rsidR="00AE5B31">
              <w:rPr>
                <w:noProof/>
                <w:webHidden/>
              </w:rPr>
              <w:fldChar w:fldCharType="separate"/>
            </w:r>
            <w:r w:rsidR="00AE5B31">
              <w:rPr>
                <w:noProof/>
                <w:webHidden/>
              </w:rPr>
              <w:t>- 47 -</w:t>
            </w:r>
            <w:r w:rsidR="00AE5B31">
              <w:rPr>
                <w:noProof/>
                <w:webHidden/>
              </w:rPr>
              <w:fldChar w:fldCharType="end"/>
            </w:r>
          </w:hyperlink>
        </w:p>
        <w:p w:rsidR="00AE5B31" w:rsidRDefault="002D6F0E" w:rsidP="00AE5B31">
          <w:pPr>
            <w:pStyle w:val="TOC1"/>
            <w:tabs>
              <w:tab w:val="left" w:pos="440"/>
              <w:tab w:val="right" w:leader="dot" w:pos="9137"/>
            </w:tabs>
            <w:rPr>
              <w:rFonts w:asciiTheme="minorHAnsi" w:eastAsiaTheme="minorEastAsia" w:hAnsiTheme="minorHAnsi" w:cstheme="minorBidi"/>
              <w:noProof/>
              <w:sz w:val="22"/>
              <w:szCs w:val="22"/>
              <w:lang w:val="en-US"/>
            </w:rPr>
          </w:pPr>
          <w:hyperlink w:anchor="_Toc428992901" w:history="1">
            <w:r w:rsidR="00AE5B31" w:rsidRPr="001E1310">
              <w:rPr>
                <w:rStyle w:val="Hyperlink"/>
                <w:rFonts w:ascii="Times New Roman" w:hAnsi="Times New Roman"/>
                <w:noProof/>
              </w:rPr>
              <w:t>9.</w:t>
            </w:r>
            <w:r w:rsidR="00AE5B31">
              <w:rPr>
                <w:rFonts w:asciiTheme="minorHAnsi" w:eastAsiaTheme="minorEastAsia" w:hAnsiTheme="minorHAnsi" w:cstheme="minorBidi"/>
                <w:noProof/>
                <w:sz w:val="22"/>
                <w:szCs w:val="22"/>
                <w:lang w:val="en-US"/>
              </w:rPr>
              <w:tab/>
            </w:r>
            <w:r w:rsidR="00AE5B31" w:rsidRPr="001E1310">
              <w:rPr>
                <w:rStyle w:val="Hyperlink"/>
                <w:rFonts w:ascii="Times New Roman" w:hAnsi="Times New Roman"/>
                <w:noProof/>
              </w:rPr>
              <w:t>Conclusiones</w:t>
            </w:r>
            <w:r w:rsidR="00AE5B31">
              <w:rPr>
                <w:noProof/>
                <w:webHidden/>
              </w:rPr>
              <w:tab/>
            </w:r>
            <w:r w:rsidR="00AE5B31">
              <w:rPr>
                <w:noProof/>
                <w:webHidden/>
              </w:rPr>
              <w:fldChar w:fldCharType="begin"/>
            </w:r>
            <w:r w:rsidR="00AE5B31">
              <w:rPr>
                <w:noProof/>
                <w:webHidden/>
              </w:rPr>
              <w:instrText xml:space="preserve"> PAGEREF _Toc428992901 \h </w:instrText>
            </w:r>
            <w:r w:rsidR="00AE5B31">
              <w:rPr>
                <w:noProof/>
                <w:webHidden/>
              </w:rPr>
            </w:r>
            <w:r w:rsidR="00AE5B31">
              <w:rPr>
                <w:noProof/>
                <w:webHidden/>
              </w:rPr>
              <w:fldChar w:fldCharType="separate"/>
            </w:r>
            <w:r w:rsidR="00AE5B31">
              <w:rPr>
                <w:noProof/>
                <w:webHidden/>
              </w:rPr>
              <w:t>- 48 -</w:t>
            </w:r>
            <w:r w:rsidR="00AE5B31">
              <w:rPr>
                <w:noProof/>
                <w:webHidden/>
              </w:rPr>
              <w:fldChar w:fldCharType="end"/>
            </w:r>
          </w:hyperlink>
        </w:p>
        <w:p w:rsidR="00AE5B31" w:rsidRDefault="00AE5B31" w:rsidP="00AE5B31">
          <w:r>
            <w:rPr>
              <w:b/>
              <w:bCs/>
              <w:lang w:val="es-ES"/>
            </w:rPr>
            <w:fldChar w:fldCharType="end"/>
          </w:r>
        </w:p>
      </w:sdtContent>
    </w:sdt>
    <w:p w:rsidR="00AE5B31" w:rsidRPr="00FE6A09" w:rsidRDefault="00AE5B31" w:rsidP="00AE5B31">
      <w:pPr>
        <w:pStyle w:val="ListParagraph"/>
        <w:ind w:left="0"/>
        <w:jc w:val="center"/>
        <w:rPr>
          <w:b/>
          <w:szCs w:val="24"/>
          <w:lang w:val="es-CR"/>
        </w:rPr>
      </w:pPr>
    </w:p>
    <w:p w:rsidR="00AE5B31" w:rsidRPr="00FE6A09" w:rsidRDefault="00AE5B31" w:rsidP="00AE5B31">
      <w:pPr>
        <w:pStyle w:val="ListParagraph"/>
        <w:ind w:left="0"/>
        <w:jc w:val="center"/>
        <w:rPr>
          <w:b/>
          <w:szCs w:val="24"/>
          <w:lang w:val="es-CR"/>
        </w:rPr>
      </w:pPr>
    </w:p>
    <w:p w:rsidR="00AE5B31" w:rsidRPr="00FE6A09" w:rsidRDefault="00AE5B31" w:rsidP="00AE5B31">
      <w:pPr>
        <w:pStyle w:val="ListParagraph"/>
        <w:ind w:left="0"/>
        <w:jc w:val="center"/>
        <w:rPr>
          <w:b/>
          <w:szCs w:val="24"/>
          <w:lang w:val="es-CR"/>
        </w:rPr>
      </w:pPr>
    </w:p>
    <w:p w:rsidR="00AE5B31" w:rsidRPr="00FE6A09" w:rsidRDefault="00AE5B31" w:rsidP="00AE5B31">
      <w:pPr>
        <w:pStyle w:val="ListParagraph"/>
        <w:ind w:left="0"/>
        <w:jc w:val="center"/>
        <w:rPr>
          <w:b/>
          <w:szCs w:val="24"/>
          <w:lang w:val="es-CR"/>
        </w:rPr>
      </w:pPr>
    </w:p>
    <w:p w:rsidR="00AE5B31" w:rsidRPr="00FE6A09" w:rsidRDefault="00AE5B31" w:rsidP="00AE5B31">
      <w:pPr>
        <w:pStyle w:val="ListParagraph"/>
        <w:ind w:left="0"/>
        <w:jc w:val="center"/>
        <w:rPr>
          <w:b/>
          <w:szCs w:val="24"/>
          <w:lang w:val="es-CR"/>
        </w:rPr>
      </w:pPr>
    </w:p>
    <w:p w:rsidR="00AE5B31" w:rsidRPr="00FE6A09" w:rsidRDefault="00AE5B31" w:rsidP="00AE5B31">
      <w:pPr>
        <w:pStyle w:val="ListParagraph"/>
        <w:ind w:left="0"/>
        <w:jc w:val="center"/>
        <w:rPr>
          <w:b/>
          <w:szCs w:val="24"/>
          <w:lang w:val="es-CR"/>
        </w:rPr>
      </w:pPr>
    </w:p>
    <w:p w:rsidR="00AE5B31" w:rsidRPr="00FE6A09" w:rsidRDefault="00AE5B31" w:rsidP="00AE5B31">
      <w:pPr>
        <w:pStyle w:val="ListParagraph"/>
        <w:ind w:left="0"/>
        <w:jc w:val="center"/>
        <w:rPr>
          <w:b/>
          <w:szCs w:val="24"/>
          <w:lang w:val="es-CR"/>
        </w:rPr>
      </w:pPr>
    </w:p>
    <w:p w:rsidR="00AE5B31" w:rsidRPr="00FE6A09" w:rsidRDefault="00AE5B31" w:rsidP="00AE5B31">
      <w:pPr>
        <w:pStyle w:val="BodyText"/>
        <w:jc w:val="left"/>
        <w:rPr>
          <w:smallCaps/>
          <w:szCs w:val="24"/>
          <w:lang w:val="es-CR"/>
        </w:rPr>
      </w:pPr>
    </w:p>
    <w:p w:rsidR="00AE5B31" w:rsidRPr="00FE6A09" w:rsidRDefault="00AE5B31" w:rsidP="00AE5B31">
      <w:pPr>
        <w:pStyle w:val="BodyText"/>
        <w:jc w:val="left"/>
        <w:rPr>
          <w:smallCaps/>
          <w:szCs w:val="24"/>
          <w:lang w:val="es-CR"/>
        </w:rPr>
      </w:pPr>
    </w:p>
    <w:p w:rsidR="00AE5B31" w:rsidRPr="00FE6A09" w:rsidRDefault="00AE5B31" w:rsidP="00AE5B31">
      <w:pPr>
        <w:pStyle w:val="BodyText"/>
        <w:jc w:val="left"/>
        <w:rPr>
          <w:smallCaps/>
          <w:szCs w:val="24"/>
          <w:lang w:val="es-CR"/>
        </w:rPr>
      </w:pPr>
    </w:p>
    <w:p w:rsidR="00AE5B31" w:rsidRPr="00FE6A09" w:rsidRDefault="00AE5B31" w:rsidP="00AE5B31">
      <w:pPr>
        <w:pStyle w:val="BodyText"/>
        <w:jc w:val="left"/>
        <w:rPr>
          <w:smallCaps/>
          <w:szCs w:val="24"/>
          <w:lang w:val="es-CR"/>
        </w:rPr>
      </w:pPr>
    </w:p>
    <w:p w:rsidR="00AE5B31" w:rsidRPr="00FE6A09" w:rsidRDefault="00AE5B31" w:rsidP="00AE5B31">
      <w:pPr>
        <w:pStyle w:val="BodyText"/>
        <w:jc w:val="left"/>
        <w:rPr>
          <w:smallCaps/>
          <w:szCs w:val="24"/>
          <w:lang w:val="es-CR"/>
        </w:rPr>
      </w:pPr>
    </w:p>
    <w:p w:rsidR="00AE5B31" w:rsidRPr="00FE6A09" w:rsidRDefault="00AE5B31" w:rsidP="00AE5B31">
      <w:pPr>
        <w:pStyle w:val="BodyText"/>
        <w:jc w:val="left"/>
        <w:rPr>
          <w:smallCaps/>
          <w:szCs w:val="24"/>
          <w:lang w:val="es-CR"/>
        </w:rPr>
      </w:pPr>
    </w:p>
    <w:p w:rsidR="00AE5B31" w:rsidRPr="00FE6A09" w:rsidRDefault="00AE5B31" w:rsidP="00AE5B31">
      <w:pPr>
        <w:pStyle w:val="BodyText"/>
        <w:jc w:val="left"/>
        <w:rPr>
          <w:smallCaps/>
          <w:szCs w:val="24"/>
          <w:lang w:val="es-CR"/>
        </w:rPr>
      </w:pPr>
    </w:p>
    <w:p w:rsidR="00AE5B31" w:rsidRPr="00FE6A09" w:rsidRDefault="00AE5B31" w:rsidP="00AE5B31">
      <w:pPr>
        <w:pStyle w:val="BodyText"/>
        <w:jc w:val="left"/>
        <w:rPr>
          <w:smallCaps/>
          <w:szCs w:val="24"/>
          <w:lang w:val="es-CR"/>
        </w:rPr>
      </w:pPr>
    </w:p>
    <w:p w:rsidR="00AE5B31" w:rsidRPr="00FE6A09" w:rsidRDefault="00AE5B31" w:rsidP="00AE5B31">
      <w:pPr>
        <w:pStyle w:val="BodyText"/>
        <w:jc w:val="left"/>
        <w:rPr>
          <w:smallCaps/>
          <w:szCs w:val="24"/>
          <w:lang w:val="es-CR"/>
        </w:rPr>
      </w:pPr>
    </w:p>
    <w:p w:rsidR="00AE5B31" w:rsidRPr="00FE6A09" w:rsidRDefault="00AE5B31" w:rsidP="00AE5B31">
      <w:pPr>
        <w:pStyle w:val="BodyText"/>
        <w:jc w:val="left"/>
        <w:rPr>
          <w:smallCaps/>
          <w:szCs w:val="24"/>
          <w:lang w:val="es-CR"/>
        </w:rPr>
      </w:pPr>
    </w:p>
    <w:p w:rsidR="00AE5B31" w:rsidRPr="00FE6A09" w:rsidRDefault="00AE5B31" w:rsidP="00AE5B31">
      <w:pPr>
        <w:pStyle w:val="BodyText"/>
        <w:jc w:val="left"/>
        <w:rPr>
          <w:smallCaps/>
          <w:szCs w:val="24"/>
          <w:lang w:val="es-CR"/>
        </w:rPr>
      </w:pPr>
    </w:p>
    <w:p w:rsidR="00AE5B31" w:rsidRDefault="00AE5B31" w:rsidP="00AE5B31">
      <w:pPr>
        <w:pStyle w:val="BodyText"/>
        <w:jc w:val="left"/>
        <w:rPr>
          <w:smallCaps/>
          <w:szCs w:val="24"/>
          <w:lang w:val="es-CR"/>
        </w:rPr>
      </w:pPr>
    </w:p>
    <w:p w:rsidR="00AE5B31" w:rsidRDefault="00AE5B31" w:rsidP="00AE5B31">
      <w:pPr>
        <w:pStyle w:val="BodyText"/>
        <w:jc w:val="left"/>
        <w:rPr>
          <w:smallCaps/>
          <w:szCs w:val="24"/>
          <w:lang w:val="es-CR"/>
        </w:rPr>
      </w:pPr>
    </w:p>
    <w:p w:rsidR="00AE5B31" w:rsidRPr="00FE6A09" w:rsidRDefault="00AE5B31" w:rsidP="00AE5B31">
      <w:pPr>
        <w:pStyle w:val="BodyText"/>
        <w:jc w:val="left"/>
        <w:rPr>
          <w:smallCaps/>
          <w:szCs w:val="24"/>
          <w:lang w:val="es-CR"/>
        </w:rPr>
      </w:pPr>
    </w:p>
    <w:p w:rsidR="00AE5B31" w:rsidRPr="00FE6A09" w:rsidRDefault="00AE5B31" w:rsidP="00AE5B31">
      <w:pPr>
        <w:pStyle w:val="BodyText"/>
        <w:jc w:val="left"/>
        <w:rPr>
          <w:smallCaps/>
          <w:szCs w:val="24"/>
          <w:lang w:val="es-CR"/>
        </w:rPr>
      </w:pPr>
    </w:p>
    <w:p w:rsidR="00AE5B31" w:rsidRPr="00FE6A09" w:rsidRDefault="00AE5B31" w:rsidP="00AE5B31">
      <w:pPr>
        <w:tabs>
          <w:tab w:val="left" w:pos="1440"/>
          <w:tab w:val="left" w:pos="3060"/>
        </w:tabs>
        <w:jc w:val="center"/>
        <w:rPr>
          <w:b/>
          <w:bCs/>
          <w:smallCaps/>
          <w:sz w:val="28"/>
          <w:szCs w:val="28"/>
          <w:lang w:val="es-CR"/>
        </w:rPr>
      </w:pPr>
    </w:p>
    <w:p w:rsidR="00AE5B31" w:rsidRDefault="00AE5B31" w:rsidP="00AE5B31">
      <w:pPr>
        <w:tabs>
          <w:tab w:val="left" w:pos="1440"/>
          <w:tab w:val="left" w:pos="3060"/>
        </w:tabs>
        <w:jc w:val="center"/>
        <w:rPr>
          <w:b/>
          <w:bCs/>
          <w:smallCaps/>
          <w:sz w:val="28"/>
          <w:szCs w:val="28"/>
          <w:lang w:val="es-CR"/>
        </w:rPr>
      </w:pPr>
    </w:p>
    <w:p w:rsidR="00AE5B31" w:rsidRDefault="00AE5B31" w:rsidP="00AE5B31">
      <w:pPr>
        <w:tabs>
          <w:tab w:val="left" w:pos="1440"/>
          <w:tab w:val="left" w:pos="3060"/>
        </w:tabs>
        <w:jc w:val="center"/>
        <w:rPr>
          <w:b/>
          <w:bCs/>
          <w:smallCaps/>
          <w:sz w:val="28"/>
          <w:szCs w:val="28"/>
          <w:lang w:val="es-CR"/>
        </w:rPr>
      </w:pPr>
    </w:p>
    <w:p w:rsidR="00AE5B31" w:rsidRPr="00FE6A09" w:rsidRDefault="00AE5B31" w:rsidP="00AE5B31">
      <w:pPr>
        <w:tabs>
          <w:tab w:val="left" w:pos="1440"/>
          <w:tab w:val="left" w:pos="3060"/>
        </w:tabs>
        <w:jc w:val="center"/>
        <w:rPr>
          <w:b/>
          <w:bCs/>
          <w:smallCaps/>
          <w:sz w:val="28"/>
          <w:szCs w:val="28"/>
          <w:lang w:val="es-CR"/>
        </w:rPr>
      </w:pPr>
    </w:p>
    <w:p w:rsidR="00AE5B31" w:rsidRPr="00FE6A09" w:rsidRDefault="00AE5B31" w:rsidP="00AE5B31">
      <w:pPr>
        <w:tabs>
          <w:tab w:val="left" w:pos="1440"/>
          <w:tab w:val="left" w:pos="3060"/>
        </w:tabs>
        <w:jc w:val="center"/>
        <w:rPr>
          <w:b/>
          <w:bCs/>
          <w:smallCaps/>
          <w:sz w:val="28"/>
          <w:szCs w:val="28"/>
          <w:lang w:val="es-CR"/>
        </w:rPr>
      </w:pPr>
    </w:p>
    <w:p w:rsidR="00AE5B31" w:rsidRPr="0006088F" w:rsidRDefault="00AE5B31" w:rsidP="00AE5B31">
      <w:pPr>
        <w:tabs>
          <w:tab w:val="left" w:pos="1440"/>
          <w:tab w:val="left" w:pos="3060"/>
        </w:tabs>
        <w:jc w:val="center"/>
        <w:rPr>
          <w:b/>
          <w:bCs/>
          <w:smallCaps/>
          <w:sz w:val="28"/>
          <w:szCs w:val="28"/>
          <w:lang w:val="es-ES_tradnl"/>
        </w:rPr>
      </w:pPr>
      <w:r>
        <w:rPr>
          <w:b/>
          <w:bCs/>
          <w:smallCaps/>
          <w:sz w:val="28"/>
          <w:szCs w:val="28"/>
          <w:lang w:val="es-ES_tradnl"/>
        </w:rPr>
        <w:lastRenderedPageBreak/>
        <w:t>Programa de Integración Fronteriza de Panamá</w:t>
      </w:r>
    </w:p>
    <w:p w:rsidR="00AE5B31" w:rsidRPr="0006088F" w:rsidRDefault="00AE5B31" w:rsidP="00AE5B31">
      <w:pPr>
        <w:pStyle w:val="BodyText"/>
        <w:rPr>
          <w:b/>
          <w:sz w:val="25"/>
          <w:szCs w:val="25"/>
        </w:rPr>
      </w:pPr>
      <w:r>
        <w:rPr>
          <w:b/>
          <w:smallCaps/>
          <w:sz w:val="25"/>
          <w:szCs w:val="25"/>
        </w:rPr>
        <w:t xml:space="preserve">Evaluación Económica </w:t>
      </w:r>
      <w:r w:rsidRPr="0006088F">
        <w:rPr>
          <w:b/>
          <w:smallCaps/>
          <w:sz w:val="25"/>
          <w:szCs w:val="25"/>
        </w:rPr>
        <w:t>Pas</w:t>
      </w:r>
      <w:r>
        <w:rPr>
          <w:b/>
          <w:smallCaps/>
          <w:sz w:val="25"/>
          <w:szCs w:val="25"/>
        </w:rPr>
        <w:t>o de FronteraGuabito</w:t>
      </w:r>
    </w:p>
    <w:p w:rsidR="00AE5B31" w:rsidRPr="0006088F" w:rsidRDefault="00AE5B31" w:rsidP="00AE5B31">
      <w:pPr>
        <w:pStyle w:val="BodyText"/>
        <w:jc w:val="left"/>
      </w:pPr>
    </w:p>
    <w:p w:rsidR="00AE5B31" w:rsidRPr="0006088F" w:rsidRDefault="00AE5B31" w:rsidP="00AE5B31">
      <w:pPr>
        <w:pStyle w:val="BodyText"/>
        <w:jc w:val="left"/>
      </w:pPr>
    </w:p>
    <w:p w:rsidR="00AE5B31" w:rsidRPr="00F72940" w:rsidRDefault="00AE5B31" w:rsidP="00AE5B31">
      <w:pPr>
        <w:pStyle w:val="Heading1"/>
        <w:rPr>
          <w:rFonts w:ascii="Times New Roman" w:hAnsi="Times New Roman"/>
        </w:rPr>
      </w:pPr>
      <w:bookmarkStart w:id="2" w:name="_Toc428992890"/>
      <w:r>
        <w:rPr>
          <w:rFonts w:ascii="Times New Roman" w:hAnsi="Times New Roman"/>
        </w:rPr>
        <w:t>Introducción</w:t>
      </w:r>
      <w:bookmarkEnd w:id="2"/>
    </w:p>
    <w:p w:rsidR="00AE5B31" w:rsidRPr="00AD1859" w:rsidRDefault="00AE5B31" w:rsidP="00AE5B31"/>
    <w:p w:rsidR="00AE5B31" w:rsidRDefault="00AE5B31" w:rsidP="00AE5B31">
      <w:pPr>
        <w:widowControl w:val="0"/>
        <w:adjustRightInd w:val="0"/>
        <w:jc w:val="both"/>
        <w:textAlignment w:val="baseline"/>
      </w:pPr>
      <w:r>
        <w:t>La sostenida inversión en</w:t>
      </w:r>
      <w:r>
        <w:rPr>
          <w:szCs w:val="24"/>
        </w:rPr>
        <w:t xml:space="preserve"> infraestructuras ha permitido que Panamá se posicione </w:t>
      </w:r>
      <w:r>
        <w:rPr>
          <w:szCs w:val="24"/>
          <w:lang w:val="es-ES_tradnl"/>
        </w:rPr>
        <w:t>como un centro logístico tanto a nivel regional como mundial. La evaluación de 148 naciones realizada por el Foro Económico Mundial en su “</w:t>
      </w:r>
      <w:r w:rsidRPr="00121863">
        <w:rPr>
          <w:i/>
          <w:szCs w:val="24"/>
          <w:lang w:val="es-ES_tradnl"/>
        </w:rPr>
        <w:t>Informe G</w:t>
      </w:r>
      <w:r>
        <w:rPr>
          <w:i/>
          <w:szCs w:val="24"/>
          <w:lang w:val="es-ES_tradnl"/>
        </w:rPr>
        <w:t>lobal de Competitividad 2014-2015”</w:t>
      </w:r>
      <w:r>
        <w:rPr>
          <w:szCs w:val="24"/>
          <w:lang w:val="es-ES_tradnl"/>
        </w:rPr>
        <w:t xml:space="preserve"> permite dimensionar el avance en carreteras (44 de 148), puertos (7 de 148) y aeropuertos (7 de 148). En cuanto a la eficiencia de los procesos aduaneros, si bien existe una percepción de relativa eficiencia (50 de 148), es claro que Guabito, como paso alternativo con Costa Rica para el traslado de personas y transporte de carga, presenta un amplio margen de mejora.</w:t>
      </w:r>
    </w:p>
    <w:p w:rsidR="00AE5B31" w:rsidRDefault="00AE5B31" w:rsidP="00AE5B31">
      <w:pPr>
        <w:widowControl w:val="0"/>
        <w:adjustRightInd w:val="0"/>
        <w:jc w:val="both"/>
        <w:textAlignment w:val="baseline"/>
      </w:pPr>
    </w:p>
    <w:p w:rsidR="00AE5B31" w:rsidRDefault="00AE5B31" w:rsidP="00AE5B31">
      <w:pPr>
        <w:jc w:val="center"/>
        <w:rPr>
          <w:b/>
          <w:bCs/>
          <w:sz w:val="20"/>
          <w:lang w:val="es-ES" w:eastAsia="es-ES"/>
        </w:rPr>
      </w:pPr>
      <w:r>
        <w:rPr>
          <w:b/>
          <w:bCs/>
          <w:sz w:val="20"/>
          <w:lang w:val="es-ES" w:eastAsia="es-ES"/>
        </w:rPr>
        <w:t>PANAMÁ: Posición dentro del Ranking Global de Competividad 2014-2015</w:t>
      </w:r>
    </w:p>
    <w:p w:rsidR="00AE5B31" w:rsidRPr="0006088F" w:rsidRDefault="00AE5B31" w:rsidP="00AE5B31">
      <w:pPr>
        <w:jc w:val="center"/>
        <w:rPr>
          <w:b/>
          <w:bCs/>
          <w:sz w:val="20"/>
          <w:lang w:val="es-ES" w:eastAsia="es-ES"/>
        </w:rPr>
      </w:pPr>
    </w:p>
    <w:p w:rsidR="00AE5B31" w:rsidRDefault="00AE5B31" w:rsidP="00AE5B31">
      <w:pPr>
        <w:widowControl w:val="0"/>
        <w:adjustRightInd w:val="0"/>
        <w:jc w:val="both"/>
        <w:textAlignment w:val="baseline"/>
      </w:pPr>
      <w:r w:rsidRPr="00D63B20">
        <w:rPr>
          <w:noProof/>
          <w:lang w:val="en-US"/>
        </w:rPr>
        <w:drawing>
          <wp:inline distT="0" distB="0" distL="0" distR="0" wp14:anchorId="7295D3EB" wp14:editId="78EFC10C">
            <wp:extent cx="5808345" cy="2295924"/>
            <wp:effectExtent l="0" t="0" r="1905" b="9525"/>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8345" cy="2295924"/>
                    </a:xfrm>
                    <a:prstGeom prst="rect">
                      <a:avLst/>
                    </a:prstGeom>
                    <a:noFill/>
                    <a:ln>
                      <a:noFill/>
                    </a:ln>
                  </pic:spPr>
                </pic:pic>
              </a:graphicData>
            </a:graphic>
          </wp:inline>
        </w:drawing>
      </w:r>
    </w:p>
    <w:p w:rsidR="00AE5B31" w:rsidRPr="00CE05D0" w:rsidRDefault="00AE5B31" w:rsidP="00AE5B31">
      <w:pPr>
        <w:widowControl w:val="0"/>
        <w:adjustRightInd w:val="0"/>
        <w:jc w:val="both"/>
        <w:textAlignment w:val="baseline"/>
        <w:rPr>
          <w:sz w:val="18"/>
        </w:rPr>
      </w:pPr>
      <w:r w:rsidRPr="00CE05D0">
        <w:rPr>
          <w:sz w:val="18"/>
        </w:rPr>
        <w:t>Fuente: Elaboración propia con base en el Infor</w:t>
      </w:r>
      <w:r>
        <w:rPr>
          <w:sz w:val="18"/>
        </w:rPr>
        <w:t>me de Competitividad Global 2014-2015</w:t>
      </w:r>
      <w:r w:rsidRPr="00CE05D0">
        <w:rPr>
          <w:sz w:val="18"/>
        </w:rPr>
        <w:t>.</w:t>
      </w:r>
    </w:p>
    <w:p w:rsidR="00AE5B31" w:rsidRDefault="00AE5B31" w:rsidP="00AE5B31">
      <w:pPr>
        <w:widowControl w:val="0"/>
        <w:adjustRightInd w:val="0"/>
        <w:jc w:val="both"/>
        <w:textAlignment w:val="baseline"/>
      </w:pPr>
    </w:p>
    <w:p w:rsidR="00AE5B31" w:rsidRDefault="00AE5B31" w:rsidP="00AE5B31">
      <w:pPr>
        <w:widowControl w:val="0"/>
        <w:adjustRightInd w:val="0"/>
        <w:jc w:val="both"/>
        <w:textAlignment w:val="baseline"/>
      </w:pPr>
      <w:r>
        <w:t xml:space="preserve">Bajo este contexto, el Banco Interamericano de Desarrollo (BID) junto con las autoridades del Gobierno de Panamá preparan una operación de crédito para la modernización de los puestos fronterizos terrestres con Costa Rica (Paso Canoas y Guabito). La operación busca fortalecer la competitividad del comercio interno y externo de Panamá, garantizando la eficacia en los controles fiscales y parafiscales y permitiendo una actuación eficiente por parte de las instituciones responsables.  </w:t>
      </w:r>
      <w:r w:rsidRPr="00133B34">
        <w:t xml:space="preserve">Específicamente esta operación busca </w:t>
      </w:r>
      <w:r w:rsidRPr="00133B34">
        <w:rPr>
          <w:szCs w:val="24"/>
        </w:rPr>
        <w:t xml:space="preserve">generar ahorros en costos por reducción de tiempos de permanencia en los pasos </w:t>
      </w:r>
      <w:r>
        <w:rPr>
          <w:szCs w:val="24"/>
        </w:rPr>
        <w:t>fronterizos, tanto pasajeros como para el transporte de mercancías.</w:t>
      </w:r>
    </w:p>
    <w:p w:rsidR="00AE5B31" w:rsidRDefault="00AE5B31" w:rsidP="00AE5B31">
      <w:pPr>
        <w:widowControl w:val="0"/>
        <w:adjustRightInd w:val="0"/>
        <w:jc w:val="both"/>
        <w:textAlignment w:val="baseline"/>
      </w:pPr>
    </w:p>
    <w:p w:rsidR="00AE5B31" w:rsidRDefault="00AE5B31" w:rsidP="00AE5B31">
      <w:pPr>
        <w:widowControl w:val="0"/>
        <w:adjustRightInd w:val="0"/>
        <w:jc w:val="both"/>
        <w:textAlignment w:val="baseline"/>
        <w:rPr>
          <w:szCs w:val="24"/>
        </w:rPr>
      </w:pPr>
      <w:r>
        <w:t xml:space="preserve">En este sentido, el Banco contrató la “Consultoría para la realización del modelado de procesos, estimación de ahorros y evaluación económica, para los Pasos de Frontera Terrestres de Panamá  (Paso Canoas y Guabito), persiguiendo 3 objetivos: i) Estimación de la línea base del desempeño de procesos actuales de cruce de frontera, ii) Medición del nivel de satisfacción de los usuarios con los servicios de cruce de frontera, iii) Estimación de los ahorros en tiempos </w:t>
      </w:r>
      <w:r>
        <w:lastRenderedPageBreak/>
        <w:t xml:space="preserve">y costos.  </w:t>
      </w:r>
      <w:r>
        <w:rPr>
          <w:szCs w:val="24"/>
        </w:rPr>
        <w:t xml:space="preserve">El presente documento de </w:t>
      </w:r>
      <w:r w:rsidRPr="00627FAD">
        <w:rPr>
          <w:szCs w:val="24"/>
        </w:rPr>
        <w:t>Evaluación</w:t>
      </w:r>
      <w:r>
        <w:rPr>
          <w:szCs w:val="24"/>
        </w:rPr>
        <w:t xml:space="preserve"> Económica cuantifica el potencial beneficio del Proyecto de Modernización del Paso de Frontera Guabito </w:t>
      </w:r>
      <w:r>
        <w:rPr>
          <w:szCs w:val="24"/>
          <w:lang w:val="es-CR"/>
        </w:rPr>
        <w:t xml:space="preserve">(Panamá-Costa Rica) con respecto a la situación actual, esto con el fin de determinar la conveniencia de proceder con su ejecución. </w:t>
      </w: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p>
    <w:p w:rsidR="00AE5B31" w:rsidRPr="000D7061" w:rsidRDefault="00AE5B31" w:rsidP="00AE5B31">
      <w:pPr>
        <w:pStyle w:val="Heading1"/>
        <w:numPr>
          <w:ilvl w:val="0"/>
          <w:numId w:val="25"/>
        </w:numPr>
        <w:tabs>
          <w:tab w:val="left" w:pos="270"/>
        </w:tabs>
        <w:ind w:left="0" w:firstLine="0"/>
        <w:jc w:val="both"/>
        <w:rPr>
          <w:b w:val="0"/>
        </w:rPr>
      </w:pPr>
      <w:bookmarkStart w:id="3" w:name="_Toc428992891"/>
      <w:r>
        <w:rPr>
          <w:rFonts w:ascii="Times New Roman" w:hAnsi="Times New Roman"/>
        </w:rPr>
        <w:lastRenderedPageBreak/>
        <w:t>Demanda Actual y Proyectada 2015-2038</w:t>
      </w:r>
      <w:bookmarkEnd w:id="3"/>
    </w:p>
    <w:p w:rsidR="00AE5B31" w:rsidRPr="0006088F" w:rsidRDefault="00AE5B31" w:rsidP="00AE5B31">
      <w:pPr>
        <w:jc w:val="both"/>
      </w:pPr>
    </w:p>
    <w:p w:rsidR="00AE5B31" w:rsidRDefault="00AE5B31" w:rsidP="00AE5B31">
      <w:pPr>
        <w:jc w:val="both"/>
      </w:pPr>
      <w:bookmarkStart w:id="4" w:name="_Ref351825304"/>
      <w:bookmarkStart w:id="5" w:name="_Ref338436022"/>
      <w:r w:rsidRPr="006752D1">
        <w:t xml:space="preserve">Para la evaluación económica es necesario disponer delvolumen de tránsito (demanda) </w:t>
      </w:r>
      <w:r>
        <w:t>de Guabito</w:t>
      </w:r>
      <w:r w:rsidRPr="006752D1">
        <w:t xml:space="preserve"> expresado en términos anuales (pas</w:t>
      </w:r>
      <w:r>
        <w:t>ajeros</w:t>
      </w:r>
      <w:r w:rsidRPr="006752D1">
        <w:t>/año y veh</w:t>
      </w:r>
      <w:r>
        <w:t>ículos</w:t>
      </w:r>
      <w:r w:rsidRPr="006752D1">
        <w:t xml:space="preserve">/año) o diarios como </w:t>
      </w:r>
      <w:r>
        <w:t>el Tránsito Promedio Diario Anual (</w:t>
      </w:r>
      <w:r w:rsidRPr="006752D1">
        <w:t>TPDA</w:t>
      </w:r>
      <w:r>
        <w:t>), segmentando</w:t>
      </w:r>
      <w:r w:rsidRPr="006752D1">
        <w:t xml:space="preserve"> por tipo de vehículos característicos y personas a pie. En ese sentido,</w:t>
      </w:r>
      <w:r>
        <w:t xml:space="preserve"> con base en datos de la Dirección General de Migración y Extranjería de Costa Rica, el Instituto Nacional de Estadística y Censo de Panamá y el Servicio Nacional de Migración de Panamáse han construido las series de tiempo correspondiente al número de personas que transitan Guabito tanto en sentido Panamá-Costa Rica como Costa Rica-Panam</w:t>
      </w:r>
      <w:r>
        <w:rPr>
          <w:lang w:val="es-CR"/>
        </w:rPr>
        <w:t>á</w:t>
      </w:r>
      <w:r>
        <w:t xml:space="preserve">.  </w:t>
      </w:r>
    </w:p>
    <w:p w:rsidR="00AE5B31" w:rsidRDefault="00AE5B31" w:rsidP="00AE5B31">
      <w:pPr>
        <w:jc w:val="both"/>
      </w:pPr>
    </w:p>
    <w:p w:rsidR="00AE5B31" w:rsidRDefault="00AE5B31" w:rsidP="00AE5B31">
      <w:pPr>
        <w:jc w:val="both"/>
      </w:pPr>
      <w:r>
        <w:t xml:space="preserve">Asimismo, dada la carencia de información oficial segregada por tipos de vehículos y personas a pie, se ha procedido a extrapolar las cifras totales de acuerdo estimaciones incluidas en el documento </w:t>
      </w:r>
      <w:r w:rsidRPr="00AA265D">
        <w:rPr>
          <w:i/>
        </w:rPr>
        <w:t xml:space="preserve">“Elaboración de la línea base y estimación de ahorros para los procesos de carga y migración del paso de frontera </w:t>
      </w:r>
      <w:r>
        <w:rPr>
          <w:i/>
        </w:rPr>
        <w:t>Guabito</w:t>
      </w:r>
      <w:r w:rsidRPr="00AA265D">
        <w:rPr>
          <w:i/>
        </w:rPr>
        <w:t>, Cabecera de Panamá”</w:t>
      </w:r>
      <w:r w:rsidRPr="001E1941">
        <w:rPr>
          <w:i/>
        </w:rPr>
        <w:t xml:space="preserve">. </w:t>
      </w:r>
      <w:r>
        <w:t xml:space="preserve">De esta forma ha sido posible segmentar la demanda según </w:t>
      </w:r>
      <w:r w:rsidRPr="006752D1">
        <w:t>(i) automóviles (incluyendo en esta denominación a camionetas y similares)</w:t>
      </w:r>
      <w:r>
        <w:t xml:space="preserve">; </w:t>
      </w:r>
      <w:r w:rsidRPr="006752D1">
        <w:t>(ii) au</w:t>
      </w:r>
      <w:r>
        <w:t xml:space="preserve">tobuses (en Guabito corresponden a busetas de turismo) y iii) peatones. </w:t>
      </w:r>
    </w:p>
    <w:p w:rsidR="00AE5B31" w:rsidRPr="00345AEF" w:rsidRDefault="00AE5B31" w:rsidP="00AE5B31">
      <w:pPr>
        <w:ind w:left="709"/>
        <w:jc w:val="both"/>
        <w:rPr>
          <w:szCs w:val="24"/>
          <w:u w:val="single"/>
        </w:rPr>
      </w:pPr>
    </w:p>
    <w:p w:rsidR="00AE5B31" w:rsidRPr="00E86496" w:rsidRDefault="00AE5B31" w:rsidP="00AE5B31">
      <w:pPr>
        <w:jc w:val="both"/>
        <w:rPr>
          <w:szCs w:val="24"/>
        </w:rPr>
      </w:pPr>
      <w:r>
        <w:t xml:space="preserve">En el caso de </w:t>
      </w:r>
      <w:r w:rsidRPr="006752D1">
        <w:t>vehículos de carga (</w:t>
      </w:r>
      <w:r>
        <w:t>en su mayoría</w:t>
      </w:r>
      <w:r w:rsidRPr="006752D1">
        <w:t xml:space="preserve"> “camiones articulados</w:t>
      </w:r>
      <w:r>
        <w:t>”</w:t>
      </w:r>
      <w:r w:rsidRPr="006752D1">
        <w:t xml:space="preserve">); </w:t>
      </w:r>
      <w:bookmarkEnd w:id="4"/>
      <w:r>
        <w:t xml:space="preserve">se construyeron las series de comercio intrarregional con base en datos del Sistema de Estadísticas de Comercio (SEC) de la Secretaría de Integración Económica Centroamericana (SIECA), la Promotora de Comercio Exterior de Costa Rica (Procomer) y el Instituto Nacional de Estadística y Censo de Panamá. Del mismo modo, con base en las cifras oficiales y el estudio citado anteriormente, se extrapolaron los volúmenes de carga con el fin de estimar la cantidad y tipos de vehículos de carga que utilizan Guabito. Específicamente, en el sentido Panamá-Costa Rica se estiman las siguientes categorías: i) Camiones Cargados con exportaciones hacia Costa Rica, ii) Camiones Cargados en Tránsito (exportaciones convencionales panameñas y reexportaciones de la Zona Libre de Colón) y iii) Camiones Vacíos. En el sentido Costa Rica-Panamá se segmentaron los datos de demanda en i) Camiones Cargados con importaciones desde Costa Rica, ii) Camiones Cargados en Tránsito y iii) Camiones Vacíos.  </w:t>
      </w:r>
    </w:p>
    <w:p w:rsidR="00AE5B31" w:rsidRPr="00BD5339" w:rsidRDefault="00AE5B31" w:rsidP="00AE5B31">
      <w:pPr>
        <w:pStyle w:val="Heading2"/>
        <w:ind w:left="0"/>
        <w:rPr>
          <w:rFonts w:ascii="Times New Roman" w:hAnsi="Times New Roman"/>
          <w:i w:val="0"/>
          <w:szCs w:val="22"/>
        </w:rPr>
      </w:pPr>
      <w:bookmarkStart w:id="6" w:name="_Toc428992892"/>
      <w:bookmarkStart w:id="7" w:name="_Ref342375410"/>
      <w:r>
        <w:rPr>
          <w:rFonts w:ascii="Times New Roman" w:hAnsi="Times New Roman"/>
          <w:i w:val="0"/>
          <w:szCs w:val="22"/>
        </w:rPr>
        <w:t>Tránsito de Personas</w:t>
      </w:r>
      <w:bookmarkEnd w:id="6"/>
    </w:p>
    <w:p w:rsidR="00AE5B31" w:rsidRPr="0006088F" w:rsidRDefault="00AE5B31" w:rsidP="00AE5B31">
      <w:pPr>
        <w:pStyle w:val="ListParagraph"/>
        <w:rPr>
          <w:szCs w:val="24"/>
        </w:rPr>
      </w:pPr>
    </w:p>
    <w:p w:rsidR="00AE5B31" w:rsidRPr="009A794A" w:rsidRDefault="00AE5B31" w:rsidP="00AE5B31">
      <w:pPr>
        <w:jc w:val="both"/>
        <w:rPr>
          <w:szCs w:val="24"/>
        </w:rPr>
      </w:pPr>
      <w:r w:rsidRPr="000D7061">
        <w:rPr>
          <w:szCs w:val="24"/>
          <w:u w:val="single"/>
        </w:rPr>
        <w:t>Pasajeros y Vehículos de Pasajeros.</w:t>
      </w:r>
      <w:r w:rsidRPr="00F35EF1">
        <w:rPr>
          <w:szCs w:val="24"/>
        </w:rPr>
        <w:t xml:space="preserve">El movimiento de pasajeros en </w:t>
      </w:r>
      <w:r>
        <w:rPr>
          <w:szCs w:val="24"/>
        </w:rPr>
        <w:t>Guabito</w:t>
      </w:r>
      <w:r w:rsidRPr="00F35EF1">
        <w:rPr>
          <w:szCs w:val="24"/>
        </w:rPr>
        <w:t xml:space="preserve">alcanzó </w:t>
      </w:r>
      <w:r>
        <w:rPr>
          <w:szCs w:val="24"/>
        </w:rPr>
        <w:t>un total de 76,744 personas en 2014</w:t>
      </w:r>
      <w:r w:rsidRPr="00F35EF1">
        <w:rPr>
          <w:szCs w:val="24"/>
        </w:rPr>
        <w:t>en</w:t>
      </w:r>
      <w:r>
        <w:rPr>
          <w:szCs w:val="24"/>
        </w:rPr>
        <w:t xml:space="preserve"> el sentido Panamá-Costa Rica</w:t>
      </w:r>
      <w:r w:rsidRPr="00F35EF1">
        <w:rPr>
          <w:szCs w:val="24"/>
        </w:rPr>
        <w:t>, mostrando una Tasa de Crecimiento</w:t>
      </w:r>
      <w:r>
        <w:rPr>
          <w:szCs w:val="24"/>
        </w:rPr>
        <w:t xml:space="preserve"> Anual Compuesta (TCAC) de un 14.4% durante el período 2001-2014</w:t>
      </w:r>
      <w:r w:rsidRPr="00F35EF1">
        <w:rPr>
          <w:szCs w:val="24"/>
        </w:rPr>
        <w:t xml:space="preserve">. </w:t>
      </w:r>
      <w:r>
        <w:rPr>
          <w:szCs w:val="24"/>
        </w:rPr>
        <w:t>En el sentido Costa Rica-Panamá el año 2014 registró 78,409 personas, con una TCAC de 14.0</w:t>
      </w:r>
      <w:r w:rsidRPr="00F35EF1">
        <w:rPr>
          <w:szCs w:val="24"/>
        </w:rPr>
        <w:t xml:space="preserve">% entre 2001 y </w:t>
      </w:r>
      <w:r>
        <w:rPr>
          <w:szCs w:val="24"/>
        </w:rPr>
        <w:t>2014</w:t>
      </w:r>
      <w:r w:rsidRPr="009A794A">
        <w:rPr>
          <w:szCs w:val="24"/>
        </w:rPr>
        <w:t>. E</w:t>
      </w:r>
      <w:r>
        <w:rPr>
          <w:szCs w:val="24"/>
        </w:rPr>
        <w:t>n relación al tipo de transporte</w:t>
      </w:r>
      <w:r>
        <w:rPr>
          <w:rStyle w:val="FootnoteReference"/>
          <w:szCs w:val="24"/>
        </w:rPr>
        <w:footnoteReference w:id="1"/>
      </w:r>
      <w:r>
        <w:rPr>
          <w:szCs w:val="24"/>
        </w:rPr>
        <w:t>,e</w:t>
      </w:r>
      <w:r w:rsidRPr="009A794A">
        <w:rPr>
          <w:szCs w:val="24"/>
        </w:rPr>
        <w:t>l movimiento de pasajeros</w:t>
      </w:r>
      <w:r>
        <w:rPr>
          <w:szCs w:val="24"/>
        </w:rPr>
        <w:t xml:space="preserve"> en ambos sentidos</w:t>
      </w:r>
      <w:r w:rsidRPr="009A794A">
        <w:rPr>
          <w:szCs w:val="24"/>
        </w:rPr>
        <w:t>se</w:t>
      </w:r>
      <w:r>
        <w:rPr>
          <w:szCs w:val="24"/>
        </w:rPr>
        <w:t>efectúa principalmente a pie(81</w:t>
      </w:r>
      <w:r w:rsidRPr="009A794A">
        <w:rPr>
          <w:szCs w:val="24"/>
        </w:rPr>
        <w:t xml:space="preserve">% del total), </w:t>
      </w:r>
      <w:r>
        <w:rPr>
          <w:szCs w:val="24"/>
        </w:rPr>
        <w:t>seguido del traslado en busetas de turismo (12%) y automóvil particular (7%)</w:t>
      </w:r>
      <w:r w:rsidRPr="009A794A">
        <w:rPr>
          <w:szCs w:val="24"/>
        </w:rPr>
        <w:t>. Para efectos de la pr</w:t>
      </w:r>
      <w:r>
        <w:rPr>
          <w:szCs w:val="24"/>
        </w:rPr>
        <w:t xml:space="preserve">esente Evaluación Económica, </w:t>
      </w:r>
      <w:r w:rsidRPr="009A794A">
        <w:rPr>
          <w:szCs w:val="24"/>
        </w:rPr>
        <w:t>se supone un porcentaje</w:t>
      </w:r>
      <w:r>
        <w:rPr>
          <w:szCs w:val="24"/>
        </w:rPr>
        <w:t>de pasajeros a pie del 80%, en los dos sentidos.</w:t>
      </w:r>
    </w:p>
    <w:p w:rsidR="00AE5B31" w:rsidRPr="009A794A" w:rsidRDefault="00AE5B31" w:rsidP="00AE5B31">
      <w:pPr>
        <w:pStyle w:val="ListParagraph"/>
        <w:rPr>
          <w:szCs w:val="24"/>
        </w:rPr>
      </w:pPr>
    </w:p>
    <w:p w:rsidR="00AE5B31" w:rsidRDefault="00AE5B31" w:rsidP="00AE5B31">
      <w:pPr>
        <w:jc w:val="both"/>
        <w:rPr>
          <w:szCs w:val="24"/>
        </w:rPr>
      </w:pPr>
      <w:r w:rsidRPr="009A794A">
        <w:rPr>
          <w:szCs w:val="24"/>
        </w:rPr>
        <w:lastRenderedPageBreak/>
        <w:t xml:space="preserve">El Consultor ha validado la conveniencia de </w:t>
      </w:r>
      <w:r>
        <w:rPr>
          <w:szCs w:val="24"/>
        </w:rPr>
        <w:t xml:space="preserve">utilizar </w:t>
      </w:r>
      <w:r w:rsidRPr="009A794A">
        <w:rPr>
          <w:szCs w:val="24"/>
        </w:rPr>
        <w:t xml:space="preserve">la regresión lineal como instrumento para proyectar la demanda futura de vehículos y pasajeros.  En este sentido, </w:t>
      </w:r>
      <w:r>
        <w:rPr>
          <w:szCs w:val="24"/>
        </w:rPr>
        <w:t>se</w:t>
      </w:r>
      <w:r w:rsidRPr="009A794A">
        <w:rPr>
          <w:szCs w:val="24"/>
        </w:rPr>
        <w:t xml:space="preserve"> ha decido utilizar la regresión lineal</w:t>
      </w:r>
      <w:r>
        <w:rPr>
          <w:rStyle w:val="FootnoteReference"/>
          <w:szCs w:val="24"/>
        </w:rPr>
        <w:footnoteReference w:id="2"/>
      </w:r>
      <w:r w:rsidRPr="009A794A">
        <w:rPr>
          <w:szCs w:val="24"/>
        </w:rPr>
        <w:t xml:space="preserve"> en aquellos casos en los cuales las series históricas permitan obtener un indicador R2</w:t>
      </w:r>
      <w:r>
        <w:rPr>
          <w:rStyle w:val="FootnoteReference"/>
          <w:szCs w:val="24"/>
        </w:rPr>
        <w:footnoteReference w:id="3"/>
      </w:r>
      <w:r w:rsidRPr="009A794A">
        <w:rPr>
          <w:szCs w:val="24"/>
        </w:rPr>
        <w:t xml:space="preserve"> adecuado (</w:t>
      </w:r>
      <w:r>
        <w:rPr>
          <w:szCs w:val="24"/>
        </w:rPr>
        <w:t>como mínimo 0.6</w:t>
      </w:r>
      <w:r>
        <w:rPr>
          <w:rStyle w:val="FootnoteReference"/>
          <w:szCs w:val="24"/>
        </w:rPr>
        <w:footnoteReference w:id="4"/>
      </w:r>
      <w:r w:rsidRPr="009A794A">
        <w:rPr>
          <w:szCs w:val="24"/>
        </w:rPr>
        <w:t>). En el caso del flujo de p</w:t>
      </w:r>
      <w:r>
        <w:rPr>
          <w:szCs w:val="24"/>
        </w:rPr>
        <w:t>asajeros en el sentido Panamá-Costa Rica</w:t>
      </w:r>
      <w:r w:rsidRPr="009A794A">
        <w:rPr>
          <w:szCs w:val="24"/>
        </w:rPr>
        <w:t xml:space="preserve"> el R2 mostrado fue</w:t>
      </w:r>
      <w:r>
        <w:rPr>
          <w:szCs w:val="24"/>
        </w:rPr>
        <w:t xml:space="preserve"> igual a 0.941</w:t>
      </w:r>
      <w:r w:rsidRPr="009A794A">
        <w:rPr>
          <w:szCs w:val="24"/>
        </w:rPr>
        <w:t>, mien</w:t>
      </w:r>
      <w:r>
        <w:rPr>
          <w:szCs w:val="24"/>
        </w:rPr>
        <w:t xml:space="preserve">tras que en el sentido </w:t>
      </w:r>
      <w:r w:rsidRPr="009A794A">
        <w:rPr>
          <w:szCs w:val="24"/>
        </w:rPr>
        <w:t>Costa Rica</w:t>
      </w:r>
      <w:r>
        <w:rPr>
          <w:szCs w:val="24"/>
        </w:rPr>
        <w:t>-Panamá</w:t>
      </w:r>
      <w:r w:rsidRPr="009A794A">
        <w:rPr>
          <w:szCs w:val="24"/>
        </w:rPr>
        <w:t xml:space="preserve"> el R2 arrojó 0.</w:t>
      </w:r>
      <w:r>
        <w:rPr>
          <w:szCs w:val="24"/>
        </w:rPr>
        <w:t>878</w:t>
      </w:r>
      <w:r w:rsidRPr="009A794A">
        <w:rPr>
          <w:szCs w:val="24"/>
        </w:rPr>
        <w:t>. Aplicando la regresión lineal se estimó el flujo de pasajeros total</w:t>
      </w:r>
      <w:r>
        <w:rPr>
          <w:szCs w:val="24"/>
        </w:rPr>
        <w:t>es que utilizarían Guabito en el período 2015-2038</w:t>
      </w:r>
      <w:r w:rsidRPr="009A794A">
        <w:rPr>
          <w:szCs w:val="24"/>
        </w:rPr>
        <w:t xml:space="preserve">. </w:t>
      </w:r>
    </w:p>
    <w:p w:rsidR="00AE5B31" w:rsidRPr="009A794A" w:rsidRDefault="00AE5B31" w:rsidP="00AE5B31">
      <w:pPr>
        <w:jc w:val="both"/>
        <w:rPr>
          <w:szCs w:val="24"/>
        </w:rPr>
      </w:pPr>
    </w:p>
    <w:p w:rsidR="00AE5B31" w:rsidRPr="00B70F2C" w:rsidRDefault="00AE5B31" w:rsidP="00AE5B31">
      <w:pPr>
        <w:pStyle w:val="ListParagraph"/>
        <w:ind w:left="705"/>
        <w:jc w:val="center"/>
        <w:rPr>
          <w:b/>
          <w:sz w:val="22"/>
          <w:szCs w:val="22"/>
        </w:rPr>
      </w:pPr>
      <w:r w:rsidRPr="00B70F2C">
        <w:rPr>
          <w:b/>
          <w:sz w:val="22"/>
          <w:szCs w:val="22"/>
        </w:rPr>
        <w:t xml:space="preserve">Cuadro </w:t>
      </w:r>
      <w:r>
        <w:rPr>
          <w:b/>
          <w:sz w:val="22"/>
          <w:szCs w:val="22"/>
        </w:rPr>
        <w:t>I</w:t>
      </w:r>
    </w:p>
    <w:p w:rsidR="00AE5B31" w:rsidRPr="00B70F2C" w:rsidRDefault="00AE5B31" w:rsidP="00AE5B31">
      <w:pPr>
        <w:pStyle w:val="ListParagraph"/>
        <w:ind w:left="705"/>
        <w:jc w:val="center"/>
        <w:rPr>
          <w:b/>
          <w:bCs/>
          <w:sz w:val="20"/>
          <w:lang w:val="es-ES" w:eastAsia="es-ES"/>
        </w:rPr>
      </w:pPr>
      <w:r>
        <w:rPr>
          <w:b/>
          <w:bCs/>
          <w:sz w:val="20"/>
          <w:lang w:val="es-ES" w:eastAsia="es-ES"/>
        </w:rPr>
        <w:t>GUABITO</w:t>
      </w:r>
    </w:p>
    <w:p w:rsidR="00AE5B31" w:rsidRPr="00B70F2C" w:rsidRDefault="00AE5B31" w:rsidP="00AE5B31">
      <w:pPr>
        <w:pStyle w:val="ListParagraph"/>
        <w:ind w:left="705"/>
        <w:jc w:val="center"/>
        <w:rPr>
          <w:sz w:val="20"/>
        </w:rPr>
      </w:pPr>
      <w:r w:rsidRPr="0054769D">
        <w:rPr>
          <w:b/>
          <w:bCs/>
          <w:sz w:val="20"/>
          <w:lang w:val="es-ES" w:eastAsia="es-ES"/>
        </w:rPr>
        <w:t xml:space="preserve">Proyección de Personas </w:t>
      </w:r>
      <w:r>
        <w:rPr>
          <w:b/>
          <w:bCs/>
          <w:sz w:val="20"/>
          <w:lang w:val="es-ES" w:eastAsia="es-ES"/>
        </w:rPr>
        <w:t>y TPDA</w:t>
      </w:r>
      <w:r w:rsidRPr="0054769D">
        <w:rPr>
          <w:b/>
          <w:bCs/>
          <w:sz w:val="20"/>
          <w:lang w:val="es-ES" w:eastAsia="es-ES"/>
        </w:rPr>
        <w:t xml:space="preserve"> 2015-2038</w:t>
      </w:r>
    </w:p>
    <w:p w:rsidR="00AE5B31" w:rsidRDefault="00AE5B31" w:rsidP="00AE5B31">
      <w:pPr>
        <w:jc w:val="both"/>
        <w:rPr>
          <w:szCs w:val="24"/>
        </w:rPr>
      </w:pPr>
    </w:p>
    <w:tbl>
      <w:tblPr>
        <w:tblStyle w:val="TableGrid"/>
        <w:tblW w:w="8494" w:type="dxa"/>
        <w:tblInd w:w="715" w:type="dxa"/>
        <w:tblLook w:val="04A0" w:firstRow="1" w:lastRow="0" w:firstColumn="1" w:lastColumn="0" w:noHBand="0" w:noVBand="1"/>
      </w:tblPr>
      <w:tblGrid>
        <w:gridCol w:w="4320"/>
        <w:gridCol w:w="4174"/>
      </w:tblGrid>
      <w:tr w:rsidR="00AE5B31" w:rsidTr="00E7602D">
        <w:tc>
          <w:tcPr>
            <w:tcW w:w="4320" w:type="dxa"/>
            <w:vAlign w:val="center"/>
          </w:tcPr>
          <w:p w:rsidR="00AE5B31" w:rsidRPr="00FF63C9" w:rsidRDefault="00AE5B31" w:rsidP="00E7602D">
            <w:pPr>
              <w:jc w:val="center"/>
              <w:rPr>
                <w:rFonts w:asciiTheme="minorHAnsi" w:hAnsiTheme="minorHAnsi"/>
                <w:b/>
                <w:sz w:val="20"/>
                <w:szCs w:val="24"/>
                <w:lang w:val="es-CR"/>
              </w:rPr>
            </w:pPr>
            <w:r>
              <w:rPr>
                <w:rFonts w:asciiTheme="minorHAnsi" w:hAnsiTheme="minorHAnsi"/>
                <w:b/>
                <w:sz w:val="20"/>
                <w:szCs w:val="24"/>
              </w:rPr>
              <w:t>Sentido</w:t>
            </w:r>
          </w:p>
        </w:tc>
        <w:tc>
          <w:tcPr>
            <w:tcW w:w="4174" w:type="dxa"/>
            <w:vAlign w:val="center"/>
          </w:tcPr>
          <w:p w:rsidR="00AE5B31" w:rsidRPr="00AF0DB7" w:rsidRDefault="00AE5B31" w:rsidP="00E7602D">
            <w:pPr>
              <w:jc w:val="center"/>
              <w:rPr>
                <w:rFonts w:asciiTheme="minorHAnsi" w:hAnsiTheme="minorHAnsi"/>
                <w:b/>
                <w:sz w:val="20"/>
                <w:szCs w:val="24"/>
                <w:lang w:val="es-CR"/>
              </w:rPr>
            </w:pPr>
            <w:r>
              <w:rPr>
                <w:rFonts w:asciiTheme="minorHAnsi" w:hAnsiTheme="minorHAnsi"/>
                <w:b/>
                <w:sz w:val="20"/>
                <w:szCs w:val="24"/>
              </w:rPr>
              <w:t xml:space="preserve">Ecuación </w:t>
            </w:r>
            <w:r>
              <w:rPr>
                <w:rFonts w:asciiTheme="minorHAnsi" w:hAnsiTheme="minorHAnsi"/>
                <w:b/>
                <w:sz w:val="20"/>
                <w:szCs w:val="24"/>
                <w:lang w:val="es-CR"/>
              </w:rPr>
              <w:t>/ Supuestos</w:t>
            </w:r>
          </w:p>
        </w:tc>
      </w:tr>
      <w:tr w:rsidR="00AE5B31" w:rsidTr="00E7602D">
        <w:tc>
          <w:tcPr>
            <w:tcW w:w="4320" w:type="dxa"/>
            <w:vAlign w:val="center"/>
          </w:tcPr>
          <w:p w:rsidR="00AE5B31" w:rsidRPr="008A1783" w:rsidRDefault="00AE5B31" w:rsidP="00E7602D">
            <w:pPr>
              <w:rPr>
                <w:rFonts w:asciiTheme="minorHAnsi" w:hAnsiTheme="minorHAnsi"/>
                <w:b/>
                <w:bCs/>
                <w:sz w:val="20"/>
                <w:lang w:val="es-ES" w:eastAsia="es-ES"/>
              </w:rPr>
            </w:pPr>
            <w:r w:rsidRPr="008A1783">
              <w:rPr>
                <w:rFonts w:asciiTheme="minorHAnsi" w:hAnsiTheme="minorHAnsi"/>
                <w:b/>
                <w:bCs/>
                <w:sz w:val="20"/>
                <w:lang w:val="es-ES" w:eastAsia="es-ES"/>
              </w:rPr>
              <w:t>Flujo de Personas</w:t>
            </w:r>
          </w:p>
        </w:tc>
        <w:tc>
          <w:tcPr>
            <w:tcW w:w="4174" w:type="dxa"/>
            <w:vAlign w:val="center"/>
          </w:tcPr>
          <w:p w:rsidR="00AE5B31" w:rsidRPr="0054769D" w:rsidRDefault="00AE5B31" w:rsidP="00E7602D">
            <w:pPr>
              <w:jc w:val="center"/>
              <w:rPr>
                <w:rFonts w:asciiTheme="minorHAnsi" w:hAnsiTheme="minorHAnsi"/>
                <w:sz w:val="20"/>
                <w:szCs w:val="24"/>
              </w:rPr>
            </w:pPr>
          </w:p>
        </w:tc>
      </w:tr>
      <w:tr w:rsidR="00AE5B31" w:rsidTr="00E7602D">
        <w:tc>
          <w:tcPr>
            <w:tcW w:w="4320" w:type="dxa"/>
            <w:vAlign w:val="center"/>
          </w:tcPr>
          <w:p w:rsidR="00AE5B31" w:rsidRPr="008A1783" w:rsidRDefault="00AE5B31" w:rsidP="00E7602D">
            <w:pPr>
              <w:jc w:val="both"/>
              <w:rPr>
                <w:rFonts w:asciiTheme="minorHAnsi" w:hAnsiTheme="minorHAnsi"/>
                <w:sz w:val="20"/>
                <w:szCs w:val="24"/>
              </w:rPr>
            </w:pPr>
            <w:r>
              <w:rPr>
                <w:rFonts w:asciiTheme="minorHAnsi" w:hAnsiTheme="minorHAnsi"/>
                <w:sz w:val="20"/>
                <w:szCs w:val="24"/>
              </w:rPr>
              <w:t>PAN</w:t>
            </w:r>
            <w:r w:rsidRPr="008A1783">
              <w:rPr>
                <w:rFonts w:asciiTheme="minorHAnsi" w:hAnsiTheme="minorHAnsi"/>
                <w:sz w:val="20"/>
                <w:szCs w:val="24"/>
              </w:rPr>
              <w:t>&gt;CR</w:t>
            </w:r>
          </w:p>
        </w:tc>
        <w:tc>
          <w:tcPr>
            <w:tcW w:w="4174" w:type="dxa"/>
            <w:vAlign w:val="center"/>
          </w:tcPr>
          <w:p w:rsidR="00AE5B31" w:rsidRPr="0054769D" w:rsidRDefault="00AE5B31" w:rsidP="00E7602D">
            <w:pPr>
              <w:jc w:val="center"/>
              <w:rPr>
                <w:rFonts w:asciiTheme="minorHAnsi" w:hAnsiTheme="minorHAnsi"/>
                <w:sz w:val="20"/>
                <w:szCs w:val="24"/>
                <w:lang w:val="es-CR"/>
              </w:rPr>
            </w:pPr>
            <w:r w:rsidRPr="0054769D">
              <w:rPr>
                <w:rFonts w:asciiTheme="minorHAnsi" w:hAnsiTheme="minorHAnsi"/>
                <w:sz w:val="20"/>
                <w:szCs w:val="24"/>
              </w:rPr>
              <w:t>Y</w:t>
            </w:r>
            <w:r>
              <w:rPr>
                <w:rFonts w:asciiTheme="minorHAnsi" w:hAnsiTheme="minorHAnsi"/>
                <w:sz w:val="20"/>
                <w:szCs w:val="24"/>
                <w:lang w:val="es-CR"/>
              </w:rPr>
              <w:t>=15,355+4089.9</w:t>
            </w:r>
            <w:r w:rsidRPr="0054769D">
              <w:rPr>
                <w:rFonts w:asciiTheme="minorHAnsi" w:hAnsiTheme="minorHAnsi"/>
                <w:sz w:val="20"/>
                <w:szCs w:val="24"/>
                <w:lang w:val="es-CR"/>
              </w:rPr>
              <w:t>X</w:t>
            </w:r>
          </w:p>
        </w:tc>
      </w:tr>
      <w:tr w:rsidR="00AE5B31" w:rsidTr="00E7602D">
        <w:tc>
          <w:tcPr>
            <w:tcW w:w="4320" w:type="dxa"/>
          </w:tcPr>
          <w:p w:rsidR="00AE5B31" w:rsidRPr="00B70F2C" w:rsidRDefault="00AE5B31" w:rsidP="00E7602D">
            <w:pPr>
              <w:jc w:val="both"/>
              <w:rPr>
                <w:rFonts w:asciiTheme="minorHAnsi" w:hAnsiTheme="minorHAnsi"/>
                <w:sz w:val="20"/>
                <w:szCs w:val="24"/>
              </w:rPr>
            </w:pPr>
            <w:r>
              <w:rPr>
                <w:rFonts w:asciiTheme="minorHAnsi" w:hAnsiTheme="minorHAnsi"/>
                <w:sz w:val="20"/>
                <w:szCs w:val="24"/>
              </w:rPr>
              <w:t>CR&gt;PAN</w:t>
            </w:r>
          </w:p>
        </w:tc>
        <w:tc>
          <w:tcPr>
            <w:tcW w:w="4174" w:type="dxa"/>
          </w:tcPr>
          <w:p w:rsidR="00AE5B31" w:rsidRPr="00B70F2C" w:rsidRDefault="00AE5B31" w:rsidP="00E7602D">
            <w:pPr>
              <w:jc w:val="center"/>
              <w:rPr>
                <w:rFonts w:asciiTheme="minorHAnsi" w:hAnsiTheme="minorHAnsi"/>
                <w:sz w:val="20"/>
                <w:szCs w:val="24"/>
              </w:rPr>
            </w:pPr>
            <w:r w:rsidRPr="0054769D">
              <w:rPr>
                <w:rFonts w:asciiTheme="minorHAnsi" w:hAnsiTheme="minorHAnsi"/>
                <w:sz w:val="20"/>
                <w:szCs w:val="24"/>
              </w:rPr>
              <w:t>Y</w:t>
            </w:r>
            <w:r>
              <w:rPr>
                <w:rFonts w:asciiTheme="minorHAnsi" w:hAnsiTheme="minorHAnsi"/>
                <w:sz w:val="20"/>
                <w:szCs w:val="24"/>
                <w:lang w:val="es-CR"/>
              </w:rPr>
              <w:t>=17,541+4,030.4</w:t>
            </w:r>
            <w:r w:rsidRPr="0054769D">
              <w:rPr>
                <w:rFonts w:asciiTheme="minorHAnsi" w:hAnsiTheme="minorHAnsi"/>
                <w:sz w:val="20"/>
                <w:szCs w:val="24"/>
                <w:lang w:val="es-CR"/>
              </w:rPr>
              <w:t>X</w:t>
            </w:r>
          </w:p>
        </w:tc>
      </w:tr>
      <w:tr w:rsidR="00AE5B31" w:rsidTr="00E7602D">
        <w:tc>
          <w:tcPr>
            <w:tcW w:w="4320" w:type="dxa"/>
          </w:tcPr>
          <w:p w:rsidR="00AE5B31" w:rsidRPr="008A1783" w:rsidRDefault="00AE5B31" w:rsidP="00E7602D">
            <w:pPr>
              <w:jc w:val="both"/>
              <w:rPr>
                <w:rFonts w:asciiTheme="minorHAnsi" w:hAnsiTheme="minorHAnsi"/>
                <w:sz w:val="20"/>
                <w:szCs w:val="24"/>
              </w:rPr>
            </w:pPr>
            <w:r>
              <w:rPr>
                <w:rFonts w:asciiTheme="minorHAnsi" w:hAnsiTheme="minorHAnsi"/>
                <w:b/>
                <w:bCs/>
                <w:sz w:val="20"/>
                <w:lang w:val="es-ES" w:eastAsia="es-ES"/>
              </w:rPr>
              <w:t>Carga por tipo de transporte</w:t>
            </w:r>
          </w:p>
        </w:tc>
        <w:tc>
          <w:tcPr>
            <w:tcW w:w="4174" w:type="dxa"/>
          </w:tcPr>
          <w:p w:rsidR="00AE5B31" w:rsidRPr="0054769D" w:rsidRDefault="00AE5B31" w:rsidP="00E7602D">
            <w:pPr>
              <w:jc w:val="center"/>
              <w:rPr>
                <w:rFonts w:asciiTheme="minorHAnsi" w:hAnsiTheme="minorHAnsi"/>
                <w:sz w:val="20"/>
                <w:szCs w:val="24"/>
              </w:rPr>
            </w:pPr>
          </w:p>
        </w:tc>
      </w:tr>
      <w:tr w:rsidR="00AE5B31" w:rsidTr="00E7602D">
        <w:tc>
          <w:tcPr>
            <w:tcW w:w="4320" w:type="dxa"/>
          </w:tcPr>
          <w:p w:rsidR="00AE5B31" w:rsidRPr="008A1783" w:rsidRDefault="00AE5B31" w:rsidP="00E7602D">
            <w:pPr>
              <w:jc w:val="both"/>
              <w:rPr>
                <w:rFonts w:asciiTheme="minorHAnsi" w:hAnsiTheme="minorHAnsi"/>
                <w:sz w:val="20"/>
                <w:szCs w:val="24"/>
              </w:rPr>
            </w:pPr>
            <w:r>
              <w:rPr>
                <w:rFonts w:asciiTheme="minorHAnsi" w:hAnsiTheme="minorHAnsi"/>
                <w:sz w:val="20"/>
                <w:szCs w:val="24"/>
              </w:rPr>
              <w:t>Carga media buseta</w:t>
            </w:r>
          </w:p>
        </w:tc>
        <w:tc>
          <w:tcPr>
            <w:tcW w:w="4174" w:type="dxa"/>
          </w:tcPr>
          <w:p w:rsidR="00AE5B31" w:rsidRPr="0054769D" w:rsidRDefault="00AE5B31" w:rsidP="00E7602D">
            <w:pPr>
              <w:jc w:val="center"/>
              <w:rPr>
                <w:rFonts w:asciiTheme="minorHAnsi" w:hAnsiTheme="minorHAnsi"/>
                <w:sz w:val="20"/>
                <w:szCs w:val="24"/>
              </w:rPr>
            </w:pPr>
            <w:r>
              <w:rPr>
                <w:rFonts w:asciiTheme="minorHAnsi" w:hAnsiTheme="minorHAnsi"/>
                <w:sz w:val="20"/>
                <w:szCs w:val="24"/>
              </w:rPr>
              <w:t>22 personas</w:t>
            </w:r>
          </w:p>
        </w:tc>
      </w:tr>
      <w:tr w:rsidR="00AE5B31" w:rsidTr="00E7602D">
        <w:tc>
          <w:tcPr>
            <w:tcW w:w="4320" w:type="dxa"/>
          </w:tcPr>
          <w:p w:rsidR="00AE5B31" w:rsidRPr="008A1783" w:rsidRDefault="00AE5B31" w:rsidP="00E7602D">
            <w:pPr>
              <w:jc w:val="both"/>
              <w:rPr>
                <w:rFonts w:asciiTheme="minorHAnsi" w:hAnsiTheme="minorHAnsi"/>
                <w:sz w:val="20"/>
                <w:szCs w:val="24"/>
              </w:rPr>
            </w:pPr>
            <w:r>
              <w:rPr>
                <w:rFonts w:asciiTheme="minorHAnsi" w:hAnsiTheme="minorHAnsi"/>
                <w:sz w:val="20"/>
                <w:szCs w:val="24"/>
              </w:rPr>
              <w:t>Carga media automóvil</w:t>
            </w:r>
          </w:p>
        </w:tc>
        <w:tc>
          <w:tcPr>
            <w:tcW w:w="4174" w:type="dxa"/>
          </w:tcPr>
          <w:p w:rsidR="00AE5B31" w:rsidRPr="0054769D" w:rsidRDefault="00AE5B31" w:rsidP="00E7602D">
            <w:pPr>
              <w:jc w:val="center"/>
              <w:rPr>
                <w:rFonts w:asciiTheme="minorHAnsi" w:hAnsiTheme="minorHAnsi"/>
                <w:sz w:val="20"/>
                <w:szCs w:val="24"/>
              </w:rPr>
            </w:pPr>
            <w:r>
              <w:rPr>
                <w:rFonts w:asciiTheme="minorHAnsi" w:hAnsiTheme="minorHAnsi"/>
                <w:sz w:val="20"/>
                <w:szCs w:val="24"/>
              </w:rPr>
              <w:t>4 personas</w:t>
            </w:r>
          </w:p>
        </w:tc>
      </w:tr>
      <w:tr w:rsidR="00AE5B31" w:rsidTr="00E7602D">
        <w:tc>
          <w:tcPr>
            <w:tcW w:w="4320" w:type="dxa"/>
          </w:tcPr>
          <w:p w:rsidR="00AE5B31" w:rsidRDefault="00AE5B31" w:rsidP="00E7602D">
            <w:pPr>
              <w:jc w:val="both"/>
              <w:rPr>
                <w:rFonts w:asciiTheme="minorHAnsi" w:hAnsiTheme="minorHAnsi"/>
                <w:sz w:val="20"/>
                <w:szCs w:val="24"/>
              </w:rPr>
            </w:pPr>
            <w:r>
              <w:rPr>
                <w:rFonts w:asciiTheme="minorHAnsi" w:hAnsiTheme="minorHAnsi"/>
                <w:b/>
                <w:bCs/>
                <w:sz w:val="20"/>
                <w:lang w:val="es-ES" w:eastAsia="es-ES"/>
              </w:rPr>
              <w:t>Personas a pie</w:t>
            </w:r>
          </w:p>
        </w:tc>
        <w:tc>
          <w:tcPr>
            <w:tcW w:w="4174" w:type="dxa"/>
          </w:tcPr>
          <w:p w:rsidR="00AE5B31" w:rsidRDefault="00AE5B31" w:rsidP="00E7602D">
            <w:pPr>
              <w:jc w:val="center"/>
              <w:rPr>
                <w:rFonts w:asciiTheme="minorHAnsi" w:hAnsiTheme="minorHAnsi"/>
                <w:sz w:val="20"/>
                <w:szCs w:val="24"/>
              </w:rPr>
            </w:pPr>
          </w:p>
        </w:tc>
      </w:tr>
      <w:tr w:rsidR="00AE5B31" w:rsidTr="00E7602D">
        <w:tc>
          <w:tcPr>
            <w:tcW w:w="4320" w:type="dxa"/>
            <w:vAlign w:val="center"/>
          </w:tcPr>
          <w:p w:rsidR="00AE5B31" w:rsidRDefault="00AE5B31" w:rsidP="00E7602D">
            <w:pPr>
              <w:jc w:val="both"/>
              <w:rPr>
                <w:rFonts w:asciiTheme="minorHAnsi" w:hAnsiTheme="minorHAnsi"/>
                <w:sz w:val="20"/>
                <w:szCs w:val="24"/>
              </w:rPr>
            </w:pPr>
            <w:r>
              <w:rPr>
                <w:rFonts w:asciiTheme="minorHAnsi" w:hAnsiTheme="minorHAnsi"/>
                <w:sz w:val="20"/>
                <w:szCs w:val="24"/>
              </w:rPr>
              <w:t>CR&gt;PAN</w:t>
            </w:r>
          </w:p>
        </w:tc>
        <w:tc>
          <w:tcPr>
            <w:tcW w:w="4174" w:type="dxa"/>
          </w:tcPr>
          <w:p w:rsidR="00AE5B31" w:rsidRDefault="00AE5B31" w:rsidP="00E7602D">
            <w:pPr>
              <w:jc w:val="center"/>
              <w:rPr>
                <w:rFonts w:asciiTheme="minorHAnsi" w:hAnsiTheme="minorHAnsi"/>
                <w:sz w:val="20"/>
                <w:szCs w:val="24"/>
              </w:rPr>
            </w:pPr>
            <w:r>
              <w:rPr>
                <w:rFonts w:asciiTheme="minorHAnsi" w:hAnsiTheme="minorHAnsi"/>
                <w:sz w:val="20"/>
                <w:szCs w:val="24"/>
              </w:rPr>
              <w:t xml:space="preserve">80% </w:t>
            </w:r>
          </w:p>
        </w:tc>
      </w:tr>
      <w:tr w:rsidR="00AE5B31" w:rsidTr="00E7602D">
        <w:tc>
          <w:tcPr>
            <w:tcW w:w="4320" w:type="dxa"/>
          </w:tcPr>
          <w:p w:rsidR="00AE5B31" w:rsidRDefault="00AE5B31" w:rsidP="00E7602D">
            <w:pPr>
              <w:jc w:val="both"/>
              <w:rPr>
                <w:rFonts w:asciiTheme="minorHAnsi" w:hAnsiTheme="minorHAnsi"/>
                <w:sz w:val="20"/>
                <w:szCs w:val="24"/>
              </w:rPr>
            </w:pPr>
            <w:r>
              <w:rPr>
                <w:rFonts w:asciiTheme="minorHAnsi" w:hAnsiTheme="minorHAnsi"/>
                <w:sz w:val="20"/>
                <w:szCs w:val="24"/>
              </w:rPr>
              <w:t>PAN</w:t>
            </w:r>
            <w:r w:rsidRPr="008A1783">
              <w:rPr>
                <w:rFonts w:asciiTheme="minorHAnsi" w:hAnsiTheme="minorHAnsi"/>
                <w:sz w:val="20"/>
                <w:szCs w:val="24"/>
              </w:rPr>
              <w:t>&gt;CR</w:t>
            </w:r>
          </w:p>
        </w:tc>
        <w:tc>
          <w:tcPr>
            <w:tcW w:w="4174" w:type="dxa"/>
          </w:tcPr>
          <w:p w:rsidR="00AE5B31" w:rsidRDefault="00AE5B31" w:rsidP="00E7602D">
            <w:pPr>
              <w:jc w:val="center"/>
              <w:rPr>
                <w:rFonts w:asciiTheme="minorHAnsi" w:hAnsiTheme="minorHAnsi"/>
                <w:sz w:val="20"/>
                <w:szCs w:val="24"/>
              </w:rPr>
            </w:pPr>
            <w:r>
              <w:rPr>
                <w:rFonts w:asciiTheme="minorHAnsi" w:hAnsiTheme="minorHAnsi"/>
                <w:sz w:val="20"/>
                <w:szCs w:val="24"/>
              </w:rPr>
              <w:t>80%</w:t>
            </w:r>
          </w:p>
        </w:tc>
      </w:tr>
    </w:tbl>
    <w:p w:rsidR="00AE5B31" w:rsidRDefault="00AE5B31" w:rsidP="00AE5B31">
      <w:pPr>
        <w:ind w:left="720" w:hanging="720"/>
        <w:jc w:val="both"/>
        <w:rPr>
          <w:szCs w:val="24"/>
        </w:rPr>
      </w:pPr>
      <w:r w:rsidRPr="0054769D">
        <w:rPr>
          <w:sz w:val="18"/>
          <w:szCs w:val="24"/>
        </w:rPr>
        <w:t>Fuente:</w:t>
      </w:r>
      <w:r>
        <w:rPr>
          <w:sz w:val="18"/>
          <w:szCs w:val="24"/>
        </w:rPr>
        <w:t xml:space="preserve">Elaboración propia. </w:t>
      </w:r>
    </w:p>
    <w:p w:rsidR="00AE5B31" w:rsidRPr="009A794A" w:rsidRDefault="00AE5B31" w:rsidP="00AE5B31">
      <w:pPr>
        <w:jc w:val="both"/>
        <w:rPr>
          <w:szCs w:val="24"/>
        </w:rPr>
      </w:pPr>
    </w:p>
    <w:p w:rsidR="00AE5B31" w:rsidRPr="009A794A" w:rsidRDefault="00AE5B31" w:rsidP="00AE5B31">
      <w:pPr>
        <w:pStyle w:val="ListParagraph"/>
        <w:rPr>
          <w:szCs w:val="24"/>
        </w:rPr>
      </w:pPr>
    </w:p>
    <w:p w:rsidR="00AE5B31" w:rsidRDefault="00AE5B31" w:rsidP="00AE5B31">
      <w:pPr>
        <w:jc w:val="both"/>
        <w:rPr>
          <w:szCs w:val="24"/>
        </w:rPr>
      </w:pPr>
      <w:r w:rsidRPr="009A794A">
        <w:rPr>
          <w:szCs w:val="24"/>
        </w:rPr>
        <w:t xml:space="preserve">El </w:t>
      </w:r>
      <w:r>
        <w:rPr>
          <w:szCs w:val="24"/>
        </w:rPr>
        <w:t>flujo de demanda proyectado 2015-2038</w:t>
      </w:r>
      <w:r w:rsidRPr="009A794A">
        <w:rPr>
          <w:szCs w:val="24"/>
        </w:rPr>
        <w:t xml:space="preserve"> muestra un comportamiento</w:t>
      </w:r>
      <w:r>
        <w:rPr>
          <w:szCs w:val="24"/>
        </w:rPr>
        <w:t xml:space="preserve"> equivalente a una TCAC del 3.39</w:t>
      </w:r>
      <w:r w:rsidRPr="009A794A">
        <w:rPr>
          <w:szCs w:val="24"/>
        </w:rPr>
        <w:t>% anual en</w:t>
      </w:r>
      <w:r>
        <w:rPr>
          <w:szCs w:val="24"/>
        </w:rPr>
        <w:t xml:space="preserve"> el sentido Panamá-Costa Rica y 3.29% en el sentido </w:t>
      </w:r>
      <w:r w:rsidRPr="009A794A">
        <w:rPr>
          <w:szCs w:val="24"/>
        </w:rPr>
        <w:t>Costa Rica</w:t>
      </w:r>
      <w:r>
        <w:rPr>
          <w:szCs w:val="24"/>
        </w:rPr>
        <w:t>-Panamá</w:t>
      </w:r>
      <w:r w:rsidRPr="009A794A">
        <w:rPr>
          <w:szCs w:val="24"/>
        </w:rPr>
        <w:t>.  Con base en la distribución supuesta según medio de transporte (automóvil, bus</w:t>
      </w:r>
      <w:r>
        <w:rPr>
          <w:szCs w:val="24"/>
        </w:rPr>
        <w:t>eta</w:t>
      </w:r>
      <w:r w:rsidRPr="009A794A">
        <w:rPr>
          <w:szCs w:val="24"/>
        </w:rPr>
        <w:t>, a pie) fue posible estimar el Tránsito Promedio Diario</w:t>
      </w:r>
      <w:r>
        <w:rPr>
          <w:szCs w:val="24"/>
        </w:rPr>
        <w:t xml:space="preserve"> Anual (TPDA) para Guabito</w:t>
      </w:r>
      <w:r w:rsidRPr="009A794A">
        <w:rPr>
          <w:szCs w:val="24"/>
        </w:rPr>
        <w:t xml:space="preserve">.  Es importante mencionar que dentro de los supuestos </w:t>
      </w:r>
      <w:r>
        <w:rPr>
          <w:szCs w:val="24"/>
        </w:rPr>
        <w:t xml:space="preserve">utilizados </w:t>
      </w:r>
      <w:r w:rsidRPr="009A794A">
        <w:rPr>
          <w:szCs w:val="24"/>
        </w:rPr>
        <w:t>se considera que cada automóvil particular es ocupado por 4</w:t>
      </w:r>
      <w:r>
        <w:rPr>
          <w:szCs w:val="24"/>
        </w:rPr>
        <w:t xml:space="preserve"> pasajeros, mientras en el caso de las busetas</w:t>
      </w:r>
      <w:r w:rsidRPr="009A794A">
        <w:rPr>
          <w:szCs w:val="24"/>
        </w:rPr>
        <w:t xml:space="preserve"> el n</w:t>
      </w:r>
      <w:r>
        <w:rPr>
          <w:szCs w:val="24"/>
        </w:rPr>
        <w:t>úmero de pasajeros asciende a 30</w:t>
      </w:r>
      <w:r>
        <w:rPr>
          <w:rStyle w:val="FootnoteReference"/>
          <w:szCs w:val="24"/>
        </w:rPr>
        <w:footnoteReference w:id="5"/>
      </w:r>
      <w:r w:rsidRPr="009A794A">
        <w:rPr>
          <w:szCs w:val="24"/>
        </w:rPr>
        <w:t>.</w:t>
      </w:r>
      <w:r>
        <w:rPr>
          <w:szCs w:val="24"/>
        </w:rPr>
        <w:t xml:space="preserve"> Los siguientes cuadros muestran la proyección de tránsito de personas, así como</w:t>
      </w:r>
      <w:r w:rsidRPr="00757223">
        <w:rPr>
          <w:szCs w:val="24"/>
        </w:rPr>
        <w:t xml:space="preserve"> las proyecciones de TPDA de pasajeros y vehículos de pasajeros para el </w:t>
      </w:r>
      <w:r w:rsidRPr="005560E4">
        <w:rPr>
          <w:szCs w:val="24"/>
        </w:rPr>
        <w:t xml:space="preserve">período </w:t>
      </w:r>
      <w:r>
        <w:rPr>
          <w:szCs w:val="24"/>
        </w:rPr>
        <w:t>2015-2038</w:t>
      </w:r>
      <w:r w:rsidRPr="005560E4">
        <w:rPr>
          <w:szCs w:val="24"/>
        </w:rPr>
        <w:t xml:space="preserve"> (24 años)</w:t>
      </w:r>
      <w:r w:rsidRPr="005560E4">
        <w:rPr>
          <w:rStyle w:val="FootnoteReference"/>
          <w:szCs w:val="24"/>
        </w:rPr>
        <w:footnoteReference w:id="6"/>
      </w:r>
      <w:r w:rsidRPr="005560E4">
        <w:rPr>
          <w:szCs w:val="24"/>
        </w:rPr>
        <w:t>, según</w:t>
      </w:r>
      <w:r w:rsidRPr="00757223">
        <w:rPr>
          <w:szCs w:val="24"/>
        </w:rPr>
        <w:t>el sentido de viaje</w:t>
      </w:r>
      <w:r>
        <w:rPr>
          <w:szCs w:val="24"/>
        </w:rPr>
        <w:t xml:space="preserve"> y tipo de transporte</w:t>
      </w:r>
      <w:r w:rsidRPr="00757223">
        <w:rPr>
          <w:szCs w:val="24"/>
        </w:rPr>
        <w:t>.</w:t>
      </w:r>
    </w:p>
    <w:p w:rsidR="00AE5B31" w:rsidRDefault="00AE5B31" w:rsidP="00AE5B31">
      <w:pPr>
        <w:ind w:left="709"/>
        <w:jc w:val="both"/>
        <w:rPr>
          <w:szCs w:val="24"/>
        </w:rPr>
      </w:pPr>
    </w:p>
    <w:p w:rsidR="00AE5B31" w:rsidRDefault="00AE5B31" w:rsidP="00AE5B31">
      <w:pPr>
        <w:pStyle w:val="ListParagraph"/>
        <w:rPr>
          <w:szCs w:val="24"/>
        </w:rPr>
        <w:sectPr w:rsidR="00AE5B31" w:rsidSect="00FE6A09">
          <w:headerReference w:type="default" r:id="rId10"/>
          <w:footerReference w:type="default" r:id="rId11"/>
          <w:pgSz w:w="12242" w:h="15842" w:code="1"/>
          <w:pgMar w:top="1440" w:right="1298" w:bottom="1440" w:left="1797" w:header="731" w:footer="1134" w:gutter="0"/>
          <w:pgNumType w:fmt="numberInDash" w:start="1"/>
          <w:cols w:space="720"/>
          <w:titlePg/>
          <w:docGrid w:linePitch="326"/>
        </w:sectPr>
      </w:pPr>
    </w:p>
    <w:p w:rsidR="00AE5B31" w:rsidRPr="0006088F" w:rsidRDefault="00AE5B31" w:rsidP="00AE5B31">
      <w:pPr>
        <w:jc w:val="center"/>
        <w:rPr>
          <w:b/>
          <w:sz w:val="22"/>
          <w:szCs w:val="22"/>
        </w:rPr>
      </w:pPr>
      <w:r>
        <w:rPr>
          <w:b/>
          <w:sz w:val="22"/>
          <w:szCs w:val="22"/>
        </w:rPr>
        <w:lastRenderedPageBreak/>
        <w:t>Cuadro II</w:t>
      </w:r>
    </w:p>
    <w:p w:rsidR="00AE5B31" w:rsidRPr="0006088F" w:rsidRDefault="00AE5B31" w:rsidP="00AE5B31">
      <w:pPr>
        <w:jc w:val="center"/>
        <w:rPr>
          <w:b/>
          <w:bCs/>
          <w:sz w:val="20"/>
          <w:lang w:val="es-ES" w:eastAsia="es-ES"/>
        </w:rPr>
      </w:pPr>
      <w:r>
        <w:rPr>
          <w:b/>
          <w:bCs/>
          <w:sz w:val="20"/>
          <w:lang w:val="es-ES" w:eastAsia="es-ES"/>
        </w:rPr>
        <w:t>GUABITO</w:t>
      </w:r>
    </w:p>
    <w:p w:rsidR="00AE5B31" w:rsidRPr="0006088F" w:rsidRDefault="00AE5B31" w:rsidP="00AE5B31">
      <w:pPr>
        <w:jc w:val="center"/>
        <w:rPr>
          <w:sz w:val="20"/>
        </w:rPr>
      </w:pPr>
      <w:r>
        <w:rPr>
          <w:b/>
          <w:bCs/>
          <w:sz w:val="20"/>
          <w:lang w:val="es-ES" w:eastAsia="es-ES"/>
        </w:rPr>
        <w:t>Ajuste R2 de Series Históricas  y Proyección de Personas transitando el Paso Fronterizo 2015</w:t>
      </w:r>
      <w:r w:rsidRPr="0006088F">
        <w:rPr>
          <w:b/>
          <w:bCs/>
          <w:sz w:val="20"/>
          <w:lang w:val="es-ES" w:eastAsia="es-ES"/>
        </w:rPr>
        <w:t>-203</w:t>
      </w:r>
      <w:r>
        <w:rPr>
          <w:b/>
          <w:bCs/>
          <w:sz w:val="20"/>
          <w:lang w:val="es-ES" w:eastAsia="es-ES"/>
        </w:rPr>
        <w:t>8</w:t>
      </w:r>
    </w:p>
    <w:p w:rsidR="00AE5B31" w:rsidRDefault="00AE5B31" w:rsidP="00AE5B31">
      <w:pPr>
        <w:pStyle w:val="ListParagraph"/>
        <w:rPr>
          <w:szCs w:val="24"/>
        </w:rPr>
      </w:pPr>
    </w:p>
    <w:tbl>
      <w:tblPr>
        <w:tblpPr w:leftFromText="180" w:rightFromText="180" w:vertAnchor="page" w:horzAnchor="page" w:tblpX="8431" w:tblpY="2896"/>
        <w:tblW w:w="5288" w:type="dxa"/>
        <w:tblLook w:val="04A0" w:firstRow="1" w:lastRow="0" w:firstColumn="1" w:lastColumn="0" w:noHBand="0" w:noVBand="1"/>
      </w:tblPr>
      <w:tblGrid>
        <w:gridCol w:w="1218"/>
        <w:gridCol w:w="1218"/>
        <w:gridCol w:w="416"/>
        <w:gridCol w:w="1218"/>
        <w:gridCol w:w="1218"/>
      </w:tblGrid>
      <w:tr w:rsidR="00AE5B31" w:rsidRPr="00266341" w:rsidTr="00E7602D">
        <w:trPr>
          <w:trHeight w:val="279"/>
        </w:trPr>
        <w:tc>
          <w:tcPr>
            <w:tcW w:w="1218" w:type="dxa"/>
            <w:tcBorders>
              <w:top w:val="single" w:sz="4" w:space="0" w:color="auto"/>
              <w:left w:val="nil"/>
              <w:bottom w:val="single" w:sz="4" w:space="0" w:color="auto"/>
              <w:right w:val="nil"/>
            </w:tcBorders>
            <w:shd w:val="clear" w:color="000000" w:fill="FF9999"/>
            <w:noWrap/>
            <w:vAlign w:val="center"/>
            <w:hideMark/>
          </w:tcPr>
          <w:p w:rsidR="00AE5B31" w:rsidRPr="00266341" w:rsidRDefault="00AE5B31" w:rsidP="00E7602D">
            <w:pPr>
              <w:jc w:val="center"/>
              <w:rPr>
                <w:rFonts w:ascii="Calibri" w:hAnsi="Calibri"/>
                <w:b/>
                <w:color w:val="000000"/>
                <w:sz w:val="18"/>
                <w:lang w:val="en-US"/>
              </w:rPr>
            </w:pPr>
            <w:r w:rsidRPr="00266341">
              <w:rPr>
                <w:rFonts w:ascii="Calibri" w:hAnsi="Calibri"/>
                <w:b/>
                <w:color w:val="000000"/>
                <w:sz w:val="18"/>
                <w:lang w:val="en-US"/>
              </w:rPr>
              <w:t>Año</w:t>
            </w:r>
          </w:p>
        </w:tc>
        <w:tc>
          <w:tcPr>
            <w:tcW w:w="1218" w:type="dxa"/>
            <w:tcBorders>
              <w:top w:val="single" w:sz="4" w:space="0" w:color="auto"/>
              <w:left w:val="nil"/>
              <w:bottom w:val="single" w:sz="4" w:space="0" w:color="auto"/>
              <w:right w:val="nil"/>
            </w:tcBorders>
            <w:shd w:val="clear" w:color="000000" w:fill="FF9999"/>
            <w:noWrap/>
            <w:vAlign w:val="center"/>
            <w:hideMark/>
          </w:tcPr>
          <w:p w:rsidR="00AE5B31" w:rsidRPr="00266341" w:rsidRDefault="00AE5B31" w:rsidP="00E7602D">
            <w:pPr>
              <w:jc w:val="center"/>
              <w:rPr>
                <w:rFonts w:ascii="Calibri" w:hAnsi="Calibri"/>
                <w:b/>
                <w:color w:val="000000"/>
                <w:sz w:val="18"/>
                <w:lang w:val="en-US"/>
              </w:rPr>
            </w:pPr>
            <w:r w:rsidRPr="00266341">
              <w:rPr>
                <w:rFonts w:ascii="Calibri" w:hAnsi="Calibri"/>
                <w:b/>
                <w:color w:val="000000"/>
                <w:sz w:val="18"/>
                <w:lang w:val="en-US"/>
              </w:rPr>
              <w:t>Personas</w:t>
            </w:r>
          </w:p>
        </w:tc>
        <w:tc>
          <w:tcPr>
            <w:tcW w:w="416"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b/>
                <w:color w:val="000000"/>
                <w:sz w:val="18"/>
                <w:lang w:val="en-US"/>
              </w:rPr>
            </w:pPr>
          </w:p>
        </w:tc>
        <w:tc>
          <w:tcPr>
            <w:tcW w:w="1218" w:type="dxa"/>
            <w:tcBorders>
              <w:top w:val="single" w:sz="4" w:space="0" w:color="auto"/>
              <w:left w:val="nil"/>
              <w:bottom w:val="single" w:sz="4" w:space="0" w:color="auto"/>
              <w:right w:val="nil"/>
            </w:tcBorders>
            <w:shd w:val="clear" w:color="000000" w:fill="FF9999"/>
            <w:noWrap/>
            <w:vAlign w:val="center"/>
            <w:hideMark/>
          </w:tcPr>
          <w:p w:rsidR="00AE5B31" w:rsidRPr="00266341" w:rsidRDefault="00AE5B31" w:rsidP="00E7602D">
            <w:pPr>
              <w:jc w:val="center"/>
              <w:rPr>
                <w:rFonts w:ascii="Calibri" w:hAnsi="Calibri"/>
                <w:b/>
                <w:color w:val="000000"/>
                <w:sz w:val="18"/>
                <w:lang w:val="en-US"/>
              </w:rPr>
            </w:pPr>
            <w:r w:rsidRPr="00266341">
              <w:rPr>
                <w:rFonts w:ascii="Calibri" w:hAnsi="Calibri"/>
                <w:b/>
                <w:color w:val="000000"/>
                <w:sz w:val="18"/>
                <w:lang w:val="en-US"/>
              </w:rPr>
              <w:t>Año</w:t>
            </w:r>
          </w:p>
        </w:tc>
        <w:tc>
          <w:tcPr>
            <w:tcW w:w="1218" w:type="dxa"/>
            <w:tcBorders>
              <w:top w:val="single" w:sz="4" w:space="0" w:color="auto"/>
              <w:left w:val="nil"/>
              <w:bottom w:val="single" w:sz="4" w:space="0" w:color="auto"/>
              <w:right w:val="nil"/>
            </w:tcBorders>
            <w:shd w:val="clear" w:color="000000" w:fill="FF9999"/>
            <w:noWrap/>
            <w:vAlign w:val="center"/>
            <w:hideMark/>
          </w:tcPr>
          <w:p w:rsidR="00AE5B31" w:rsidRPr="00266341" w:rsidRDefault="00AE5B31" w:rsidP="00E7602D">
            <w:pPr>
              <w:jc w:val="center"/>
              <w:rPr>
                <w:rFonts w:ascii="Calibri" w:hAnsi="Calibri"/>
                <w:b/>
                <w:color w:val="000000"/>
                <w:sz w:val="18"/>
                <w:lang w:val="en-US"/>
              </w:rPr>
            </w:pPr>
            <w:r w:rsidRPr="00266341">
              <w:rPr>
                <w:rFonts w:ascii="Calibri" w:hAnsi="Calibri"/>
                <w:b/>
                <w:color w:val="000000"/>
                <w:sz w:val="18"/>
                <w:lang w:val="en-US"/>
              </w:rPr>
              <w:t>Personas</w:t>
            </w:r>
          </w:p>
        </w:tc>
      </w:tr>
      <w:tr w:rsidR="00AE5B31" w:rsidRPr="00266341" w:rsidTr="00E7602D">
        <w:trPr>
          <w:trHeight w:val="264"/>
        </w:trPr>
        <w:tc>
          <w:tcPr>
            <w:tcW w:w="1218"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2015</w:t>
            </w:r>
          </w:p>
        </w:tc>
        <w:tc>
          <w:tcPr>
            <w:tcW w:w="1218" w:type="dxa"/>
            <w:tcBorders>
              <w:top w:val="nil"/>
              <w:left w:val="nil"/>
              <w:bottom w:val="nil"/>
              <w:right w:val="nil"/>
            </w:tcBorders>
            <w:shd w:val="clear" w:color="auto" w:fill="auto"/>
            <w:noWrap/>
            <w:vAlign w:val="center"/>
            <w:hideMark/>
          </w:tcPr>
          <w:p w:rsidR="00AE5B31" w:rsidRPr="005D1801" w:rsidRDefault="00AE5B31" w:rsidP="00E7602D">
            <w:pPr>
              <w:jc w:val="right"/>
              <w:rPr>
                <w:rFonts w:ascii="Calibri" w:hAnsi="Calibri"/>
                <w:color w:val="000000"/>
                <w:sz w:val="18"/>
                <w:szCs w:val="18"/>
              </w:rPr>
            </w:pPr>
            <w:r>
              <w:rPr>
                <w:rFonts w:ascii="Calibri" w:hAnsi="Calibri"/>
                <w:color w:val="000000"/>
                <w:sz w:val="18"/>
                <w:szCs w:val="18"/>
              </w:rPr>
              <w:t>76,704</w:t>
            </w:r>
          </w:p>
        </w:tc>
        <w:tc>
          <w:tcPr>
            <w:tcW w:w="416"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p>
        </w:tc>
        <w:tc>
          <w:tcPr>
            <w:tcW w:w="1218"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2027</w:t>
            </w:r>
          </w:p>
        </w:tc>
        <w:tc>
          <w:tcPr>
            <w:tcW w:w="1218" w:type="dxa"/>
            <w:tcBorders>
              <w:top w:val="nil"/>
              <w:left w:val="nil"/>
              <w:bottom w:val="nil"/>
              <w:right w:val="nil"/>
            </w:tcBorders>
            <w:shd w:val="clear" w:color="auto" w:fill="auto"/>
            <w:noWrap/>
            <w:vAlign w:val="center"/>
            <w:hideMark/>
          </w:tcPr>
          <w:p w:rsidR="00AE5B31" w:rsidRPr="005D1801" w:rsidRDefault="00AE5B31" w:rsidP="00E7602D">
            <w:pPr>
              <w:jc w:val="right"/>
              <w:rPr>
                <w:rFonts w:ascii="Calibri" w:hAnsi="Calibri"/>
                <w:color w:val="000000"/>
                <w:sz w:val="18"/>
                <w:szCs w:val="18"/>
              </w:rPr>
            </w:pPr>
            <w:r>
              <w:rPr>
                <w:rFonts w:ascii="Calibri" w:hAnsi="Calibri"/>
                <w:color w:val="000000"/>
                <w:sz w:val="18"/>
                <w:szCs w:val="18"/>
              </w:rPr>
              <w:t>125,782</w:t>
            </w:r>
          </w:p>
        </w:tc>
      </w:tr>
      <w:tr w:rsidR="00AE5B31" w:rsidRPr="00266341" w:rsidTr="00E7602D">
        <w:trPr>
          <w:trHeight w:val="264"/>
        </w:trPr>
        <w:tc>
          <w:tcPr>
            <w:tcW w:w="1218"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2016</w:t>
            </w:r>
          </w:p>
        </w:tc>
        <w:tc>
          <w:tcPr>
            <w:tcW w:w="1218" w:type="dxa"/>
            <w:tcBorders>
              <w:top w:val="nil"/>
              <w:left w:val="nil"/>
              <w:bottom w:val="nil"/>
              <w:right w:val="nil"/>
            </w:tcBorders>
            <w:shd w:val="clear" w:color="auto" w:fill="auto"/>
            <w:noWrap/>
            <w:vAlign w:val="center"/>
            <w:hideMark/>
          </w:tcPr>
          <w:p w:rsidR="00AE5B31" w:rsidRPr="005D1801" w:rsidRDefault="00AE5B31" w:rsidP="00E7602D">
            <w:pPr>
              <w:jc w:val="right"/>
              <w:rPr>
                <w:rFonts w:ascii="Calibri" w:hAnsi="Calibri"/>
                <w:color w:val="000000"/>
                <w:sz w:val="18"/>
                <w:szCs w:val="18"/>
              </w:rPr>
            </w:pPr>
            <w:r>
              <w:rPr>
                <w:rFonts w:ascii="Calibri" w:hAnsi="Calibri"/>
                <w:color w:val="000000"/>
                <w:sz w:val="18"/>
                <w:szCs w:val="18"/>
              </w:rPr>
              <w:t>80,793</w:t>
            </w:r>
          </w:p>
        </w:tc>
        <w:tc>
          <w:tcPr>
            <w:tcW w:w="416"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p>
        </w:tc>
        <w:tc>
          <w:tcPr>
            <w:tcW w:w="1218"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2028</w:t>
            </w:r>
          </w:p>
        </w:tc>
        <w:tc>
          <w:tcPr>
            <w:tcW w:w="1218" w:type="dxa"/>
            <w:tcBorders>
              <w:top w:val="nil"/>
              <w:left w:val="nil"/>
              <w:bottom w:val="nil"/>
              <w:right w:val="nil"/>
            </w:tcBorders>
            <w:shd w:val="clear" w:color="auto" w:fill="auto"/>
            <w:noWrap/>
            <w:vAlign w:val="center"/>
            <w:hideMark/>
          </w:tcPr>
          <w:p w:rsidR="00AE5B31" w:rsidRPr="005D1801" w:rsidRDefault="00AE5B31" w:rsidP="00E7602D">
            <w:pPr>
              <w:jc w:val="right"/>
              <w:rPr>
                <w:rFonts w:ascii="Calibri" w:hAnsi="Calibri"/>
                <w:color w:val="000000"/>
                <w:sz w:val="18"/>
                <w:szCs w:val="18"/>
              </w:rPr>
            </w:pPr>
            <w:r>
              <w:rPr>
                <w:rFonts w:ascii="Calibri" w:hAnsi="Calibri"/>
                <w:color w:val="000000"/>
                <w:sz w:val="18"/>
                <w:szCs w:val="18"/>
              </w:rPr>
              <w:t>129,872</w:t>
            </w:r>
          </w:p>
        </w:tc>
      </w:tr>
      <w:tr w:rsidR="00AE5B31" w:rsidRPr="00266341" w:rsidTr="00E7602D">
        <w:trPr>
          <w:trHeight w:val="264"/>
        </w:trPr>
        <w:tc>
          <w:tcPr>
            <w:tcW w:w="1218"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2017</w:t>
            </w:r>
          </w:p>
        </w:tc>
        <w:tc>
          <w:tcPr>
            <w:tcW w:w="1218" w:type="dxa"/>
            <w:tcBorders>
              <w:top w:val="nil"/>
              <w:left w:val="nil"/>
              <w:bottom w:val="nil"/>
              <w:right w:val="nil"/>
            </w:tcBorders>
            <w:shd w:val="clear" w:color="auto" w:fill="auto"/>
            <w:noWrap/>
            <w:vAlign w:val="center"/>
            <w:hideMark/>
          </w:tcPr>
          <w:p w:rsidR="00AE5B31" w:rsidRPr="005D1801" w:rsidRDefault="00AE5B31" w:rsidP="00E7602D">
            <w:pPr>
              <w:jc w:val="right"/>
              <w:rPr>
                <w:rFonts w:ascii="Calibri" w:hAnsi="Calibri"/>
                <w:color w:val="000000"/>
                <w:sz w:val="18"/>
                <w:szCs w:val="18"/>
              </w:rPr>
            </w:pPr>
            <w:r>
              <w:rPr>
                <w:rFonts w:ascii="Calibri" w:hAnsi="Calibri"/>
                <w:color w:val="000000"/>
                <w:sz w:val="18"/>
                <w:szCs w:val="18"/>
              </w:rPr>
              <w:t>84,883</w:t>
            </w:r>
          </w:p>
        </w:tc>
        <w:tc>
          <w:tcPr>
            <w:tcW w:w="416"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p>
        </w:tc>
        <w:tc>
          <w:tcPr>
            <w:tcW w:w="1218"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2029</w:t>
            </w:r>
          </w:p>
        </w:tc>
        <w:tc>
          <w:tcPr>
            <w:tcW w:w="1218" w:type="dxa"/>
            <w:tcBorders>
              <w:top w:val="nil"/>
              <w:left w:val="nil"/>
              <w:bottom w:val="nil"/>
              <w:right w:val="nil"/>
            </w:tcBorders>
            <w:shd w:val="clear" w:color="auto" w:fill="auto"/>
            <w:noWrap/>
            <w:vAlign w:val="center"/>
            <w:hideMark/>
          </w:tcPr>
          <w:p w:rsidR="00AE5B31" w:rsidRPr="005D1801" w:rsidRDefault="00AE5B31" w:rsidP="00E7602D">
            <w:pPr>
              <w:jc w:val="right"/>
              <w:rPr>
                <w:rFonts w:ascii="Calibri" w:hAnsi="Calibri"/>
                <w:color w:val="000000"/>
                <w:sz w:val="18"/>
                <w:szCs w:val="18"/>
              </w:rPr>
            </w:pPr>
            <w:r>
              <w:rPr>
                <w:rFonts w:ascii="Calibri" w:hAnsi="Calibri"/>
                <w:color w:val="000000"/>
                <w:sz w:val="18"/>
                <w:szCs w:val="18"/>
              </w:rPr>
              <w:t>133,962</w:t>
            </w:r>
          </w:p>
        </w:tc>
      </w:tr>
      <w:tr w:rsidR="00AE5B31" w:rsidRPr="00266341" w:rsidTr="00E7602D">
        <w:trPr>
          <w:trHeight w:val="264"/>
        </w:trPr>
        <w:tc>
          <w:tcPr>
            <w:tcW w:w="1218"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2018</w:t>
            </w:r>
          </w:p>
        </w:tc>
        <w:tc>
          <w:tcPr>
            <w:tcW w:w="1218" w:type="dxa"/>
            <w:tcBorders>
              <w:top w:val="nil"/>
              <w:left w:val="nil"/>
              <w:bottom w:val="nil"/>
              <w:right w:val="nil"/>
            </w:tcBorders>
            <w:shd w:val="clear" w:color="auto" w:fill="auto"/>
            <w:noWrap/>
            <w:vAlign w:val="center"/>
            <w:hideMark/>
          </w:tcPr>
          <w:p w:rsidR="00AE5B31" w:rsidRPr="005D1801" w:rsidRDefault="00AE5B31" w:rsidP="00E7602D">
            <w:pPr>
              <w:jc w:val="right"/>
              <w:rPr>
                <w:rFonts w:ascii="Calibri" w:hAnsi="Calibri"/>
                <w:color w:val="000000"/>
                <w:sz w:val="18"/>
                <w:szCs w:val="18"/>
              </w:rPr>
            </w:pPr>
            <w:r>
              <w:rPr>
                <w:rFonts w:ascii="Calibri" w:hAnsi="Calibri"/>
                <w:color w:val="000000"/>
                <w:sz w:val="18"/>
                <w:szCs w:val="18"/>
              </w:rPr>
              <w:t>88,973</w:t>
            </w:r>
          </w:p>
        </w:tc>
        <w:tc>
          <w:tcPr>
            <w:tcW w:w="416"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p>
        </w:tc>
        <w:tc>
          <w:tcPr>
            <w:tcW w:w="1218"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2030</w:t>
            </w:r>
          </w:p>
        </w:tc>
        <w:tc>
          <w:tcPr>
            <w:tcW w:w="1218" w:type="dxa"/>
            <w:tcBorders>
              <w:top w:val="nil"/>
              <w:left w:val="nil"/>
              <w:bottom w:val="nil"/>
              <w:right w:val="nil"/>
            </w:tcBorders>
            <w:shd w:val="clear" w:color="auto" w:fill="auto"/>
            <w:noWrap/>
            <w:vAlign w:val="center"/>
            <w:hideMark/>
          </w:tcPr>
          <w:p w:rsidR="00AE5B31" w:rsidRPr="005D1801" w:rsidRDefault="00AE5B31" w:rsidP="00E7602D">
            <w:pPr>
              <w:jc w:val="right"/>
              <w:rPr>
                <w:rFonts w:ascii="Calibri" w:hAnsi="Calibri"/>
                <w:color w:val="000000"/>
                <w:sz w:val="18"/>
                <w:szCs w:val="18"/>
              </w:rPr>
            </w:pPr>
            <w:r>
              <w:rPr>
                <w:rFonts w:ascii="Calibri" w:hAnsi="Calibri"/>
                <w:color w:val="000000"/>
                <w:sz w:val="18"/>
                <w:szCs w:val="18"/>
              </w:rPr>
              <w:t>138,052</w:t>
            </w:r>
          </w:p>
        </w:tc>
      </w:tr>
      <w:tr w:rsidR="00AE5B31" w:rsidRPr="00266341" w:rsidTr="00E7602D">
        <w:trPr>
          <w:trHeight w:val="264"/>
        </w:trPr>
        <w:tc>
          <w:tcPr>
            <w:tcW w:w="1218"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2019</w:t>
            </w:r>
          </w:p>
        </w:tc>
        <w:tc>
          <w:tcPr>
            <w:tcW w:w="1218" w:type="dxa"/>
            <w:tcBorders>
              <w:top w:val="nil"/>
              <w:left w:val="nil"/>
              <w:bottom w:val="nil"/>
              <w:right w:val="nil"/>
            </w:tcBorders>
            <w:shd w:val="clear" w:color="auto" w:fill="auto"/>
            <w:noWrap/>
            <w:vAlign w:val="center"/>
            <w:hideMark/>
          </w:tcPr>
          <w:p w:rsidR="00AE5B31" w:rsidRPr="005D1801" w:rsidRDefault="00AE5B31" w:rsidP="00E7602D">
            <w:pPr>
              <w:jc w:val="right"/>
              <w:rPr>
                <w:rFonts w:ascii="Calibri" w:hAnsi="Calibri"/>
                <w:color w:val="000000"/>
                <w:sz w:val="18"/>
                <w:szCs w:val="18"/>
              </w:rPr>
            </w:pPr>
            <w:r>
              <w:rPr>
                <w:rFonts w:ascii="Calibri" w:hAnsi="Calibri"/>
                <w:color w:val="000000"/>
                <w:sz w:val="18"/>
                <w:szCs w:val="18"/>
              </w:rPr>
              <w:t>93,063</w:t>
            </w:r>
          </w:p>
        </w:tc>
        <w:tc>
          <w:tcPr>
            <w:tcW w:w="416"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p>
        </w:tc>
        <w:tc>
          <w:tcPr>
            <w:tcW w:w="1218"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2031</w:t>
            </w:r>
          </w:p>
        </w:tc>
        <w:tc>
          <w:tcPr>
            <w:tcW w:w="1218" w:type="dxa"/>
            <w:tcBorders>
              <w:top w:val="nil"/>
              <w:left w:val="nil"/>
              <w:bottom w:val="nil"/>
              <w:right w:val="nil"/>
            </w:tcBorders>
            <w:shd w:val="clear" w:color="auto" w:fill="auto"/>
            <w:noWrap/>
            <w:vAlign w:val="center"/>
            <w:hideMark/>
          </w:tcPr>
          <w:p w:rsidR="00AE5B31" w:rsidRPr="005D1801" w:rsidRDefault="00AE5B31" w:rsidP="00E7602D">
            <w:pPr>
              <w:jc w:val="right"/>
              <w:rPr>
                <w:rFonts w:ascii="Calibri" w:hAnsi="Calibri"/>
                <w:color w:val="000000"/>
                <w:sz w:val="18"/>
                <w:szCs w:val="18"/>
              </w:rPr>
            </w:pPr>
            <w:r>
              <w:rPr>
                <w:rFonts w:ascii="Calibri" w:hAnsi="Calibri"/>
                <w:color w:val="000000"/>
                <w:sz w:val="18"/>
                <w:szCs w:val="18"/>
              </w:rPr>
              <w:t>142,142</w:t>
            </w:r>
          </w:p>
        </w:tc>
      </w:tr>
      <w:tr w:rsidR="00AE5B31" w:rsidRPr="00266341" w:rsidTr="00E7602D">
        <w:trPr>
          <w:trHeight w:val="264"/>
        </w:trPr>
        <w:tc>
          <w:tcPr>
            <w:tcW w:w="1218"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2020</w:t>
            </w:r>
          </w:p>
        </w:tc>
        <w:tc>
          <w:tcPr>
            <w:tcW w:w="1218" w:type="dxa"/>
            <w:tcBorders>
              <w:top w:val="nil"/>
              <w:left w:val="nil"/>
              <w:bottom w:val="nil"/>
              <w:right w:val="nil"/>
            </w:tcBorders>
            <w:shd w:val="clear" w:color="auto" w:fill="auto"/>
            <w:noWrap/>
            <w:vAlign w:val="center"/>
            <w:hideMark/>
          </w:tcPr>
          <w:p w:rsidR="00AE5B31" w:rsidRPr="005D1801" w:rsidRDefault="00AE5B31" w:rsidP="00E7602D">
            <w:pPr>
              <w:jc w:val="right"/>
              <w:rPr>
                <w:rFonts w:ascii="Calibri" w:hAnsi="Calibri"/>
                <w:color w:val="000000"/>
                <w:sz w:val="18"/>
                <w:szCs w:val="18"/>
              </w:rPr>
            </w:pPr>
            <w:r>
              <w:rPr>
                <w:rFonts w:ascii="Calibri" w:hAnsi="Calibri"/>
                <w:color w:val="000000"/>
                <w:sz w:val="18"/>
                <w:szCs w:val="18"/>
              </w:rPr>
              <w:t>97,153</w:t>
            </w:r>
          </w:p>
        </w:tc>
        <w:tc>
          <w:tcPr>
            <w:tcW w:w="416"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p>
        </w:tc>
        <w:tc>
          <w:tcPr>
            <w:tcW w:w="1218"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2032</w:t>
            </w:r>
          </w:p>
        </w:tc>
        <w:tc>
          <w:tcPr>
            <w:tcW w:w="1218" w:type="dxa"/>
            <w:tcBorders>
              <w:top w:val="nil"/>
              <w:left w:val="nil"/>
              <w:bottom w:val="nil"/>
              <w:right w:val="nil"/>
            </w:tcBorders>
            <w:shd w:val="clear" w:color="auto" w:fill="auto"/>
            <w:noWrap/>
            <w:vAlign w:val="center"/>
            <w:hideMark/>
          </w:tcPr>
          <w:p w:rsidR="00AE5B31" w:rsidRPr="005D1801" w:rsidRDefault="00AE5B31" w:rsidP="00E7602D">
            <w:pPr>
              <w:jc w:val="right"/>
              <w:rPr>
                <w:rFonts w:ascii="Calibri" w:hAnsi="Calibri"/>
                <w:color w:val="000000"/>
                <w:sz w:val="18"/>
                <w:szCs w:val="18"/>
              </w:rPr>
            </w:pPr>
            <w:r>
              <w:rPr>
                <w:rFonts w:ascii="Calibri" w:hAnsi="Calibri"/>
                <w:color w:val="000000"/>
                <w:sz w:val="18"/>
                <w:szCs w:val="18"/>
              </w:rPr>
              <w:t>146,232</w:t>
            </w:r>
          </w:p>
        </w:tc>
      </w:tr>
      <w:tr w:rsidR="00AE5B31" w:rsidRPr="00266341" w:rsidTr="00E7602D">
        <w:trPr>
          <w:trHeight w:val="264"/>
        </w:trPr>
        <w:tc>
          <w:tcPr>
            <w:tcW w:w="1218"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2021</w:t>
            </w:r>
          </w:p>
        </w:tc>
        <w:tc>
          <w:tcPr>
            <w:tcW w:w="1218" w:type="dxa"/>
            <w:tcBorders>
              <w:top w:val="nil"/>
              <w:left w:val="nil"/>
              <w:bottom w:val="nil"/>
              <w:right w:val="nil"/>
            </w:tcBorders>
            <w:shd w:val="clear" w:color="auto" w:fill="auto"/>
            <w:noWrap/>
            <w:vAlign w:val="center"/>
            <w:hideMark/>
          </w:tcPr>
          <w:p w:rsidR="00AE5B31" w:rsidRPr="005D1801" w:rsidRDefault="00AE5B31" w:rsidP="00E7602D">
            <w:pPr>
              <w:jc w:val="right"/>
              <w:rPr>
                <w:rFonts w:ascii="Calibri" w:hAnsi="Calibri"/>
                <w:color w:val="000000"/>
                <w:sz w:val="18"/>
                <w:szCs w:val="18"/>
              </w:rPr>
            </w:pPr>
            <w:r>
              <w:rPr>
                <w:rFonts w:ascii="Calibri" w:hAnsi="Calibri"/>
                <w:color w:val="000000"/>
                <w:sz w:val="18"/>
                <w:szCs w:val="18"/>
              </w:rPr>
              <w:t>101,243</w:t>
            </w:r>
          </w:p>
        </w:tc>
        <w:tc>
          <w:tcPr>
            <w:tcW w:w="416"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p>
        </w:tc>
        <w:tc>
          <w:tcPr>
            <w:tcW w:w="1218"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2033</w:t>
            </w:r>
          </w:p>
        </w:tc>
        <w:tc>
          <w:tcPr>
            <w:tcW w:w="1218" w:type="dxa"/>
            <w:tcBorders>
              <w:top w:val="nil"/>
              <w:left w:val="nil"/>
              <w:bottom w:val="nil"/>
              <w:right w:val="nil"/>
            </w:tcBorders>
            <w:shd w:val="clear" w:color="auto" w:fill="auto"/>
            <w:noWrap/>
            <w:vAlign w:val="center"/>
            <w:hideMark/>
          </w:tcPr>
          <w:p w:rsidR="00AE5B31" w:rsidRPr="005D1801" w:rsidRDefault="00AE5B31" w:rsidP="00E7602D">
            <w:pPr>
              <w:jc w:val="right"/>
              <w:rPr>
                <w:rFonts w:ascii="Calibri" w:hAnsi="Calibri"/>
                <w:color w:val="000000"/>
                <w:sz w:val="18"/>
                <w:szCs w:val="18"/>
              </w:rPr>
            </w:pPr>
            <w:r>
              <w:rPr>
                <w:rFonts w:ascii="Calibri" w:hAnsi="Calibri"/>
                <w:color w:val="000000"/>
                <w:sz w:val="18"/>
                <w:szCs w:val="18"/>
              </w:rPr>
              <w:t>150,322</w:t>
            </w:r>
          </w:p>
        </w:tc>
      </w:tr>
      <w:tr w:rsidR="00AE5B31" w:rsidRPr="00266341" w:rsidTr="00E7602D">
        <w:trPr>
          <w:trHeight w:val="264"/>
        </w:trPr>
        <w:tc>
          <w:tcPr>
            <w:tcW w:w="1218"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2022</w:t>
            </w:r>
          </w:p>
        </w:tc>
        <w:tc>
          <w:tcPr>
            <w:tcW w:w="1218" w:type="dxa"/>
            <w:tcBorders>
              <w:top w:val="nil"/>
              <w:left w:val="nil"/>
              <w:bottom w:val="nil"/>
              <w:right w:val="nil"/>
            </w:tcBorders>
            <w:shd w:val="clear" w:color="auto" w:fill="auto"/>
            <w:noWrap/>
            <w:vAlign w:val="center"/>
            <w:hideMark/>
          </w:tcPr>
          <w:p w:rsidR="00AE5B31" w:rsidRPr="005D1801" w:rsidRDefault="00AE5B31" w:rsidP="00E7602D">
            <w:pPr>
              <w:jc w:val="right"/>
              <w:rPr>
                <w:rFonts w:ascii="Calibri" w:hAnsi="Calibri"/>
                <w:color w:val="000000"/>
                <w:sz w:val="18"/>
                <w:szCs w:val="18"/>
              </w:rPr>
            </w:pPr>
            <w:r>
              <w:rPr>
                <w:rFonts w:ascii="Calibri" w:hAnsi="Calibri"/>
                <w:color w:val="000000"/>
                <w:sz w:val="18"/>
                <w:szCs w:val="18"/>
              </w:rPr>
              <w:t>105,333</w:t>
            </w:r>
          </w:p>
        </w:tc>
        <w:tc>
          <w:tcPr>
            <w:tcW w:w="416"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p>
        </w:tc>
        <w:tc>
          <w:tcPr>
            <w:tcW w:w="1218"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2034</w:t>
            </w:r>
          </w:p>
        </w:tc>
        <w:tc>
          <w:tcPr>
            <w:tcW w:w="1218" w:type="dxa"/>
            <w:tcBorders>
              <w:top w:val="nil"/>
              <w:left w:val="nil"/>
              <w:bottom w:val="nil"/>
              <w:right w:val="nil"/>
            </w:tcBorders>
            <w:shd w:val="clear" w:color="auto" w:fill="auto"/>
            <w:noWrap/>
            <w:vAlign w:val="center"/>
            <w:hideMark/>
          </w:tcPr>
          <w:p w:rsidR="00AE5B31" w:rsidRPr="005D1801" w:rsidRDefault="00AE5B31" w:rsidP="00E7602D">
            <w:pPr>
              <w:jc w:val="right"/>
              <w:rPr>
                <w:rFonts w:ascii="Calibri" w:hAnsi="Calibri"/>
                <w:color w:val="000000"/>
                <w:sz w:val="18"/>
                <w:szCs w:val="18"/>
              </w:rPr>
            </w:pPr>
            <w:r>
              <w:rPr>
                <w:rFonts w:ascii="Calibri" w:hAnsi="Calibri"/>
                <w:color w:val="000000"/>
                <w:sz w:val="18"/>
                <w:szCs w:val="18"/>
              </w:rPr>
              <w:t>154,412</w:t>
            </w:r>
          </w:p>
        </w:tc>
      </w:tr>
      <w:tr w:rsidR="00AE5B31" w:rsidRPr="00266341" w:rsidTr="00E7602D">
        <w:trPr>
          <w:trHeight w:val="264"/>
        </w:trPr>
        <w:tc>
          <w:tcPr>
            <w:tcW w:w="1218"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2023</w:t>
            </w:r>
          </w:p>
        </w:tc>
        <w:tc>
          <w:tcPr>
            <w:tcW w:w="1218" w:type="dxa"/>
            <w:tcBorders>
              <w:top w:val="nil"/>
              <w:left w:val="nil"/>
              <w:bottom w:val="nil"/>
              <w:right w:val="nil"/>
            </w:tcBorders>
            <w:shd w:val="clear" w:color="auto" w:fill="auto"/>
            <w:noWrap/>
            <w:vAlign w:val="center"/>
            <w:hideMark/>
          </w:tcPr>
          <w:p w:rsidR="00AE5B31" w:rsidRPr="005D1801" w:rsidRDefault="00AE5B31" w:rsidP="00E7602D">
            <w:pPr>
              <w:jc w:val="right"/>
              <w:rPr>
                <w:rFonts w:ascii="Calibri" w:hAnsi="Calibri"/>
                <w:color w:val="000000"/>
                <w:sz w:val="18"/>
                <w:szCs w:val="18"/>
              </w:rPr>
            </w:pPr>
            <w:r>
              <w:rPr>
                <w:rFonts w:ascii="Calibri" w:hAnsi="Calibri"/>
                <w:color w:val="000000"/>
                <w:sz w:val="18"/>
                <w:szCs w:val="18"/>
              </w:rPr>
              <w:t>109,423</w:t>
            </w:r>
          </w:p>
        </w:tc>
        <w:tc>
          <w:tcPr>
            <w:tcW w:w="416"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p>
        </w:tc>
        <w:tc>
          <w:tcPr>
            <w:tcW w:w="1218"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2035</w:t>
            </w:r>
          </w:p>
        </w:tc>
        <w:tc>
          <w:tcPr>
            <w:tcW w:w="1218" w:type="dxa"/>
            <w:tcBorders>
              <w:top w:val="nil"/>
              <w:left w:val="nil"/>
              <w:bottom w:val="nil"/>
              <w:right w:val="nil"/>
            </w:tcBorders>
            <w:shd w:val="clear" w:color="auto" w:fill="auto"/>
            <w:noWrap/>
            <w:vAlign w:val="center"/>
            <w:hideMark/>
          </w:tcPr>
          <w:p w:rsidR="00AE5B31" w:rsidRPr="005D1801" w:rsidRDefault="00AE5B31" w:rsidP="00E7602D">
            <w:pPr>
              <w:jc w:val="right"/>
              <w:rPr>
                <w:rFonts w:ascii="Calibri" w:hAnsi="Calibri"/>
                <w:color w:val="000000"/>
                <w:sz w:val="18"/>
                <w:szCs w:val="18"/>
              </w:rPr>
            </w:pPr>
            <w:r>
              <w:rPr>
                <w:rFonts w:ascii="Calibri" w:hAnsi="Calibri"/>
                <w:color w:val="000000"/>
                <w:sz w:val="18"/>
                <w:szCs w:val="18"/>
              </w:rPr>
              <w:t>158,502</w:t>
            </w:r>
          </w:p>
        </w:tc>
      </w:tr>
      <w:tr w:rsidR="00AE5B31" w:rsidRPr="00266341" w:rsidTr="00E7602D">
        <w:trPr>
          <w:trHeight w:val="264"/>
        </w:trPr>
        <w:tc>
          <w:tcPr>
            <w:tcW w:w="1218"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2024</w:t>
            </w:r>
          </w:p>
        </w:tc>
        <w:tc>
          <w:tcPr>
            <w:tcW w:w="1218" w:type="dxa"/>
            <w:tcBorders>
              <w:top w:val="nil"/>
              <w:left w:val="nil"/>
              <w:bottom w:val="nil"/>
              <w:right w:val="nil"/>
            </w:tcBorders>
            <w:shd w:val="clear" w:color="auto" w:fill="auto"/>
            <w:noWrap/>
            <w:vAlign w:val="center"/>
            <w:hideMark/>
          </w:tcPr>
          <w:p w:rsidR="00AE5B31" w:rsidRPr="005D1801" w:rsidRDefault="00AE5B31" w:rsidP="00E7602D">
            <w:pPr>
              <w:jc w:val="right"/>
              <w:rPr>
                <w:rFonts w:ascii="Calibri" w:hAnsi="Calibri"/>
                <w:color w:val="000000"/>
                <w:sz w:val="18"/>
                <w:szCs w:val="18"/>
              </w:rPr>
            </w:pPr>
            <w:r>
              <w:rPr>
                <w:rFonts w:ascii="Calibri" w:hAnsi="Calibri"/>
                <w:color w:val="000000"/>
                <w:sz w:val="18"/>
                <w:szCs w:val="18"/>
              </w:rPr>
              <w:t>113,513</w:t>
            </w:r>
          </w:p>
        </w:tc>
        <w:tc>
          <w:tcPr>
            <w:tcW w:w="416"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p>
        </w:tc>
        <w:tc>
          <w:tcPr>
            <w:tcW w:w="1218"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2036</w:t>
            </w:r>
          </w:p>
        </w:tc>
        <w:tc>
          <w:tcPr>
            <w:tcW w:w="1218" w:type="dxa"/>
            <w:tcBorders>
              <w:top w:val="nil"/>
              <w:left w:val="nil"/>
              <w:bottom w:val="nil"/>
              <w:right w:val="nil"/>
            </w:tcBorders>
            <w:shd w:val="clear" w:color="auto" w:fill="auto"/>
            <w:noWrap/>
            <w:vAlign w:val="center"/>
            <w:hideMark/>
          </w:tcPr>
          <w:p w:rsidR="00AE5B31" w:rsidRPr="005D1801" w:rsidRDefault="00AE5B31" w:rsidP="00E7602D">
            <w:pPr>
              <w:jc w:val="right"/>
              <w:rPr>
                <w:rFonts w:ascii="Calibri" w:hAnsi="Calibri"/>
                <w:color w:val="000000"/>
                <w:sz w:val="18"/>
                <w:szCs w:val="18"/>
              </w:rPr>
            </w:pPr>
            <w:r>
              <w:rPr>
                <w:rFonts w:ascii="Calibri" w:hAnsi="Calibri"/>
                <w:color w:val="000000"/>
                <w:sz w:val="18"/>
                <w:szCs w:val="18"/>
              </w:rPr>
              <w:t>162,591</w:t>
            </w:r>
          </w:p>
        </w:tc>
      </w:tr>
      <w:tr w:rsidR="00AE5B31" w:rsidRPr="00266341" w:rsidTr="00E7602D">
        <w:trPr>
          <w:trHeight w:val="264"/>
        </w:trPr>
        <w:tc>
          <w:tcPr>
            <w:tcW w:w="1218"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2025</w:t>
            </w:r>
          </w:p>
        </w:tc>
        <w:tc>
          <w:tcPr>
            <w:tcW w:w="1218" w:type="dxa"/>
            <w:tcBorders>
              <w:top w:val="nil"/>
              <w:left w:val="nil"/>
              <w:bottom w:val="nil"/>
              <w:right w:val="nil"/>
            </w:tcBorders>
            <w:shd w:val="clear" w:color="auto" w:fill="auto"/>
            <w:noWrap/>
            <w:vAlign w:val="center"/>
            <w:hideMark/>
          </w:tcPr>
          <w:p w:rsidR="00AE5B31" w:rsidRPr="005D1801" w:rsidRDefault="00AE5B31" w:rsidP="00E7602D">
            <w:pPr>
              <w:jc w:val="right"/>
              <w:rPr>
                <w:rFonts w:ascii="Calibri" w:hAnsi="Calibri"/>
                <w:color w:val="000000"/>
                <w:sz w:val="18"/>
                <w:szCs w:val="18"/>
              </w:rPr>
            </w:pPr>
            <w:r>
              <w:rPr>
                <w:rFonts w:ascii="Calibri" w:hAnsi="Calibri"/>
                <w:color w:val="000000"/>
                <w:sz w:val="18"/>
                <w:szCs w:val="18"/>
              </w:rPr>
              <w:t>117,603</w:t>
            </w:r>
          </w:p>
        </w:tc>
        <w:tc>
          <w:tcPr>
            <w:tcW w:w="416"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p>
        </w:tc>
        <w:tc>
          <w:tcPr>
            <w:tcW w:w="1218"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2037</w:t>
            </w:r>
          </w:p>
        </w:tc>
        <w:tc>
          <w:tcPr>
            <w:tcW w:w="1218" w:type="dxa"/>
            <w:tcBorders>
              <w:top w:val="nil"/>
              <w:left w:val="nil"/>
              <w:bottom w:val="nil"/>
              <w:right w:val="nil"/>
            </w:tcBorders>
            <w:shd w:val="clear" w:color="auto" w:fill="auto"/>
            <w:noWrap/>
            <w:vAlign w:val="center"/>
            <w:hideMark/>
          </w:tcPr>
          <w:p w:rsidR="00AE5B31" w:rsidRPr="005D1801" w:rsidRDefault="00AE5B31" w:rsidP="00E7602D">
            <w:pPr>
              <w:jc w:val="right"/>
              <w:rPr>
                <w:rFonts w:ascii="Calibri" w:hAnsi="Calibri"/>
                <w:color w:val="000000"/>
                <w:sz w:val="18"/>
                <w:szCs w:val="18"/>
              </w:rPr>
            </w:pPr>
            <w:r>
              <w:rPr>
                <w:rFonts w:ascii="Calibri" w:hAnsi="Calibri"/>
                <w:color w:val="000000"/>
                <w:sz w:val="18"/>
                <w:szCs w:val="18"/>
              </w:rPr>
              <w:t>166,681</w:t>
            </w:r>
          </w:p>
        </w:tc>
      </w:tr>
      <w:tr w:rsidR="00AE5B31" w:rsidRPr="00266341" w:rsidTr="00E7602D">
        <w:trPr>
          <w:trHeight w:val="264"/>
        </w:trPr>
        <w:tc>
          <w:tcPr>
            <w:tcW w:w="1218" w:type="dxa"/>
            <w:tcBorders>
              <w:top w:val="nil"/>
              <w:left w:val="nil"/>
              <w:bottom w:val="single" w:sz="4" w:space="0" w:color="auto"/>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2026</w:t>
            </w:r>
          </w:p>
        </w:tc>
        <w:tc>
          <w:tcPr>
            <w:tcW w:w="1218" w:type="dxa"/>
            <w:tcBorders>
              <w:top w:val="nil"/>
              <w:left w:val="nil"/>
              <w:bottom w:val="single" w:sz="4" w:space="0" w:color="auto"/>
              <w:right w:val="nil"/>
            </w:tcBorders>
            <w:shd w:val="clear" w:color="auto" w:fill="auto"/>
            <w:noWrap/>
            <w:vAlign w:val="center"/>
            <w:hideMark/>
          </w:tcPr>
          <w:p w:rsidR="00AE5B31" w:rsidRPr="005D1801" w:rsidRDefault="00AE5B31" w:rsidP="00E7602D">
            <w:pPr>
              <w:jc w:val="right"/>
              <w:rPr>
                <w:rFonts w:ascii="Calibri" w:hAnsi="Calibri"/>
                <w:color w:val="000000"/>
                <w:sz w:val="18"/>
                <w:szCs w:val="18"/>
              </w:rPr>
            </w:pPr>
            <w:r>
              <w:rPr>
                <w:rFonts w:ascii="Calibri" w:hAnsi="Calibri"/>
                <w:color w:val="000000"/>
                <w:sz w:val="18"/>
                <w:szCs w:val="18"/>
              </w:rPr>
              <w:t>121,692</w:t>
            </w:r>
          </w:p>
        </w:tc>
        <w:tc>
          <w:tcPr>
            <w:tcW w:w="416"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p>
        </w:tc>
        <w:tc>
          <w:tcPr>
            <w:tcW w:w="1218" w:type="dxa"/>
            <w:tcBorders>
              <w:top w:val="nil"/>
              <w:left w:val="nil"/>
              <w:bottom w:val="single" w:sz="4" w:space="0" w:color="auto"/>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2038</w:t>
            </w:r>
          </w:p>
        </w:tc>
        <w:tc>
          <w:tcPr>
            <w:tcW w:w="1218" w:type="dxa"/>
            <w:tcBorders>
              <w:top w:val="nil"/>
              <w:left w:val="nil"/>
              <w:bottom w:val="single" w:sz="4" w:space="0" w:color="auto"/>
              <w:right w:val="nil"/>
            </w:tcBorders>
            <w:shd w:val="clear" w:color="auto" w:fill="auto"/>
            <w:noWrap/>
            <w:vAlign w:val="center"/>
            <w:hideMark/>
          </w:tcPr>
          <w:p w:rsidR="00AE5B31" w:rsidRPr="005D1801" w:rsidRDefault="00AE5B31" w:rsidP="00E7602D">
            <w:pPr>
              <w:jc w:val="right"/>
              <w:rPr>
                <w:rFonts w:ascii="Calibri" w:hAnsi="Calibri"/>
                <w:color w:val="000000"/>
                <w:sz w:val="18"/>
                <w:szCs w:val="18"/>
              </w:rPr>
            </w:pPr>
            <w:r>
              <w:rPr>
                <w:rFonts w:ascii="Calibri" w:hAnsi="Calibri"/>
                <w:color w:val="000000"/>
                <w:sz w:val="18"/>
                <w:szCs w:val="18"/>
              </w:rPr>
              <w:t>170,771</w:t>
            </w:r>
          </w:p>
        </w:tc>
      </w:tr>
    </w:tbl>
    <w:p w:rsidR="00AE5B31" w:rsidRDefault="00AE5B31" w:rsidP="00AE5B31">
      <w:pPr>
        <w:pStyle w:val="ListParagraph"/>
        <w:rPr>
          <w:szCs w:val="24"/>
        </w:rPr>
      </w:pPr>
      <w:r w:rsidRPr="00E92409">
        <w:rPr>
          <w:noProof/>
          <w:lang w:val="en-US"/>
        </w:rPr>
        <w:drawing>
          <wp:anchor distT="0" distB="0" distL="114300" distR="114300" simplePos="0" relativeHeight="251666432" behindDoc="1" locked="0" layoutInCell="1" allowOverlap="1" wp14:anchorId="20CDF21B" wp14:editId="17CDBC52">
            <wp:simplePos x="0" y="0"/>
            <wp:positionH relativeFrom="column">
              <wp:posOffset>371475</wp:posOffset>
            </wp:positionH>
            <wp:positionV relativeFrom="paragraph">
              <wp:posOffset>12065</wp:posOffset>
            </wp:positionV>
            <wp:extent cx="3667125" cy="2281555"/>
            <wp:effectExtent l="0" t="0" r="0" b="444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67125" cy="2281555"/>
                    </a:xfrm>
                    <a:prstGeom prst="rect">
                      <a:avLst/>
                    </a:prstGeom>
                    <a:noFill/>
                    <a:ln>
                      <a:noFill/>
                    </a:ln>
                  </pic:spPr>
                </pic:pic>
              </a:graphicData>
            </a:graphic>
          </wp:anchor>
        </w:drawing>
      </w:r>
      <w:r>
        <w:rPr>
          <w:noProof/>
          <w:lang w:val="en-US"/>
        </w:rPr>
        <w:drawing>
          <wp:anchor distT="0" distB="0" distL="114300" distR="114300" simplePos="0" relativeHeight="251659264" behindDoc="0" locked="0" layoutInCell="1" allowOverlap="1" wp14:anchorId="4ABE4658" wp14:editId="009D6C6C">
            <wp:simplePos x="0" y="0"/>
            <wp:positionH relativeFrom="column">
              <wp:posOffset>2914015</wp:posOffset>
            </wp:positionH>
            <wp:positionV relativeFrom="paragraph">
              <wp:posOffset>173990</wp:posOffset>
            </wp:positionV>
            <wp:extent cx="379095" cy="226695"/>
            <wp:effectExtent l="0" t="0" r="1905" b="1905"/>
            <wp:wrapNone/>
            <wp:docPr id="8" name="Imagen 7" descr="http://www.banderas-mundo.es/data/flags/ultra/c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7" descr="http://www.banderas-mundo.es/data/flags/ultra/cr.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9095" cy="226695"/>
                    </a:xfrm>
                    <a:prstGeom prst="rect">
                      <a:avLst/>
                    </a:prstGeom>
                    <a:noFill/>
                    <a:extLst/>
                  </pic:spPr>
                </pic:pic>
              </a:graphicData>
            </a:graphic>
          </wp:anchor>
        </w:drawing>
      </w:r>
    </w:p>
    <w:p w:rsidR="00AE5B31" w:rsidRDefault="00AE5B31" w:rsidP="00AE5B31">
      <w:pPr>
        <w:pStyle w:val="ListParagraph"/>
        <w:rPr>
          <w:szCs w:val="24"/>
        </w:rPr>
      </w:pPr>
      <w:r>
        <w:rPr>
          <w:noProof/>
          <w:lang w:val="en-US"/>
        </w:rPr>
        <w:drawing>
          <wp:anchor distT="0" distB="0" distL="114300" distR="114300" simplePos="0" relativeHeight="251663360" behindDoc="0" locked="0" layoutInCell="1" allowOverlap="1" wp14:anchorId="32552588" wp14:editId="078D9206">
            <wp:simplePos x="0" y="0"/>
            <wp:positionH relativeFrom="column">
              <wp:posOffset>2238375</wp:posOffset>
            </wp:positionH>
            <wp:positionV relativeFrom="paragraph">
              <wp:posOffset>4445</wp:posOffset>
            </wp:positionV>
            <wp:extent cx="342900" cy="228788"/>
            <wp:effectExtent l="0" t="0" r="0" b="0"/>
            <wp:wrapNone/>
            <wp:docPr id="20" name="Imagen 6" descr="http://upload.wikimedia.org/wikipedia/commons/thumb/a/ab/Flag_of_Panama.svg/2000px-Flag_of_Panam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descr="http://upload.wikimedia.org/wikipedia/commons/thumb/a/ab/Flag_of_Panama.svg/2000px-Flag_of_Panama.svg.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2900" cy="228788"/>
                    </a:xfrm>
                    <a:prstGeom prst="rect">
                      <a:avLst/>
                    </a:prstGeom>
                    <a:noFill/>
                    <a:extLst/>
                  </pic:spPr>
                </pic:pic>
              </a:graphicData>
            </a:graphic>
          </wp:anchor>
        </w:drawing>
      </w:r>
      <w:r>
        <w:rPr>
          <w:noProof/>
          <w:lang w:val="en-US"/>
        </w:rPr>
        <mc:AlternateContent>
          <mc:Choice Requires="wps">
            <w:drawing>
              <wp:anchor distT="0" distB="0" distL="114300" distR="114300" simplePos="0" relativeHeight="251660288" behindDoc="0" locked="0" layoutInCell="1" allowOverlap="1" wp14:anchorId="5D27B753" wp14:editId="57B0C3C1">
                <wp:simplePos x="0" y="0"/>
                <wp:positionH relativeFrom="column">
                  <wp:posOffset>2649220</wp:posOffset>
                </wp:positionH>
                <wp:positionV relativeFrom="paragraph">
                  <wp:posOffset>34290</wp:posOffset>
                </wp:positionV>
                <wp:extent cx="206375" cy="180975"/>
                <wp:effectExtent l="19050" t="0" r="22225" b="28575"/>
                <wp:wrapNone/>
                <wp:docPr id="5" name="Cheurón 9" descr="fee644c1-8738-45a6-bfb7-261db678b5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6375" cy="180975"/>
                        </a:xfrm>
                        <a:prstGeom prst="chevron">
                          <a:avLst/>
                        </a:prstGeom>
                        <a:solidFill>
                          <a:schemeClr val="accent2"/>
                        </a:solidFill>
                        <a:ln w="19050">
                          <a:solidFill>
                            <a:schemeClr val="accent2"/>
                          </a:solidFill>
                        </a:ln>
                      </wps:spPr>
                      <wps:style>
                        <a:lnRef idx="2">
                          <a:schemeClr val="accent3">
                            <a:shade val="50000"/>
                          </a:schemeClr>
                        </a:lnRef>
                        <a:fillRef idx="1">
                          <a:schemeClr val="accent3"/>
                        </a:fillRef>
                        <a:effectRef idx="0">
                          <a:schemeClr val="accent3"/>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shapetype w14:anchorId="5CD9393C"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Cheurón 9" o:spid="_x0000_s1026" type="#_x0000_t55" alt="fee644c1-8738-45a6-bfb7-261db678b503" style="position:absolute;margin-left:208.6pt;margin-top:2.7pt;width:16.25pt;height:1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" adj="12129" fillcolor="#c0504d [3205]" strokecolor="#c0504d [3205]" strokeweight="1.5pt">
                <v:path arrowok="t"/>
              </v:shape>
            </w:pict>
          </mc:Fallback>
        </mc:AlternateContent>
      </w:r>
    </w:p>
    <w:p w:rsidR="00AE5B31" w:rsidRDefault="00AE5B31" w:rsidP="00AE5B31">
      <w:pPr>
        <w:pStyle w:val="ListParagraph"/>
        <w:rPr>
          <w:szCs w:val="24"/>
        </w:rPr>
      </w:pPr>
    </w:p>
    <w:p w:rsidR="00AE5B31" w:rsidRDefault="00AE5B31" w:rsidP="00AE5B31">
      <w:pPr>
        <w:pStyle w:val="ListParagraph"/>
        <w:rPr>
          <w:szCs w:val="24"/>
        </w:rPr>
      </w:pPr>
    </w:p>
    <w:p w:rsidR="00AE5B31" w:rsidRDefault="00AE5B31" w:rsidP="00AE5B31">
      <w:pPr>
        <w:pStyle w:val="ListParagraph"/>
        <w:rPr>
          <w:szCs w:val="24"/>
        </w:rPr>
      </w:pPr>
    </w:p>
    <w:p w:rsidR="00AE5B31" w:rsidRDefault="00AE5B31" w:rsidP="00AE5B31">
      <w:pPr>
        <w:pStyle w:val="ListParagraph"/>
        <w:jc w:val="right"/>
        <w:rPr>
          <w:szCs w:val="24"/>
        </w:rPr>
      </w:pPr>
    </w:p>
    <w:p w:rsidR="00AE5B31" w:rsidRDefault="00AE5B31" w:rsidP="00AE5B31">
      <w:pPr>
        <w:pStyle w:val="ListParagraph"/>
        <w:tabs>
          <w:tab w:val="left" w:pos="1725"/>
        </w:tabs>
        <w:rPr>
          <w:szCs w:val="24"/>
        </w:rPr>
      </w:pPr>
      <w:r>
        <w:rPr>
          <w:szCs w:val="24"/>
        </w:rPr>
        <w:tab/>
      </w:r>
    </w:p>
    <w:p w:rsidR="00AE5B31" w:rsidRDefault="00AE5B31" w:rsidP="00AE5B31">
      <w:pPr>
        <w:pStyle w:val="ListParagraph"/>
        <w:tabs>
          <w:tab w:val="left" w:pos="6060"/>
        </w:tabs>
        <w:rPr>
          <w:szCs w:val="24"/>
        </w:rPr>
      </w:pPr>
      <w:r>
        <w:rPr>
          <w:szCs w:val="24"/>
        </w:rPr>
        <w:tab/>
      </w:r>
    </w:p>
    <w:p w:rsidR="00AE5B31" w:rsidRDefault="00AE5B31" w:rsidP="00AE5B31">
      <w:pPr>
        <w:pStyle w:val="ListParagraph"/>
        <w:tabs>
          <w:tab w:val="left" w:pos="6105"/>
        </w:tabs>
        <w:rPr>
          <w:szCs w:val="24"/>
        </w:rPr>
      </w:pPr>
      <w:r>
        <w:rPr>
          <w:szCs w:val="24"/>
        </w:rPr>
        <w:tab/>
      </w:r>
    </w:p>
    <w:p w:rsidR="00AE5B31" w:rsidRDefault="00AE5B31" w:rsidP="00AE5B31">
      <w:pPr>
        <w:pStyle w:val="ListParagraph"/>
        <w:rPr>
          <w:szCs w:val="24"/>
        </w:rPr>
      </w:pPr>
    </w:p>
    <w:p w:rsidR="00AE5B31" w:rsidRDefault="00AE5B31" w:rsidP="00AE5B31">
      <w:pPr>
        <w:pStyle w:val="ListParagraph"/>
        <w:rPr>
          <w:szCs w:val="24"/>
        </w:rPr>
      </w:pPr>
    </w:p>
    <w:p w:rsidR="00AE5B31" w:rsidRDefault="00AE5B31" w:rsidP="00AE5B31">
      <w:pPr>
        <w:pStyle w:val="ListParagraph"/>
        <w:rPr>
          <w:szCs w:val="24"/>
        </w:rPr>
      </w:pPr>
    </w:p>
    <w:p w:rsidR="00AE5B31" w:rsidRDefault="00AE5B31" w:rsidP="00AE5B31">
      <w:pPr>
        <w:pStyle w:val="ListParagraph"/>
        <w:rPr>
          <w:szCs w:val="24"/>
        </w:rPr>
      </w:pPr>
    </w:p>
    <w:p w:rsidR="00AE5B31" w:rsidRDefault="00AE5B31" w:rsidP="00AE5B31">
      <w:pPr>
        <w:pStyle w:val="ListParagraph"/>
        <w:rPr>
          <w:szCs w:val="24"/>
        </w:rPr>
      </w:pPr>
    </w:p>
    <w:tbl>
      <w:tblPr>
        <w:tblpPr w:leftFromText="180" w:rightFromText="180" w:vertAnchor="text" w:horzAnchor="page" w:tblpX="8356" w:tblpY="177"/>
        <w:tblW w:w="5210" w:type="dxa"/>
        <w:tblLook w:val="04A0" w:firstRow="1" w:lastRow="0" w:firstColumn="1" w:lastColumn="0" w:noHBand="0" w:noVBand="1"/>
      </w:tblPr>
      <w:tblGrid>
        <w:gridCol w:w="1200"/>
        <w:gridCol w:w="1200"/>
        <w:gridCol w:w="410"/>
        <w:gridCol w:w="1200"/>
        <w:gridCol w:w="1200"/>
      </w:tblGrid>
      <w:tr w:rsidR="00AE5B31" w:rsidRPr="00266341" w:rsidTr="00E7602D">
        <w:trPr>
          <w:trHeight w:val="279"/>
        </w:trPr>
        <w:tc>
          <w:tcPr>
            <w:tcW w:w="1200" w:type="dxa"/>
            <w:tcBorders>
              <w:top w:val="single" w:sz="4" w:space="0" w:color="auto"/>
              <w:left w:val="nil"/>
              <w:bottom w:val="single" w:sz="4" w:space="0" w:color="auto"/>
              <w:right w:val="nil"/>
            </w:tcBorders>
            <w:shd w:val="clear" w:color="000000" w:fill="BDD7EE"/>
            <w:noWrap/>
            <w:vAlign w:val="center"/>
            <w:hideMark/>
          </w:tcPr>
          <w:p w:rsidR="00AE5B31" w:rsidRPr="00266341" w:rsidRDefault="00AE5B31" w:rsidP="00E7602D">
            <w:pPr>
              <w:jc w:val="center"/>
              <w:rPr>
                <w:rFonts w:ascii="Calibri" w:hAnsi="Calibri"/>
                <w:b/>
                <w:color w:val="000000"/>
                <w:sz w:val="18"/>
                <w:lang w:val="en-US"/>
              </w:rPr>
            </w:pPr>
            <w:r w:rsidRPr="00266341">
              <w:rPr>
                <w:rFonts w:ascii="Calibri" w:hAnsi="Calibri"/>
                <w:b/>
                <w:color w:val="000000"/>
                <w:sz w:val="18"/>
                <w:lang w:val="en-US"/>
              </w:rPr>
              <w:t>Año</w:t>
            </w:r>
          </w:p>
        </w:tc>
        <w:tc>
          <w:tcPr>
            <w:tcW w:w="1200" w:type="dxa"/>
            <w:tcBorders>
              <w:top w:val="single" w:sz="4" w:space="0" w:color="auto"/>
              <w:left w:val="nil"/>
              <w:bottom w:val="single" w:sz="4" w:space="0" w:color="auto"/>
              <w:right w:val="nil"/>
            </w:tcBorders>
            <w:shd w:val="clear" w:color="000000" w:fill="BDD7EE"/>
            <w:noWrap/>
            <w:vAlign w:val="center"/>
            <w:hideMark/>
          </w:tcPr>
          <w:p w:rsidR="00AE5B31" w:rsidRPr="00266341" w:rsidRDefault="00AE5B31" w:rsidP="00E7602D">
            <w:pPr>
              <w:jc w:val="center"/>
              <w:rPr>
                <w:rFonts w:ascii="Calibri" w:hAnsi="Calibri"/>
                <w:b/>
                <w:color w:val="000000"/>
                <w:sz w:val="18"/>
                <w:lang w:val="en-US"/>
              </w:rPr>
            </w:pPr>
            <w:r w:rsidRPr="00266341">
              <w:rPr>
                <w:rFonts w:ascii="Calibri" w:hAnsi="Calibri"/>
                <w:b/>
                <w:color w:val="000000"/>
                <w:sz w:val="18"/>
                <w:lang w:val="en-US"/>
              </w:rPr>
              <w:t>Personas</w:t>
            </w:r>
          </w:p>
        </w:tc>
        <w:tc>
          <w:tcPr>
            <w:tcW w:w="410"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b/>
                <w:color w:val="000000"/>
                <w:sz w:val="18"/>
                <w:lang w:val="en-US"/>
              </w:rPr>
            </w:pPr>
          </w:p>
        </w:tc>
        <w:tc>
          <w:tcPr>
            <w:tcW w:w="1200" w:type="dxa"/>
            <w:tcBorders>
              <w:top w:val="single" w:sz="4" w:space="0" w:color="auto"/>
              <w:left w:val="nil"/>
              <w:bottom w:val="single" w:sz="4" w:space="0" w:color="auto"/>
              <w:right w:val="nil"/>
            </w:tcBorders>
            <w:shd w:val="clear" w:color="000000" w:fill="BDD7EE"/>
            <w:noWrap/>
            <w:vAlign w:val="center"/>
            <w:hideMark/>
          </w:tcPr>
          <w:p w:rsidR="00AE5B31" w:rsidRPr="00266341" w:rsidRDefault="00AE5B31" w:rsidP="00E7602D">
            <w:pPr>
              <w:jc w:val="center"/>
              <w:rPr>
                <w:rFonts w:ascii="Calibri" w:hAnsi="Calibri"/>
                <w:b/>
                <w:color w:val="000000"/>
                <w:sz w:val="18"/>
                <w:lang w:val="en-US"/>
              </w:rPr>
            </w:pPr>
            <w:r w:rsidRPr="00266341">
              <w:rPr>
                <w:rFonts w:ascii="Calibri" w:hAnsi="Calibri"/>
                <w:b/>
                <w:color w:val="000000"/>
                <w:sz w:val="18"/>
                <w:lang w:val="en-US"/>
              </w:rPr>
              <w:t>Año</w:t>
            </w:r>
          </w:p>
        </w:tc>
        <w:tc>
          <w:tcPr>
            <w:tcW w:w="1200" w:type="dxa"/>
            <w:tcBorders>
              <w:top w:val="single" w:sz="4" w:space="0" w:color="auto"/>
              <w:left w:val="nil"/>
              <w:bottom w:val="single" w:sz="4" w:space="0" w:color="auto"/>
              <w:right w:val="nil"/>
            </w:tcBorders>
            <w:shd w:val="clear" w:color="000000" w:fill="BDD7EE"/>
            <w:noWrap/>
            <w:vAlign w:val="center"/>
            <w:hideMark/>
          </w:tcPr>
          <w:p w:rsidR="00AE5B31" w:rsidRPr="00266341" w:rsidRDefault="00AE5B31" w:rsidP="00E7602D">
            <w:pPr>
              <w:jc w:val="center"/>
              <w:rPr>
                <w:rFonts w:ascii="Calibri" w:hAnsi="Calibri"/>
                <w:b/>
                <w:color w:val="000000"/>
                <w:sz w:val="18"/>
                <w:lang w:val="en-US"/>
              </w:rPr>
            </w:pPr>
            <w:r w:rsidRPr="00266341">
              <w:rPr>
                <w:rFonts w:ascii="Calibri" w:hAnsi="Calibri"/>
                <w:b/>
                <w:color w:val="000000"/>
                <w:sz w:val="18"/>
                <w:lang w:val="en-US"/>
              </w:rPr>
              <w:t>Personas</w:t>
            </w:r>
          </w:p>
        </w:tc>
      </w:tr>
      <w:tr w:rsidR="00AE5B31" w:rsidRPr="00266341" w:rsidTr="00E7602D">
        <w:trPr>
          <w:trHeight w:val="265"/>
        </w:trPr>
        <w:tc>
          <w:tcPr>
            <w:tcW w:w="1200"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2015</w:t>
            </w:r>
          </w:p>
        </w:tc>
        <w:tc>
          <w:tcPr>
            <w:tcW w:w="1200"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r>
              <w:rPr>
                <w:rFonts w:ascii="Calibri" w:hAnsi="Calibri"/>
                <w:color w:val="000000"/>
                <w:sz w:val="18"/>
                <w:szCs w:val="18"/>
              </w:rPr>
              <w:t>77,997</w:t>
            </w:r>
          </w:p>
        </w:tc>
        <w:tc>
          <w:tcPr>
            <w:tcW w:w="410"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p>
        </w:tc>
        <w:tc>
          <w:tcPr>
            <w:tcW w:w="1200"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2027</w:t>
            </w:r>
          </w:p>
        </w:tc>
        <w:tc>
          <w:tcPr>
            <w:tcW w:w="1200"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r>
              <w:rPr>
                <w:rFonts w:ascii="Calibri" w:hAnsi="Calibri"/>
                <w:color w:val="000000"/>
                <w:sz w:val="18"/>
                <w:szCs w:val="18"/>
              </w:rPr>
              <w:t>126,362</w:t>
            </w:r>
          </w:p>
        </w:tc>
      </w:tr>
      <w:tr w:rsidR="00AE5B31" w:rsidRPr="00266341" w:rsidTr="00E7602D">
        <w:trPr>
          <w:trHeight w:val="265"/>
        </w:trPr>
        <w:tc>
          <w:tcPr>
            <w:tcW w:w="1200"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2016</w:t>
            </w:r>
          </w:p>
        </w:tc>
        <w:tc>
          <w:tcPr>
            <w:tcW w:w="1200"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r>
              <w:rPr>
                <w:rFonts w:ascii="Calibri" w:hAnsi="Calibri"/>
                <w:color w:val="000000"/>
                <w:sz w:val="18"/>
                <w:szCs w:val="18"/>
              </w:rPr>
              <w:t>82,027</w:t>
            </w:r>
          </w:p>
        </w:tc>
        <w:tc>
          <w:tcPr>
            <w:tcW w:w="410"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p>
        </w:tc>
        <w:tc>
          <w:tcPr>
            <w:tcW w:w="1200"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2028</w:t>
            </w:r>
          </w:p>
        </w:tc>
        <w:tc>
          <w:tcPr>
            <w:tcW w:w="1200"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r>
              <w:rPr>
                <w:rFonts w:ascii="Calibri" w:hAnsi="Calibri"/>
                <w:color w:val="000000"/>
                <w:sz w:val="18"/>
                <w:szCs w:val="18"/>
              </w:rPr>
              <w:t>130,392</w:t>
            </w:r>
          </w:p>
        </w:tc>
      </w:tr>
      <w:tr w:rsidR="00AE5B31" w:rsidRPr="00266341" w:rsidTr="00E7602D">
        <w:trPr>
          <w:trHeight w:val="265"/>
        </w:trPr>
        <w:tc>
          <w:tcPr>
            <w:tcW w:w="1200"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2017</w:t>
            </w:r>
          </w:p>
        </w:tc>
        <w:tc>
          <w:tcPr>
            <w:tcW w:w="1200"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r>
              <w:rPr>
                <w:rFonts w:ascii="Calibri" w:hAnsi="Calibri"/>
                <w:color w:val="000000"/>
                <w:sz w:val="18"/>
                <w:szCs w:val="18"/>
              </w:rPr>
              <w:t>86,058</w:t>
            </w:r>
          </w:p>
        </w:tc>
        <w:tc>
          <w:tcPr>
            <w:tcW w:w="410"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p>
        </w:tc>
        <w:tc>
          <w:tcPr>
            <w:tcW w:w="1200"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2029</w:t>
            </w:r>
          </w:p>
        </w:tc>
        <w:tc>
          <w:tcPr>
            <w:tcW w:w="1200"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r>
              <w:rPr>
                <w:rFonts w:ascii="Calibri" w:hAnsi="Calibri"/>
                <w:color w:val="000000"/>
                <w:sz w:val="18"/>
                <w:szCs w:val="18"/>
              </w:rPr>
              <w:t>134,423</w:t>
            </w:r>
          </w:p>
        </w:tc>
      </w:tr>
      <w:tr w:rsidR="00AE5B31" w:rsidRPr="00266341" w:rsidTr="00E7602D">
        <w:trPr>
          <w:trHeight w:val="265"/>
        </w:trPr>
        <w:tc>
          <w:tcPr>
            <w:tcW w:w="1200"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2018</w:t>
            </w:r>
          </w:p>
        </w:tc>
        <w:tc>
          <w:tcPr>
            <w:tcW w:w="1200"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r>
              <w:rPr>
                <w:rFonts w:ascii="Calibri" w:hAnsi="Calibri"/>
                <w:color w:val="000000"/>
                <w:sz w:val="18"/>
                <w:szCs w:val="18"/>
              </w:rPr>
              <w:t>90,088</w:t>
            </w:r>
          </w:p>
        </w:tc>
        <w:tc>
          <w:tcPr>
            <w:tcW w:w="410"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p>
        </w:tc>
        <w:tc>
          <w:tcPr>
            <w:tcW w:w="1200"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2030</w:t>
            </w:r>
          </w:p>
        </w:tc>
        <w:tc>
          <w:tcPr>
            <w:tcW w:w="1200"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r>
              <w:rPr>
                <w:rFonts w:ascii="Calibri" w:hAnsi="Calibri"/>
                <w:color w:val="000000"/>
                <w:sz w:val="18"/>
                <w:szCs w:val="18"/>
              </w:rPr>
              <w:t>138,453</w:t>
            </w:r>
          </w:p>
        </w:tc>
      </w:tr>
      <w:tr w:rsidR="00AE5B31" w:rsidRPr="00266341" w:rsidTr="00E7602D">
        <w:trPr>
          <w:trHeight w:val="265"/>
        </w:trPr>
        <w:tc>
          <w:tcPr>
            <w:tcW w:w="1200"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2019</w:t>
            </w:r>
          </w:p>
        </w:tc>
        <w:tc>
          <w:tcPr>
            <w:tcW w:w="1200"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r>
              <w:rPr>
                <w:rFonts w:ascii="Calibri" w:hAnsi="Calibri"/>
                <w:color w:val="000000"/>
                <w:sz w:val="18"/>
                <w:szCs w:val="18"/>
              </w:rPr>
              <w:t>94,119</w:t>
            </w:r>
          </w:p>
        </w:tc>
        <w:tc>
          <w:tcPr>
            <w:tcW w:w="410"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p>
        </w:tc>
        <w:tc>
          <w:tcPr>
            <w:tcW w:w="1200"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2031</w:t>
            </w:r>
          </w:p>
        </w:tc>
        <w:tc>
          <w:tcPr>
            <w:tcW w:w="1200"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r>
              <w:rPr>
                <w:rFonts w:ascii="Calibri" w:hAnsi="Calibri"/>
                <w:color w:val="000000"/>
                <w:sz w:val="18"/>
                <w:szCs w:val="18"/>
              </w:rPr>
              <w:t>142,483</w:t>
            </w:r>
          </w:p>
        </w:tc>
      </w:tr>
      <w:tr w:rsidR="00AE5B31" w:rsidRPr="00266341" w:rsidTr="00E7602D">
        <w:trPr>
          <w:trHeight w:val="265"/>
        </w:trPr>
        <w:tc>
          <w:tcPr>
            <w:tcW w:w="1200"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2020</w:t>
            </w:r>
          </w:p>
        </w:tc>
        <w:tc>
          <w:tcPr>
            <w:tcW w:w="1200"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r>
              <w:rPr>
                <w:rFonts w:ascii="Calibri" w:hAnsi="Calibri"/>
                <w:color w:val="000000"/>
                <w:sz w:val="18"/>
                <w:szCs w:val="18"/>
              </w:rPr>
              <w:t>98,149</w:t>
            </w:r>
          </w:p>
        </w:tc>
        <w:tc>
          <w:tcPr>
            <w:tcW w:w="410"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p>
        </w:tc>
        <w:tc>
          <w:tcPr>
            <w:tcW w:w="1200"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2032</w:t>
            </w:r>
          </w:p>
        </w:tc>
        <w:tc>
          <w:tcPr>
            <w:tcW w:w="1200"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r>
              <w:rPr>
                <w:rFonts w:ascii="Calibri" w:hAnsi="Calibri"/>
                <w:color w:val="000000"/>
                <w:sz w:val="18"/>
                <w:szCs w:val="18"/>
              </w:rPr>
              <w:t>146,514</w:t>
            </w:r>
          </w:p>
        </w:tc>
      </w:tr>
      <w:tr w:rsidR="00AE5B31" w:rsidRPr="00266341" w:rsidTr="00E7602D">
        <w:trPr>
          <w:trHeight w:val="265"/>
        </w:trPr>
        <w:tc>
          <w:tcPr>
            <w:tcW w:w="1200"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2021</w:t>
            </w:r>
          </w:p>
        </w:tc>
        <w:tc>
          <w:tcPr>
            <w:tcW w:w="1200"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r>
              <w:rPr>
                <w:rFonts w:ascii="Calibri" w:hAnsi="Calibri"/>
                <w:color w:val="000000"/>
                <w:sz w:val="18"/>
                <w:szCs w:val="18"/>
              </w:rPr>
              <w:t>102,179</w:t>
            </w:r>
          </w:p>
        </w:tc>
        <w:tc>
          <w:tcPr>
            <w:tcW w:w="410"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p>
        </w:tc>
        <w:tc>
          <w:tcPr>
            <w:tcW w:w="1200"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2033</w:t>
            </w:r>
          </w:p>
        </w:tc>
        <w:tc>
          <w:tcPr>
            <w:tcW w:w="1200"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r>
              <w:rPr>
                <w:rFonts w:ascii="Calibri" w:hAnsi="Calibri"/>
                <w:color w:val="000000"/>
                <w:sz w:val="18"/>
                <w:szCs w:val="18"/>
              </w:rPr>
              <w:t>150,544</w:t>
            </w:r>
          </w:p>
        </w:tc>
      </w:tr>
      <w:tr w:rsidR="00AE5B31" w:rsidRPr="00266341" w:rsidTr="00E7602D">
        <w:trPr>
          <w:trHeight w:val="265"/>
        </w:trPr>
        <w:tc>
          <w:tcPr>
            <w:tcW w:w="1200"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2022</w:t>
            </w:r>
          </w:p>
        </w:tc>
        <w:tc>
          <w:tcPr>
            <w:tcW w:w="1200"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r>
              <w:rPr>
                <w:rFonts w:ascii="Calibri" w:hAnsi="Calibri"/>
                <w:color w:val="000000"/>
                <w:sz w:val="18"/>
                <w:szCs w:val="18"/>
              </w:rPr>
              <w:t>106,210</w:t>
            </w:r>
          </w:p>
        </w:tc>
        <w:tc>
          <w:tcPr>
            <w:tcW w:w="410"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p>
        </w:tc>
        <w:tc>
          <w:tcPr>
            <w:tcW w:w="1200"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2034</w:t>
            </w:r>
          </w:p>
        </w:tc>
        <w:tc>
          <w:tcPr>
            <w:tcW w:w="1200"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r>
              <w:rPr>
                <w:rFonts w:ascii="Calibri" w:hAnsi="Calibri"/>
                <w:color w:val="000000"/>
                <w:sz w:val="18"/>
                <w:szCs w:val="18"/>
              </w:rPr>
              <w:t>154,575</w:t>
            </w:r>
          </w:p>
        </w:tc>
      </w:tr>
      <w:tr w:rsidR="00AE5B31" w:rsidRPr="00266341" w:rsidTr="00E7602D">
        <w:trPr>
          <w:trHeight w:val="265"/>
        </w:trPr>
        <w:tc>
          <w:tcPr>
            <w:tcW w:w="1200"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2023</w:t>
            </w:r>
          </w:p>
        </w:tc>
        <w:tc>
          <w:tcPr>
            <w:tcW w:w="1200"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r>
              <w:rPr>
                <w:rFonts w:ascii="Calibri" w:hAnsi="Calibri"/>
                <w:color w:val="000000"/>
                <w:sz w:val="18"/>
                <w:szCs w:val="18"/>
              </w:rPr>
              <w:t>110,240</w:t>
            </w:r>
          </w:p>
        </w:tc>
        <w:tc>
          <w:tcPr>
            <w:tcW w:w="410"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p>
        </w:tc>
        <w:tc>
          <w:tcPr>
            <w:tcW w:w="1200"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2035</w:t>
            </w:r>
          </w:p>
        </w:tc>
        <w:tc>
          <w:tcPr>
            <w:tcW w:w="1200"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r>
              <w:rPr>
                <w:rFonts w:ascii="Calibri" w:hAnsi="Calibri"/>
                <w:color w:val="000000"/>
                <w:sz w:val="18"/>
                <w:szCs w:val="18"/>
              </w:rPr>
              <w:t>158,605</w:t>
            </w:r>
          </w:p>
        </w:tc>
      </w:tr>
      <w:tr w:rsidR="00AE5B31" w:rsidRPr="00266341" w:rsidTr="00E7602D">
        <w:trPr>
          <w:trHeight w:val="265"/>
        </w:trPr>
        <w:tc>
          <w:tcPr>
            <w:tcW w:w="1200"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2024</w:t>
            </w:r>
          </w:p>
        </w:tc>
        <w:tc>
          <w:tcPr>
            <w:tcW w:w="1200"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r>
              <w:rPr>
                <w:rFonts w:ascii="Calibri" w:hAnsi="Calibri"/>
                <w:color w:val="000000"/>
                <w:sz w:val="18"/>
                <w:szCs w:val="18"/>
              </w:rPr>
              <w:t>114,271</w:t>
            </w:r>
          </w:p>
        </w:tc>
        <w:tc>
          <w:tcPr>
            <w:tcW w:w="410"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p>
        </w:tc>
        <w:tc>
          <w:tcPr>
            <w:tcW w:w="1200"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2036</w:t>
            </w:r>
          </w:p>
        </w:tc>
        <w:tc>
          <w:tcPr>
            <w:tcW w:w="1200"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r>
              <w:rPr>
                <w:rFonts w:ascii="Calibri" w:hAnsi="Calibri"/>
                <w:color w:val="000000"/>
                <w:sz w:val="18"/>
                <w:szCs w:val="18"/>
              </w:rPr>
              <w:t>162,635</w:t>
            </w:r>
          </w:p>
        </w:tc>
      </w:tr>
      <w:tr w:rsidR="00AE5B31" w:rsidRPr="00266341" w:rsidTr="00E7602D">
        <w:trPr>
          <w:trHeight w:val="265"/>
        </w:trPr>
        <w:tc>
          <w:tcPr>
            <w:tcW w:w="1200"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2025</w:t>
            </w:r>
          </w:p>
        </w:tc>
        <w:tc>
          <w:tcPr>
            <w:tcW w:w="1200"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r>
              <w:rPr>
                <w:rFonts w:ascii="Calibri" w:hAnsi="Calibri"/>
                <w:color w:val="000000"/>
                <w:sz w:val="18"/>
                <w:szCs w:val="18"/>
              </w:rPr>
              <w:t>118,301</w:t>
            </w:r>
          </w:p>
        </w:tc>
        <w:tc>
          <w:tcPr>
            <w:tcW w:w="410"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p>
        </w:tc>
        <w:tc>
          <w:tcPr>
            <w:tcW w:w="1200" w:type="dxa"/>
            <w:tcBorders>
              <w:top w:val="nil"/>
              <w:left w:val="nil"/>
              <w:bottom w:val="nil"/>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2037</w:t>
            </w:r>
          </w:p>
        </w:tc>
        <w:tc>
          <w:tcPr>
            <w:tcW w:w="1200"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r>
              <w:rPr>
                <w:rFonts w:ascii="Calibri" w:hAnsi="Calibri"/>
                <w:color w:val="000000"/>
                <w:sz w:val="18"/>
                <w:szCs w:val="18"/>
              </w:rPr>
              <w:t>166,666</w:t>
            </w:r>
          </w:p>
        </w:tc>
      </w:tr>
      <w:tr w:rsidR="00AE5B31" w:rsidRPr="00266341" w:rsidTr="00E7602D">
        <w:trPr>
          <w:trHeight w:val="265"/>
        </w:trPr>
        <w:tc>
          <w:tcPr>
            <w:tcW w:w="1200" w:type="dxa"/>
            <w:tcBorders>
              <w:top w:val="nil"/>
              <w:left w:val="nil"/>
              <w:bottom w:val="single" w:sz="4" w:space="0" w:color="auto"/>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2026</w:t>
            </w:r>
          </w:p>
        </w:tc>
        <w:tc>
          <w:tcPr>
            <w:tcW w:w="1200" w:type="dxa"/>
            <w:tcBorders>
              <w:top w:val="nil"/>
              <w:left w:val="nil"/>
              <w:bottom w:val="single" w:sz="4" w:space="0" w:color="auto"/>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r>
              <w:rPr>
                <w:rFonts w:ascii="Calibri" w:hAnsi="Calibri"/>
                <w:color w:val="000000"/>
                <w:sz w:val="18"/>
                <w:szCs w:val="18"/>
              </w:rPr>
              <w:t>122,331</w:t>
            </w:r>
          </w:p>
        </w:tc>
        <w:tc>
          <w:tcPr>
            <w:tcW w:w="410" w:type="dxa"/>
            <w:tcBorders>
              <w:top w:val="nil"/>
              <w:left w:val="nil"/>
              <w:bottom w:val="nil"/>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p>
        </w:tc>
        <w:tc>
          <w:tcPr>
            <w:tcW w:w="1200" w:type="dxa"/>
            <w:tcBorders>
              <w:top w:val="nil"/>
              <w:left w:val="nil"/>
              <w:bottom w:val="single" w:sz="4" w:space="0" w:color="auto"/>
              <w:right w:val="nil"/>
            </w:tcBorders>
            <w:shd w:val="clear" w:color="auto" w:fill="auto"/>
            <w:noWrap/>
            <w:vAlign w:val="center"/>
            <w:hideMark/>
          </w:tcPr>
          <w:p w:rsidR="00AE5B31" w:rsidRPr="00266341" w:rsidRDefault="00AE5B31" w:rsidP="00E7602D">
            <w:pPr>
              <w:jc w:val="center"/>
              <w:rPr>
                <w:rFonts w:ascii="Calibri" w:hAnsi="Calibri"/>
                <w:color w:val="000000"/>
                <w:sz w:val="18"/>
                <w:szCs w:val="18"/>
                <w:lang w:val="en-US"/>
              </w:rPr>
            </w:pPr>
            <w:r>
              <w:rPr>
                <w:rFonts w:ascii="Calibri" w:hAnsi="Calibri"/>
                <w:color w:val="000000"/>
                <w:sz w:val="18"/>
                <w:szCs w:val="18"/>
              </w:rPr>
              <w:t>2038</w:t>
            </w:r>
          </w:p>
        </w:tc>
        <w:tc>
          <w:tcPr>
            <w:tcW w:w="1200" w:type="dxa"/>
            <w:tcBorders>
              <w:top w:val="nil"/>
              <w:left w:val="nil"/>
              <w:bottom w:val="single" w:sz="4" w:space="0" w:color="auto"/>
              <w:right w:val="nil"/>
            </w:tcBorders>
            <w:shd w:val="clear" w:color="auto" w:fill="auto"/>
            <w:noWrap/>
            <w:vAlign w:val="center"/>
            <w:hideMark/>
          </w:tcPr>
          <w:p w:rsidR="00AE5B31" w:rsidRPr="00266341" w:rsidRDefault="00AE5B31" w:rsidP="00E7602D">
            <w:pPr>
              <w:jc w:val="right"/>
              <w:rPr>
                <w:rFonts w:ascii="Calibri" w:hAnsi="Calibri"/>
                <w:color w:val="000000"/>
                <w:sz w:val="18"/>
                <w:szCs w:val="18"/>
                <w:lang w:val="en-US"/>
              </w:rPr>
            </w:pPr>
            <w:r>
              <w:rPr>
                <w:rFonts w:ascii="Calibri" w:hAnsi="Calibri"/>
                <w:color w:val="000000"/>
                <w:sz w:val="18"/>
                <w:szCs w:val="18"/>
              </w:rPr>
              <w:t>170,696</w:t>
            </w:r>
          </w:p>
        </w:tc>
      </w:tr>
    </w:tbl>
    <w:p w:rsidR="00AE5B31" w:rsidRDefault="00AE5B31" w:rsidP="00AE5B31">
      <w:pPr>
        <w:pStyle w:val="ListParagraph"/>
        <w:rPr>
          <w:szCs w:val="24"/>
        </w:rPr>
      </w:pPr>
      <w:r w:rsidRPr="00957850">
        <w:rPr>
          <w:noProof/>
          <w:lang w:val="en-US"/>
        </w:rPr>
        <w:drawing>
          <wp:anchor distT="0" distB="0" distL="114300" distR="114300" simplePos="0" relativeHeight="251668480" behindDoc="1" locked="0" layoutInCell="1" allowOverlap="1" wp14:anchorId="3352A81E" wp14:editId="05085B0C">
            <wp:simplePos x="0" y="0"/>
            <wp:positionH relativeFrom="column">
              <wp:posOffset>390524</wp:posOffset>
            </wp:positionH>
            <wp:positionV relativeFrom="paragraph">
              <wp:posOffset>53975</wp:posOffset>
            </wp:positionV>
            <wp:extent cx="3652211" cy="2209800"/>
            <wp:effectExtent l="0" t="0" r="5715"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55015" cy="2211497"/>
                    </a:xfrm>
                    <a:prstGeom prst="rect">
                      <a:avLst/>
                    </a:prstGeom>
                    <a:noFill/>
                    <a:ln>
                      <a:noFill/>
                    </a:ln>
                  </pic:spPr>
                </pic:pic>
              </a:graphicData>
            </a:graphic>
          </wp:anchor>
        </w:drawing>
      </w:r>
    </w:p>
    <w:p w:rsidR="00AE5B31" w:rsidRDefault="00AE5B31" w:rsidP="00AE5B31">
      <w:pPr>
        <w:pStyle w:val="ListParagraph"/>
        <w:rPr>
          <w:szCs w:val="24"/>
        </w:rPr>
      </w:pPr>
      <w:r>
        <w:rPr>
          <w:noProof/>
          <w:lang w:val="en-US"/>
        </w:rPr>
        <mc:AlternateContent>
          <mc:Choice Requires="wps">
            <w:drawing>
              <wp:anchor distT="0" distB="0" distL="114300" distR="114300" simplePos="0" relativeHeight="251667456" behindDoc="0" locked="0" layoutInCell="1" allowOverlap="1" wp14:anchorId="2C998E2A" wp14:editId="19EF9A95">
                <wp:simplePos x="0" y="0"/>
                <wp:positionH relativeFrom="column">
                  <wp:posOffset>2647950</wp:posOffset>
                </wp:positionH>
                <wp:positionV relativeFrom="paragraph">
                  <wp:posOffset>40640</wp:posOffset>
                </wp:positionV>
                <wp:extent cx="206375" cy="180975"/>
                <wp:effectExtent l="19050" t="0" r="22225" b="28575"/>
                <wp:wrapNone/>
                <wp:docPr id="4" name="Cheurón 9" descr="fee644c1-8738-45a6-bfb7-261db678b5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6375" cy="180975"/>
                        </a:xfrm>
                        <a:prstGeom prst="chevron">
                          <a:avLst/>
                        </a:prstGeom>
                        <a:solidFill>
                          <a:schemeClr val="accent2"/>
                        </a:solidFill>
                        <a:ln w="19050">
                          <a:solidFill>
                            <a:schemeClr val="accent2"/>
                          </a:solidFill>
                        </a:ln>
                      </wps:spPr>
                      <wps:style>
                        <a:lnRef idx="2">
                          <a:schemeClr val="accent3">
                            <a:shade val="50000"/>
                          </a:schemeClr>
                        </a:lnRef>
                        <a:fillRef idx="1">
                          <a:schemeClr val="accent3"/>
                        </a:fillRef>
                        <a:effectRef idx="0">
                          <a:schemeClr val="accent3"/>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shape w14:anchorId="2FAEDFEE" id="Cheurón 9" o:spid="_x0000_s1026" type="#_x0000_t55" alt="fee644c1-8738-45a6-bfb7-261db678b503" style="position:absolute;margin-left:208.5pt;margin-top:3.2pt;width:16.25pt;height:1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" adj="12129" fillcolor="#c0504d [3205]" strokecolor="#c0504d [3205]" strokeweight="1.5pt">
                <v:path arrowok="t"/>
              </v:shape>
            </w:pict>
          </mc:Fallback>
        </mc:AlternateContent>
      </w:r>
      <w:r>
        <w:rPr>
          <w:noProof/>
          <w:lang w:val="en-US"/>
        </w:rPr>
        <w:drawing>
          <wp:anchor distT="0" distB="0" distL="114300" distR="114300" simplePos="0" relativeHeight="251664384" behindDoc="0" locked="0" layoutInCell="1" allowOverlap="1" wp14:anchorId="1809F7E2" wp14:editId="517763F4">
            <wp:simplePos x="0" y="0"/>
            <wp:positionH relativeFrom="column">
              <wp:posOffset>2962275</wp:posOffset>
            </wp:positionH>
            <wp:positionV relativeFrom="paragraph">
              <wp:posOffset>21590</wp:posOffset>
            </wp:positionV>
            <wp:extent cx="342900" cy="228788"/>
            <wp:effectExtent l="0" t="0" r="0" b="0"/>
            <wp:wrapNone/>
            <wp:docPr id="38" name="Imagen 6" descr="http://upload.wikimedia.org/wikipedia/commons/thumb/a/ab/Flag_of_Panama.svg/2000px-Flag_of_Panam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descr="http://upload.wikimedia.org/wikipedia/commons/thumb/a/ab/Flag_of_Panama.svg/2000px-Flag_of_Panama.svg.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2900" cy="228788"/>
                    </a:xfrm>
                    <a:prstGeom prst="rect">
                      <a:avLst/>
                    </a:prstGeom>
                    <a:noFill/>
                    <a:extLst/>
                  </pic:spPr>
                </pic:pic>
              </a:graphicData>
            </a:graphic>
          </wp:anchor>
        </w:drawing>
      </w:r>
      <w:r>
        <w:rPr>
          <w:noProof/>
          <w:lang w:val="en-US"/>
        </w:rPr>
        <w:drawing>
          <wp:anchor distT="0" distB="0" distL="114300" distR="114300" simplePos="0" relativeHeight="251665408" behindDoc="0" locked="0" layoutInCell="1" allowOverlap="1" wp14:anchorId="6C427316" wp14:editId="4C45FEF7">
            <wp:simplePos x="0" y="0"/>
            <wp:positionH relativeFrom="column">
              <wp:posOffset>2171700</wp:posOffset>
            </wp:positionH>
            <wp:positionV relativeFrom="paragraph">
              <wp:posOffset>31115</wp:posOffset>
            </wp:positionV>
            <wp:extent cx="379278" cy="226695"/>
            <wp:effectExtent l="0" t="0" r="1905" b="1905"/>
            <wp:wrapNone/>
            <wp:docPr id="39" name="Imagen 7" descr="http://www.banderas-mundo.es/data/flags/ultra/c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7" descr="http://www.banderas-mundo.es/data/flags/ultra/cr.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9278" cy="226695"/>
                    </a:xfrm>
                    <a:prstGeom prst="rect">
                      <a:avLst/>
                    </a:prstGeom>
                    <a:noFill/>
                    <a:extLst/>
                  </pic:spPr>
                </pic:pic>
              </a:graphicData>
            </a:graphic>
          </wp:anchor>
        </w:drawing>
      </w:r>
    </w:p>
    <w:p w:rsidR="00AE5B31" w:rsidRDefault="00AE5B31" w:rsidP="00AE5B31">
      <w:pPr>
        <w:pStyle w:val="ListParagraph"/>
        <w:rPr>
          <w:szCs w:val="24"/>
        </w:rPr>
      </w:pPr>
    </w:p>
    <w:p w:rsidR="00AE5B31" w:rsidRDefault="00AE5B31" w:rsidP="00AE5B31">
      <w:pPr>
        <w:pStyle w:val="ListParagraph"/>
        <w:rPr>
          <w:szCs w:val="24"/>
        </w:rPr>
      </w:pPr>
    </w:p>
    <w:p w:rsidR="00AE5B31" w:rsidRDefault="00AE5B31" w:rsidP="00AE5B31">
      <w:pPr>
        <w:pStyle w:val="ListParagraph"/>
        <w:rPr>
          <w:szCs w:val="24"/>
        </w:rPr>
      </w:pPr>
    </w:p>
    <w:p w:rsidR="00AE5B31" w:rsidRDefault="00AE5B31" w:rsidP="00AE5B31">
      <w:pPr>
        <w:pStyle w:val="ListParagraph"/>
        <w:tabs>
          <w:tab w:val="left" w:pos="5775"/>
        </w:tabs>
        <w:rPr>
          <w:szCs w:val="24"/>
        </w:rPr>
      </w:pPr>
      <w:r>
        <w:rPr>
          <w:szCs w:val="24"/>
        </w:rPr>
        <w:tab/>
      </w:r>
    </w:p>
    <w:p w:rsidR="00AE5B31" w:rsidRDefault="00AE5B31" w:rsidP="00AE5B31">
      <w:pPr>
        <w:pStyle w:val="ListParagraph"/>
        <w:rPr>
          <w:szCs w:val="24"/>
        </w:rPr>
      </w:pPr>
    </w:p>
    <w:p w:rsidR="00AE5B31" w:rsidRDefault="00AE5B31" w:rsidP="00AE5B31">
      <w:pPr>
        <w:pStyle w:val="ListParagraph"/>
        <w:rPr>
          <w:szCs w:val="24"/>
        </w:rPr>
      </w:pPr>
    </w:p>
    <w:p w:rsidR="00AE5B31" w:rsidRDefault="00AE5B31" w:rsidP="00AE5B31">
      <w:pPr>
        <w:pStyle w:val="ListParagraph"/>
        <w:rPr>
          <w:szCs w:val="24"/>
        </w:rPr>
      </w:pPr>
    </w:p>
    <w:p w:rsidR="00AE5B31" w:rsidRDefault="00AE5B31" w:rsidP="00AE5B31">
      <w:pPr>
        <w:pStyle w:val="ListParagraph"/>
        <w:rPr>
          <w:szCs w:val="24"/>
        </w:rPr>
      </w:pPr>
    </w:p>
    <w:p w:rsidR="00AE5B31" w:rsidRDefault="00AE5B31" w:rsidP="00AE5B31">
      <w:pPr>
        <w:pStyle w:val="ListParagraph"/>
        <w:rPr>
          <w:szCs w:val="24"/>
        </w:rPr>
      </w:pPr>
    </w:p>
    <w:p w:rsidR="00AE5B31" w:rsidRDefault="00AE5B31" w:rsidP="00AE5B31">
      <w:pPr>
        <w:pStyle w:val="ListParagraph"/>
        <w:rPr>
          <w:szCs w:val="24"/>
        </w:rPr>
      </w:pPr>
    </w:p>
    <w:p w:rsidR="00AE5B31" w:rsidRDefault="00AE5B31" w:rsidP="00AE5B31">
      <w:pPr>
        <w:pStyle w:val="ListParagraph"/>
        <w:rPr>
          <w:szCs w:val="24"/>
        </w:rPr>
      </w:pPr>
    </w:p>
    <w:p w:rsidR="00AE5B31" w:rsidRDefault="00AE5B31" w:rsidP="00AE5B31">
      <w:pPr>
        <w:pStyle w:val="ListParagraph"/>
        <w:rPr>
          <w:szCs w:val="24"/>
        </w:rPr>
      </w:pPr>
    </w:p>
    <w:p w:rsidR="00AE5B31" w:rsidRPr="00266341" w:rsidRDefault="00AE5B31" w:rsidP="00AE5B31">
      <w:pPr>
        <w:pStyle w:val="ListParagraph"/>
        <w:ind w:right="812"/>
        <w:rPr>
          <w:sz w:val="18"/>
          <w:szCs w:val="24"/>
        </w:rPr>
      </w:pPr>
      <w:r w:rsidRPr="00266341">
        <w:rPr>
          <w:sz w:val="18"/>
          <w:szCs w:val="24"/>
        </w:rPr>
        <w:t>Fuente: Elaboración propia con base en datos históricos de la Dirección General de Migración y Extranjería</w:t>
      </w:r>
      <w:r>
        <w:rPr>
          <w:sz w:val="18"/>
          <w:szCs w:val="24"/>
        </w:rPr>
        <w:t xml:space="preserve"> (DGME), Instituto Nacional de Estadística y Censos de Panamá y Servicio Nacional de Migración de Panamá</w:t>
      </w:r>
      <w:r w:rsidRPr="00266341">
        <w:rPr>
          <w:sz w:val="18"/>
          <w:szCs w:val="24"/>
        </w:rPr>
        <w:t>.</w:t>
      </w:r>
    </w:p>
    <w:p w:rsidR="00AE5B31" w:rsidRPr="0006088F" w:rsidRDefault="00AE5B31" w:rsidP="00AE5B31">
      <w:pPr>
        <w:jc w:val="center"/>
        <w:rPr>
          <w:b/>
          <w:sz w:val="22"/>
          <w:szCs w:val="22"/>
        </w:rPr>
      </w:pPr>
      <w:r w:rsidRPr="0006088F">
        <w:rPr>
          <w:b/>
          <w:sz w:val="22"/>
          <w:szCs w:val="22"/>
        </w:rPr>
        <w:lastRenderedPageBreak/>
        <w:t xml:space="preserve">Cuadro </w:t>
      </w:r>
      <w:r>
        <w:rPr>
          <w:b/>
          <w:sz w:val="22"/>
          <w:szCs w:val="22"/>
        </w:rPr>
        <w:t>III</w:t>
      </w:r>
    </w:p>
    <w:p w:rsidR="00AE5B31" w:rsidRPr="0006088F" w:rsidRDefault="00AE5B31" w:rsidP="00AE5B31">
      <w:pPr>
        <w:jc w:val="center"/>
        <w:rPr>
          <w:b/>
          <w:bCs/>
          <w:sz w:val="20"/>
          <w:lang w:val="es-ES" w:eastAsia="es-ES"/>
        </w:rPr>
      </w:pPr>
      <w:r>
        <w:rPr>
          <w:b/>
          <w:bCs/>
          <w:sz w:val="20"/>
          <w:lang w:val="es-ES" w:eastAsia="es-ES"/>
        </w:rPr>
        <w:t>GUABITO</w:t>
      </w:r>
    </w:p>
    <w:p w:rsidR="00AE5B31" w:rsidRDefault="00AE5B31" w:rsidP="00AE5B31">
      <w:pPr>
        <w:jc w:val="center"/>
        <w:rPr>
          <w:b/>
          <w:bCs/>
          <w:sz w:val="20"/>
          <w:lang w:val="es-ES" w:eastAsia="es-ES"/>
        </w:rPr>
      </w:pPr>
      <w:r>
        <w:rPr>
          <w:b/>
          <w:bCs/>
          <w:sz w:val="20"/>
          <w:lang w:val="es-ES" w:eastAsia="es-ES"/>
        </w:rPr>
        <w:t>Proyección de Tránsito Promedio Diario de Vehículos (Vehículos/Día) 2015-2038</w:t>
      </w:r>
    </w:p>
    <w:p w:rsidR="00AE5B31" w:rsidRDefault="00AE5B31" w:rsidP="00AE5B31">
      <w:pPr>
        <w:jc w:val="center"/>
        <w:rPr>
          <w:b/>
          <w:bCs/>
          <w:sz w:val="20"/>
          <w:lang w:val="es-ES" w:eastAsia="es-ES"/>
        </w:rPr>
      </w:pPr>
    </w:p>
    <w:p w:rsidR="00AE5B31" w:rsidRDefault="00AE5B31" w:rsidP="00AE5B31">
      <w:pPr>
        <w:jc w:val="center"/>
        <w:rPr>
          <w:b/>
          <w:bCs/>
          <w:sz w:val="20"/>
          <w:lang w:val="es-ES" w:eastAsia="es-ES"/>
        </w:rPr>
      </w:pPr>
      <w:r w:rsidRPr="00FA3BF2">
        <w:rPr>
          <w:noProof/>
          <w:lang w:val="en-US"/>
        </w:rPr>
        <w:drawing>
          <wp:inline distT="0" distB="0" distL="0" distR="0" wp14:anchorId="345319D4" wp14:editId="7312BA85">
            <wp:extent cx="8230870" cy="3629467"/>
            <wp:effectExtent l="0" t="0" r="0" b="9525"/>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30870" cy="3629467"/>
                    </a:xfrm>
                    <a:prstGeom prst="rect">
                      <a:avLst/>
                    </a:prstGeom>
                    <a:noFill/>
                    <a:ln>
                      <a:noFill/>
                    </a:ln>
                  </pic:spPr>
                </pic:pic>
              </a:graphicData>
            </a:graphic>
          </wp:inline>
        </w:drawing>
      </w:r>
    </w:p>
    <w:p w:rsidR="00AE5B31" w:rsidRPr="0062422E" w:rsidRDefault="00AE5B31" w:rsidP="00AE5B31">
      <w:pPr>
        <w:tabs>
          <w:tab w:val="left" w:pos="12150"/>
        </w:tabs>
        <w:ind w:right="812"/>
        <w:rPr>
          <w:sz w:val="18"/>
          <w:szCs w:val="24"/>
        </w:rPr>
      </w:pPr>
      <w:r w:rsidRPr="0062422E">
        <w:rPr>
          <w:sz w:val="18"/>
          <w:szCs w:val="24"/>
        </w:rPr>
        <w:t>Fuente: Elaboración propia con base en datos históricos de la Dirección General de Migración y Extranjería (DGME), Instituto Nacional de E</w:t>
      </w:r>
      <w:r>
        <w:rPr>
          <w:sz w:val="18"/>
          <w:szCs w:val="24"/>
        </w:rPr>
        <w:t xml:space="preserve">stadística y Censos de Panamá, </w:t>
      </w:r>
      <w:r w:rsidRPr="0062422E">
        <w:rPr>
          <w:sz w:val="18"/>
          <w:szCs w:val="24"/>
        </w:rPr>
        <w:t>Servicio Nacional de Migración de Panamá</w:t>
      </w:r>
      <w:r>
        <w:rPr>
          <w:sz w:val="18"/>
          <w:szCs w:val="24"/>
        </w:rPr>
        <w:t xml:space="preserve"> y </w:t>
      </w:r>
      <w:r w:rsidRPr="00957850">
        <w:rPr>
          <w:sz w:val="18"/>
          <w:szCs w:val="24"/>
        </w:rPr>
        <w:t>Elaboración de la línea base y estimación de ahorros para los procesos de carga y migración del paso de fronte</w:t>
      </w:r>
      <w:r>
        <w:rPr>
          <w:sz w:val="18"/>
          <w:szCs w:val="24"/>
        </w:rPr>
        <w:t>ra Guabito, Cabecera de Panamá</w:t>
      </w:r>
      <w:r w:rsidRPr="0062422E">
        <w:rPr>
          <w:sz w:val="18"/>
          <w:szCs w:val="24"/>
        </w:rPr>
        <w:t>.</w:t>
      </w:r>
    </w:p>
    <w:p w:rsidR="00AE5B31" w:rsidRPr="00807B98" w:rsidRDefault="00AE5B31" w:rsidP="00AE5B31">
      <w:pPr>
        <w:rPr>
          <w:sz w:val="18"/>
          <w:szCs w:val="24"/>
        </w:rPr>
      </w:pPr>
    </w:p>
    <w:p w:rsidR="00AE5B31" w:rsidRDefault="00AE5B31" w:rsidP="00AE5B31">
      <w:pPr>
        <w:jc w:val="center"/>
        <w:rPr>
          <w:b/>
          <w:sz w:val="22"/>
          <w:szCs w:val="22"/>
        </w:rPr>
      </w:pPr>
    </w:p>
    <w:p w:rsidR="00AE5B31" w:rsidRDefault="00AE5B31" w:rsidP="00AE5B31">
      <w:pPr>
        <w:jc w:val="center"/>
        <w:rPr>
          <w:b/>
          <w:sz w:val="22"/>
          <w:szCs w:val="22"/>
        </w:rPr>
      </w:pPr>
    </w:p>
    <w:p w:rsidR="00AE5B31" w:rsidRDefault="00AE5B31" w:rsidP="00AE5B31">
      <w:pPr>
        <w:jc w:val="center"/>
        <w:rPr>
          <w:b/>
          <w:sz w:val="22"/>
          <w:szCs w:val="22"/>
        </w:rPr>
      </w:pPr>
    </w:p>
    <w:p w:rsidR="00AE5B31" w:rsidRDefault="00AE5B31" w:rsidP="00AE5B31">
      <w:pPr>
        <w:jc w:val="center"/>
        <w:rPr>
          <w:b/>
          <w:sz w:val="22"/>
          <w:szCs w:val="22"/>
        </w:rPr>
      </w:pPr>
    </w:p>
    <w:p w:rsidR="00AE5B31" w:rsidRDefault="00AE5B31" w:rsidP="00AE5B31">
      <w:pPr>
        <w:jc w:val="center"/>
        <w:rPr>
          <w:b/>
          <w:sz w:val="22"/>
          <w:szCs w:val="22"/>
        </w:rPr>
      </w:pPr>
    </w:p>
    <w:p w:rsidR="00AE5B31" w:rsidRDefault="00AE5B31" w:rsidP="00AE5B31">
      <w:pPr>
        <w:jc w:val="center"/>
        <w:rPr>
          <w:b/>
          <w:sz w:val="22"/>
          <w:szCs w:val="22"/>
        </w:rPr>
      </w:pPr>
    </w:p>
    <w:p w:rsidR="00AE5B31" w:rsidRPr="0006088F" w:rsidRDefault="00AE5B31" w:rsidP="00AE5B31">
      <w:pPr>
        <w:jc w:val="center"/>
        <w:rPr>
          <w:b/>
          <w:sz w:val="22"/>
          <w:szCs w:val="22"/>
        </w:rPr>
      </w:pPr>
      <w:r w:rsidRPr="0006088F">
        <w:rPr>
          <w:b/>
          <w:sz w:val="22"/>
          <w:szCs w:val="22"/>
        </w:rPr>
        <w:lastRenderedPageBreak/>
        <w:t xml:space="preserve">Cuadro </w:t>
      </w:r>
      <w:r>
        <w:rPr>
          <w:b/>
          <w:sz w:val="22"/>
          <w:szCs w:val="22"/>
        </w:rPr>
        <w:t>IV</w:t>
      </w:r>
    </w:p>
    <w:p w:rsidR="00AE5B31" w:rsidRPr="0006088F" w:rsidRDefault="00AE5B31" w:rsidP="00AE5B31">
      <w:pPr>
        <w:jc w:val="center"/>
        <w:rPr>
          <w:b/>
          <w:bCs/>
          <w:sz w:val="20"/>
          <w:lang w:val="es-ES" w:eastAsia="es-ES"/>
        </w:rPr>
      </w:pPr>
      <w:r>
        <w:rPr>
          <w:b/>
          <w:bCs/>
          <w:sz w:val="20"/>
          <w:lang w:val="es-ES" w:eastAsia="es-ES"/>
        </w:rPr>
        <w:t>GUABITO</w:t>
      </w:r>
    </w:p>
    <w:p w:rsidR="00AE5B31" w:rsidRDefault="00AE5B31" w:rsidP="00AE5B31">
      <w:pPr>
        <w:jc w:val="center"/>
        <w:rPr>
          <w:b/>
          <w:bCs/>
          <w:sz w:val="20"/>
          <w:lang w:val="es-ES" w:eastAsia="es-ES"/>
        </w:rPr>
      </w:pPr>
      <w:r>
        <w:rPr>
          <w:b/>
          <w:bCs/>
          <w:sz w:val="20"/>
          <w:lang w:val="es-ES" w:eastAsia="es-ES"/>
        </w:rPr>
        <w:t>Proyección de Tránsito Promedio Diario de Personas (Personas/Día) 2015-2038</w:t>
      </w:r>
    </w:p>
    <w:p w:rsidR="00AE5B31" w:rsidRDefault="00AE5B31" w:rsidP="00AE5B31">
      <w:pPr>
        <w:jc w:val="center"/>
        <w:rPr>
          <w:b/>
          <w:bCs/>
          <w:sz w:val="20"/>
          <w:lang w:val="es-ES" w:eastAsia="es-ES"/>
        </w:rPr>
      </w:pPr>
    </w:p>
    <w:p w:rsidR="00AE5B31" w:rsidRPr="0006088F" w:rsidRDefault="00AE5B31" w:rsidP="00AE5B31">
      <w:pPr>
        <w:jc w:val="center"/>
        <w:rPr>
          <w:sz w:val="20"/>
        </w:rPr>
      </w:pPr>
      <w:r w:rsidRPr="00FA3BF2">
        <w:rPr>
          <w:noProof/>
          <w:lang w:val="en-US"/>
        </w:rPr>
        <w:drawing>
          <wp:inline distT="0" distB="0" distL="0" distR="0" wp14:anchorId="308A7EB9" wp14:editId="4C2C432B">
            <wp:extent cx="8230870" cy="3071478"/>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230870" cy="3071478"/>
                    </a:xfrm>
                    <a:prstGeom prst="rect">
                      <a:avLst/>
                    </a:prstGeom>
                    <a:noFill/>
                    <a:ln>
                      <a:noFill/>
                    </a:ln>
                  </pic:spPr>
                </pic:pic>
              </a:graphicData>
            </a:graphic>
          </wp:inline>
        </w:drawing>
      </w:r>
    </w:p>
    <w:p w:rsidR="00AE5B31" w:rsidRPr="0062422E" w:rsidRDefault="00AE5B31" w:rsidP="00AE5B31">
      <w:pPr>
        <w:tabs>
          <w:tab w:val="left" w:pos="12150"/>
        </w:tabs>
        <w:ind w:right="812"/>
        <w:rPr>
          <w:sz w:val="18"/>
          <w:szCs w:val="24"/>
        </w:rPr>
      </w:pPr>
      <w:r w:rsidRPr="0062422E">
        <w:rPr>
          <w:sz w:val="18"/>
          <w:szCs w:val="24"/>
        </w:rPr>
        <w:t>Fuente: Elaboración propia con base en datos históricos de la Dirección General de Migración y Extranjería (DGME), Instituto Nacional de E</w:t>
      </w:r>
      <w:r>
        <w:rPr>
          <w:sz w:val="18"/>
          <w:szCs w:val="24"/>
        </w:rPr>
        <w:t xml:space="preserve">stadística y Censos de Panamá, </w:t>
      </w:r>
      <w:r w:rsidRPr="0062422E">
        <w:rPr>
          <w:sz w:val="18"/>
          <w:szCs w:val="24"/>
        </w:rPr>
        <w:t>Servicio Nacional de Migración de Panamá</w:t>
      </w:r>
      <w:r>
        <w:rPr>
          <w:sz w:val="18"/>
          <w:szCs w:val="24"/>
        </w:rPr>
        <w:t xml:space="preserve"> y </w:t>
      </w:r>
      <w:r w:rsidRPr="00957850">
        <w:rPr>
          <w:sz w:val="18"/>
          <w:szCs w:val="24"/>
        </w:rPr>
        <w:t>Elaboración de la línea base y estimación de ahorros para los procesos de carga y migración del paso de fronte</w:t>
      </w:r>
      <w:r>
        <w:rPr>
          <w:sz w:val="18"/>
          <w:szCs w:val="24"/>
        </w:rPr>
        <w:t>ra Guabito, Cabecera de Panamá</w:t>
      </w:r>
      <w:r w:rsidRPr="0062422E">
        <w:rPr>
          <w:sz w:val="18"/>
          <w:szCs w:val="24"/>
        </w:rPr>
        <w:t>.</w:t>
      </w:r>
    </w:p>
    <w:p w:rsidR="00AE5B31" w:rsidRPr="0062422E" w:rsidRDefault="00AE5B31" w:rsidP="00AE5B31">
      <w:pPr>
        <w:rPr>
          <w:szCs w:val="24"/>
        </w:rPr>
        <w:sectPr w:rsidR="00AE5B31" w:rsidRPr="0062422E" w:rsidSect="00FE6A09">
          <w:headerReference w:type="default" r:id="rId18"/>
          <w:footerReference w:type="default" r:id="rId19"/>
          <w:pgSz w:w="15842" w:h="12242" w:orient="landscape" w:code="1"/>
          <w:pgMar w:top="1797" w:right="1440" w:bottom="1298" w:left="1440" w:header="731" w:footer="1134" w:gutter="0"/>
          <w:pgNumType w:fmt="numberInDash" w:start="7"/>
          <w:cols w:space="720"/>
          <w:docGrid w:linePitch="326"/>
        </w:sectPr>
      </w:pPr>
    </w:p>
    <w:p w:rsidR="00AE5B31" w:rsidRPr="00807B98" w:rsidRDefault="00AE5B31" w:rsidP="00AE5B31">
      <w:pPr>
        <w:pStyle w:val="Heading2"/>
        <w:ind w:left="0"/>
        <w:rPr>
          <w:rFonts w:ascii="Times New Roman" w:hAnsi="Times New Roman"/>
          <w:i w:val="0"/>
        </w:rPr>
      </w:pPr>
      <w:bookmarkStart w:id="8" w:name="_Toc428992893"/>
      <w:r>
        <w:rPr>
          <w:rFonts w:ascii="Times New Roman" w:hAnsi="Times New Roman"/>
          <w:i w:val="0"/>
        </w:rPr>
        <w:lastRenderedPageBreak/>
        <w:t>Transporte de Carga</w:t>
      </w:r>
      <w:bookmarkEnd w:id="8"/>
    </w:p>
    <w:p w:rsidR="00AE5B31" w:rsidRPr="000D7061" w:rsidRDefault="00AE5B31" w:rsidP="00AE5B31">
      <w:pPr>
        <w:widowControl w:val="0"/>
        <w:adjustRightInd w:val="0"/>
        <w:ind w:left="705"/>
        <w:jc w:val="both"/>
        <w:textAlignment w:val="baseline"/>
        <w:rPr>
          <w:b/>
        </w:rPr>
      </w:pPr>
    </w:p>
    <w:p w:rsidR="00AE5B31" w:rsidRDefault="00AE5B31" w:rsidP="00AE5B31">
      <w:pPr>
        <w:jc w:val="both"/>
        <w:rPr>
          <w:szCs w:val="24"/>
        </w:rPr>
      </w:pPr>
      <w:r w:rsidRPr="000D7061">
        <w:rPr>
          <w:szCs w:val="24"/>
          <w:u w:val="single"/>
        </w:rPr>
        <w:t>Vehículos de Carga.</w:t>
      </w:r>
      <w:r>
        <w:rPr>
          <w:szCs w:val="24"/>
        </w:rPr>
        <w:t>En el año 2014el Paso Guabitomovilizó</w:t>
      </w:r>
      <w:r w:rsidRPr="00822DC4">
        <w:rPr>
          <w:szCs w:val="24"/>
        </w:rPr>
        <w:t xml:space="preserve"> un volumen de carga</w:t>
      </w:r>
      <w:r>
        <w:rPr>
          <w:szCs w:val="24"/>
        </w:rPr>
        <w:t xml:space="preserve"> aproximado</w:t>
      </w:r>
      <w:r w:rsidRPr="00822DC4">
        <w:rPr>
          <w:szCs w:val="24"/>
        </w:rPr>
        <w:t xml:space="preserve"> de </w:t>
      </w:r>
      <w:r>
        <w:rPr>
          <w:szCs w:val="24"/>
        </w:rPr>
        <w:t>92,099 toneladas, compuesto de 48,280 toneladas en el sentido Panamá-Costa Rica (exportaciones panameñas hacia Costa Rica) y 43,819</w:t>
      </w:r>
      <w:r w:rsidRPr="001C75E6">
        <w:rPr>
          <w:szCs w:val="24"/>
        </w:rPr>
        <w:t>toneladas</w:t>
      </w:r>
      <w:r>
        <w:rPr>
          <w:szCs w:val="24"/>
        </w:rPr>
        <w:t xml:space="preserve"> en el sentido Costa Rica-Panamá (importaciones realizadas por Panamá desde Costa Rica)</w:t>
      </w:r>
      <w:r>
        <w:rPr>
          <w:rStyle w:val="FootnoteReference"/>
          <w:szCs w:val="24"/>
        </w:rPr>
        <w:footnoteReference w:id="7"/>
      </w:r>
      <w:r>
        <w:rPr>
          <w:szCs w:val="24"/>
        </w:rPr>
        <w:t xml:space="preserve">.  </w:t>
      </w:r>
    </w:p>
    <w:p w:rsidR="00AE5B31" w:rsidRDefault="00AE5B31" w:rsidP="00AE5B31">
      <w:pPr>
        <w:jc w:val="both"/>
        <w:rPr>
          <w:szCs w:val="24"/>
        </w:rPr>
      </w:pPr>
    </w:p>
    <w:p w:rsidR="00AE5B31" w:rsidRPr="002D1229" w:rsidRDefault="00AE5B31" w:rsidP="00AE5B31">
      <w:pPr>
        <w:jc w:val="both"/>
      </w:pPr>
      <w:r>
        <w:rPr>
          <w:szCs w:val="24"/>
        </w:rPr>
        <w:t xml:space="preserve">Para efectos de proyectar los flujos de comercio futuros, </w:t>
      </w:r>
      <w:r>
        <w:t>se verificaron las cifras del Instituto Nacional de Estadísticas y Censos de Panamácon el fin de determinar el porcentaje del comercio bilateral</w:t>
      </w:r>
      <w:r>
        <w:rPr>
          <w:rStyle w:val="FootnoteReference"/>
        </w:rPr>
        <w:footnoteReference w:id="8"/>
      </w:r>
      <w:r>
        <w:t xml:space="preserve"> (en toneladas) que utiliza el Puesto Fronterizo de Guabito (ie. Sixaola para efectos de Costa Rica), como punto de entrada y salida.</w:t>
      </w:r>
      <w:r w:rsidRPr="000776E4">
        <w:rPr>
          <w:szCs w:val="24"/>
        </w:rPr>
        <w:t>Asimismo, se</w:t>
      </w:r>
      <w:r>
        <w:rPr>
          <w:szCs w:val="24"/>
        </w:rPr>
        <w:t>verificó el ajuste de las series de datos de las exportaciones de Panamá hacia Costa Rica (R2:0.673) e importaciones de Panamá desde Costa Rica (R2:0.9352), confirmando la factibilidad de aplicar regresión lineal como método de proyección</w:t>
      </w:r>
      <w:r w:rsidRPr="00817185">
        <w:rPr>
          <w:vertAlign w:val="superscript"/>
        </w:rPr>
        <w:footnoteReference w:id="9"/>
      </w:r>
      <w:r>
        <w:rPr>
          <w:szCs w:val="24"/>
        </w:rPr>
        <w:t xml:space="preserve">. </w:t>
      </w:r>
      <w:r>
        <w:t xml:space="preserve">De esta forma, se estimó el tonelaje de las exportaciones e importaciones Panamá-Costa Rica para el período 2015-2038, aplicándosele al mismo el porcentaje observado. </w:t>
      </w:r>
    </w:p>
    <w:p w:rsidR="00AE5B31" w:rsidRPr="00B70F2C" w:rsidRDefault="00AE5B31" w:rsidP="00AE5B31">
      <w:pPr>
        <w:ind w:left="709"/>
        <w:jc w:val="both"/>
        <w:rPr>
          <w:szCs w:val="24"/>
          <w:u w:val="single"/>
        </w:rPr>
      </w:pPr>
    </w:p>
    <w:p w:rsidR="00AE5B31" w:rsidRPr="00B70F2C" w:rsidRDefault="00AE5B31" w:rsidP="00AE5B31">
      <w:pPr>
        <w:pStyle w:val="ListParagraph"/>
        <w:ind w:left="705"/>
        <w:jc w:val="center"/>
        <w:rPr>
          <w:b/>
          <w:sz w:val="22"/>
          <w:szCs w:val="22"/>
        </w:rPr>
      </w:pPr>
      <w:r w:rsidRPr="00B70F2C">
        <w:rPr>
          <w:b/>
          <w:sz w:val="22"/>
          <w:szCs w:val="22"/>
        </w:rPr>
        <w:t xml:space="preserve">Cuadro </w:t>
      </w:r>
      <w:r>
        <w:rPr>
          <w:b/>
          <w:sz w:val="22"/>
          <w:szCs w:val="22"/>
        </w:rPr>
        <w:t>V</w:t>
      </w:r>
    </w:p>
    <w:p w:rsidR="00AE5B31" w:rsidRPr="00B70F2C" w:rsidRDefault="00AE5B31" w:rsidP="00AE5B31">
      <w:pPr>
        <w:pStyle w:val="ListParagraph"/>
        <w:ind w:left="705"/>
        <w:jc w:val="center"/>
        <w:rPr>
          <w:b/>
          <w:bCs/>
          <w:sz w:val="20"/>
          <w:lang w:val="es-ES" w:eastAsia="es-ES"/>
        </w:rPr>
      </w:pPr>
      <w:r>
        <w:rPr>
          <w:b/>
          <w:bCs/>
          <w:sz w:val="20"/>
          <w:lang w:val="es-ES" w:eastAsia="es-ES"/>
        </w:rPr>
        <w:t>GUABITO</w:t>
      </w:r>
    </w:p>
    <w:p w:rsidR="00AE5B31" w:rsidRPr="00B70F2C" w:rsidRDefault="00AE5B31" w:rsidP="00AE5B31">
      <w:pPr>
        <w:pStyle w:val="ListParagraph"/>
        <w:ind w:left="705"/>
        <w:jc w:val="center"/>
        <w:rPr>
          <w:sz w:val="20"/>
        </w:rPr>
      </w:pPr>
      <w:r>
        <w:rPr>
          <w:b/>
          <w:bCs/>
          <w:sz w:val="20"/>
          <w:lang w:val="es-ES" w:eastAsia="es-ES"/>
        </w:rPr>
        <w:t>PAN&gt;CR: Porcentaje de la carga comerciada que es transportada por el Paso Fronterizo</w:t>
      </w:r>
    </w:p>
    <w:p w:rsidR="00AE5B31" w:rsidRDefault="00AE5B31" w:rsidP="00AE5B31">
      <w:pPr>
        <w:jc w:val="both"/>
        <w:rPr>
          <w:szCs w:val="24"/>
        </w:rPr>
      </w:pPr>
    </w:p>
    <w:tbl>
      <w:tblPr>
        <w:tblStyle w:val="TableGrid"/>
        <w:tblW w:w="0" w:type="auto"/>
        <w:tblInd w:w="715" w:type="dxa"/>
        <w:tblLook w:val="04A0" w:firstRow="1" w:lastRow="0" w:firstColumn="1" w:lastColumn="0" w:noHBand="0" w:noVBand="1"/>
      </w:tblPr>
      <w:tblGrid>
        <w:gridCol w:w="4320"/>
        <w:gridCol w:w="2051"/>
        <w:gridCol w:w="2051"/>
      </w:tblGrid>
      <w:tr w:rsidR="00AE5B31" w:rsidTr="00E7602D">
        <w:tc>
          <w:tcPr>
            <w:tcW w:w="4320" w:type="dxa"/>
            <w:vAlign w:val="center"/>
          </w:tcPr>
          <w:p w:rsidR="00AE5B31" w:rsidRPr="00C81D6E" w:rsidRDefault="00AE5B31" w:rsidP="00E7602D">
            <w:pPr>
              <w:jc w:val="center"/>
              <w:rPr>
                <w:rFonts w:asciiTheme="minorHAnsi" w:hAnsiTheme="minorHAnsi"/>
                <w:b/>
                <w:sz w:val="20"/>
                <w:szCs w:val="24"/>
              </w:rPr>
            </w:pPr>
            <w:r>
              <w:rPr>
                <w:rFonts w:asciiTheme="minorHAnsi" w:hAnsiTheme="minorHAnsi"/>
                <w:b/>
                <w:sz w:val="20"/>
                <w:szCs w:val="24"/>
              </w:rPr>
              <w:t>Flujo Comercial</w:t>
            </w:r>
          </w:p>
        </w:tc>
        <w:tc>
          <w:tcPr>
            <w:tcW w:w="2051" w:type="dxa"/>
            <w:vAlign w:val="center"/>
          </w:tcPr>
          <w:p w:rsidR="00AE5B31" w:rsidRPr="00C81D6E" w:rsidRDefault="00AE5B31" w:rsidP="00E7602D">
            <w:pPr>
              <w:jc w:val="center"/>
              <w:rPr>
                <w:rFonts w:asciiTheme="minorHAnsi" w:hAnsiTheme="minorHAnsi"/>
                <w:b/>
                <w:sz w:val="20"/>
                <w:szCs w:val="24"/>
              </w:rPr>
            </w:pPr>
            <w:r>
              <w:rPr>
                <w:rFonts w:asciiTheme="minorHAnsi" w:hAnsiTheme="minorHAnsi"/>
                <w:b/>
                <w:sz w:val="20"/>
                <w:szCs w:val="24"/>
              </w:rPr>
              <w:t>Observado 2013</w:t>
            </w:r>
          </w:p>
        </w:tc>
        <w:tc>
          <w:tcPr>
            <w:tcW w:w="2051" w:type="dxa"/>
            <w:vAlign w:val="center"/>
          </w:tcPr>
          <w:p w:rsidR="00AE5B31" w:rsidRPr="00C81D6E" w:rsidRDefault="00AE5B31" w:rsidP="00E7602D">
            <w:pPr>
              <w:rPr>
                <w:rFonts w:asciiTheme="minorHAnsi" w:hAnsiTheme="minorHAnsi"/>
                <w:b/>
                <w:sz w:val="20"/>
                <w:szCs w:val="24"/>
              </w:rPr>
            </w:pPr>
            <w:r w:rsidRPr="00C81D6E">
              <w:rPr>
                <w:rFonts w:asciiTheme="minorHAnsi" w:hAnsiTheme="minorHAnsi"/>
                <w:b/>
                <w:sz w:val="20"/>
                <w:szCs w:val="24"/>
              </w:rPr>
              <w:t>Supuesto Proyección</w:t>
            </w:r>
          </w:p>
        </w:tc>
      </w:tr>
      <w:tr w:rsidR="00AE5B31" w:rsidTr="00E7602D">
        <w:tc>
          <w:tcPr>
            <w:tcW w:w="4320" w:type="dxa"/>
            <w:vAlign w:val="center"/>
          </w:tcPr>
          <w:p w:rsidR="00AE5B31" w:rsidRPr="00C81D6E" w:rsidRDefault="00AE5B31" w:rsidP="00E7602D">
            <w:pPr>
              <w:rPr>
                <w:rFonts w:asciiTheme="minorHAnsi" w:hAnsiTheme="minorHAnsi"/>
                <w:b/>
                <w:sz w:val="20"/>
                <w:szCs w:val="24"/>
              </w:rPr>
            </w:pPr>
            <w:r>
              <w:rPr>
                <w:rFonts w:asciiTheme="minorHAnsi" w:hAnsiTheme="minorHAnsi"/>
                <w:b/>
                <w:sz w:val="20"/>
                <w:szCs w:val="24"/>
              </w:rPr>
              <w:t>Exportaciones</w:t>
            </w:r>
          </w:p>
        </w:tc>
        <w:tc>
          <w:tcPr>
            <w:tcW w:w="2051" w:type="dxa"/>
            <w:vAlign w:val="center"/>
          </w:tcPr>
          <w:p w:rsidR="00AE5B31" w:rsidRPr="00C81D6E" w:rsidRDefault="00AE5B31" w:rsidP="00E7602D">
            <w:pPr>
              <w:jc w:val="right"/>
              <w:rPr>
                <w:rFonts w:asciiTheme="minorHAnsi" w:hAnsiTheme="minorHAnsi"/>
                <w:b/>
                <w:sz w:val="20"/>
                <w:szCs w:val="24"/>
              </w:rPr>
            </w:pPr>
          </w:p>
        </w:tc>
        <w:tc>
          <w:tcPr>
            <w:tcW w:w="2051" w:type="dxa"/>
            <w:vAlign w:val="center"/>
          </w:tcPr>
          <w:p w:rsidR="00AE5B31" w:rsidRPr="00C81D6E" w:rsidRDefault="00AE5B31" w:rsidP="00E7602D">
            <w:pPr>
              <w:jc w:val="right"/>
              <w:rPr>
                <w:rFonts w:asciiTheme="minorHAnsi" w:hAnsiTheme="minorHAnsi"/>
                <w:b/>
                <w:sz w:val="20"/>
                <w:szCs w:val="24"/>
              </w:rPr>
            </w:pPr>
          </w:p>
        </w:tc>
      </w:tr>
      <w:tr w:rsidR="00AE5B31" w:rsidTr="00E7602D">
        <w:tc>
          <w:tcPr>
            <w:tcW w:w="4320" w:type="dxa"/>
          </w:tcPr>
          <w:p w:rsidR="00AE5B31" w:rsidRPr="00B70F2C" w:rsidRDefault="00AE5B31" w:rsidP="00E7602D">
            <w:pPr>
              <w:jc w:val="both"/>
              <w:rPr>
                <w:rFonts w:asciiTheme="minorHAnsi" w:hAnsiTheme="minorHAnsi"/>
                <w:sz w:val="20"/>
                <w:szCs w:val="24"/>
              </w:rPr>
            </w:pPr>
            <w:r>
              <w:rPr>
                <w:rFonts w:asciiTheme="minorHAnsi" w:hAnsiTheme="minorHAnsi"/>
                <w:sz w:val="20"/>
                <w:szCs w:val="24"/>
              </w:rPr>
              <w:t xml:space="preserve">  Exportaciones Convencionales</w:t>
            </w:r>
          </w:p>
        </w:tc>
        <w:tc>
          <w:tcPr>
            <w:tcW w:w="2051"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34.4%</w:t>
            </w:r>
          </w:p>
        </w:tc>
        <w:tc>
          <w:tcPr>
            <w:tcW w:w="2051"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NA</w:t>
            </w:r>
          </w:p>
        </w:tc>
      </w:tr>
      <w:tr w:rsidR="00AE5B31" w:rsidTr="00E7602D">
        <w:tc>
          <w:tcPr>
            <w:tcW w:w="4320" w:type="dxa"/>
          </w:tcPr>
          <w:p w:rsidR="00AE5B31" w:rsidRPr="00B70F2C" w:rsidRDefault="00AE5B31" w:rsidP="00E7602D">
            <w:pPr>
              <w:jc w:val="both"/>
              <w:rPr>
                <w:rFonts w:asciiTheme="minorHAnsi" w:hAnsiTheme="minorHAnsi"/>
                <w:sz w:val="20"/>
                <w:szCs w:val="24"/>
              </w:rPr>
            </w:pPr>
            <w:r>
              <w:rPr>
                <w:rFonts w:asciiTheme="minorHAnsi" w:hAnsiTheme="minorHAnsi"/>
                <w:sz w:val="20"/>
                <w:szCs w:val="24"/>
              </w:rPr>
              <w:t xml:space="preserve">  Reexportaciones</w:t>
            </w:r>
          </w:p>
        </w:tc>
        <w:tc>
          <w:tcPr>
            <w:tcW w:w="2051"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2.4%</w:t>
            </w:r>
          </w:p>
        </w:tc>
        <w:tc>
          <w:tcPr>
            <w:tcW w:w="2051"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NA</w:t>
            </w:r>
          </w:p>
        </w:tc>
      </w:tr>
      <w:tr w:rsidR="00AE5B31" w:rsidTr="00E7602D">
        <w:tc>
          <w:tcPr>
            <w:tcW w:w="4320" w:type="dxa"/>
          </w:tcPr>
          <w:p w:rsidR="00AE5B31" w:rsidRDefault="00AE5B31" w:rsidP="00E7602D">
            <w:pPr>
              <w:jc w:val="both"/>
              <w:rPr>
                <w:rFonts w:asciiTheme="minorHAnsi" w:hAnsiTheme="minorHAnsi"/>
                <w:b/>
                <w:sz w:val="20"/>
                <w:szCs w:val="24"/>
              </w:rPr>
            </w:pPr>
            <w:r>
              <w:rPr>
                <w:rFonts w:asciiTheme="minorHAnsi" w:hAnsiTheme="minorHAnsi"/>
                <w:b/>
                <w:sz w:val="20"/>
                <w:szCs w:val="24"/>
              </w:rPr>
              <w:t>Supuesto Proyecciones 2015-2038</w:t>
            </w:r>
          </w:p>
        </w:tc>
        <w:tc>
          <w:tcPr>
            <w:tcW w:w="2051" w:type="dxa"/>
          </w:tcPr>
          <w:p w:rsidR="00AE5B31" w:rsidRDefault="00AE5B31" w:rsidP="00E7602D">
            <w:pPr>
              <w:jc w:val="right"/>
              <w:rPr>
                <w:rFonts w:asciiTheme="minorHAnsi" w:hAnsiTheme="minorHAnsi"/>
                <w:sz w:val="20"/>
                <w:szCs w:val="24"/>
              </w:rPr>
            </w:pPr>
            <w:r>
              <w:rPr>
                <w:rFonts w:asciiTheme="minorHAnsi" w:hAnsiTheme="minorHAnsi"/>
                <w:sz w:val="20"/>
                <w:szCs w:val="24"/>
              </w:rPr>
              <w:t>NA</w:t>
            </w:r>
          </w:p>
        </w:tc>
        <w:tc>
          <w:tcPr>
            <w:tcW w:w="2051" w:type="dxa"/>
          </w:tcPr>
          <w:p w:rsidR="00AE5B31" w:rsidRDefault="00AE5B31" w:rsidP="00E7602D">
            <w:pPr>
              <w:jc w:val="right"/>
              <w:rPr>
                <w:rFonts w:asciiTheme="minorHAnsi" w:hAnsiTheme="minorHAnsi"/>
                <w:sz w:val="20"/>
                <w:szCs w:val="24"/>
              </w:rPr>
            </w:pPr>
            <w:r>
              <w:rPr>
                <w:rFonts w:asciiTheme="minorHAnsi" w:hAnsiTheme="minorHAnsi"/>
                <w:sz w:val="20"/>
                <w:szCs w:val="24"/>
              </w:rPr>
              <w:t>20.0%</w:t>
            </w:r>
          </w:p>
        </w:tc>
      </w:tr>
    </w:tbl>
    <w:p w:rsidR="00AE5B31" w:rsidRDefault="00AE5B31" w:rsidP="00AE5B31">
      <w:pPr>
        <w:ind w:left="720" w:hanging="720"/>
        <w:jc w:val="both"/>
        <w:rPr>
          <w:szCs w:val="24"/>
        </w:rPr>
      </w:pPr>
      <w:r>
        <w:rPr>
          <w:sz w:val="18"/>
          <w:szCs w:val="24"/>
        </w:rPr>
        <w:t>Fuente: Elaboración propia con base en cifras de comercio internacional SIECA e Instituto Panameño de Estadística y Censo.</w:t>
      </w:r>
    </w:p>
    <w:p w:rsidR="00AE5B31" w:rsidRDefault="00AE5B31" w:rsidP="00AE5B31">
      <w:pPr>
        <w:pStyle w:val="ListParagraph"/>
        <w:ind w:left="705"/>
        <w:jc w:val="center"/>
        <w:rPr>
          <w:b/>
          <w:sz w:val="22"/>
          <w:szCs w:val="22"/>
        </w:rPr>
      </w:pPr>
    </w:p>
    <w:p w:rsidR="00AE5B31" w:rsidRPr="00B70F2C" w:rsidRDefault="00AE5B31" w:rsidP="00AE5B31">
      <w:pPr>
        <w:pStyle w:val="ListParagraph"/>
        <w:ind w:left="705"/>
        <w:jc w:val="center"/>
        <w:rPr>
          <w:b/>
          <w:sz w:val="22"/>
          <w:szCs w:val="22"/>
        </w:rPr>
      </w:pPr>
      <w:r w:rsidRPr="00B70F2C">
        <w:rPr>
          <w:b/>
          <w:sz w:val="22"/>
          <w:szCs w:val="22"/>
        </w:rPr>
        <w:t xml:space="preserve">Cuadro </w:t>
      </w:r>
      <w:r>
        <w:rPr>
          <w:b/>
          <w:sz w:val="22"/>
          <w:szCs w:val="22"/>
        </w:rPr>
        <w:t>VI</w:t>
      </w:r>
    </w:p>
    <w:p w:rsidR="00AE5B31" w:rsidRPr="00B70F2C" w:rsidRDefault="00AE5B31" w:rsidP="00AE5B31">
      <w:pPr>
        <w:pStyle w:val="ListParagraph"/>
        <w:ind w:left="705"/>
        <w:jc w:val="center"/>
        <w:rPr>
          <w:b/>
          <w:bCs/>
          <w:sz w:val="20"/>
          <w:lang w:val="es-ES" w:eastAsia="es-ES"/>
        </w:rPr>
      </w:pPr>
      <w:r>
        <w:rPr>
          <w:b/>
          <w:bCs/>
          <w:sz w:val="20"/>
          <w:lang w:val="es-ES" w:eastAsia="es-ES"/>
        </w:rPr>
        <w:t>GUABITO</w:t>
      </w:r>
    </w:p>
    <w:p w:rsidR="00AE5B31" w:rsidRPr="00B70F2C" w:rsidRDefault="00AE5B31" w:rsidP="00AE5B31">
      <w:pPr>
        <w:pStyle w:val="ListParagraph"/>
        <w:ind w:left="705"/>
        <w:jc w:val="center"/>
        <w:rPr>
          <w:sz w:val="20"/>
        </w:rPr>
      </w:pPr>
      <w:r>
        <w:rPr>
          <w:b/>
          <w:bCs/>
          <w:sz w:val="20"/>
          <w:lang w:val="es-ES" w:eastAsia="es-ES"/>
        </w:rPr>
        <w:t>CR&gt;PAN: Porcentaje de la carga comerciada que es transportada por el Paso Fronterizo</w:t>
      </w:r>
    </w:p>
    <w:p w:rsidR="00AE5B31" w:rsidRDefault="00AE5B31" w:rsidP="00AE5B31">
      <w:pPr>
        <w:jc w:val="both"/>
        <w:rPr>
          <w:szCs w:val="24"/>
        </w:rPr>
      </w:pPr>
    </w:p>
    <w:tbl>
      <w:tblPr>
        <w:tblStyle w:val="TableGrid"/>
        <w:tblW w:w="0" w:type="auto"/>
        <w:tblInd w:w="715" w:type="dxa"/>
        <w:tblLook w:val="04A0" w:firstRow="1" w:lastRow="0" w:firstColumn="1" w:lastColumn="0" w:noHBand="0" w:noVBand="1"/>
      </w:tblPr>
      <w:tblGrid>
        <w:gridCol w:w="4320"/>
        <w:gridCol w:w="2051"/>
        <w:gridCol w:w="2051"/>
      </w:tblGrid>
      <w:tr w:rsidR="00AE5B31" w:rsidTr="00E7602D">
        <w:tc>
          <w:tcPr>
            <w:tcW w:w="4320" w:type="dxa"/>
            <w:vAlign w:val="center"/>
          </w:tcPr>
          <w:p w:rsidR="00AE5B31" w:rsidRPr="00C81D6E" w:rsidRDefault="00AE5B31" w:rsidP="00E7602D">
            <w:pPr>
              <w:jc w:val="center"/>
              <w:rPr>
                <w:rFonts w:asciiTheme="minorHAnsi" w:hAnsiTheme="minorHAnsi"/>
                <w:b/>
                <w:sz w:val="20"/>
                <w:szCs w:val="24"/>
              </w:rPr>
            </w:pPr>
            <w:r>
              <w:rPr>
                <w:rFonts w:asciiTheme="minorHAnsi" w:hAnsiTheme="minorHAnsi"/>
                <w:b/>
                <w:sz w:val="20"/>
                <w:szCs w:val="24"/>
              </w:rPr>
              <w:t>Flujo Comercial</w:t>
            </w:r>
          </w:p>
        </w:tc>
        <w:tc>
          <w:tcPr>
            <w:tcW w:w="2051" w:type="dxa"/>
            <w:vAlign w:val="center"/>
          </w:tcPr>
          <w:p w:rsidR="00AE5B31" w:rsidRPr="00C81D6E" w:rsidRDefault="00AE5B31" w:rsidP="00E7602D">
            <w:pPr>
              <w:jc w:val="center"/>
              <w:rPr>
                <w:rFonts w:asciiTheme="minorHAnsi" w:hAnsiTheme="minorHAnsi"/>
                <w:b/>
                <w:sz w:val="20"/>
                <w:szCs w:val="24"/>
              </w:rPr>
            </w:pPr>
            <w:r>
              <w:rPr>
                <w:rFonts w:asciiTheme="minorHAnsi" w:hAnsiTheme="minorHAnsi"/>
                <w:b/>
                <w:sz w:val="20"/>
                <w:szCs w:val="24"/>
              </w:rPr>
              <w:t>Observado</w:t>
            </w:r>
          </w:p>
        </w:tc>
        <w:tc>
          <w:tcPr>
            <w:tcW w:w="2051" w:type="dxa"/>
            <w:vAlign w:val="center"/>
          </w:tcPr>
          <w:p w:rsidR="00AE5B31" w:rsidRPr="00C81D6E" w:rsidRDefault="00AE5B31" w:rsidP="00E7602D">
            <w:pPr>
              <w:rPr>
                <w:rFonts w:asciiTheme="minorHAnsi" w:hAnsiTheme="minorHAnsi"/>
                <w:b/>
                <w:sz w:val="20"/>
                <w:szCs w:val="24"/>
              </w:rPr>
            </w:pPr>
            <w:r w:rsidRPr="00C81D6E">
              <w:rPr>
                <w:rFonts w:asciiTheme="minorHAnsi" w:hAnsiTheme="minorHAnsi"/>
                <w:b/>
                <w:sz w:val="20"/>
                <w:szCs w:val="24"/>
              </w:rPr>
              <w:t>Supuesto Proyección</w:t>
            </w:r>
          </w:p>
        </w:tc>
      </w:tr>
      <w:tr w:rsidR="00AE5B31" w:rsidTr="00E7602D">
        <w:tc>
          <w:tcPr>
            <w:tcW w:w="4320" w:type="dxa"/>
            <w:vAlign w:val="center"/>
          </w:tcPr>
          <w:p w:rsidR="00AE5B31" w:rsidRPr="00C81D6E" w:rsidRDefault="00AE5B31" w:rsidP="00E7602D">
            <w:pPr>
              <w:rPr>
                <w:rFonts w:asciiTheme="minorHAnsi" w:hAnsiTheme="minorHAnsi"/>
                <w:b/>
                <w:sz w:val="20"/>
                <w:szCs w:val="24"/>
              </w:rPr>
            </w:pPr>
            <w:r>
              <w:rPr>
                <w:rFonts w:asciiTheme="minorHAnsi" w:hAnsiTheme="minorHAnsi"/>
                <w:b/>
                <w:sz w:val="20"/>
                <w:szCs w:val="24"/>
              </w:rPr>
              <w:t>Importaciones</w:t>
            </w:r>
          </w:p>
        </w:tc>
        <w:tc>
          <w:tcPr>
            <w:tcW w:w="2051" w:type="dxa"/>
            <w:vAlign w:val="center"/>
          </w:tcPr>
          <w:p w:rsidR="00AE5B31" w:rsidRPr="00C81D6E" w:rsidRDefault="00AE5B31" w:rsidP="00E7602D">
            <w:pPr>
              <w:jc w:val="center"/>
              <w:rPr>
                <w:rFonts w:asciiTheme="minorHAnsi" w:hAnsiTheme="minorHAnsi"/>
                <w:b/>
                <w:sz w:val="20"/>
                <w:szCs w:val="24"/>
              </w:rPr>
            </w:pPr>
          </w:p>
        </w:tc>
        <w:tc>
          <w:tcPr>
            <w:tcW w:w="2051" w:type="dxa"/>
            <w:vAlign w:val="center"/>
          </w:tcPr>
          <w:p w:rsidR="00AE5B31" w:rsidRPr="00C81D6E" w:rsidRDefault="00AE5B31" w:rsidP="00E7602D">
            <w:pPr>
              <w:rPr>
                <w:rFonts w:asciiTheme="minorHAnsi" w:hAnsiTheme="minorHAnsi"/>
                <w:b/>
                <w:sz w:val="20"/>
                <w:szCs w:val="24"/>
              </w:rPr>
            </w:pPr>
          </w:p>
        </w:tc>
      </w:tr>
      <w:tr w:rsidR="00AE5B31" w:rsidTr="00E7602D">
        <w:tc>
          <w:tcPr>
            <w:tcW w:w="4320" w:type="dxa"/>
          </w:tcPr>
          <w:p w:rsidR="00AE5B31" w:rsidRPr="00B70F2C" w:rsidRDefault="00AE5B31" w:rsidP="00E7602D">
            <w:pPr>
              <w:jc w:val="both"/>
              <w:rPr>
                <w:rFonts w:asciiTheme="minorHAnsi" w:hAnsiTheme="minorHAnsi"/>
                <w:sz w:val="20"/>
                <w:szCs w:val="24"/>
              </w:rPr>
            </w:pPr>
            <w:r>
              <w:rPr>
                <w:rFonts w:asciiTheme="minorHAnsi" w:hAnsiTheme="minorHAnsi"/>
                <w:sz w:val="20"/>
                <w:szCs w:val="24"/>
              </w:rPr>
              <w:t xml:space="preserve">  Año 2010</w:t>
            </w:r>
          </w:p>
        </w:tc>
        <w:tc>
          <w:tcPr>
            <w:tcW w:w="2051"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10.4%</w:t>
            </w:r>
          </w:p>
        </w:tc>
        <w:tc>
          <w:tcPr>
            <w:tcW w:w="2051"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NA</w:t>
            </w:r>
          </w:p>
        </w:tc>
      </w:tr>
      <w:tr w:rsidR="00AE5B31" w:rsidTr="00E7602D">
        <w:tc>
          <w:tcPr>
            <w:tcW w:w="4320" w:type="dxa"/>
          </w:tcPr>
          <w:p w:rsidR="00AE5B31" w:rsidRPr="00B70F2C" w:rsidRDefault="00AE5B31" w:rsidP="00E7602D">
            <w:pPr>
              <w:jc w:val="both"/>
              <w:rPr>
                <w:rFonts w:asciiTheme="minorHAnsi" w:hAnsiTheme="minorHAnsi"/>
                <w:sz w:val="20"/>
                <w:szCs w:val="24"/>
              </w:rPr>
            </w:pPr>
            <w:r w:rsidRPr="00106072">
              <w:rPr>
                <w:rFonts w:asciiTheme="minorHAnsi" w:hAnsiTheme="minorHAnsi"/>
                <w:sz w:val="20"/>
                <w:szCs w:val="24"/>
              </w:rPr>
              <w:t>Año 201</w:t>
            </w:r>
            <w:r>
              <w:rPr>
                <w:rFonts w:asciiTheme="minorHAnsi" w:hAnsiTheme="minorHAnsi"/>
                <w:sz w:val="20"/>
                <w:szCs w:val="24"/>
              </w:rPr>
              <w:t>1</w:t>
            </w:r>
          </w:p>
        </w:tc>
        <w:tc>
          <w:tcPr>
            <w:tcW w:w="2051"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14.0%</w:t>
            </w:r>
          </w:p>
        </w:tc>
        <w:tc>
          <w:tcPr>
            <w:tcW w:w="2051"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NA</w:t>
            </w:r>
          </w:p>
        </w:tc>
      </w:tr>
      <w:tr w:rsidR="00AE5B31" w:rsidTr="00E7602D">
        <w:tc>
          <w:tcPr>
            <w:tcW w:w="4320" w:type="dxa"/>
          </w:tcPr>
          <w:p w:rsidR="00AE5B31" w:rsidRDefault="00AE5B31" w:rsidP="00E7602D">
            <w:pPr>
              <w:jc w:val="both"/>
              <w:rPr>
                <w:rFonts w:asciiTheme="minorHAnsi" w:hAnsiTheme="minorHAnsi"/>
                <w:sz w:val="20"/>
                <w:szCs w:val="24"/>
              </w:rPr>
            </w:pPr>
            <w:r w:rsidRPr="00106072">
              <w:rPr>
                <w:rFonts w:asciiTheme="minorHAnsi" w:hAnsiTheme="minorHAnsi"/>
                <w:sz w:val="20"/>
                <w:szCs w:val="24"/>
              </w:rPr>
              <w:t>Año 201</w:t>
            </w:r>
            <w:r>
              <w:rPr>
                <w:rFonts w:asciiTheme="minorHAnsi" w:hAnsiTheme="minorHAnsi"/>
                <w:sz w:val="20"/>
                <w:szCs w:val="24"/>
              </w:rPr>
              <w:t>2</w:t>
            </w:r>
          </w:p>
        </w:tc>
        <w:tc>
          <w:tcPr>
            <w:tcW w:w="2051"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9.6%</w:t>
            </w:r>
          </w:p>
        </w:tc>
        <w:tc>
          <w:tcPr>
            <w:tcW w:w="2051"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NA</w:t>
            </w:r>
          </w:p>
        </w:tc>
      </w:tr>
      <w:tr w:rsidR="00AE5B31" w:rsidTr="00E7602D">
        <w:tc>
          <w:tcPr>
            <w:tcW w:w="4320" w:type="dxa"/>
          </w:tcPr>
          <w:p w:rsidR="00AE5B31" w:rsidRPr="00C81D6E" w:rsidRDefault="00AE5B31" w:rsidP="00E7602D">
            <w:pPr>
              <w:jc w:val="both"/>
              <w:rPr>
                <w:rFonts w:asciiTheme="minorHAnsi" w:hAnsiTheme="minorHAnsi"/>
                <w:b/>
                <w:sz w:val="20"/>
                <w:szCs w:val="24"/>
              </w:rPr>
            </w:pPr>
            <w:r>
              <w:rPr>
                <w:rFonts w:asciiTheme="minorHAnsi" w:hAnsiTheme="minorHAnsi"/>
                <w:b/>
                <w:sz w:val="20"/>
                <w:szCs w:val="24"/>
              </w:rPr>
              <w:t>Supuesto Proyecciones 2015-2038</w:t>
            </w:r>
          </w:p>
        </w:tc>
        <w:tc>
          <w:tcPr>
            <w:tcW w:w="2051" w:type="dxa"/>
          </w:tcPr>
          <w:p w:rsidR="00AE5B31" w:rsidRDefault="00AE5B31" w:rsidP="00E7602D">
            <w:pPr>
              <w:jc w:val="right"/>
              <w:rPr>
                <w:rFonts w:asciiTheme="minorHAnsi" w:hAnsiTheme="minorHAnsi"/>
                <w:sz w:val="20"/>
                <w:szCs w:val="24"/>
              </w:rPr>
            </w:pPr>
            <w:r>
              <w:rPr>
                <w:rFonts w:asciiTheme="minorHAnsi" w:hAnsiTheme="minorHAnsi"/>
                <w:sz w:val="20"/>
                <w:szCs w:val="24"/>
              </w:rPr>
              <w:t>NA</w:t>
            </w:r>
          </w:p>
        </w:tc>
        <w:tc>
          <w:tcPr>
            <w:tcW w:w="2051"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10.0%</w:t>
            </w:r>
          </w:p>
        </w:tc>
      </w:tr>
    </w:tbl>
    <w:p w:rsidR="00AE5B31" w:rsidRDefault="00AE5B31" w:rsidP="00AE5B31">
      <w:pPr>
        <w:ind w:left="720" w:hanging="720"/>
        <w:jc w:val="both"/>
        <w:rPr>
          <w:szCs w:val="24"/>
        </w:rPr>
      </w:pPr>
      <w:r>
        <w:rPr>
          <w:sz w:val="18"/>
          <w:szCs w:val="24"/>
        </w:rPr>
        <w:t>Fuente: Elaboración propia con base en cifras de comercio internacional SIECA e Instituto Panameño de Estadística y Censo.</w:t>
      </w:r>
    </w:p>
    <w:p w:rsidR="00AE5B31" w:rsidRDefault="00AE5B31" w:rsidP="00AE5B31">
      <w:pPr>
        <w:jc w:val="both"/>
        <w:rPr>
          <w:szCs w:val="24"/>
        </w:rPr>
      </w:pPr>
    </w:p>
    <w:p w:rsidR="00AE5B31" w:rsidRDefault="00AE5B31" w:rsidP="00AE5B31">
      <w:pPr>
        <w:jc w:val="both"/>
        <w:rPr>
          <w:szCs w:val="24"/>
        </w:rPr>
      </w:pPr>
    </w:p>
    <w:p w:rsidR="00AE5B31" w:rsidRDefault="00AE5B31" w:rsidP="00AE5B31">
      <w:pPr>
        <w:jc w:val="both"/>
        <w:rPr>
          <w:szCs w:val="24"/>
        </w:rPr>
      </w:pPr>
    </w:p>
    <w:p w:rsidR="00AE5B31" w:rsidRPr="00E86496" w:rsidRDefault="00AE5B31" w:rsidP="00AE5B31">
      <w:pPr>
        <w:jc w:val="both"/>
        <w:rPr>
          <w:szCs w:val="24"/>
        </w:rPr>
      </w:pPr>
      <w:r w:rsidRPr="00817185">
        <w:rPr>
          <w:szCs w:val="24"/>
          <w:u w:val="single"/>
        </w:rPr>
        <w:lastRenderedPageBreak/>
        <w:t>Tipo de Despacho.</w:t>
      </w:r>
      <w:r>
        <w:rPr>
          <w:szCs w:val="24"/>
        </w:rPr>
        <w:t>Una vez proyectadas las cifras de comercio y el correspondiente tonelaje transportado a través de Guabito, se procedió a segmentar el mismo según tipo de despacho. En el sentido Panamá</w:t>
      </w:r>
      <w:r w:rsidRPr="00954E9C">
        <w:rPr>
          <w:szCs w:val="24"/>
        </w:rPr>
        <w:t>-Cost</w:t>
      </w:r>
      <w:r>
        <w:rPr>
          <w:szCs w:val="24"/>
        </w:rPr>
        <w:t xml:space="preserve">a Rica: </w:t>
      </w:r>
      <w:r w:rsidRPr="00954E9C">
        <w:rPr>
          <w:szCs w:val="24"/>
        </w:rPr>
        <w:t xml:space="preserve">i) Camiones Cargados </w:t>
      </w:r>
      <w:r>
        <w:rPr>
          <w:szCs w:val="24"/>
        </w:rPr>
        <w:t>con exportaciones</w:t>
      </w:r>
      <w:r w:rsidRPr="00954E9C">
        <w:rPr>
          <w:szCs w:val="24"/>
        </w:rPr>
        <w:t>, ii) Camiones Cargados en Tránsito</w:t>
      </w:r>
      <w:r>
        <w:rPr>
          <w:rStyle w:val="FootnoteReference"/>
          <w:szCs w:val="24"/>
        </w:rPr>
        <w:footnoteReference w:id="10"/>
      </w:r>
      <w:r w:rsidRPr="00954E9C">
        <w:rPr>
          <w:szCs w:val="24"/>
        </w:rPr>
        <w:t xml:space="preserve"> y iii) Camiones Vacíos</w:t>
      </w:r>
      <w:r>
        <w:rPr>
          <w:szCs w:val="24"/>
        </w:rPr>
        <w:t>.  En el sentido Costa Rica-Panamá: i) Camiones Cargados con im</w:t>
      </w:r>
      <w:r w:rsidRPr="00954E9C">
        <w:rPr>
          <w:szCs w:val="24"/>
        </w:rPr>
        <w:t>portaci</w:t>
      </w:r>
      <w:r>
        <w:rPr>
          <w:szCs w:val="24"/>
        </w:rPr>
        <w:t>ones</w:t>
      </w:r>
      <w:r w:rsidRPr="00954E9C">
        <w:rPr>
          <w:szCs w:val="24"/>
        </w:rPr>
        <w:t xml:space="preserve">, ii) Camiones Cargados en Tránsito y iii) Camiones </w:t>
      </w:r>
      <w:r>
        <w:rPr>
          <w:szCs w:val="24"/>
        </w:rPr>
        <w:t xml:space="preserve">Vacíos.  </w:t>
      </w:r>
      <w:r w:rsidRPr="00954E9C">
        <w:rPr>
          <w:szCs w:val="24"/>
        </w:rPr>
        <w:t xml:space="preserve">. </w:t>
      </w:r>
      <w:r>
        <w:rPr>
          <w:szCs w:val="24"/>
        </w:rPr>
        <w:t xml:space="preserve"> Para efectuar este cálculo se supone una carga promedio por camión de 18 toneladas, así como una relación de 0.2 camiones vacíos por cada 1 cargados en el sentido Panamá-Costa Rica y de 1.6 vacíos por cada 1 camión cargado en el sentido Costa Rica-Panamá. La relación de camiones vacíos por camión cargado se estima con base en los datos revelados por el Equipo Consultor en su documento </w:t>
      </w:r>
      <w:r w:rsidRPr="00603D62">
        <w:rPr>
          <w:i/>
          <w:szCs w:val="24"/>
        </w:rPr>
        <w:t>“</w:t>
      </w:r>
      <w:r w:rsidRPr="00B814D6">
        <w:rPr>
          <w:i/>
          <w:szCs w:val="24"/>
        </w:rPr>
        <w:t>Elaboración de la línea base y estimación de ahorros para los procesos de carga y migración del paso de frontera Guabito, Cabecera de Panamá</w:t>
      </w:r>
      <w:r w:rsidRPr="00603D62">
        <w:rPr>
          <w:i/>
          <w:szCs w:val="24"/>
        </w:rPr>
        <w:t>”</w:t>
      </w:r>
      <w:r>
        <w:rPr>
          <w:szCs w:val="24"/>
        </w:rPr>
        <w:t>.</w:t>
      </w:r>
    </w:p>
    <w:p w:rsidR="00AE5B31" w:rsidRDefault="00AE5B31" w:rsidP="00AE5B31">
      <w:pPr>
        <w:ind w:left="709"/>
        <w:jc w:val="both"/>
        <w:rPr>
          <w:szCs w:val="24"/>
        </w:rPr>
      </w:pPr>
    </w:p>
    <w:p w:rsidR="00AE5B31" w:rsidRPr="0006088F" w:rsidRDefault="00AE5B31" w:rsidP="00AE5B31">
      <w:pPr>
        <w:jc w:val="both"/>
        <w:rPr>
          <w:szCs w:val="24"/>
        </w:rPr>
      </w:pPr>
      <w:r>
        <w:rPr>
          <w:szCs w:val="24"/>
        </w:rPr>
        <w:t xml:space="preserve">Los siguientes cuadros muestran la proyección del volumen de carga transportado por Guabito de acuerdo a país de procedencia y de destino. Asimismo se presentan las proyecciones de Tránsito Promedio Diario Anual de Camiones de Carga discriminando por tipo de despacho. </w:t>
      </w:r>
    </w:p>
    <w:bookmarkEnd w:id="5"/>
    <w:bookmarkEnd w:id="7"/>
    <w:p w:rsidR="00AE5B31" w:rsidRPr="0006088F" w:rsidRDefault="00AE5B31" w:rsidP="00AE5B31">
      <w:pPr>
        <w:ind w:left="709"/>
        <w:jc w:val="both"/>
        <w:rPr>
          <w:szCs w:val="24"/>
        </w:rPr>
      </w:pPr>
    </w:p>
    <w:p w:rsidR="00AE5B31" w:rsidRPr="0006088F" w:rsidRDefault="00AE5B31" w:rsidP="00AE5B31">
      <w:pPr>
        <w:ind w:left="709"/>
        <w:jc w:val="both"/>
        <w:sectPr w:rsidR="00AE5B31" w:rsidRPr="0006088F" w:rsidSect="00FE6A09">
          <w:pgSz w:w="12242" w:h="15842" w:code="1"/>
          <w:pgMar w:top="1440" w:right="1298" w:bottom="1440" w:left="1797" w:header="731" w:footer="1134" w:gutter="0"/>
          <w:pgNumType w:fmt="numberInDash" w:start="10"/>
          <w:cols w:space="720"/>
        </w:sectPr>
      </w:pPr>
    </w:p>
    <w:p w:rsidR="00AE5B31" w:rsidRPr="0006088F" w:rsidRDefault="00AE5B31" w:rsidP="00AE5B31">
      <w:pPr>
        <w:jc w:val="center"/>
        <w:rPr>
          <w:b/>
          <w:sz w:val="22"/>
          <w:szCs w:val="22"/>
        </w:rPr>
      </w:pPr>
      <w:r w:rsidRPr="0006088F">
        <w:rPr>
          <w:b/>
          <w:sz w:val="22"/>
          <w:szCs w:val="22"/>
        </w:rPr>
        <w:lastRenderedPageBreak/>
        <w:t xml:space="preserve">Cuadro </w:t>
      </w:r>
      <w:r>
        <w:rPr>
          <w:b/>
          <w:sz w:val="22"/>
          <w:szCs w:val="22"/>
        </w:rPr>
        <w:t>VII</w:t>
      </w:r>
    </w:p>
    <w:p w:rsidR="00AE5B31" w:rsidRPr="0006088F" w:rsidRDefault="00AE5B31" w:rsidP="00AE5B31">
      <w:pPr>
        <w:jc w:val="center"/>
        <w:rPr>
          <w:b/>
          <w:bCs/>
          <w:sz w:val="20"/>
          <w:lang w:val="es-ES" w:eastAsia="es-ES"/>
        </w:rPr>
      </w:pPr>
      <w:r>
        <w:rPr>
          <w:b/>
          <w:bCs/>
          <w:sz w:val="20"/>
          <w:lang w:val="es-ES" w:eastAsia="es-ES"/>
        </w:rPr>
        <w:t>GUABITO</w:t>
      </w:r>
    </w:p>
    <w:p w:rsidR="00AE5B31" w:rsidRDefault="00AE5B31" w:rsidP="00AE5B31">
      <w:pPr>
        <w:ind w:left="1980" w:right="1931" w:hanging="180"/>
        <w:jc w:val="center"/>
        <w:rPr>
          <w:b/>
          <w:bCs/>
          <w:sz w:val="20"/>
          <w:lang w:val="es-ES" w:eastAsia="es-ES"/>
        </w:rPr>
      </w:pPr>
      <w:r>
        <w:rPr>
          <w:b/>
          <w:bCs/>
          <w:sz w:val="20"/>
          <w:lang w:val="es-ES" w:eastAsia="es-ES"/>
        </w:rPr>
        <w:t xml:space="preserve">PAN&gt;CR: </w:t>
      </w:r>
      <w:r w:rsidRPr="0006088F">
        <w:rPr>
          <w:b/>
          <w:bCs/>
          <w:sz w:val="20"/>
          <w:lang w:val="es-ES" w:eastAsia="es-ES"/>
        </w:rPr>
        <w:t xml:space="preserve">Proyecciones de </w:t>
      </w:r>
      <w:r>
        <w:rPr>
          <w:b/>
          <w:bCs/>
          <w:sz w:val="20"/>
          <w:lang w:val="es-ES" w:eastAsia="es-ES"/>
        </w:rPr>
        <w:t>Carga transportada por Guabito (Ton/Año</w:t>
      </w:r>
      <w:r w:rsidRPr="0006088F">
        <w:rPr>
          <w:b/>
          <w:bCs/>
          <w:sz w:val="20"/>
          <w:lang w:val="es-ES" w:eastAsia="es-ES"/>
        </w:rPr>
        <w:t>)</w:t>
      </w:r>
      <w:r>
        <w:rPr>
          <w:b/>
          <w:bCs/>
          <w:sz w:val="20"/>
          <w:lang w:val="es-ES" w:eastAsia="es-ES"/>
        </w:rPr>
        <w:t>. 2015-2038</w:t>
      </w:r>
    </w:p>
    <w:p w:rsidR="00AE5B31" w:rsidRDefault="00AE5B31" w:rsidP="00AE5B31">
      <w:pPr>
        <w:jc w:val="center"/>
        <w:rPr>
          <w:b/>
          <w:bCs/>
          <w:sz w:val="20"/>
          <w:lang w:val="es-ES" w:eastAsia="es-ES"/>
        </w:rPr>
      </w:pPr>
    </w:p>
    <w:p w:rsidR="00AE5B31" w:rsidRDefault="00AE5B31" w:rsidP="00AE5B31">
      <w:pPr>
        <w:jc w:val="center"/>
        <w:rPr>
          <w:b/>
          <w:bCs/>
          <w:sz w:val="20"/>
          <w:lang w:val="es-ES" w:eastAsia="es-ES"/>
        </w:rPr>
      </w:pPr>
      <w:r w:rsidRPr="00B814D6">
        <w:rPr>
          <w:noProof/>
          <w:lang w:val="en-US"/>
        </w:rPr>
        <w:drawing>
          <wp:inline distT="0" distB="0" distL="0" distR="0" wp14:anchorId="2C335109" wp14:editId="47B88EA6">
            <wp:extent cx="3609975" cy="5984875"/>
            <wp:effectExtent l="0" t="0" r="9525"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09975" cy="5984875"/>
                    </a:xfrm>
                    <a:prstGeom prst="rect">
                      <a:avLst/>
                    </a:prstGeom>
                    <a:noFill/>
                    <a:ln>
                      <a:noFill/>
                    </a:ln>
                  </pic:spPr>
                </pic:pic>
              </a:graphicData>
            </a:graphic>
          </wp:inline>
        </w:drawing>
      </w:r>
    </w:p>
    <w:p w:rsidR="00AE5B31" w:rsidRPr="00804585" w:rsidRDefault="00AE5B31" w:rsidP="00AE5B31">
      <w:pPr>
        <w:tabs>
          <w:tab w:val="left" w:pos="7230"/>
        </w:tabs>
        <w:ind w:left="1843" w:right="2021"/>
        <w:jc w:val="both"/>
        <w:rPr>
          <w:szCs w:val="24"/>
        </w:rPr>
      </w:pPr>
      <w:r w:rsidRPr="00804585">
        <w:rPr>
          <w:sz w:val="18"/>
          <w:szCs w:val="24"/>
        </w:rPr>
        <w:t>Fuente: Elaboración propia con base en cifras de</w:t>
      </w:r>
      <w:r>
        <w:rPr>
          <w:sz w:val="18"/>
          <w:szCs w:val="24"/>
        </w:rPr>
        <w:t xml:space="preserve"> comercio internacional SIECA,</w:t>
      </w:r>
      <w:r w:rsidRPr="00804585">
        <w:rPr>
          <w:sz w:val="18"/>
          <w:szCs w:val="24"/>
        </w:rPr>
        <w:t>Instituto Panameño de Estadística y Censo</w:t>
      </w:r>
      <w:r>
        <w:rPr>
          <w:sz w:val="18"/>
          <w:szCs w:val="24"/>
        </w:rPr>
        <w:t xml:space="preserve">, Procomer y </w:t>
      </w:r>
      <w:r w:rsidRPr="00B814D6">
        <w:rPr>
          <w:sz w:val="18"/>
          <w:szCs w:val="24"/>
        </w:rPr>
        <w:t>Elaboración de la línea base y estimación de ahorros para los procesos de carga y migración del paso de frontera Guabito, Cabecera de Panamá</w:t>
      </w:r>
      <w:r w:rsidRPr="00804585">
        <w:rPr>
          <w:sz w:val="18"/>
          <w:szCs w:val="24"/>
        </w:rPr>
        <w:t>.</w:t>
      </w:r>
    </w:p>
    <w:p w:rsidR="00AE5B31" w:rsidRDefault="00AE5B31" w:rsidP="00AE5B31">
      <w:pPr>
        <w:jc w:val="center"/>
        <w:rPr>
          <w:b/>
          <w:bCs/>
          <w:sz w:val="20"/>
          <w:lang w:eastAsia="es-ES"/>
        </w:rPr>
      </w:pPr>
    </w:p>
    <w:p w:rsidR="00AE5B31" w:rsidRPr="00244C99" w:rsidRDefault="00AE5B31" w:rsidP="00AE5B31">
      <w:pPr>
        <w:rPr>
          <w:sz w:val="20"/>
          <w:lang w:eastAsia="es-ES"/>
        </w:rPr>
      </w:pPr>
    </w:p>
    <w:p w:rsidR="00AE5B31" w:rsidRDefault="00AE5B31" w:rsidP="00AE5B31">
      <w:pPr>
        <w:rPr>
          <w:sz w:val="20"/>
          <w:lang w:eastAsia="es-ES"/>
        </w:rPr>
      </w:pPr>
    </w:p>
    <w:p w:rsidR="00AE5B31" w:rsidRPr="00244C99" w:rsidRDefault="00AE5B31" w:rsidP="00AE5B31">
      <w:pPr>
        <w:rPr>
          <w:sz w:val="20"/>
          <w:lang w:eastAsia="es-ES"/>
        </w:rPr>
        <w:sectPr w:rsidR="00AE5B31" w:rsidRPr="00244C99" w:rsidSect="00244C99">
          <w:pgSz w:w="12242" w:h="15842" w:code="1"/>
          <w:pgMar w:top="992" w:right="1134" w:bottom="1701" w:left="1797" w:header="731" w:footer="851" w:gutter="0"/>
          <w:pgNumType w:fmt="numberInDash"/>
          <w:cols w:space="720"/>
          <w:docGrid w:linePitch="326"/>
        </w:sectPr>
      </w:pPr>
    </w:p>
    <w:p w:rsidR="00AE5B31" w:rsidRPr="0006088F" w:rsidRDefault="00AE5B31" w:rsidP="00AE5B31">
      <w:pPr>
        <w:jc w:val="center"/>
        <w:rPr>
          <w:b/>
          <w:sz w:val="22"/>
          <w:szCs w:val="22"/>
        </w:rPr>
      </w:pPr>
      <w:r w:rsidRPr="0006088F">
        <w:rPr>
          <w:b/>
          <w:sz w:val="22"/>
          <w:szCs w:val="22"/>
        </w:rPr>
        <w:lastRenderedPageBreak/>
        <w:t xml:space="preserve">Cuadro </w:t>
      </w:r>
      <w:r>
        <w:rPr>
          <w:b/>
          <w:sz w:val="22"/>
          <w:szCs w:val="22"/>
        </w:rPr>
        <w:t>VIII</w:t>
      </w:r>
    </w:p>
    <w:p w:rsidR="00AE5B31" w:rsidRPr="0006088F" w:rsidRDefault="00AE5B31" w:rsidP="00AE5B31">
      <w:pPr>
        <w:jc w:val="center"/>
        <w:rPr>
          <w:b/>
          <w:bCs/>
          <w:sz w:val="20"/>
          <w:lang w:val="es-ES" w:eastAsia="es-ES"/>
        </w:rPr>
      </w:pPr>
      <w:r>
        <w:rPr>
          <w:b/>
          <w:bCs/>
          <w:sz w:val="20"/>
          <w:lang w:val="es-ES" w:eastAsia="es-ES"/>
        </w:rPr>
        <w:t>GUABITO</w:t>
      </w:r>
    </w:p>
    <w:p w:rsidR="00AE5B31" w:rsidRDefault="00AE5B31" w:rsidP="00AE5B31">
      <w:pPr>
        <w:ind w:left="1800" w:right="1841" w:hanging="90"/>
        <w:jc w:val="center"/>
        <w:rPr>
          <w:b/>
          <w:bCs/>
          <w:sz w:val="20"/>
          <w:lang w:val="es-ES" w:eastAsia="es-ES"/>
        </w:rPr>
      </w:pPr>
      <w:r>
        <w:rPr>
          <w:b/>
          <w:bCs/>
          <w:sz w:val="20"/>
          <w:lang w:val="es-ES" w:eastAsia="es-ES"/>
        </w:rPr>
        <w:t xml:space="preserve">CR&gt;PAN: </w:t>
      </w:r>
      <w:r w:rsidRPr="0006088F">
        <w:rPr>
          <w:b/>
          <w:bCs/>
          <w:sz w:val="20"/>
          <w:lang w:val="es-ES" w:eastAsia="es-ES"/>
        </w:rPr>
        <w:t xml:space="preserve">Proyecciones de </w:t>
      </w:r>
      <w:r>
        <w:rPr>
          <w:b/>
          <w:bCs/>
          <w:sz w:val="20"/>
          <w:lang w:val="es-ES" w:eastAsia="es-ES"/>
        </w:rPr>
        <w:t>Carga transportada por Guabito (Ton/Año</w:t>
      </w:r>
      <w:r w:rsidRPr="0006088F">
        <w:rPr>
          <w:b/>
          <w:bCs/>
          <w:sz w:val="20"/>
          <w:lang w:val="es-ES" w:eastAsia="es-ES"/>
        </w:rPr>
        <w:t>)</w:t>
      </w:r>
      <w:r>
        <w:rPr>
          <w:b/>
          <w:bCs/>
          <w:sz w:val="20"/>
          <w:lang w:val="es-ES" w:eastAsia="es-ES"/>
        </w:rPr>
        <w:t>. 2015-2038</w:t>
      </w:r>
    </w:p>
    <w:p w:rsidR="00AE5B31" w:rsidRDefault="00AE5B31" w:rsidP="00AE5B31">
      <w:pPr>
        <w:jc w:val="center"/>
        <w:rPr>
          <w:b/>
          <w:bCs/>
          <w:sz w:val="20"/>
          <w:lang w:val="es-ES" w:eastAsia="es-ES"/>
        </w:rPr>
      </w:pPr>
    </w:p>
    <w:p w:rsidR="00AE5B31" w:rsidRDefault="00AE5B31" w:rsidP="00AE5B31">
      <w:pPr>
        <w:ind w:right="9"/>
        <w:jc w:val="center"/>
        <w:rPr>
          <w:b/>
          <w:bCs/>
          <w:sz w:val="20"/>
          <w:lang w:val="es-ES" w:eastAsia="es-ES"/>
        </w:rPr>
      </w:pPr>
      <w:r w:rsidRPr="009C5CB6">
        <w:rPr>
          <w:noProof/>
          <w:lang w:val="en-US"/>
        </w:rPr>
        <w:drawing>
          <wp:inline distT="0" distB="0" distL="0" distR="0" wp14:anchorId="0E4561FB" wp14:editId="16CC8E56">
            <wp:extent cx="3609975" cy="5984875"/>
            <wp:effectExtent l="0" t="0" r="9525"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09975" cy="5984875"/>
                    </a:xfrm>
                    <a:prstGeom prst="rect">
                      <a:avLst/>
                    </a:prstGeom>
                    <a:noFill/>
                    <a:ln>
                      <a:noFill/>
                    </a:ln>
                  </pic:spPr>
                </pic:pic>
              </a:graphicData>
            </a:graphic>
          </wp:inline>
        </w:drawing>
      </w:r>
    </w:p>
    <w:p w:rsidR="00AE5B31" w:rsidRPr="00804585" w:rsidRDefault="00AE5B31" w:rsidP="00AE5B31">
      <w:pPr>
        <w:tabs>
          <w:tab w:val="left" w:pos="7230"/>
        </w:tabs>
        <w:ind w:left="1843" w:right="2021"/>
        <w:jc w:val="both"/>
        <w:rPr>
          <w:szCs w:val="24"/>
        </w:rPr>
      </w:pPr>
      <w:r w:rsidRPr="00804585">
        <w:rPr>
          <w:sz w:val="18"/>
          <w:szCs w:val="24"/>
        </w:rPr>
        <w:t>Fuente: Elaboración propia con base en cifras de</w:t>
      </w:r>
      <w:r>
        <w:rPr>
          <w:sz w:val="18"/>
          <w:szCs w:val="24"/>
        </w:rPr>
        <w:t xml:space="preserve"> comercio internacional SIECA, </w:t>
      </w:r>
      <w:r w:rsidRPr="00804585">
        <w:rPr>
          <w:sz w:val="18"/>
          <w:szCs w:val="24"/>
        </w:rPr>
        <w:t>Instituto Panameño de Estadística y Censo</w:t>
      </w:r>
      <w:r>
        <w:rPr>
          <w:sz w:val="18"/>
          <w:szCs w:val="24"/>
        </w:rPr>
        <w:t xml:space="preserve">, Procomer y </w:t>
      </w:r>
      <w:r w:rsidRPr="00B814D6">
        <w:rPr>
          <w:sz w:val="18"/>
          <w:szCs w:val="24"/>
        </w:rPr>
        <w:t>Elaboración de la línea base y estimación de ahorros para los procesos de carga y migración del paso de frontera Guabito, Cabecera de Panamá</w:t>
      </w:r>
      <w:r w:rsidRPr="00804585">
        <w:rPr>
          <w:sz w:val="18"/>
          <w:szCs w:val="24"/>
        </w:rPr>
        <w:t>.</w:t>
      </w:r>
    </w:p>
    <w:p w:rsidR="00AE5B31" w:rsidRPr="00B814D6" w:rsidRDefault="00AE5B31" w:rsidP="00AE5B31">
      <w:pPr>
        <w:jc w:val="center"/>
        <w:rPr>
          <w:b/>
          <w:bCs/>
          <w:sz w:val="20"/>
          <w:lang w:eastAsia="es-ES"/>
        </w:rPr>
      </w:pPr>
    </w:p>
    <w:p w:rsidR="00AE5B31" w:rsidRDefault="00AE5B31" w:rsidP="00AE5B31">
      <w:pPr>
        <w:jc w:val="center"/>
        <w:rPr>
          <w:b/>
          <w:bCs/>
          <w:sz w:val="20"/>
          <w:lang w:val="es-ES" w:eastAsia="es-ES"/>
        </w:rPr>
        <w:sectPr w:rsidR="00AE5B31" w:rsidSect="00244C99">
          <w:pgSz w:w="12242" w:h="15842" w:code="1"/>
          <w:pgMar w:top="1701" w:right="1797" w:bottom="992" w:left="1134" w:header="731" w:footer="851" w:gutter="0"/>
          <w:pgNumType w:fmt="numberInDash"/>
          <w:cols w:space="720"/>
          <w:docGrid w:linePitch="326"/>
        </w:sectPr>
      </w:pPr>
    </w:p>
    <w:p w:rsidR="00AE5B31" w:rsidRPr="0006088F" w:rsidRDefault="00AE5B31" w:rsidP="00AE5B31">
      <w:pPr>
        <w:jc w:val="center"/>
        <w:rPr>
          <w:b/>
          <w:sz w:val="22"/>
          <w:szCs w:val="22"/>
        </w:rPr>
      </w:pPr>
      <w:r w:rsidRPr="0006088F">
        <w:rPr>
          <w:b/>
          <w:sz w:val="22"/>
          <w:szCs w:val="22"/>
        </w:rPr>
        <w:lastRenderedPageBreak/>
        <w:t xml:space="preserve">Cuadro </w:t>
      </w:r>
      <w:r>
        <w:rPr>
          <w:b/>
          <w:sz w:val="22"/>
          <w:szCs w:val="22"/>
        </w:rPr>
        <w:t>IX</w:t>
      </w:r>
    </w:p>
    <w:p w:rsidR="00AE5B31" w:rsidRPr="0006088F" w:rsidRDefault="00AE5B31" w:rsidP="00AE5B31">
      <w:pPr>
        <w:jc w:val="center"/>
        <w:rPr>
          <w:b/>
          <w:bCs/>
          <w:sz w:val="20"/>
          <w:lang w:val="es-ES" w:eastAsia="es-ES"/>
        </w:rPr>
      </w:pPr>
      <w:r>
        <w:rPr>
          <w:b/>
          <w:bCs/>
          <w:sz w:val="20"/>
          <w:lang w:val="es-ES" w:eastAsia="es-ES"/>
        </w:rPr>
        <w:t>GUABITO</w:t>
      </w:r>
    </w:p>
    <w:p w:rsidR="00AE5B31" w:rsidRDefault="00AE5B31" w:rsidP="00AE5B31">
      <w:pPr>
        <w:jc w:val="center"/>
        <w:rPr>
          <w:b/>
          <w:bCs/>
          <w:sz w:val="20"/>
          <w:lang w:val="es-ES" w:eastAsia="es-ES"/>
        </w:rPr>
      </w:pPr>
      <w:r>
        <w:rPr>
          <w:b/>
          <w:bCs/>
          <w:sz w:val="20"/>
          <w:lang w:val="es-ES" w:eastAsia="es-ES"/>
        </w:rPr>
        <w:t>Ambos Sentidos: Tránsito Promedio Diario de Camiones de Carga(Camiones/Día</w:t>
      </w:r>
      <w:r w:rsidRPr="0006088F">
        <w:rPr>
          <w:b/>
          <w:bCs/>
          <w:sz w:val="20"/>
          <w:lang w:val="es-ES" w:eastAsia="es-ES"/>
        </w:rPr>
        <w:t>)</w:t>
      </w:r>
      <w:r>
        <w:rPr>
          <w:b/>
          <w:bCs/>
          <w:sz w:val="20"/>
          <w:lang w:val="es-ES" w:eastAsia="es-ES"/>
        </w:rPr>
        <w:t>. 2015-2038</w:t>
      </w:r>
    </w:p>
    <w:p w:rsidR="00AE5B31" w:rsidRDefault="00AE5B31" w:rsidP="00AE5B31">
      <w:pPr>
        <w:jc w:val="center"/>
        <w:rPr>
          <w:b/>
          <w:bCs/>
          <w:sz w:val="20"/>
          <w:lang w:val="es-ES" w:eastAsia="es-ES"/>
        </w:rPr>
      </w:pPr>
    </w:p>
    <w:p w:rsidR="00AE5B31" w:rsidRDefault="00AE5B31" w:rsidP="00AE5B31">
      <w:pPr>
        <w:jc w:val="center"/>
        <w:rPr>
          <w:b/>
          <w:bCs/>
          <w:sz w:val="20"/>
          <w:lang w:val="es-ES" w:eastAsia="es-ES"/>
        </w:rPr>
      </w:pPr>
      <w:r w:rsidRPr="009C5CB6">
        <w:rPr>
          <w:noProof/>
          <w:lang w:val="en-US"/>
        </w:rPr>
        <w:drawing>
          <wp:inline distT="0" distB="0" distL="0" distR="0" wp14:anchorId="407D3CE7" wp14:editId="1F964495">
            <wp:extent cx="8349615" cy="3930739"/>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49615" cy="3930739"/>
                    </a:xfrm>
                    <a:prstGeom prst="rect">
                      <a:avLst/>
                    </a:prstGeom>
                    <a:noFill/>
                    <a:ln>
                      <a:noFill/>
                    </a:ln>
                  </pic:spPr>
                </pic:pic>
              </a:graphicData>
            </a:graphic>
          </wp:inline>
        </w:drawing>
      </w:r>
    </w:p>
    <w:p w:rsidR="00AE5B31" w:rsidRDefault="00AE5B31" w:rsidP="00AE5B31">
      <w:pPr>
        <w:rPr>
          <w:b/>
          <w:bCs/>
          <w:sz w:val="20"/>
          <w:lang w:val="es-ES" w:eastAsia="es-ES"/>
        </w:rPr>
      </w:pPr>
      <w:r w:rsidRPr="00804585">
        <w:rPr>
          <w:sz w:val="18"/>
          <w:szCs w:val="24"/>
        </w:rPr>
        <w:t>Fuente:</w:t>
      </w:r>
      <w:r>
        <w:rPr>
          <w:sz w:val="18"/>
          <w:szCs w:val="24"/>
        </w:rPr>
        <w:t xml:space="preserve"> Elaboración propia</w:t>
      </w:r>
      <w:r w:rsidRPr="00804585">
        <w:rPr>
          <w:sz w:val="18"/>
          <w:szCs w:val="24"/>
        </w:rPr>
        <w:t>con base en cifras de</w:t>
      </w:r>
      <w:r>
        <w:rPr>
          <w:sz w:val="18"/>
          <w:szCs w:val="24"/>
        </w:rPr>
        <w:t xml:space="preserve"> comercio internacional SIECA, </w:t>
      </w:r>
      <w:r w:rsidRPr="00804585">
        <w:rPr>
          <w:sz w:val="18"/>
          <w:szCs w:val="24"/>
        </w:rPr>
        <w:t>Instituto Panameño de Estadística y Censo</w:t>
      </w:r>
      <w:r>
        <w:rPr>
          <w:sz w:val="18"/>
          <w:szCs w:val="24"/>
        </w:rPr>
        <w:t xml:space="preserve">, Procomer y </w:t>
      </w:r>
      <w:r w:rsidRPr="009C5CB6">
        <w:rPr>
          <w:sz w:val="18"/>
          <w:szCs w:val="24"/>
        </w:rPr>
        <w:t>Elaboración de la línea base y estimación de ahorros para los procesos de carga y migración del paso de frontera Guabito, Cabecera de Panamá.</w:t>
      </w:r>
    </w:p>
    <w:p w:rsidR="00AE5B31" w:rsidRDefault="00AE5B31" w:rsidP="00AE5B31">
      <w:pPr>
        <w:jc w:val="center"/>
        <w:rPr>
          <w:b/>
          <w:bCs/>
          <w:sz w:val="20"/>
          <w:lang w:val="es-ES" w:eastAsia="es-ES"/>
        </w:rPr>
      </w:pPr>
    </w:p>
    <w:p w:rsidR="00AE5B31" w:rsidRDefault="00AE5B31" w:rsidP="00AE5B31">
      <w:pPr>
        <w:jc w:val="center"/>
        <w:rPr>
          <w:b/>
          <w:bCs/>
          <w:sz w:val="20"/>
          <w:lang w:val="es-ES" w:eastAsia="es-ES"/>
        </w:rPr>
      </w:pPr>
    </w:p>
    <w:p w:rsidR="00AE5B31" w:rsidRDefault="00AE5B31" w:rsidP="00AE5B31">
      <w:pPr>
        <w:jc w:val="center"/>
        <w:rPr>
          <w:b/>
          <w:bCs/>
          <w:sz w:val="20"/>
          <w:lang w:val="es-ES" w:eastAsia="es-ES"/>
        </w:rPr>
      </w:pPr>
    </w:p>
    <w:p w:rsidR="00AE5B31" w:rsidRDefault="00AE5B31" w:rsidP="00AE5B31">
      <w:pPr>
        <w:jc w:val="center"/>
        <w:rPr>
          <w:b/>
          <w:bCs/>
          <w:sz w:val="20"/>
          <w:lang w:val="es-ES" w:eastAsia="es-ES"/>
        </w:rPr>
      </w:pPr>
    </w:p>
    <w:p w:rsidR="00AE5B31" w:rsidRDefault="00AE5B31" w:rsidP="00AE5B31">
      <w:pPr>
        <w:jc w:val="center"/>
        <w:rPr>
          <w:b/>
          <w:bCs/>
          <w:sz w:val="20"/>
          <w:lang w:val="es-ES" w:eastAsia="es-ES"/>
        </w:rPr>
      </w:pPr>
    </w:p>
    <w:p w:rsidR="00AE5B31" w:rsidRPr="0006088F" w:rsidRDefault="00AE5B31" w:rsidP="00AE5B31">
      <w:pPr>
        <w:sectPr w:rsidR="00AE5B31" w:rsidRPr="0006088F" w:rsidSect="00314906">
          <w:pgSz w:w="15842" w:h="12242" w:orient="landscape" w:code="1"/>
          <w:pgMar w:top="1797" w:right="992" w:bottom="1134" w:left="1701" w:header="731" w:footer="851" w:gutter="0"/>
          <w:pgNumType w:fmt="numberInDash"/>
          <w:cols w:space="720"/>
          <w:docGrid w:linePitch="326"/>
        </w:sectPr>
      </w:pPr>
    </w:p>
    <w:p w:rsidR="00AE5B31" w:rsidRPr="00E427CE" w:rsidRDefault="00AE5B31" w:rsidP="00AE5B31">
      <w:pPr>
        <w:pStyle w:val="Heading1"/>
        <w:numPr>
          <w:ilvl w:val="0"/>
          <w:numId w:val="25"/>
        </w:numPr>
        <w:tabs>
          <w:tab w:val="left" w:pos="270"/>
        </w:tabs>
        <w:ind w:left="0" w:firstLine="0"/>
        <w:jc w:val="both"/>
        <w:rPr>
          <w:rFonts w:ascii="Times New Roman" w:hAnsi="Times New Roman"/>
        </w:rPr>
      </w:pPr>
      <w:bookmarkStart w:id="9" w:name="_Toc428992894"/>
      <w:r w:rsidRPr="00E427CE">
        <w:rPr>
          <w:rFonts w:ascii="Times New Roman" w:hAnsi="Times New Roman"/>
        </w:rPr>
        <w:lastRenderedPageBreak/>
        <w:t>Metodología e Insumos para la Evaluación Económica</w:t>
      </w:r>
      <w:bookmarkEnd w:id="9"/>
    </w:p>
    <w:p w:rsidR="00AE5B31" w:rsidRPr="0006088F" w:rsidRDefault="00AE5B31" w:rsidP="00AE5B31">
      <w:pPr>
        <w:widowControl w:val="0"/>
        <w:adjustRightInd w:val="0"/>
        <w:jc w:val="both"/>
        <w:textAlignment w:val="baseline"/>
        <w:rPr>
          <w:b/>
        </w:rPr>
      </w:pPr>
    </w:p>
    <w:p w:rsidR="00AE5B31" w:rsidRPr="002C126B" w:rsidRDefault="00AE5B31" w:rsidP="00AE5B31">
      <w:pPr>
        <w:widowControl w:val="0"/>
        <w:adjustRightInd w:val="0"/>
        <w:jc w:val="both"/>
        <w:textAlignment w:val="baseline"/>
        <w:rPr>
          <w:szCs w:val="24"/>
          <w:lang w:val="es-ES_tradnl"/>
        </w:rPr>
      </w:pPr>
      <w:bookmarkStart w:id="10" w:name="_Ref338575005"/>
      <w:bookmarkStart w:id="11" w:name="_Ref274224348"/>
      <w:r w:rsidRPr="002C126B">
        <w:rPr>
          <w:szCs w:val="24"/>
          <w:lang w:val="es-ES_tradnl"/>
        </w:rPr>
        <w:t>Para la evaluación económica del proyectose man</w:t>
      </w:r>
      <w:r>
        <w:rPr>
          <w:szCs w:val="24"/>
          <w:lang w:val="es-ES_tradnl"/>
        </w:rPr>
        <w:t>tiene el enfoque tradicional bajo</w:t>
      </w:r>
      <w:r w:rsidRPr="002C126B">
        <w:rPr>
          <w:szCs w:val="24"/>
          <w:lang w:val="es-ES_tradnl"/>
        </w:rPr>
        <w:t xml:space="preserve"> la hipótesis </w:t>
      </w:r>
      <w:r>
        <w:rPr>
          <w:szCs w:val="24"/>
          <w:lang w:val="es-ES_tradnl"/>
        </w:rPr>
        <w:t xml:space="preserve">de </w:t>
      </w:r>
      <w:r w:rsidRPr="002C126B">
        <w:rPr>
          <w:szCs w:val="24"/>
          <w:lang w:val="es-ES_tradnl"/>
        </w:rPr>
        <w:t xml:space="preserve">que las obrasse ejecutan </w:t>
      </w:r>
      <w:r>
        <w:rPr>
          <w:szCs w:val="24"/>
          <w:lang w:val="es-ES_tradnl"/>
        </w:rPr>
        <w:t>durante 2017 y 2018, distribuyendo la inversión inicial en una misma proporción (50%) para cada año.  El inicio de operaciones se proyecta para el año 2019.</w:t>
      </w:r>
    </w:p>
    <w:bookmarkEnd w:id="10"/>
    <w:p w:rsidR="00AE5B31" w:rsidRPr="0006088F" w:rsidRDefault="00AE5B31" w:rsidP="00AE5B31">
      <w:pPr>
        <w:pStyle w:val="ListParagraph"/>
        <w:rPr>
          <w:szCs w:val="24"/>
          <w:lang w:val="es-ES_tradnl"/>
        </w:rPr>
      </w:pPr>
    </w:p>
    <w:p w:rsidR="00AE5B31" w:rsidRDefault="00AE5B31" w:rsidP="00AE5B31">
      <w:pPr>
        <w:widowControl w:val="0"/>
        <w:adjustRightInd w:val="0"/>
        <w:jc w:val="both"/>
        <w:textAlignment w:val="baseline"/>
        <w:rPr>
          <w:szCs w:val="24"/>
        </w:rPr>
      </w:pPr>
      <w:r w:rsidRPr="002C126B">
        <w:rPr>
          <w:szCs w:val="24"/>
          <w:u w:val="single"/>
        </w:rPr>
        <w:t>Metodología.</w:t>
      </w:r>
      <w:r w:rsidRPr="002C126B">
        <w:rPr>
          <w:szCs w:val="24"/>
        </w:rPr>
        <w:t xml:space="preserve">El análisis de viabilidad económica del Proyecto de Modernización de </w:t>
      </w:r>
      <w:r>
        <w:rPr>
          <w:szCs w:val="24"/>
        </w:rPr>
        <w:t>Guabito compara</w:t>
      </w:r>
      <w:r w:rsidRPr="002C126B">
        <w:rPr>
          <w:szCs w:val="24"/>
        </w:rPr>
        <w:t>los costos económicos totales, entre el situación“Sin Proyecto” y la situación“Con Proyecto”,duranteel período de análisis de 22 años (tiempo de ejecución de obras,másel tie</w:t>
      </w:r>
      <w:r>
        <w:rPr>
          <w:szCs w:val="24"/>
        </w:rPr>
        <w:t>mpo de utilización</w:t>
      </w:r>
      <w:r w:rsidRPr="002C126B">
        <w:rPr>
          <w:szCs w:val="24"/>
        </w:rPr>
        <w:t>).Obtenido el flujo neto de costos económicos para el período de análisis, se calcula el Valor Actual Neto Económico (VANE) adoptando una tasa de descuento del 12,0%, la Tasa Interna de Retorno Económica (TIRE), los ratiosBeneficio/Costo</w:t>
      </w:r>
      <w:r w:rsidRPr="002C126B">
        <w:rPr>
          <w:rStyle w:val="FootnoteReference"/>
        </w:rPr>
        <w:footnoteReference w:id="11"/>
      </w:r>
      <w:r w:rsidRPr="002C126B">
        <w:rPr>
          <w:szCs w:val="24"/>
        </w:rPr>
        <w:t xml:space="preserve"> y VANE/Inversión</w:t>
      </w:r>
      <w:r w:rsidRPr="002C126B">
        <w:rPr>
          <w:rStyle w:val="FootnoteReference"/>
          <w:szCs w:val="24"/>
        </w:rPr>
        <w:footnoteReference w:id="12"/>
      </w:r>
      <w:r>
        <w:rPr>
          <w:szCs w:val="24"/>
        </w:rPr>
        <w:t>.</w:t>
      </w:r>
    </w:p>
    <w:p w:rsidR="00AE5B31" w:rsidRDefault="00AE5B31" w:rsidP="00AE5B31">
      <w:pPr>
        <w:widowControl w:val="0"/>
        <w:adjustRightInd w:val="0"/>
        <w:jc w:val="both"/>
        <w:textAlignment w:val="baseline"/>
        <w:rPr>
          <w:szCs w:val="24"/>
        </w:rPr>
      </w:pPr>
    </w:p>
    <w:bookmarkEnd w:id="11"/>
    <w:p w:rsidR="00AE5B31" w:rsidRPr="00E427CE" w:rsidRDefault="00AE5B31" w:rsidP="00AE5B31">
      <w:pPr>
        <w:widowControl w:val="0"/>
        <w:adjustRightInd w:val="0"/>
        <w:jc w:val="both"/>
        <w:textAlignment w:val="baseline"/>
        <w:rPr>
          <w:szCs w:val="24"/>
        </w:rPr>
      </w:pPr>
      <w:r>
        <w:rPr>
          <w:szCs w:val="24"/>
        </w:rPr>
        <w:t xml:space="preserve">Asimismo, </w:t>
      </w:r>
      <w:r w:rsidRPr="002C126B">
        <w:rPr>
          <w:szCs w:val="24"/>
        </w:rPr>
        <w:t xml:space="preserve">se realiza un análisis de sensibilidad </w:t>
      </w:r>
      <w:r>
        <w:rPr>
          <w:szCs w:val="24"/>
        </w:rPr>
        <w:t xml:space="preserve">estándar </w:t>
      </w:r>
      <w:r w:rsidRPr="002C126B">
        <w:rPr>
          <w:szCs w:val="24"/>
        </w:rPr>
        <w:t>frente a la variación de los factores de mayor incidencia en la rentabilidad</w:t>
      </w:r>
      <w:r>
        <w:rPr>
          <w:szCs w:val="24"/>
        </w:rPr>
        <w:t xml:space="preserve">, específicamente i) un reducción del 10% en el Tránsito Promedio Diario Anual (TPDA), ii) un incremento del 10% en la inversión inicial y iii) la combinación de ambos elementos.  </w:t>
      </w:r>
      <w:r>
        <w:rPr>
          <w:szCs w:val="24"/>
          <w:lang w:val="es-ES_tradnl"/>
        </w:rPr>
        <w:t xml:space="preserve">En adición al análisis de sensibilidad estándar, se modeló la combinación de diversos escenarios bajo la metodología de Monte Carlo,soportado por </w:t>
      </w:r>
      <w:r w:rsidRPr="002C126B">
        <w:rPr>
          <w:szCs w:val="24"/>
          <w:lang w:val="es-ES_tradnl"/>
        </w:rPr>
        <w:t>el programa Oracle</w:t>
      </w:r>
      <w:r w:rsidRPr="002C126B">
        <w:rPr>
          <w:szCs w:val="24"/>
          <w:vertAlign w:val="superscript"/>
          <w:lang w:val="es-CR"/>
        </w:rPr>
        <w:t>®</w:t>
      </w:r>
      <w:r>
        <w:rPr>
          <w:szCs w:val="24"/>
          <w:lang w:val="es-ES_tradnl"/>
        </w:rPr>
        <w:t>Crystal Ball. Esta simulación mantuvo el rango de variación del análisis estándar (0% hasta +10%) tanto para potenciales sobre-costos iniciales como para disminución del TPDA, con la variante de que la distribución es de carácter continuo</w:t>
      </w:r>
      <w:r>
        <w:rPr>
          <w:rStyle w:val="FootnoteReference"/>
          <w:szCs w:val="24"/>
          <w:lang w:val="es-ES_tradnl"/>
        </w:rPr>
        <w:footnoteReference w:id="13"/>
      </w:r>
      <w:r>
        <w:rPr>
          <w:szCs w:val="24"/>
          <w:lang w:val="es-ES_tradnl"/>
        </w:rPr>
        <w:t xml:space="preserve">. </w:t>
      </w:r>
      <w:r>
        <w:rPr>
          <w:szCs w:val="24"/>
          <w:lang w:val="es-CR"/>
        </w:rPr>
        <w:t xml:space="preserve">A diferencia del análisis de sensibilidad estándar en cual es posible apreciar escenarios específicos seleccionados, la simulación permite evaluar el impacto de un número significativo de combinaciones de eventos bajo el supuesto de una determina distribución de probabilidad y dentro de determinados rangos de valor. En la presente evaluación económica se efectuó la simulación de 20,000 escenarios. </w:t>
      </w:r>
    </w:p>
    <w:p w:rsidR="00AE5B31" w:rsidRPr="001C5F1A"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r>
        <w:rPr>
          <w:szCs w:val="24"/>
          <w:lang w:val="es-CR"/>
        </w:rPr>
        <w:t xml:space="preserve">Es importante destacar que a diferencia de la evaluación realizada para Paso Canoas, las características actuales del Paso Fronterizo Guabito </w:t>
      </w:r>
      <w:r>
        <w:t>dificultan la estimación del monto de inversión</w:t>
      </w:r>
      <w:r>
        <w:rPr>
          <w:rStyle w:val="FootnoteReference"/>
        </w:rPr>
        <w:footnoteReference w:id="14"/>
      </w:r>
      <w:r>
        <w:t>, raz</w:t>
      </w:r>
      <w:r>
        <w:rPr>
          <w:lang w:val="es-CR"/>
        </w:rPr>
        <w:t>ón por la cual</w:t>
      </w:r>
      <w:r>
        <w:t xml:space="preserve"> la presente evaluación económica tiene como objetivo estimar un monto de costos de ciclo de vida del proyecto (inversión inicial, mantenimiento y operación) que permitiría obtener indicadores de rentabilidad adecuados.</w:t>
      </w:r>
    </w:p>
    <w:p w:rsidR="00AE5B31" w:rsidRPr="00AE7576" w:rsidRDefault="00AE5B31" w:rsidP="00AE5B31">
      <w:pPr>
        <w:pStyle w:val="ListParagraph"/>
        <w:rPr>
          <w:szCs w:val="24"/>
        </w:rPr>
      </w:pPr>
    </w:p>
    <w:p w:rsidR="00AE5B31" w:rsidRPr="00265988" w:rsidRDefault="00AE5B31" w:rsidP="00AE5B31">
      <w:pPr>
        <w:widowControl w:val="0"/>
        <w:adjustRightInd w:val="0"/>
        <w:jc w:val="both"/>
        <w:textAlignment w:val="baseline"/>
        <w:rPr>
          <w:lang w:val="es-ES_tradnl"/>
        </w:rPr>
      </w:pPr>
      <w:r>
        <w:rPr>
          <w:u w:val="single"/>
          <w:lang w:val="es-ES_tradnl"/>
        </w:rPr>
        <w:t>Beneficios Netos</w:t>
      </w:r>
      <w:r w:rsidRPr="002C126B">
        <w:rPr>
          <w:u w:val="single"/>
          <w:lang w:val="es-ES_tradnl"/>
        </w:rPr>
        <w:t>.</w:t>
      </w:r>
      <w:r>
        <w:rPr>
          <w:lang w:val="es-ES_tradnl"/>
        </w:rPr>
        <w:t xml:space="preserve">El análisis basa principalmente sus resultados en el potencial beneficio </w:t>
      </w:r>
      <w:r>
        <w:rPr>
          <w:lang w:val="es-ES_tradnl"/>
        </w:rPr>
        <w:lastRenderedPageBreak/>
        <w:t xml:space="preserve">económico producto de la reducción en los tiempos tanto en el flujo de personas como de carga. El Consultor considera adecuadas las estimaciones de costo/hora para vehículos, pasajeros y mercadería </w:t>
      </w:r>
      <w:r>
        <w:t>con base en los lineamientos que utiliza</w:t>
      </w:r>
      <w:r w:rsidRPr="006C2278">
        <w:t xml:space="preserve"> internamente el modelo </w:t>
      </w:r>
      <w:r w:rsidRPr="00A33B69">
        <w:t>Highway Dev</w:t>
      </w:r>
      <w:r>
        <w:t>elopment and Management (HDM-4)</w:t>
      </w:r>
      <w:r>
        <w:rPr>
          <w:lang w:val="es-ES_tradnl"/>
        </w:rPr>
        <w:t>. El presente análisis incorpora una nueva estimación de tiempos e incluye un nuevo elemento como los es el consumo de combustible (diésel) y sus respectivas emisiones de CO</w:t>
      </w:r>
      <w:r w:rsidRPr="00487EC5">
        <w:rPr>
          <w:vertAlign w:val="superscript"/>
          <w:lang w:val="es-ES_tradnl"/>
        </w:rPr>
        <w:t>2</w:t>
      </w:r>
      <w:r>
        <w:rPr>
          <w:lang w:val="es-ES_tradnl"/>
        </w:rPr>
        <w:t xml:space="preserve"> producto del transporte de carga que requiere de equipos de refrigeración.A su vez, se realiza una primera aproximación a la cuantificación delo que se ha denominado “Inversiones Paliativas”, es decir aquellos recursos que, en un escenario SIN Proyecto, debería destinar el Estado Panameño con el fin de brindar condiciones de servicio adecuadas en el Puesto Fronterizo.  Se entiende que dichas inversiones no constituirían una solución definitiva sino más bien el resultado de acciones reactivas, lo cual redundaría en erogaciones ineficientes desde el punto de vista de lasostenibilidad de las finanzas públicas. </w:t>
      </w:r>
    </w:p>
    <w:p w:rsidR="00AE5B31" w:rsidRPr="0006088F" w:rsidRDefault="00AE5B31" w:rsidP="00AE5B31">
      <w:pPr>
        <w:pStyle w:val="ListParagraph"/>
        <w:rPr>
          <w:szCs w:val="24"/>
          <w:lang w:val="es-ES_tradnl"/>
        </w:rPr>
      </w:pPr>
    </w:p>
    <w:p w:rsidR="00AE5B31" w:rsidRDefault="00AE5B31" w:rsidP="00AE5B31">
      <w:pPr>
        <w:widowControl w:val="0"/>
        <w:adjustRightInd w:val="0"/>
        <w:jc w:val="both"/>
        <w:textAlignment w:val="baseline"/>
        <w:rPr>
          <w:lang w:val="es-ES_tradnl"/>
        </w:rPr>
      </w:pPr>
      <w:bookmarkStart w:id="12" w:name="_Ref351905032"/>
      <w:bookmarkStart w:id="13" w:name="_Ref306014868"/>
      <w:r w:rsidRPr="008A2C0B">
        <w:rPr>
          <w:u w:val="single"/>
          <w:lang w:val="es-ES_tradnl"/>
        </w:rPr>
        <w:t>Escenario de Evaluación SIN Proyecto</w:t>
      </w:r>
      <w:r w:rsidRPr="008A2C0B">
        <w:rPr>
          <w:lang w:val="es-ES_tradnl"/>
        </w:rPr>
        <w:t>: Se adopta l</w:t>
      </w:r>
      <w:r>
        <w:rPr>
          <w:lang w:val="es-ES_tradnl"/>
        </w:rPr>
        <w:t>a hipótesis que se conservan el p</w:t>
      </w:r>
      <w:r w:rsidRPr="008A2C0B">
        <w:rPr>
          <w:lang w:val="es-ES_tradnl"/>
        </w:rPr>
        <w:t xml:space="preserve">asos de frontera en condiciones </w:t>
      </w:r>
      <w:r>
        <w:rPr>
          <w:lang w:val="es-ES_tradnl"/>
        </w:rPr>
        <w:t>similares a  las actuales; manteniendo los requerimientos anuales de recursos para atenderel pago de salarios y otros costos propios de la operación de las instalaciones actuales. Asimismo, se ha incorporado el rubro de “Inversiones Paliativas”, bajo el supuesto de que el Estado Panameño deberá realizar algún tipo de inversión de corto plazo con el fin de mantener condiciones de servicio adecuadas. Como una primera aproximación se toma el supuesto de realización de inversiones paliativas con periodicidad quinquenal, por un monto equivalente a un 2.0% de la inversión total que se determine se realizaría bajo el proyecto de modernización en lo correspondiente a Infraestructura &amp; Equipos. La inclusión de este monto busca captar el impacto negativo sobre las finanzas públicas producto de la no ejecución de proyectos que provean soluciones definitivas para un horizonte de largo plazo.</w:t>
      </w:r>
    </w:p>
    <w:p w:rsidR="00AE5B31" w:rsidRDefault="00AE5B31" w:rsidP="00AE5B31">
      <w:pPr>
        <w:widowControl w:val="0"/>
        <w:adjustRightInd w:val="0"/>
        <w:jc w:val="both"/>
        <w:textAlignment w:val="baseline"/>
        <w:rPr>
          <w:lang w:val="es-ES_tradnl"/>
        </w:rPr>
      </w:pPr>
    </w:p>
    <w:p w:rsidR="00AE5B31" w:rsidRPr="008A2C0B" w:rsidRDefault="00AE5B31" w:rsidP="00AE5B31">
      <w:pPr>
        <w:widowControl w:val="0"/>
        <w:adjustRightInd w:val="0"/>
        <w:jc w:val="both"/>
        <w:textAlignment w:val="baseline"/>
        <w:rPr>
          <w:szCs w:val="24"/>
          <w:lang w:val="es-ES_tradnl"/>
        </w:rPr>
      </w:pPr>
      <w:r>
        <w:rPr>
          <w:lang w:val="es-ES_tradnl"/>
        </w:rPr>
        <w:t xml:space="preserve">La cifra de 2.0% es tomada del documento de CEPAL (2011, p.38) </w:t>
      </w:r>
      <w:r w:rsidRPr="007857FA">
        <w:rPr>
          <w:i/>
          <w:lang w:val="es-ES_tradnl"/>
        </w:rPr>
        <w:t>“La Brecha en Infraestructura en América Latina y el Caribe“</w:t>
      </w:r>
      <w:r>
        <w:rPr>
          <w:lang w:val="es-ES_tradnl"/>
        </w:rPr>
        <w:t xml:space="preserve"> y corresponde al promedio mínimo de gasto anual en mantenimiento (como porcentaje el stock de infraestructura) debajo del cual el funcionamiento de las redes de transporte terrestre resulta amenazado. Al no poseer el dato acumulado de lo invertido hasta la fecha en las instalaciones actuales de Guabito (“stock de infraestructura”), se supone como una aproximación el 2.0% de la inversión que se realizaría bajo el proyecto de modernizaciónen lo correspondiente a Infraestructura &amp; Equipos, pero ejecutando el mantenimiento paliativo cada 5 años.  La inclusión de este monto busca captar el impacto negativo sobre las finanzas públicas producto de la no ejecución de proyectos que provean soluciones definitivas para un horizonte de largo plazo.</w:t>
      </w:r>
    </w:p>
    <w:p w:rsidR="00AE5B31" w:rsidRPr="008A2C0B" w:rsidRDefault="00AE5B31" w:rsidP="00AE5B31">
      <w:pPr>
        <w:widowControl w:val="0"/>
        <w:adjustRightInd w:val="0"/>
        <w:jc w:val="both"/>
        <w:textAlignment w:val="baseline"/>
        <w:rPr>
          <w:szCs w:val="24"/>
          <w:lang w:val="es-ES_tradnl"/>
        </w:rPr>
      </w:pPr>
    </w:p>
    <w:p w:rsidR="00AE5B31" w:rsidRDefault="00AE5B31" w:rsidP="00AE5B31">
      <w:pPr>
        <w:widowControl w:val="0"/>
        <w:adjustRightInd w:val="0"/>
        <w:jc w:val="both"/>
        <w:textAlignment w:val="baseline"/>
        <w:rPr>
          <w:lang w:val="es-ES_tradnl"/>
        </w:rPr>
      </w:pPr>
      <w:bookmarkStart w:id="14" w:name="_Ref306014970"/>
      <w:bookmarkEnd w:id="12"/>
      <w:bookmarkEnd w:id="13"/>
      <w:r w:rsidRPr="00812859">
        <w:rPr>
          <w:u w:val="single"/>
          <w:lang w:val="es-ES_tradnl"/>
        </w:rPr>
        <w:t>Escenario de Evaluación CON Proyecto.</w:t>
      </w:r>
      <w:r>
        <w:rPr>
          <w:lang w:val="es-ES_tradnl"/>
        </w:rPr>
        <w:t>Los ahorros en tiempos fueron estimados por el Equipo Consultor en el documento “</w:t>
      </w:r>
      <w:r w:rsidRPr="00265988">
        <w:rPr>
          <w:i/>
          <w:lang w:val="es-ES_tradnl"/>
        </w:rPr>
        <w:t>Elaboración de la línea base y estimación de ahorros para los procesos de carga y migración del paso de frontera Guabito, Cabecera de Panamá</w:t>
      </w:r>
      <w:r>
        <w:rPr>
          <w:lang w:val="es-ES_tradnl"/>
        </w:rPr>
        <w:t xml:space="preserve">”. La situación “Con Proyecto” incorpora mejoras en los procesos actuales y la habilitación de servicios básicos que contribuyan a elevar la calidad y confort de los usuarios (instalaciones para Policía de Control de Drogas, máquinas expendedoras de alimentos y bebidas, cajero automático, servicios sanitarios y vestuarios y facilidades para el pago de multas o tasas de menor cuantía). </w:t>
      </w:r>
    </w:p>
    <w:p w:rsidR="00AE5B31" w:rsidRPr="00A062CE" w:rsidRDefault="00AE5B31" w:rsidP="00AE5B31">
      <w:pPr>
        <w:widowControl w:val="0"/>
        <w:adjustRightInd w:val="0"/>
        <w:jc w:val="both"/>
        <w:textAlignment w:val="baseline"/>
        <w:rPr>
          <w:lang w:val="es-ES_tradnl"/>
        </w:rPr>
      </w:pPr>
    </w:p>
    <w:p w:rsidR="00AE5B31" w:rsidRPr="00025C20" w:rsidRDefault="00AE5B31" w:rsidP="00AE5B31">
      <w:pPr>
        <w:pStyle w:val="Heading1"/>
        <w:numPr>
          <w:ilvl w:val="0"/>
          <w:numId w:val="25"/>
        </w:numPr>
        <w:tabs>
          <w:tab w:val="left" w:pos="270"/>
        </w:tabs>
        <w:ind w:left="0" w:firstLine="0"/>
        <w:jc w:val="both"/>
        <w:rPr>
          <w:rFonts w:ascii="Times New Roman" w:hAnsi="Times New Roman"/>
        </w:rPr>
      </w:pPr>
      <w:bookmarkStart w:id="15" w:name="_Toc428992895"/>
      <w:bookmarkEnd w:id="14"/>
      <w:r w:rsidRPr="00025C20">
        <w:rPr>
          <w:rFonts w:ascii="Times New Roman" w:hAnsi="Times New Roman"/>
        </w:rPr>
        <w:lastRenderedPageBreak/>
        <w:t>Costos de Inversión y Mantenimiento</w:t>
      </w:r>
      <w:bookmarkEnd w:id="15"/>
    </w:p>
    <w:p w:rsidR="00AE5B31" w:rsidRPr="004D40A7" w:rsidRDefault="00AE5B31" w:rsidP="00AE5B31">
      <w:pPr>
        <w:widowControl w:val="0"/>
        <w:adjustRightInd w:val="0"/>
        <w:ind w:left="705"/>
        <w:jc w:val="both"/>
        <w:textAlignment w:val="baseline"/>
        <w:rPr>
          <w:szCs w:val="24"/>
          <w:lang w:val="es-ES_tradnl"/>
        </w:rPr>
      </w:pPr>
    </w:p>
    <w:p w:rsidR="00AE5B31" w:rsidRPr="00812859" w:rsidRDefault="00AE5B31" w:rsidP="00AE5B31">
      <w:pPr>
        <w:widowControl w:val="0"/>
        <w:adjustRightInd w:val="0"/>
        <w:jc w:val="both"/>
        <w:textAlignment w:val="baseline"/>
      </w:pPr>
      <w:bookmarkStart w:id="16" w:name="_Ref306032829"/>
      <w:r w:rsidRPr="00812859">
        <w:rPr>
          <w:u w:val="single"/>
        </w:rPr>
        <w:t>Costos en el Escenario “Sin Proyecto”.</w:t>
      </w:r>
      <w:bookmarkEnd w:id="16"/>
      <w:r w:rsidRPr="00812859">
        <w:t>Tal y como se señaló anteriormente, en este escenario se consideran</w:t>
      </w:r>
      <w:r w:rsidRPr="00812859">
        <w:rPr>
          <w:lang w:val="es-ES_tradnl"/>
        </w:rPr>
        <w:t xml:space="preserve">los recursos anuales en que debe incurrir el Estado </w:t>
      </w:r>
      <w:r>
        <w:rPr>
          <w:lang w:val="es-ES_tradnl"/>
        </w:rPr>
        <w:t>Panameño</w:t>
      </w:r>
      <w:r w:rsidRPr="00812859">
        <w:rPr>
          <w:lang w:val="es-ES_tradnl"/>
        </w:rPr>
        <w:t xml:space="preserve"> para atender el pago de salarios así como costos de operación de las instalaciones actuales. Para el cálculo de </w:t>
      </w:r>
      <w:r>
        <w:rPr>
          <w:lang w:val="es-ES_tradnl"/>
        </w:rPr>
        <w:t>los costos de operación</w:t>
      </w:r>
      <w:r w:rsidRPr="00812859">
        <w:rPr>
          <w:lang w:val="es-ES_tradnl"/>
        </w:rPr>
        <w:t xml:space="preserve"> se </w:t>
      </w:r>
      <w:r>
        <w:rPr>
          <w:lang w:val="es-ES_tradnl"/>
        </w:rPr>
        <w:t>supone</w:t>
      </w:r>
      <w:r w:rsidRPr="00812859">
        <w:t>un costo recurrente t</w:t>
      </w:r>
      <w:r>
        <w:t xml:space="preserve">otal promedio de 20.576 US$/año por </w:t>
      </w:r>
      <w:r w:rsidRPr="00812859">
        <w:t>persona ocupada; el costo salarial representa el 75% del</w:t>
      </w:r>
      <w:r>
        <w:t xml:space="preserve"> total (15.432 US$/año por </w:t>
      </w:r>
      <w:r w:rsidRPr="00812859">
        <w:t>persona), el costo de funcionamient</w:t>
      </w:r>
      <w:r>
        <w:t xml:space="preserve">o alcanza un 20% (4.115 US$/año por </w:t>
      </w:r>
      <w:r w:rsidRPr="00812859">
        <w:t>persona) y el mantenimiento el 5% restante (</w:t>
      </w:r>
      <w:r>
        <w:t xml:space="preserve">1.029 US$/año por </w:t>
      </w:r>
      <w:r w:rsidRPr="00812859">
        <w:t>persona)</w:t>
      </w:r>
      <w:r w:rsidRPr="00812859">
        <w:rPr>
          <w:rStyle w:val="FootnoteReference"/>
        </w:rPr>
        <w:footnoteReference w:id="15"/>
      </w:r>
      <w:r w:rsidRPr="00812859">
        <w:t>.</w:t>
      </w:r>
    </w:p>
    <w:p w:rsidR="00AE5B31" w:rsidRPr="00812859" w:rsidRDefault="00AE5B31" w:rsidP="00AE5B31">
      <w:pPr>
        <w:pStyle w:val="ListParagraph"/>
      </w:pPr>
    </w:p>
    <w:p w:rsidR="00AE5B31" w:rsidRDefault="00AE5B31" w:rsidP="00AE5B31">
      <w:pPr>
        <w:widowControl w:val="0"/>
        <w:adjustRightInd w:val="0"/>
        <w:jc w:val="both"/>
        <w:textAlignment w:val="baseline"/>
      </w:pPr>
      <w:r w:rsidRPr="00FC10A4">
        <w:rPr>
          <w:u w:val="single"/>
        </w:rPr>
        <w:t>Costos en el Escenario “Con Proyecto”</w:t>
      </w:r>
      <w:r w:rsidRPr="00FC10A4">
        <w:t>.</w:t>
      </w:r>
      <w:r>
        <w:rPr>
          <w:szCs w:val="24"/>
        </w:rPr>
        <w:t xml:space="preserve">Este escenarioincorpora la inversión inicial dirigida a Infraestructura &amp; Equipos (Vida útil 50 años) a ejecutarse entre 2017 y 2018, por un valor de </w:t>
      </w:r>
      <w:r>
        <w:t xml:space="preserve">US$6,262,546.  Este monto es igual a lo que invertiría Costa Rica en Sixaola de acuerdo a lo estimado en el documento, </w:t>
      </w:r>
      <w:r w:rsidRPr="001E1941">
        <w:rPr>
          <w:i/>
        </w:rPr>
        <w:t>“Adecuación de Estudios de Proceso de Control, Gestión, Infraestructuras e Inversión de los Pasos de Frontera Terrestres de Costa Rica”</w:t>
      </w:r>
      <w:r w:rsidRPr="001E1941">
        <w:rPr>
          <w:rStyle w:val="FootnoteReference"/>
          <w:i/>
        </w:rPr>
        <w:footnoteReference w:id="16"/>
      </w:r>
      <w:r>
        <w:rPr>
          <w:i/>
        </w:rPr>
        <w:t>.</w:t>
      </w:r>
      <w:r>
        <w:t xml:space="preserve">  Para efectos de la presente evaluación económica se toma como Caso Base un supuesto de inversión US$1,565,636</w:t>
      </w:r>
      <w:r>
        <w:rPr>
          <w:szCs w:val="24"/>
        </w:rPr>
        <w:t xml:space="preserve">, </w:t>
      </w:r>
      <w:r>
        <w:t>es decir un 25%</w:t>
      </w:r>
      <w:r>
        <w:rPr>
          <w:rStyle w:val="FootnoteReference"/>
        </w:rPr>
        <w:footnoteReference w:id="17"/>
      </w:r>
      <w:r>
        <w:t xml:space="preserve"> de la propuesta planteada. </w:t>
      </w:r>
      <w:r>
        <w:rPr>
          <w:szCs w:val="24"/>
          <w:lang w:val="es-CR"/>
        </w:rPr>
        <w:t xml:space="preserve">A diferencia de la evaluación realizada para Paso Canoas, las características actuales del Paso Fronterizo Guabito </w:t>
      </w:r>
      <w:r>
        <w:t>dificultan la estimación del nivel de inversión, raz</w:t>
      </w:r>
      <w:r>
        <w:rPr>
          <w:lang w:val="es-CR"/>
        </w:rPr>
        <w:t>ón por la cual</w:t>
      </w:r>
      <w:r>
        <w:t xml:space="preserve"> la presente evaluación económica tiene como objetivo estimar un monto de costos de ciclo de vida del proyecto (inversión inicial, mantenimiento y operación) que permitiría obtener indicadores de rentabilidad adecuados.</w:t>
      </w:r>
    </w:p>
    <w:p w:rsidR="00AE5B31" w:rsidRDefault="00AE5B31" w:rsidP="00AE5B31">
      <w:pPr>
        <w:widowControl w:val="0"/>
        <w:adjustRightInd w:val="0"/>
        <w:jc w:val="both"/>
        <w:textAlignment w:val="baseline"/>
        <w:rPr>
          <w:szCs w:val="24"/>
        </w:rPr>
      </w:pPr>
    </w:p>
    <w:p w:rsidR="00AE5B31" w:rsidRDefault="00AE5B31" w:rsidP="00AE5B31">
      <w:pPr>
        <w:widowControl w:val="0"/>
        <w:adjustRightInd w:val="0"/>
        <w:jc w:val="both"/>
        <w:textAlignment w:val="baseline"/>
        <w:rPr>
          <w:szCs w:val="24"/>
        </w:rPr>
      </w:pPr>
      <w:r>
        <w:rPr>
          <w:szCs w:val="24"/>
        </w:rPr>
        <w:t xml:space="preserve">En lo referente al costo salarial y costo de funcionamiento se ajustan los mismos con el fin de reflejar un incremento de aproximadamente un 30% en la planilla del Paso </w:t>
      </w:r>
      <w:r w:rsidRPr="00E7548C">
        <w:rPr>
          <w:szCs w:val="24"/>
        </w:rPr>
        <w:t xml:space="preserve">Fronterizo. </w:t>
      </w:r>
      <w:r w:rsidRPr="00E7548C">
        <w:rPr>
          <w:lang w:val="es-ES_tradnl"/>
        </w:rPr>
        <w:t>Es importante recalcar que no se suponen tasas de crecimiento aplicadas a los costos (tanto en el escenario</w:t>
      </w:r>
      <w:r>
        <w:rPr>
          <w:lang w:val="es-ES_tradnl"/>
        </w:rPr>
        <w:t xml:space="preserve"> “SIN Proyecto” como “CON Proyecto”) ya que las mismas tendrían un impacto neto poco significativo al impactar proporcionalmente ambos escenarios.</w:t>
      </w:r>
    </w:p>
    <w:p w:rsidR="00AE5B31" w:rsidRDefault="00AE5B31" w:rsidP="00AE5B31">
      <w:pPr>
        <w:widowControl w:val="0"/>
        <w:adjustRightInd w:val="0"/>
        <w:jc w:val="both"/>
        <w:textAlignment w:val="baseline"/>
        <w:rPr>
          <w:szCs w:val="24"/>
        </w:rPr>
      </w:pPr>
    </w:p>
    <w:p w:rsidR="00AE5B31" w:rsidRPr="0006088F" w:rsidRDefault="00AE5B31" w:rsidP="00AE5B31">
      <w:pPr>
        <w:widowControl w:val="0"/>
        <w:adjustRightInd w:val="0"/>
        <w:jc w:val="both"/>
        <w:textAlignment w:val="baseline"/>
        <w:rPr>
          <w:szCs w:val="24"/>
        </w:rPr>
      </w:pPr>
      <w:r>
        <w:rPr>
          <w:szCs w:val="24"/>
        </w:rPr>
        <w:t>Los siguientes c</w:t>
      </w:r>
      <w:r w:rsidRPr="0006088F">
        <w:rPr>
          <w:szCs w:val="24"/>
        </w:rPr>
        <w:t>uadro</w:t>
      </w:r>
      <w:r>
        <w:rPr>
          <w:szCs w:val="24"/>
        </w:rPr>
        <w:t>s resumen las inversiones previstas en los escenarios “Sin Proyecto” y “Con Proyecto”.</w:t>
      </w:r>
    </w:p>
    <w:p w:rsidR="00AE5B31" w:rsidRPr="0006088F" w:rsidRDefault="00AE5B31" w:rsidP="00AE5B31">
      <w:pPr>
        <w:pStyle w:val="ListParagraph"/>
        <w:tabs>
          <w:tab w:val="left" w:pos="3060"/>
        </w:tabs>
        <w:rPr>
          <w:szCs w:val="24"/>
        </w:rPr>
      </w:pPr>
    </w:p>
    <w:p w:rsidR="00AE5B31" w:rsidRDefault="00AE5B31" w:rsidP="00AE5B31">
      <w:pPr>
        <w:jc w:val="center"/>
        <w:rPr>
          <w:b/>
          <w:sz w:val="12"/>
          <w:szCs w:val="12"/>
        </w:rPr>
      </w:pPr>
    </w:p>
    <w:p w:rsidR="00AE5B31" w:rsidRDefault="00AE5B31" w:rsidP="00AE5B31">
      <w:pPr>
        <w:jc w:val="center"/>
        <w:rPr>
          <w:b/>
          <w:sz w:val="12"/>
          <w:szCs w:val="12"/>
        </w:rPr>
      </w:pPr>
    </w:p>
    <w:p w:rsidR="00AE5B31" w:rsidRDefault="00AE5B31" w:rsidP="00AE5B31">
      <w:pPr>
        <w:jc w:val="center"/>
        <w:rPr>
          <w:b/>
          <w:sz w:val="12"/>
          <w:szCs w:val="12"/>
        </w:rPr>
      </w:pPr>
    </w:p>
    <w:p w:rsidR="00AE5B31" w:rsidRDefault="00AE5B31" w:rsidP="00AE5B31">
      <w:pPr>
        <w:jc w:val="center"/>
        <w:rPr>
          <w:b/>
          <w:sz w:val="12"/>
          <w:szCs w:val="12"/>
        </w:rPr>
      </w:pPr>
    </w:p>
    <w:p w:rsidR="00AE5B31" w:rsidRDefault="00AE5B31" w:rsidP="00AE5B31">
      <w:pPr>
        <w:jc w:val="center"/>
        <w:rPr>
          <w:b/>
          <w:sz w:val="12"/>
          <w:szCs w:val="12"/>
        </w:rPr>
      </w:pPr>
    </w:p>
    <w:p w:rsidR="00AE5B31" w:rsidRDefault="00AE5B31" w:rsidP="00AE5B31">
      <w:pPr>
        <w:jc w:val="center"/>
        <w:rPr>
          <w:b/>
          <w:sz w:val="12"/>
          <w:szCs w:val="12"/>
        </w:rPr>
      </w:pPr>
    </w:p>
    <w:p w:rsidR="00AE5B31" w:rsidRDefault="00AE5B31" w:rsidP="00AE5B31">
      <w:pPr>
        <w:jc w:val="center"/>
        <w:rPr>
          <w:b/>
          <w:sz w:val="12"/>
          <w:szCs w:val="12"/>
        </w:rPr>
      </w:pPr>
    </w:p>
    <w:p w:rsidR="00AE5B31" w:rsidRDefault="00AE5B31" w:rsidP="00AE5B31">
      <w:pPr>
        <w:jc w:val="center"/>
        <w:rPr>
          <w:b/>
          <w:sz w:val="12"/>
          <w:szCs w:val="12"/>
        </w:rPr>
      </w:pPr>
    </w:p>
    <w:p w:rsidR="00AE5B31" w:rsidRDefault="00AE5B31" w:rsidP="00AE5B31">
      <w:pPr>
        <w:jc w:val="center"/>
        <w:rPr>
          <w:b/>
          <w:sz w:val="12"/>
          <w:szCs w:val="12"/>
        </w:rPr>
      </w:pPr>
    </w:p>
    <w:p w:rsidR="00AE5B31" w:rsidRDefault="00AE5B31" w:rsidP="00AE5B31">
      <w:pPr>
        <w:jc w:val="center"/>
        <w:rPr>
          <w:b/>
          <w:sz w:val="12"/>
          <w:szCs w:val="12"/>
        </w:rPr>
        <w:sectPr w:rsidR="00AE5B31" w:rsidSect="00025C20">
          <w:pgSz w:w="12242" w:h="15842" w:code="1"/>
          <w:pgMar w:top="1440" w:right="1298" w:bottom="1440" w:left="1797" w:header="731" w:footer="1134" w:gutter="0"/>
          <w:pgNumType w:fmt="numberInDash" w:chapStyle="1"/>
          <w:cols w:space="720"/>
        </w:sectPr>
      </w:pPr>
    </w:p>
    <w:p w:rsidR="00AE5B31" w:rsidRPr="0006088F" w:rsidRDefault="00AE5B31" w:rsidP="00AE5B31">
      <w:pPr>
        <w:jc w:val="center"/>
        <w:rPr>
          <w:b/>
          <w:sz w:val="22"/>
          <w:szCs w:val="22"/>
        </w:rPr>
      </w:pPr>
      <w:r w:rsidRPr="0006088F">
        <w:rPr>
          <w:b/>
          <w:sz w:val="22"/>
          <w:szCs w:val="22"/>
        </w:rPr>
        <w:lastRenderedPageBreak/>
        <w:t xml:space="preserve">Cuadro </w:t>
      </w:r>
      <w:r>
        <w:rPr>
          <w:b/>
          <w:sz w:val="22"/>
          <w:szCs w:val="22"/>
        </w:rPr>
        <w:t>X</w:t>
      </w:r>
    </w:p>
    <w:p w:rsidR="00AE5B31" w:rsidRPr="0006088F" w:rsidRDefault="00AE5B31" w:rsidP="00AE5B31">
      <w:pPr>
        <w:jc w:val="center"/>
        <w:rPr>
          <w:b/>
          <w:bCs/>
          <w:sz w:val="20"/>
          <w:lang w:val="es-ES" w:eastAsia="es-ES"/>
        </w:rPr>
      </w:pPr>
      <w:r>
        <w:rPr>
          <w:b/>
          <w:bCs/>
          <w:sz w:val="20"/>
          <w:lang w:val="es-ES" w:eastAsia="es-ES"/>
        </w:rPr>
        <w:t>GUABITO</w:t>
      </w:r>
    </w:p>
    <w:p w:rsidR="00AE5B31" w:rsidRDefault="00AE5B31" w:rsidP="00AE5B31">
      <w:pPr>
        <w:jc w:val="center"/>
        <w:rPr>
          <w:b/>
          <w:bCs/>
          <w:sz w:val="20"/>
          <w:lang w:val="es-ES" w:eastAsia="es-ES"/>
        </w:rPr>
      </w:pPr>
      <w:r>
        <w:rPr>
          <w:b/>
          <w:bCs/>
          <w:sz w:val="20"/>
          <w:lang w:val="es-ES" w:eastAsia="es-ES"/>
        </w:rPr>
        <w:t>Escenario “Sin Proyecto”: Flujos de Inversión y Mantenimiento. 2015-2038 (US$)</w:t>
      </w:r>
    </w:p>
    <w:p w:rsidR="00AE5B31" w:rsidRDefault="00AE5B31" w:rsidP="00AE5B31">
      <w:pPr>
        <w:jc w:val="center"/>
        <w:rPr>
          <w:b/>
          <w:bCs/>
          <w:sz w:val="20"/>
          <w:lang w:val="es-ES" w:eastAsia="es-ES"/>
        </w:rPr>
      </w:pPr>
    </w:p>
    <w:p w:rsidR="00AE5B31" w:rsidRDefault="00AE5B31" w:rsidP="00AE5B31">
      <w:pPr>
        <w:jc w:val="center"/>
        <w:rPr>
          <w:b/>
          <w:bCs/>
          <w:sz w:val="20"/>
          <w:lang w:val="es-ES" w:eastAsia="es-ES"/>
        </w:rPr>
      </w:pPr>
      <w:r w:rsidRPr="00281851">
        <w:rPr>
          <w:noProof/>
          <w:lang w:val="en-US"/>
        </w:rPr>
        <w:drawing>
          <wp:inline distT="0" distB="0" distL="0" distR="0" wp14:anchorId="62D1D9B9" wp14:editId="279A86FE">
            <wp:extent cx="8230870" cy="3300187"/>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30870" cy="3300187"/>
                    </a:xfrm>
                    <a:prstGeom prst="rect">
                      <a:avLst/>
                    </a:prstGeom>
                    <a:noFill/>
                    <a:ln>
                      <a:noFill/>
                    </a:ln>
                  </pic:spPr>
                </pic:pic>
              </a:graphicData>
            </a:graphic>
          </wp:inline>
        </w:drawing>
      </w:r>
    </w:p>
    <w:p w:rsidR="00AE5B31" w:rsidRDefault="00AE5B31" w:rsidP="00AE5B31">
      <w:pPr>
        <w:rPr>
          <w:b/>
          <w:bCs/>
          <w:sz w:val="20"/>
          <w:lang w:val="es-ES" w:eastAsia="es-ES"/>
        </w:rPr>
      </w:pPr>
      <w:r w:rsidRPr="00804585">
        <w:rPr>
          <w:sz w:val="18"/>
          <w:szCs w:val="24"/>
        </w:rPr>
        <w:t>Fuente:</w:t>
      </w:r>
      <w:r>
        <w:rPr>
          <w:sz w:val="18"/>
          <w:szCs w:val="24"/>
        </w:rPr>
        <w:t xml:space="preserve"> Elaboración propia</w:t>
      </w:r>
      <w:r w:rsidRPr="00804585">
        <w:rPr>
          <w:sz w:val="18"/>
          <w:szCs w:val="24"/>
        </w:rPr>
        <w:t>con base en cifras de</w:t>
      </w:r>
      <w:r>
        <w:rPr>
          <w:sz w:val="18"/>
          <w:szCs w:val="24"/>
        </w:rPr>
        <w:t xml:space="preserve"> comercio internacional SIECA, </w:t>
      </w:r>
      <w:r w:rsidRPr="00804585">
        <w:rPr>
          <w:sz w:val="18"/>
          <w:szCs w:val="24"/>
        </w:rPr>
        <w:t>Instituto Panameño de Estadística y Censo</w:t>
      </w:r>
      <w:r>
        <w:rPr>
          <w:sz w:val="18"/>
          <w:szCs w:val="24"/>
        </w:rPr>
        <w:t xml:space="preserve">, Procomer y el documento </w:t>
      </w:r>
      <w:r w:rsidRPr="00910299">
        <w:rPr>
          <w:sz w:val="18"/>
          <w:szCs w:val="24"/>
        </w:rPr>
        <w:t>“</w:t>
      </w:r>
      <w:r w:rsidRPr="00281851">
        <w:rPr>
          <w:sz w:val="18"/>
          <w:szCs w:val="24"/>
        </w:rPr>
        <w:t>Adecuación de Estudios de Proceso de Control, Gestión, Infraestructuras e Inversión de los Pasos de Frontera Terrestres de Costa Rica</w:t>
      </w:r>
      <w:r w:rsidRPr="00910299">
        <w:rPr>
          <w:sz w:val="18"/>
          <w:szCs w:val="24"/>
        </w:rPr>
        <w:t>”</w:t>
      </w:r>
      <w:r>
        <w:rPr>
          <w:sz w:val="18"/>
          <w:szCs w:val="24"/>
        </w:rPr>
        <w:t>.</w:t>
      </w:r>
    </w:p>
    <w:p w:rsidR="00AE5B31" w:rsidRDefault="00AE5B31" w:rsidP="00AE5B31">
      <w:pPr>
        <w:jc w:val="center"/>
        <w:rPr>
          <w:b/>
          <w:sz w:val="12"/>
          <w:szCs w:val="12"/>
        </w:rPr>
      </w:pPr>
    </w:p>
    <w:p w:rsidR="00AE5B31" w:rsidRDefault="00AE5B31" w:rsidP="00AE5B31">
      <w:pPr>
        <w:jc w:val="center"/>
        <w:rPr>
          <w:b/>
          <w:sz w:val="12"/>
          <w:szCs w:val="12"/>
        </w:rPr>
      </w:pPr>
    </w:p>
    <w:p w:rsidR="00AE5B31" w:rsidRDefault="00AE5B31" w:rsidP="00AE5B31">
      <w:pPr>
        <w:jc w:val="center"/>
        <w:rPr>
          <w:b/>
          <w:sz w:val="12"/>
          <w:szCs w:val="12"/>
        </w:rPr>
      </w:pPr>
    </w:p>
    <w:p w:rsidR="00AE5B31" w:rsidRDefault="00AE5B31" w:rsidP="00AE5B31">
      <w:pPr>
        <w:jc w:val="center"/>
        <w:rPr>
          <w:b/>
          <w:sz w:val="12"/>
          <w:szCs w:val="12"/>
        </w:rPr>
      </w:pPr>
    </w:p>
    <w:p w:rsidR="00AE5B31" w:rsidRDefault="00AE5B31" w:rsidP="00AE5B31">
      <w:pPr>
        <w:jc w:val="center"/>
        <w:rPr>
          <w:b/>
          <w:sz w:val="12"/>
          <w:szCs w:val="12"/>
        </w:rPr>
      </w:pPr>
    </w:p>
    <w:p w:rsidR="00AE5B31" w:rsidRDefault="00AE5B31" w:rsidP="00AE5B31">
      <w:pPr>
        <w:jc w:val="center"/>
        <w:rPr>
          <w:b/>
          <w:sz w:val="12"/>
          <w:szCs w:val="12"/>
        </w:rPr>
      </w:pPr>
    </w:p>
    <w:p w:rsidR="00AE5B31" w:rsidRDefault="00AE5B31" w:rsidP="00AE5B31">
      <w:pPr>
        <w:jc w:val="center"/>
        <w:rPr>
          <w:b/>
          <w:sz w:val="12"/>
          <w:szCs w:val="12"/>
        </w:rPr>
      </w:pPr>
    </w:p>
    <w:p w:rsidR="00AE5B31" w:rsidRDefault="00AE5B31" w:rsidP="00AE5B31">
      <w:pPr>
        <w:jc w:val="center"/>
        <w:rPr>
          <w:b/>
          <w:sz w:val="12"/>
          <w:szCs w:val="12"/>
        </w:rPr>
      </w:pPr>
    </w:p>
    <w:p w:rsidR="00AE5B31" w:rsidRDefault="00AE5B31" w:rsidP="00AE5B31">
      <w:pPr>
        <w:jc w:val="center"/>
        <w:rPr>
          <w:b/>
          <w:sz w:val="12"/>
          <w:szCs w:val="12"/>
        </w:rPr>
      </w:pPr>
    </w:p>
    <w:p w:rsidR="00AE5B31" w:rsidRDefault="00AE5B31" w:rsidP="00AE5B31">
      <w:pPr>
        <w:jc w:val="center"/>
        <w:rPr>
          <w:b/>
          <w:sz w:val="12"/>
          <w:szCs w:val="12"/>
        </w:rPr>
      </w:pPr>
    </w:p>
    <w:p w:rsidR="00AE5B31" w:rsidRDefault="00AE5B31" w:rsidP="00AE5B31">
      <w:pPr>
        <w:jc w:val="center"/>
        <w:rPr>
          <w:b/>
          <w:sz w:val="12"/>
          <w:szCs w:val="12"/>
        </w:rPr>
      </w:pPr>
    </w:p>
    <w:p w:rsidR="00AE5B31" w:rsidRDefault="00AE5B31" w:rsidP="00AE5B31">
      <w:pPr>
        <w:jc w:val="center"/>
        <w:rPr>
          <w:b/>
          <w:sz w:val="12"/>
          <w:szCs w:val="12"/>
        </w:rPr>
      </w:pPr>
    </w:p>
    <w:p w:rsidR="00AE5B31" w:rsidRDefault="00AE5B31" w:rsidP="00AE5B31">
      <w:pPr>
        <w:jc w:val="center"/>
        <w:rPr>
          <w:b/>
          <w:sz w:val="12"/>
          <w:szCs w:val="12"/>
        </w:rPr>
      </w:pPr>
    </w:p>
    <w:p w:rsidR="00AE5B31" w:rsidRDefault="00AE5B31" w:rsidP="00AE5B31">
      <w:pPr>
        <w:jc w:val="center"/>
        <w:rPr>
          <w:b/>
          <w:sz w:val="12"/>
          <w:szCs w:val="12"/>
        </w:rPr>
      </w:pPr>
    </w:p>
    <w:p w:rsidR="00AE5B31" w:rsidRDefault="00AE5B31" w:rsidP="00AE5B31">
      <w:pPr>
        <w:jc w:val="center"/>
        <w:rPr>
          <w:b/>
          <w:sz w:val="12"/>
          <w:szCs w:val="12"/>
        </w:rPr>
      </w:pPr>
    </w:p>
    <w:p w:rsidR="00AE5B31" w:rsidRDefault="00AE5B31" w:rsidP="00AE5B31">
      <w:pPr>
        <w:jc w:val="center"/>
        <w:rPr>
          <w:b/>
          <w:sz w:val="12"/>
          <w:szCs w:val="12"/>
        </w:rPr>
      </w:pPr>
    </w:p>
    <w:p w:rsidR="00AE5B31" w:rsidRDefault="00AE5B31" w:rsidP="00AE5B31">
      <w:pPr>
        <w:jc w:val="center"/>
        <w:rPr>
          <w:b/>
          <w:sz w:val="12"/>
          <w:szCs w:val="12"/>
        </w:rPr>
      </w:pPr>
    </w:p>
    <w:p w:rsidR="00AE5B31" w:rsidRDefault="00AE5B31" w:rsidP="00AE5B31">
      <w:pPr>
        <w:jc w:val="center"/>
        <w:rPr>
          <w:b/>
          <w:sz w:val="12"/>
          <w:szCs w:val="12"/>
        </w:rPr>
      </w:pPr>
    </w:p>
    <w:p w:rsidR="00AE5B31" w:rsidRPr="0006088F" w:rsidRDefault="00AE5B31" w:rsidP="00AE5B31">
      <w:pPr>
        <w:jc w:val="center"/>
        <w:rPr>
          <w:b/>
          <w:sz w:val="22"/>
          <w:szCs w:val="22"/>
        </w:rPr>
      </w:pPr>
      <w:r w:rsidRPr="0006088F">
        <w:rPr>
          <w:b/>
          <w:sz w:val="22"/>
          <w:szCs w:val="22"/>
        </w:rPr>
        <w:lastRenderedPageBreak/>
        <w:t xml:space="preserve">Cuadro </w:t>
      </w:r>
      <w:r>
        <w:rPr>
          <w:b/>
          <w:sz w:val="22"/>
          <w:szCs w:val="22"/>
        </w:rPr>
        <w:t>XI</w:t>
      </w:r>
    </w:p>
    <w:p w:rsidR="00AE5B31" w:rsidRPr="0006088F" w:rsidRDefault="00AE5B31" w:rsidP="00AE5B31">
      <w:pPr>
        <w:jc w:val="center"/>
        <w:rPr>
          <w:b/>
          <w:bCs/>
          <w:sz w:val="20"/>
          <w:lang w:val="es-ES" w:eastAsia="es-ES"/>
        </w:rPr>
      </w:pPr>
      <w:r>
        <w:rPr>
          <w:b/>
          <w:bCs/>
          <w:sz w:val="20"/>
          <w:lang w:val="es-ES" w:eastAsia="es-ES"/>
        </w:rPr>
        <w:t>GUABITO</w:t>
      </w:r>
    </w:p>
    <w:p w:rsidR="00AE5B31" w:rsidRDefault="00AE5B31" w:rsidP="00AE5B31">
      <w:pPr>
        <w:jc w:val="center"/>
        <w:rPr>
          <w:b/>
          <w:bCs/>
          <w:sz w:val="20"/>
          <w:lang w:val="es-ES" w:eastAsia="es-ES"/>
        </w:rPr>
      </w:pPr>
      <w:r>
        <w:rPr>
          <w:b/>
          <w:bCs/>
          <w:sz w:val="20"/>
          <w:lang w:val="es-ES" w:eastAsia="es-ES"/>
        </w:rPr>
        <w:t>Escenario “Con Proyecto”: Flujos de Inversión y Mantenimiento. 2015-2038 (US$)</w:t>
      </w:r>
    </w:p>
    <w:p w:rsidR="00AE5B31" w:rsidRDefault="00AE5B31" w:rsidP="00AE5B31">
      <w:pPr>
        <w:jc w:val="center"/>
        <w:rPr>
          <w:b/>
          <w:bCs/>
          <w:sz w:val="20"/>
          <w:lang w:val="es-ES" w:eastAsia="es-ES"/>
        </w:rPr>
      </w:pPr>
    </w:p>
    <w:p w:rsidR="00AE5B31" w:rsidRDefault="00AE5B31" w:rsidP="00AE5B31">
      <w:pPr>
        <w:jc w:val="center"/>
        <w:rPr>
          <w:b/>
          <w:sz w:val="12"/>
          <w:szCs w:val="12"/>
          <w:lang w:val="es-ES"/>
        </w:rPr>
      </w:pPr>
      <w:r w:rsidRPr="00281851">
        <w:rPr>
          <w:noProof/>
          <w:lang w:val="en-US"/>
        </w:rPr>
        <w:drawing>
          <wp:inline distT="0" distB="0" distL="0" distR="0" wp14:anchorId="6E39909E" wp14:editId="316DEF24">
            <wp:extent cx="8230870" cy="4317679"/>
            <wp:effectExtent l="0" t="0" r="0" b="6985"/>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230870" cy="4317679"/>
                    </a:xfrm>
                    <a:prstGeom prst="rect">
                      <a:avLst/>
                    </a:prstGeom>
                    <a:noFill/>
                    <a:ln>
                      <a:noFill/>
                    </a:ln>
                  </pic:spPr>
                </pic:pic>
              </a:graphicData>
            </a:graphic>
          </wp:inline>
        </w:drawing>
      </w:r>
    </w:p>
    <w:p w:rsidR="00AE5B31" w:rsidRDefault="00AE5B31" w:rsidP="00AE5B31">
      <w:pPr>
        <w:tabs>
          <w:tab w:val="left" w:pos="11520"/>
        </w:tabs>
        <w:ind w:right="2"/>
        <w:jc w:val="both"/>
        <w:rPr>
          <w:b/>
          <w:bCs/>
          <w:sz w:val="20"/>
          <w:lang w:val="es-ES" w:eastAsia="es-ES"/>
        </w:rPr>
      </w:pPr>
      <w:r w:rsidRPr="00804585">
        <w:rPr>
          <w:sz w:val="18"/>
          <w:szCs w:val="24"/>
        </w:rPr>
        <w:t>Fuente:</w:t>
      </w:r>
      <w:r>
        <w:rPr>
          <w:sz w:val="18"/>
          <w:szCs w:val="24"/>
        </w:rPr>
        <w:t xml:space="preserve"> Elaboración propia </w:t>
      </w:r>
      <w:r w:rsidRPr="00804585">
        <w:rPr>
          <w:sz w:val="18"/>
          <w:szCs w:val="24"/>
        </w:rPr>
        <w:t>con base en cifras de comercio internacional SIECA e Instituto Panameño de Estadística y Censo</w:t>
      </w:r>
      <w:r>
        <w:rPr>
          <w:sz w:val="18"/>
          <w:szCs w:val="24"/>
        </w:rPr>
        <w:t xml:space="preserve">, Procomer y el documento </w:t>
      </w:r>
      <w:r w:rsidRPr="004C79C4">
        <w:rPr>
          <w:sz w:val="18"/>
          <w:szCs w:val="24"/>
        </w:rPr>
        <w:t>“Adecuación de Estudios de Proceso de Control, Gestión, Infraestructuras e Inversión de los Pasos de Frontera Terrestres de Costa Rica”</w:t>
      </w:r>
      <w:r>
        <w:rPr>
          <w:sz w:val="18"/>
          <w:szCs w:val="24"/>
        </w:rPr>
        <w:t>, Versión 2, Julio 2013.</w:t>
      </w:r>
    </w:p>
    <w:p w:rsidR="00AE5B31" w:rsidRDefault="00AE5B31" w:rsidP="00AE5B31">
      <w:pPr>
        <w:rPr>
          <w:b/>
          <w:bCs/>
          <w:sz w:val="20"/>
          <w:lang w:val="es-ES" w:eastAsia="es-ES"/>
        </w:rPr>
      </w:pPr>
    </w:p>
    <w:p w:rsidR="00AE5B31" w:rsidRDefault="00AE5B31" w:rsidP="00AE5B31">
      <w:pPr>
        <w:jc w:val="center"/>
        <w:rPr>
          <w:b/>
          <w:sz w:val="12"/>
          <w:szCs w:val="12"/>
        </w:rPr>
      </w:pPr>
    </w:p>
    <w:p w:rsidR="00AE5B31" w:rsidRDefault="00AE5B31" w:rsidP="00AE5B31">
      <w:pPr>
        <w:jc w:val="center"/>
        <w:rPr>
          <w:b/>
          <w:sz w:val="12"/>
          <w:szCs w:val="12"/>
        </w:rPr>
        <w:sectPr w:rsidR="00AE5B31" w:rsidSect="00FE6A09">
          <w:pgSz w:w="15842" w:h="12242" w:orient="landscape" w:code="1"/>
          <w:pgMar w:top="1298" w:right="1440" w:bottom="1797" w:left="1440" w:header="731" w:footer="1134" w:gutter="0"/>
          <w:pgNumType w:fmt="numberInDash"/>
          <w:cols w:space="720"/>
          <w:docGrid w:linePitch="326"/>
        </w:sectPr>
      </w:pPr>
    </w:p>
    <w:p w:rsidR="00AE5B31" w:rsidRPr="0071350C" w:rsidRDefault="00AE5B31" w:rsidP="00AE5B31">
      <w:pPr>
        <w:pStyle w:val="Heading1"/>
        <w:numPr>
          <w:ilvl w:val="0"/>
          <w:numId w:val="25"/>
        </w:numPr>
        <w:tabs>
          <w:tab w:val="left" w:pos="270"/>
        </w:tabs>
        <w:ind w:left="0" w:firstLine="0"/>
        <w:jc w:val="both"/>
        <w:rPr>
          <w:rFonts w:ascii="Times New Roman" w:hAnsi="Times New Roman"/>
        </w:rPr>
      </w:pPr>
      <w:bookmarkStart w:id="17" w:name="_Toc428992896"/>
      <w:r w:rsidRPr="0071350C">
        <w:rPr>
          <w:rFonts w:ascii="Times New Roman" w:hAnsi="Times New Roman"/>
        </w:rPr>
        <w:lastRenderedPageBreak/>
        <w:t>Costos para los Usuarios</w:t>
      </w:r>
      <w:bookmarkEnd w:id="17"/>
    </w:p>
    <w:p w:rsidR="00AE5B31" w:rsidRPr="0006088F" w:rsidRDefault="00AE5B31" w:rsidP="00AE5B31">
      <w:pPr>
        <w:rPr>
          <w:szCs w:val="24"/>
        </w:rPr>
      </w:pPr>
    </w:p>
    <w:p w:rsidR="00AE5B31" w:rsidRPr="0006088F" w:rsidRDefault="00AE5B31" w:rsidP="00AE5B31">
      <w:pPr>
        <w:widowControl w:val="0"/>
        <w:adjustRightInd w:val="0"/>
        <w:jc w:val="both"/>
        <w:textAlignment w:val="baseline"/>
      </w:pPr>
      <w:r w:rsidRPr="0006088F">
        <w:t xml:space="preserve">En el primer año de utilización </w:t>
      </w:r>
      <w:r>
        <w:t xml:space="preserve">(2019), se esperan </w:t>
      </w:r>
      <w:r w:rsidRPr="0006088F">
        <w:t>ahorros en los tiempos</w:t>
      </w:r>
      <w:r>
        <w:t>,lo cual redunda tanto en una reducción del costo de oportunidad para las personas (por el uso alternativo que pueden dar a su tiempo) como reducciones en los costos que se incurren actualmente en el transporte de bienes comerciados.</w:t>
      </w:r>
    </w:p>
    <w:p w:rsidR="00AE5B31" w:rsidRPr="0006088F" w:rsidRDefault="00AE5B31" w:rsidP="00AE5B31">
      <w:pPr>
        <w:widowControl w:val="0"/>
        <w:adjustRightInd w:val="0"/>
        <w:ind w:left="709"/>
        <w:jc w:val="both"/>
        <w:textAlignment w:val="baseline"/>
      </w:pPr>
    </w:p>
    <w:p w:rsidR="00AE5B31" w:rsidRDefault="00AE5B31" w:rsidP="00AE5B31">
      <w:pPr>
        <w:widowControl w:val="0"/>
        <w:adjustRightInd w:val="0"/>
        <w:jc w:val="both"/>
        <w:textAlignment w:val="baseline"/>
      </w:pPr>
      <w:r>
        <w:rPr>
          <w:u w:val="single"/>
        </w:rPr>
        <w:t>Guabito</w:t>
      </w:r>
      <w:r w:rsidRPr="007C160B">
        <w:rPr>
          <w:u w:val="single"/>
        </w:rPr>
        <w:t xml:space="preserve"> “Sin Proyecto”.</w:t>
      </w:r>
      <w:r w:rsidRPr="007C160B">
        <w:t xml:space="preserve"> Los tiempos de permanencia en </w:t>
      </w:r>
      <w:r>
        <w:t>Guabito</w:t>
      </w:r>
      <w:r w:rsidRPr="007C160B">
        <w:t>,en la situación “Sin Proyecto” para los pasajeros y vehículos así como para el transporte de carga se presentan en el siguiente cuadro. Los tiempos indicados constituyen un estimado de acuerdo a las cifras según tipo de transporte y tipo de despacho (esto en el caso de la carga).</w:t>
      </w:r>
    </w:p>
    <w:p w:rsidR="00AE5B31" w:rsidRPr="005250F0" w:rsidRDefault="00AE5B31" w:rsidP="00AE5B31">
      <w:pPr>
        <w:widowControl w:val="0"/>
        <w:adjustRightInd w:val="0"/>
        <w:jc w:val="both"/>
        <w:textAlignment w:val="baseline"/>
        <w:rPr>
          <w:b/>
        </w:rPr>
      </w:pPr>
    </w:p>
    <w:p w:rsidR="00AE5B31" w:rsidRPr="00B70F2C" w:rsidRDefault="00AE5B31" w:rsidP="00AE5B31">
      <w:pPr>
        <w:pStyle w:val="ListParagraph"/>
        <w:ind w:left="705"/>
        <w:jc w:val="center"/>
        <w:rPr>
          <w:b/>
          <w:sz w:val="22"/>
          <w:szCs w:val="22"/>
        </w:rPr>
      </w:pPr>
      <w:r w:rsidRPr="00B70F2C">
        <w:rPr>
          <w:b/>
          <w:sz w:val="22"/>
          <w:szCs w:val="22"/>
        </w:rPr>
        <w:t xml:space="preserve">Cuadro </w:t>
      </w:r>
      <w:r>
        <w:rPr>
          <w:b/>
          <w:sz w:val="22"/>
          <w:szCs w:val="22"/>
        </w:rPr>
        <w:t>XII</w:t>
      </w:r>
    </w:p>
    <w:p w:rsidR="00AE5B31" w:rsidRPr="00B70F2C" w:rsidRDefault="00AE5B31" w:rsidP="00AE5B31">
      <w:pPr>
        <w:pStyle w:val="ListParagraph"/>
        <w:ind w:left="705"/>
        <w:jc w:val="center"/>
        <w:rPr>
          <w:b/>
          <w:bCs/>
          <w:sz w:val="20"/>
          <w:lang w:val="es-ES" w:eastAsia="es-ES"/>
        </w:rPr>
      </w:pPr>
      <w:r>
        <w:rPr>
          <w:b/>
          <w:bCs/>
          <w:sz w:val="20"/>
          <w:lang w:val="es-ES" w:eastAsia="es-ES"/>
        </w:rPr>
        <w:t>GUABITO</w:t>
      </w:r>
    </w:p>
    <w:p w:rsidR="00AE5B31" w:rsidRPr="00B70F2C" w:rsidRDefault="00AE5B31" w:rsidP="00AE5B31">
      <w:pPr>
        <w:pStyle w:val="ListParagraph"/>
        <w:ind w:left="705"/>
        <w:jc w:val="center"/>
        <w:rPr>
          <w:sz w:val="20"/>
        </w:rPr>
      </w:pPr>
      <w:r>
        <w:rPr>
          <w:b/>
          <w:bCs/>
          <w:sz w:val="20"/>
          <w:lang w:val="es-ES" w:eastAsia="es-ES"/>
        </w:rPr>
        <w:t>“Sin Proyecto”: Tiempos de Permanencia en Guabito (horas/tipo de transporte)</w:t>
      </w:r>
    </w:p>
    <w:p w:rsidR="00AE5B31" w:rsidRPr="005250F0" w:rsidRDefault="00AE5B31" w:rsidP="00AE5B31">
      <w:pPr>
        <w:pStyle w:val="ListParagraph"/>
        <w:ind w:left="705"/>
        <w:jc w:val="both"/>
        <w:rPr>
          <w:szCs w:val="24"/>
        </w:rPr>
      </w:pPr>
    </w:p>
    <w:tbl>
      <w:tblPr>
        <w:tblStyle w:val="TableGrid"/>
        <w:tblW w:w="0" w:type="auto"/>
        <w:tblInd w:w="715" w:type="dxa"/>
        <w:tblLook w:val="04A0" w:firstRow="1" w:lastRow="0" w:firstColumn="1" w:lastColumn="0" w:noHBand="0" w:noVBand="1"/>
      </w:tblPr>
      <w:tblGrid>
        <w:gridCol w:w="4320"/>
        <w:gridCol w:w="2051"/>
        <w:gridCol w:w="2051"/>
      </w:tblGrid>
      <w:tr w:rsidR="00AE5B31" w:rsidTr="00E7602D">
        <w:tc>
          <w:tcPr>
            <w:tcW w:w="4320" w:type="dxa"/>
            <w:vAlign w:val="center"/>
          </w:tcPr>
          <w:p w:rsidR="00AE5B31" w:rsidRPr="00C81D6E" w:rsidRDefault="00AE5B31" w:rsidP="00E7602D">
            <w:pPr>
              <w:jc w:val="center"/>
              <w:rPr>
                <w:rFonts w:asciiTheme="minorHAnsi" w:hAnsiTheme="minorHAnsi"/>
                <w:b/>
                <w:sz w:val="20"/>
                <w:szCs w:val="24"/>
              </w:rPr>
            </w:pPr>
            <w:r>
              <w:rPr>
                <w:rFonts w:asciiTheme="minorHAnsi" w:hAnsiTheme="minorHAnsi"/>
                <w:b/>
                <w:sz w:val="20"/>
                <w:szCs w:val="24"/>
              </w:rPr>
              <w:t>Tipo de Usuario</w:t>
            </w:r>
          </w:p>
        </w:tc>
        <w:tc>
          <w:tcPr>
            <w:tcW w:w="2051" w:type="dxa"/>
            <w:vAlign w:val="center"/>
          </w:tcPr>
          <w:p w:rsidR="00AE5B31" w:rsidRPr="00C81D6E" w:rsidRDefault="00AE5B31" w:rsidP="00E7602D">
            <w:pPr>
              <w:jc w:val="center"/>
              <w:rPr>
                <w:rFonts w:asciiTheme="minorHAnsi" w:hAnsiTheme="minorHAnsi"/>
                <w:b/>
                <w:sz w:val="20"/>
                <w:szCs w:val="24"/>
              </w:rPr>
            </w:pPr>
            <w:r>
              <w:rPr>
                <w:rFonts w:asciiTheme="minorHAnsi" w:hAnsiTheme="minorHAnsi"/>
                <w:b/>
                <w:sz w:val="20"/>
                <w:szCs w:val="24"/>
              </w:rPr>
              <w:t>PA&gt;CR</w:t>
            </w:r>
          </w:p>
        </w:tc>
        <w:tc>
          <w:tcPr>
            <w:tcW w:w="2051" w:type="dxa"/>
            <w:vAlign w:val="center"/>
          </w:tcPr>
          <w:p w:rsidR="00AE5B31" w:rsidRPr="00C81D6E" w:rsidRDefault="00AE5B31" w:rsidP="00E7602D">
            <w:pPr>
              <w:jc w:val="center"/>
              <w:rPr>
                <w:rFonts w:asciiTheme="minorHAnsi" w:hAnsiTheme="minorHAnsi"/>
                <w:b/>
                <w:sz w:val="20"/>
                <w:szCs w:val="24"/>
              </w:rPr>
            </w:pPr>
            <w:r>
              <w:rPr>
                <w:rFonts w:asciiTheme="minorHAnsi" w:hAnsiTheme="minorHAnsi"/>
                <w:b/>
                <w:sz w:val="20"/>
                <w:szCs w:val="24"/>
              </w:rPr>
              <w:t>CR&gt;PA</w:t>
            </w:r>
          </w:p>
        </w:tc>
      </w:tr>
      <w:tr w:rsidR="00AE5B31" w:rsidTr="00E7602D">
        <w:tc>
          <w:tcPr>
            <w:tcW w:w="4320" w:type="dxa"/>
            <w:vAlign w:val="center"/>
          </w:tcPr>
          <w:p w:rsidR="00AE5B31" w:rsidRPr="00C81D6E" w:rsidRDefault="00AE5B31" w:rsidP="00E7602D">
            <w:pPr>
              <w:rPr>
                <w:rFonts w:asciiTheme="minorHAnsi" w:hAnsiTheme="minorHAnsi"/>
                <w:b/>
                <w:sz w:val="20"/>
                <w:szCs w:val="24"/>
              </w:rPr>
            </w:pPr>
            <w:r>
              <w:rPr>
                <w:rFonts w:asciiTheme="minorHAnsi" w:hAnsiTheme="minorHAnsi"/>
                <w:b/>
                <w:sz w:val="20"/>
                <w:szCs w:val="24"/>
              </w:rPr>
              <w:t>Personas &amp; Vehículos</w:t>
            </w:r>
          </w:p>
        </w:tc>
        <w:tc>
          <w:tcPr>
            <w:tcW w:w="2051" w:type="dxa"/>
            <w:vAlign w:val="center"/>
          </w:tcPr>
          <w:p w:rsidR="00AE5B31" w:rsidRPr="00C81D6E" w:rsidRDefault="00AE5B31" w:rsidP="00E7602D">
            <w:pPr>
              <w:jc w:val="center"/>
              <w:rPr>
                <w:rFonts w:asciiTheme="minorHAnsi" w:hAnsiTheme="minorHAnsi"/>
                <w:b/>
                <w:sz w:val="20"/>
                <w:szCs w:val="24"/>
              </w:rPr>
            </w:pPr>
          </w:p>
        </w:tc>
        <w:tc>
          <w:tcPr>
            <w:tcW w:w="2051" w:type="dxa"/>
            <w:vAlign w:val="center"/>
          </w:tcPr>
          <w:p w:rsidR="00AE5B31" w:rsidRPr="00C81D6E" w:rsidRDefault="00AE5B31" w:rsidP="00E7602D">
            <w:pPr>
              <w:rPr>
                <w:rFonts w:asciiTheme="minorHAnsi" w:hAnsiTheme="minorHAnsi"/>
                <w:b/>
                <w:sz w:val="20"/>
                <w:szCs w:val="24"/>
              </w:rPr>
            </w:pPr>
          </w:p>
        </w:tc>
      </w:tr>
      <w:tr w:rsidR="00AE5B31" w:rsidTr="00E7602D">
        <w:tc>
          <w:tcPr>
            <w:tcW w:w="4320" w:type="dxa"/>
          </w:tcPr>
          <w:p w:rsidR="00AE5B31" w:rsidRPr="00B70F2C" w:rsidRDefault="00AE5B31" w:rsidP="00E7602D">
            <w:pPr>
              <w:jc w:val="both"/>
              <w:rPr>
                <w:rFonts w:asciiTheme="minorHAnsi" w:hAnsiTheme="minorHAnsi"/>
                <w:sz w:val="20"/>
                <w:szCs w:val="24"/>
              </w:rPr>
            </w:pPr>
            <w:r>
              <w:rPr>
                <w:rFonts w:asciiTheme="minorHAnsi" w:hAnsiTheme="minorHAnsi"/>
                <w:sz w:val="20"/>
                <w:szCs w:val="24"/>
              </w:rPr>
              <w:t xml:space="preserve">  Automóvil</w:t>
            </w:r>
          </w:p>
        </w:tc>
        <w:tc>
          <w:tcPr>
            <w:tcW w:w="2051" w:type="dxa"/>
            <w:vAlign w:val="bottom"/>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0.475</w:t>
            </w:r>
          </w:p>
        </w:tc>
        <w:tc>
          <w:tcPr>
            <w:tcW w:w="2051" w:type="dxa"/>
            <w:vAlign w:val="bottom"/>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0.818</w:t>
            </w:r>
          </w:p>
        </w:tc>
      </w:tr>
      <w:tr w:rsidR="00AE5B31" w:rsidTr="00E7602D">
        <w:tc>
          <w:tcPr>
            <w:tcW w:w="4320" w:type="dxa"/>
          </w:tcPr>
          <w:p w:rsidR="00AE5B31" w:rsidRPr="00B70F2C" w:rsidRDefault="00AE5B31" w:rsidP="00E7602D">
            <w:pPr>
              <w:jc w:val="both"/>
              <w:rPr>
                <w:rFonts w:asciiTheme="minorHAnsi" w:hAnsiTheme="minorHAnsi"/>
                <w:sz w:val="20"/>
                <w:szCs w:val="24"/>
              </w:rPr>
            </w:pPr>
            <w:r>
              <w:rPr>
                <w:rFonts w:asciiTheme="minorHAnsi" w:hAnsiTheme="minorHAnsi"/>
                <w:sz w:val="20"/>
                <w:szCs w:val="24"/>
              </w:rPr>
              <w:t xml:space="preserve">  Bus</w:t>
            </w:r>
          </w:p>
        </w:tc>
        <w:tc>
          <w:tcPr>
            <w:tcW w:w="2051" w:type="dxa"/>
            <w:vAlign w:val="bottom"/>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1.230</w:t>
            </w:r>
          </w:p>
        </w:tc>
        <w:tc>
          <w:tcPr>
            <w:tcW w:w="2051" w:type="dxa"/>
            <w:vAlign w:val="bottom"/>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1.408</w:t>
            </w:r>
          </w:p>
        </w:tc>
      </w:tr>
      <w:tr w:rsidR="00AE5B31" w:rsidTr="00E7602D">
        <w:tc>
          <w:tcPr>
            <w:tcW w:w="4320" w:type="dxa"/>
          </w:tcPr>
          <w:p w:rsidR="00AE5B31" w:rsidRDefault="00AE5B31" w:rsidP="00E7602D">
            <w:pPr>
              <w:jc w:val="both"/>
              <w:rPr>
                <w:rFonts w:asciiTheme="minorHAnsi" w:hAnsiTheme="minorHAnsi"/>
                <w:sz w:val="20"/>
                <w:szCs w:val="24"/>
              </w:rPr>
            </w:pPr>
            <w:r>
              <w:rPr>
                <w:rFonts w:asciiTheme="minorHAnsi" w:hAnsiTheme="minorHAnsi"/>
                <w:sz w:val="20"/>
                <w:szCs w:val="24"/>
              </w:rPr>
              <w:t xml:space="preserve">  Peatón</w:t>
            </w:r>
          </w:p>
        </w:tc>
        <w:tc>
          <w:tcPr>
            <w:tcW w:w="2051" w:type="dxa"/>
            <w:vAlign w:val="bottom"/>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0.193</w:t>
            </w:r>
          </w:p>
        </w:tc>
        <w:tc>
          <w:tcPr>
            <w:tcW w:w="2051" w:type="dxa"/>
            <w:vAlign w:val="bottom"/>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0.203</w:t>
            </w:r>
          </w:p>
        </w:tc>
      </w:tr>
      <w:tr w:rsidR="00AE5B31" w:rsidTr="00E7602D">
        <w:tc>
          <w:tcPr>
            <w:tcW w:w="4320" w:type="dxa"/>
          </w:tcPr>
          <w:p w:rsidR="00AE5B31" w:rsidRDefault="00AE5B31" w:rsidP="00E7602D">
            <w:pPr>
              <w:jc w:val="both"/>
              <w:rPr>
                <w:rFonts w:asciiTheme="minorHAnsi" w:hAnsiTheme="minorHAnsi"/>
                <w:sz w:val="20"/>
                <w:szCs w:val="24"/>
              </w:rPr>
            </w:pPr>
            <w:r>
              <w:rPr>
                <w:rFonts w:asciiTheme="minorHAnsi" w:hAnsiTheme="minorHAnsi"/>
                <w:b/>
                <w:sz w:val="20"/>
                <w:szCs w:val="24"/>
              </w:rPr>
              <w:t>Carga</w:t>
            </w:r>
          </w:p>
        </w:tc>
        <w:tc>
          <w:tcPr>
            <w:tcW w:w="2051" w:type="dxa"/>
          </w:tcPr>
          <w:p w:rsidR="00AE5B31" w:rsidRPr="00B70F2C" w:rsidRDefault="00AE5B31" w:rsidP="00E7602D">
            <w:pPr>
              <w:jc w:val="right"/>
              <w:rPr>
                <w:rFonts w:asciiTheme="minorHAnsi" w:hAnsiTheme="minorHAnsi"/>
                <w:sz w:val="20"/>
                <w:szCs w:val="24"/>
              </w:rPr>
            </w:pPr>
          </w:p>
        </w:tc>
        <w:tc>
          <w:tcPr>
            <w:tcW w:w="2051" w:type="dxa"/>
          </w:tcPr>
          <w:p w:rsidR="00AE5B31" w:rsidRPr="00B70F2C" w:rsidRDefault="00AE5B31" w:rsidP="00E7602D">
            <w:pPr>
              <w:jc w:val="right"/>
              <w:rPr>
                <w:rFonts w:asciiTheme="minorHAnsi" w:hAnsiTheme="minorHAnsi"/>
                <w:sz w:val="20"/>
                <w:szCs w:val="24"/>
              </w:rPr>
            </w:pPr>
          </w:p>
        </w:tc>
      </w:tr>
      <w:tr w:rsidR="00AE5B31" w:rsidTr="00E7602D">
        <w:tc>
          <w:tcPr>
            <w:tcW w:w="4320" w:type="dxa"/>
          </w:tcPr>
          <w:p w:rsidR="00AE5B31" w:rsidRDefault="00AE5B31" w:rsidP="00E7602D">
            <w:pPr>
              <w:jc w:val="both"/>
              <w:rPr>
                <w:rFonts w:asciiTheme="minorHAnsi" w:hAnsiTheme="minorHAnsi"/>
                <w:sz w:val="20"/>
                <w:szCs w:val="24"/>
              </w:rPr>
            </w:pPr>
            <w:r>
              <w:rPr>
                <w:rFonts w:asciiTheme="minorHAnsi" w:hAnsiTheme="minorHAnsi"/>
                <w:sz w:val="20"/>
                <w:szCs w:val="24"/>
              </w:rPr>
              <w:t xml:space="preserve">  Exportación / Importación</w:t>
            </w:r>
          </w:p>
        </w:tc>
        <w:tc>
          <w:tcPr>
            <w:tcW w:w="2051" w:type="dxa"/>
            <w:vAlign w:val="bottom"/>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0.807</w:t>
            </w:r>
          </w:p>
        </w:tc>
        <w:tc>
          <w:tcPr>
            <w:tcW w:w="2051" w:type="dxa"/>
            <w:vAlign w:val="bottom"/>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1</w:t>
            </w:r>
            <w:r w:rsidRPr="007C160B">
              <w:rPr>
                <w:rFonts w:asciiTheme="minorHAnsi" w:hAnsiTheme="minorHAnsi"/>
                <w:sz w:val="20"/>
                <w:szCs w:val="24"/>
              </w:rPr>
              <w:t>.</w:t>
            </w:r>
            <w:r>
              <w:rPr>
                <w:rFonts w:asciiTheme="minorHAnsi" w:hAnsiTheme="minorHAnsi"/>
                <w:sz w:val="20"/>
                <w:szCs w:val="24"/>
              </w:rPr>
              <w:t>706</w:t>
            </w:r>
          </w:p>
        </w:tc>
      </w:tr>
      <w:tr w:rsidR="00AE5B31" w:rsidTr="00E7602D">
        <w:tc>
          <w:tcPr>
            <w:tcW w:w="4320" w:type="dxa"/>
          </w:tcPr>
          <w:p w:rsidR="00AE5B31" w:rsidRPr="00C81D6E" w:rsidRDefault="00AE5B31" w:rsidP="00E7602D">
            <w:pPr>
              <w:jc w:val="both"/>
              <w:rPr>
                <w:rFonts w:asciiTheme="minorHAnsi" w:hAnsiTheme="minorHAnsi"/>
                <w:b/>
                <w:sz w:val="20"/>
                <w:szCs w:val="24"/>
              </w:rPr>
            </w:pPr>
            <w:r>
              <w:rPr>
                <w:rFonts w:asciiTheme="minorHAnsi" w:hAnsiTheme="minorHAnsi"/>
                <w:sz w:val="20"/>
                <w:szCs w:val="24"/>
              </w:rPr>
              <w:t xml:space="preserve">  Tránsito</w:t>
            </w:r>
          </w:p>
        </w:tc>
        <w:tc>
          <w:tcPr>
            <w:tcW w:w="2051" w:type="dxa"/>
            <w:vAlign w:val="bottom"/>
          </w:tcPr>
          <w:p w:rsidR="00AE5B31" w:rsidRDefault="00AE5B31" w:rsidP="00E7602D">
            <w:pPr>
              <w:jc w:val="right"/>
              <w:rPr>
                <w:rFonts w:asciiTheme="minorHAnsi" w:hAnsiTheme="minorHAnsi"/>
                <w:sz w:val="20"/>
                <w:szCs w:val="24"/>
              </w:rPr>
            </w:pPr>
            <w:r>
              <w:rPr>
                <w:rFonts w:asciiTheme="minorHAnsi" w:hAnsiTheme="minorHAnsi"/>
                <w:sz w:val="20"/>
                <w:szCs w:val="24"/>
              </w:rPr>
              <w:t>0.812</w:t>
            </w:r>
          </w:p>
        </w:tc>
        <w:tc>
          <w:tcPr>
            <w:tcW w:w="2051" w:type="dxa"/>
            <w:vAlign w:val="bottom"/>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1.651</w:t>
            </w:r>
          </w:p>
        </w:tc>
      </w:tr>
      <w:tr w:rsidR="00AE5B31" w:rsidTr="00E7602D">
        <w:tc>
          <w:tcPr>
            <w:tcW w:w="4320" w:type="dxa"/>
          </w:tcPr>
          <w:p w:rsidR="00AE5B31" w:rsidRDefault="00AE5B31" w:rsidP="00E7602D">
            <w:pPr>
              <w:jc w:val="both"/>
              <w:rPr>
                <w:rFonts w:asciiTheme="minorHAnsi" w:hAnsiTheme="minorHAnsi"/>
                <w:b/>
                <w:sz w:val="20"/>
                <w:szCs w:val="24"/>
              </w:rPr>
            </w:pPr>
            <w:r>
              <w:rPr>
                <w:rFonts w:asciiTheme="minorHAnsi" w:hAnsiTheme="minorHAnsi"/>
                <w:sz w:val="20"/>
                <w:szCs w:val="24"/>
              </w:rPr>
              <w:t xml:space="preserve">  Vacíos</w:t>
            </w:r>
          </w:p>
        </w:tc>
        <w:tc>
          <w:tcPr>
            <w:tcW w:w="2051" w:type="dxa"/>
            <w:vAlign w:val="bottom"/>
          </w:tcPr>
          <w:p w:rsidR="00AE5B31" w:rsidRDefault="00AE5B31" w:rsidP="00E7602D">
            <w:pPr>
              <w:jc w:val="right"/>
              <w:rPr>
                <w:rFonts w:asciiTheme="minorHAnsi" w:hAnsiTheme="minorHAnsi"/>
                <w:sz w:val="20"/>
                <w:szCs w:val="24"/>
              </w:rPr>
            </w:pPr>
            <w:r>
              <w:rPr>
                <w:rFonts w:asciiTheme="minorHAnsi" w:hAnsiTheme="minorHAnsi"/>
                <w:sz w:val="20"/>
                <w:szCs w:val="24"/>
              </w:rPr>
              <w:t>0.557</w:t>
            </w:r>
          </w:p>
        </w:tc>
        <w:tc>
          <w:tcPr>
            <w:tcW w:w="2051" w:type="dxa"/>
            <w:vAlign w:val="bottom"/>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1</w:t>
            </w:r>
            <w:r w:rsidRPr="007C160B">
              <w:rPr>
                <w:rFonts w:asciiTheme="minorHAnsi" w:hAnsiTheme="minorHAnsi"/>
                <w:sz w:val="20"/>
                <w:szCs w:val="24"/>
              </w:rPr>
              <w:t>.</w:t>
            </w:r>
            <w:r>
              <w:rPr>
                <w:rFonts w:asciiTheme="minorHAnsi" w:hAnsiTheme="minorHAnsi"/>
                <w:sz w:val="20"/>
                <w:szCs w:val="24"/>
              </w:rPr>
              <w:t>212</w:t>
            </w:r>
          </w:p>
        </w:tc>
      </w:tr>
    </w:tbl>
    <w:p w:rsidR="00AE5B31" w:rsidRPr="0071350C" w:rsidRDefault="00AE5B31" w:rsidP="00AE5B31">
      <w:pPr>
        <w:pStyle w:val="ListParagraph"/>
        <w:ind w:left="705"/>
        <w:jc w:val="both"/>
        <w:rPr>
          <w:i/>
          <w:szCs w:val="24"/>
        </w:rPr>
      </w:pPr>
      <w:r w:rsidRPr="005250F0">
        <w:rPr>
          <w:sz w:val="18"/>
          <w:szCs w:val="24"/>
        </w:rPr>
        <w:t xml:space="preserve">Fuente: </w:t>
      </w:r>
      <w:r w:rsidRPr="00910299">
        <w:rPr>
          <w:sz w:val="18"/>
          <w:szCs w:val="24"/>
        </w:rPr>
        <w:t>“</w:t>
      </w:r>
      <w:r w:rsidRPr="008B1214">
        <w:rPr>
          <w:sz w:val="18"/>
          <w:szCs w:val="24"/>
        </w:rPr>
        <w:t>Elaboración de la línea base y estimación de ahorros para los procesos de carga y migración del paso de frontera Guabito, Cabecera de Panamá”.</w:t>
      </w:r>
    </w:p>
    <w:p w:rsidR="00AE5B31" w:rsidRPr="0006088F" w:rsidRDefault="00AE5B31" w:rsidP="00AE5B31">
      <w:pPr>
        <w:widowControl w:val="0"/>
        <w:adjustRightInd w:val="0"/>
        <w:ind w:left="705"/>
        <w:jc w:val="center"/>
        <w:textAlignment w:val="baseline"/>
        <w:rPr>
          <w:b/>
        </w:rPr>
      </w:pPr>
    </w:p>
    <w:p w:rsidR="00AE5B31" w:rsidRPr="0006088F" w:rsidRDefault="00AE5B31" w:rsidP="00AE5B31">
      <w:pPr>
        <w:widowControl w:val="0"/>
        <w:adjustRightInd w:val="0"/>
        <w:ind w:left="709"/>
        <w:jc w:val="both"/>
        <w:textAlignment w:val="baseline"/>
      </w:pPr>
    </w:p>
    <w:p w:rsidR="00AE5B31" w:rsidRPr="0071513D" w:rsidRDefault="00AE5B31" w:rsidP="00AE5B31">
      <w:pPr>
        <w:widowControl w:val="0"/>
        <w:adjustRightInd w:val="0"/>
        <w:jc w:val="both"/>
        <w:textAlignment w:val="baseline"/>
      </w:pPr>
      <w:r>
        <w:rPr>
          <w:u w:val="single"/>
        </w:rPr>
        <w:t>Guabito</w:t>
      </w:r>
      <w:r w:rsidRPr="0071513D">
        <w:rPr>
          <w:u w:val="single"/>
        </w:rPr>
        <w:t>“Con Proyecto”.</w:t>
      </w:r>
      <w:r w:rsidRPr="0071513D">
        <w:t xml:space="preserve">Los tiempos de permanencia en </w:t>
      </w:r>
      <w:r>
        <w:t>Guabito</w:t>
      </w:r>
      <w:r w:rsidRPr="0071513D">
        <w:t xml:space="preserve"> en</w:t>
      </w:r>
      <w:r>
        <w:t xml:space="preserve"> la situación “Con</w:t>
      </w:r>
      <w:r w:rsidRPr="0071513D">
        <w:t xml:space="preserve"> Proyecto” para los pasajeros y vehículos así como para el transporte de car</w:t>
      </w:r>
      <w:r>
        <w:t>ga se presentan seguidamente</w:t>
      </w:r>
      <w:r w:rsidRPr="0071513D">
        <w:t xml:space="preserve">.  </w:t>
      </w:r>
      <w:r>
        <w:t>Al igual que en caso “Sin Proyecto”, l</w:t>
      </w:r>
      <w:r w:rsidRPr="0071513D">
        <w:t>os tiempos indicados constituyen un estimado de acuerdo a las cifras según tipo de transporte y tipo de despacho (esto en el caso de la carga).</w:t>
      </w:r>
    </w:p>
    <w:p w:rsidR="00AE5B31" w:rsidRPr="0006088F" w:rsidRDefault="00AE5B31" w:rsidP="00AE5B31">
      <w:pPr>
        <w:widowControl w:val="0"/>
        <w:adjustRightInd w:val="0"/>
        <w:ind w:left="709"/>
        <w:jc w:val="center"/>
        <w:textAlignment w:val="baseline"/>
      </w:pPr>
    </w:p>
    <w:p w:rsidR="00AE5B31" w:rsidRPr="0006088F" w:rsidRDefault="00AE5B31" w:rsidP="00AE5B31">
      <w:pPr>
        <w:widowControl w:val="0"/>
        <w:adjustRightInd w:val="0"/>
        <w:ind w:left="709"/>
        <w:jc w:val="both"/>
        <w:textAlignment w:val="baseline"/>
      </w:pPr>
    </w:p>
    <w:p w:rsidR="00AE5B31" w:rsidRDefault="00AE5B31" w:rsidP="00AE5B31">
      <w:pPr>
        <w:widowControl w:val="0"/>
        <w:adjustRightInd w:val="0"/>
        <w:ind w:left="709"/>
        <w:jc w:val="both"/>
        <w:textAlignment w:val="baseline"/>
      </w:pPr>
    </w:p>
    <w:p w:rsidR="00AE5B31" w:rsidRDefault="00AE5B31" w:rsidP="00AE5B31">
      <w:pPr>
        <w:widowControl w:val="0"/>
        <w:adjustRightInd w:val="0"/>
        <w:ind w:left="709"/>
        <w:jc w:val="both"/>
        <w:textAlignment w:val="baseline"/>
      </w:pPr>
    </w:p>
    <w:p w:rsidR="00AE5B31" w:rsidRDefault="00AE5B31" w:rsidP="00AE5B31">
      <w:pPr>
        <w:widowControl w:val="0"/>
        <w:adjustRightInd w:val="0"/>
        <w:ind w:left="709"/>
        <w:jc w:val="both"/>
        <w:textAlignment w:val="baseline"/>
      </w:pPr>
    </w:p>
    <w:p w:rsidR="00AE5B31" w:rsidRDefault="00AE5B31" w:rsidP="00AE5B31">
      <w:pPr>
        <w:widowControl w:val="0"/>
        <w:adjustRightInd w:val="0"/>
        <w:ind w:left="709"/>
        <w:jc w:val="both"/>
        <w:textAlignment w:val="baseline"/>
      </w:pPr>
    </w:p>
    <w:p w:rsidR="00AE5B31" w:rsidRDefault="00AE5B31" w:rsidP="00AE5B31">
      <w:pPr>
        <w:widowControl w:val="0"/>
        <w:adjustRightInd w:val="0"/>
        <w:ind w:left="709"/>
        <w:jc w:val="both"/>
        <w:textAlignment w:val="baseline"/>
      </w:pPr>
    </w:p>
    <w:p w:rsidR="00AE5B31" w:rsidRDefault="00AE5B31" w:rsidP="00AE5B31">
      <w:pPr>
        <w:widowControl w:val="0"/>
        <w:adjustRightInd w:val="0"/>
        <w:ind w:left="709"/>
        <w:jc w:val="both"/>
        <w:textAlignment w:val="baseline"/>
      </w:pPr>
    </w:p>
    <w:p w:rsidR="00AE5B31" w:rsidRDefault="00AE5B31" w:rsidP="00AE5B31">
      <w:pPr>
        <w:widowControl w:val="0"/>
        <w:adjustRightInd w:val="0"/>
        <w:ind w:left="709"/>
        <w:jc w:val="both"/>
        <w:textAlignment w:val="baseline"/>
      </w:pPr>
    </w:p>
    <w:p w:rsidR="00AE5B31" w:rsidRDefault="00AE5B31" w:rsidP="00AE5B31">
      <w:pPr>
        <w:widowControl w:val="0"/>
        <w:adjustRightInd w:val="0"/>
        <w:ind w:left="709"/>
        <w:jc w:val="both"/>
        <w:textAlignment w:val="baseline"/>
      </w:pPr>
    </w:p>
    <w:p w:rsidR="00AE5B31" w:rsidRDefault="00AE5B31" w:rsidP="00AE5B31">
      <w:pPr>
        <w:widowControl w:val="0"/>
        <w:adjustRightInd w:val="0"/>
        <w:ind w:left="709"/>
        <w:jc w:val="both"/>
        <w:textAlignment w:val="baseline"/>
      </w:pPr>
    </w:p>
    <w:p w:rsidR="00AE5B31" w:rsidRDefault="00AE5B31" w:rsidP="00AE5B31">
      <w:pPr>
        <w:widowControl w:val="0"/>
        <w:adjustRightInd w:val="0"/>
        <w:ind w:left="709"/>
        <w:jc w:val="both"/>
        <w:textAlignment w:val="baseline"/>
      </w:pPr>
    </w:p>
    <w:p w:rsidR="00AE5B31" w:rsidRDefault="00AE5B31" w:rsidP="00AE5B31">
      <w:pPr>
        <w:widowControl w:val="0"/>
        <w:adjustRightInd w:val="0"/>
        <w:ind w:left="709"/>
        <w:jc w:val="both"/>
        <w:textAlignment w:val="baseline"/>
      </w:pPr>
    </w:p>
    <w:p w:rsidR="00AE5B31" w:rsidRDefault="00AE5B31" w:rsidP="00AE5B31">
      <w:pPr>
        <w:widowControl w:val="0"/>
        <w:adjustRightInd w:val="0"/>
        <w:ind w:left="709"/>
        <w:jc w:val="both"/>
        <w:textAlignment w:val="baseline"/>
      </w:pPr>
    </w:p>
    <w:p w:rsidR="00AE5B31" w:rsidRPr="00B70F2C" w:rsidRDefault="00AE5B31" w:rsidP="00AE5B31">
      <w:pPr>
        <w:pStyle w:val="ListParagraph"/>
        <w:ind w:left="705"/>
        <w:jc w:val="center"/>
        <w:rPr>
          <w:b/>
          <w:sz w:val="22"/>
          <w:szCs w:val="22"/>
        </w:rPr>
      </w:pPr>
      <w:r w:rsidRPr="00B70F2C">
        <w:rPr>
          <w:b/>
          <w:sz w:val="22"/>
          <w:szCs w:val="22"/>
        </w:rPr>
        <w:t xml:space="preserve">Cuadro </w:t>
      </w:r>
      <w:r>
        <w:rPr>
          <w:b/>
          <w:sz w:val="22"/>
          <w:szCs w:val="22"/>
        </w:rPr>
        <w:t>XIII</w:t>
      </w:r>
    </w:p>
    <w:p w:rsidR="00AE5B31" w:rsidRPr="00B70F2C" w:rsidRDefault="00AE5B31" w:rsidP="00AE5B31">
      <w:pPr>
        <w:pStyle w:val="ListParagraph"/>
        <w:ind w:left="705"/>
        <w:jc w:val="center"/>
        <w:rPr>
          <w:b/>
          <w:bCs/>
          <w:sz w:val="20"/>
          <w:lang w:val="es-ES" w:eastAsia="es-ES"/>
        </w:rPr>
      </w:pPr>
      <w:r>
        <w:rPr>
          <w:b/>
          <w:bCs/>
          <w:sz w:val="20"/>
          <w:lang w:val="es-ES" w:eastAsia="es-ES"/>
        </w:rPr>
        <w:t>GUABITO</w:t>
      </w:r>
    </w:p>
    <w:p w:rsidR="00AE5B31" w:rsidRPr="00B70F2C" w:rsidRDefault="00AE5B31" w:rsidP="00AE5B31">
      <w:pPr>
        <w:pStyle w:val="ListParagraph"/>
        <w:ind w:left="705"/>
        <w:jc w:val="center"/>
        <w:rPr>
          <w:sz w:val="20"/>
        </w:rPr>
      </w:pPr>
      <w:r>
        <w:rPr>
          <w:b/>
          <w:bCs/>
          <w:sz w:val="20"/>
          <w:lang w:val="es-ES" w:eastAsia="es-ES"/>
        </w:rPr>
        <w:t>“Con Proyecto”: Tiempos de Permanencia en Guabito (horas/tipo de transporte)</w:t>
      </w:r>
    </w:p>
    <w:p w:rsidR="00AE5B31" w:rsidRPr="005250F0" w:rsidRDefault="00AE5B31" w:rsidP="00AE5B31">
      <w:pPr>
        <w:pStyle w:val="ListParagraph"/>
        <w:ind w:left="705"/>
        <w:jc w:val="both"/>
        <w:rPr>
          <w:szCs w:val="24"/>
        </w:rPr>
      </w:pPr>
    </w:p>
    <w:tbl>
      <w:tblPr>
        <w:tblStyle w:val="TableGrid"/>
        <w:tblW w:w="0" w:type="auto"/>
        <w:tblInd w:w="715" w:type="dxa"/>
        <w:tblLook w:val="04A0" w:firstRow="1" w:lastRow="0" w:firstColumn="1" w:lastColumn="0" w:noHBand="0" w:noVBand="1"/>
      </w:tblPr>
      <w:tblGrid>
        <w:gridCol w:w="4320"/>
        <w:gridCol w:w="2051"/>
        <w:gridCol w:w="2051"/>
      </w:tblGrid>
      <w:tr w:rsidR="00AE5B31" w:rsidTr="00E7602D">
        <w:tc>
          <w:tcPr>
            <w:tcW w:w="4320" w:type="dxa"/>
            <w:vAlign w:val="center"/>
          </w:tcPr>
          <w:p w:rsidR="00AE5B31" w:rsidRPr="00C81D6E" w:rsidRDefault="00AE5B31" w:rsidP="00E7602D">
            <w:pPr>
              <w:jc w:val="center"/>
              <w:rPr>
                <w:rFonts w:asciiTheme="minorHAnsi" w:hAnsiTheme="minorHAnsi"/>
                <w:b/>
                <w:sz w:val="20"/>
                <w:szCs w:val="24"/>
              </w:rPr>
            </w:pPr>
            <w:r>
              <w:rPr>
                <w:rFonts w:asciiTheme="minorHAnsi" w:hAnsiTheme="minorHAnsi"/>
                <w:b/>
                <w:sz w:val="20"/>
                <w:szCs w:val="24"/>
              </w:rPr>
              <w:t>Tipo de Usuario</w:t>
            </w:r>
          </w:p>
        </w:tc>
        <w:tc>
          <w:tcPr>
            <w:tcW w:w="2051" w:type="dxa"/>
            <w:vAlign w:val="center"/>
          </w:tcPr>
          <w:p w:rsidR="00AE5B31" w:rsidRPr="00C81D6E" w:rsidRDefault="00AE5B31" w:rsidP="00E7602D">
            <w:pPr>
              <w:jc w:val="center"/>
              <w:rPr>
                <w:rFonts w:asciiTheme="minorHAnsi" w:hAnsiTheme="minorHAnsi"/>
                <w:b/>
                <w:sz w:val="20"/>
                <w:szCs w:val="24"/>
              </w:rPr>
            </w:pPr>
            <w:r>
              <w:rPr>
                <w:rFonts w:asciiTheme="minorHAnsi" w:hAnsiTheme="minorHAnsi"/>
                <w:b/>
                <w:sz w:val="20"/>
                <w:szCs w:val="24"/>
              </w:rPr>
              <w:t>PA&gt;CR</w:t>
            </w:r>
          </w:p>
        </w:tc>
        <w:tc>
          <w:tcPr>
            <w:tcW w:w="2051" w:type="dxa"/>
            <w:vAlign w:val="center"/>
          </w:tcPr>
          <w:p w:rsidR="00AE5B31" w:rsidRPr="00C81D6E" w:rsidRDefault="00AE5B31" w:rsidP="00E7602D">
            <w:pPr>
              <w:jc w:val="center"/>
              <w:rPr>
                <w:rFonts w:asciiTheme="minorHAnsi" w:hAnsiTheme="minorHAnsi"/>
                <w:b/>
                <w:sz w:val="20"/>
                <w:szCs w:val="24"/>
              </w:rPr>
            </w:pPr>
            <w:r>
              <w:rPr>
                <w:rFonts w:asciiTheme="minorHAnsi" w:hAnsiTheme="minorHAnsi"/>
                <w:b/>
                <w:sz w:val="20"/>
                <w:szCs w:val="24"/>
              </w:rPr>
              <w:t>CR&gt;PA</w:t>
            </w:r>
          </w:p>
        </w:tc>
      </w:tr>
      <w:tr w:rsidR="00AE5B31" w:rsidTr="00E7602D">
        <w:tc>
          <w:tcPr>
            <w:tcW w:w="4320" w:type="dxa"/>
            <w:vAlign w:val="center"/>
          </w:tcPr>
          <w:p w:rsidR="00AE5B31" w:rsidRPr="00C81D6E" w:rsidRDefault="00AE5B31" w:rsidP="00E7602D">
            <w:pPr>
              <w:rPr>
                <w:rFonts w:asciiTheme="minorHAnsi" w:hAnsiTheme="minorHAnsi"/>
                <w:b/>
                <w:sz w:val="20"/>
                <w:szCs w:val="24"/>
              </w:rPr>
            </w:pPr>
            <w:r>
              <w:rPr>
                <w:rFonts w:asciiTheme="minorHAnsi" w:hAnsiTheme="minorHAnsi"/>
                <w:b/>
                <w:sz w:val="20"/>
                <w:szCs w:val="24"/>
              </w:rPr>
              <w:t>Personas &amp; Vehículos</w:t>
            </w:r>
          </w:p>
        </w:tc>
        <w:tc>
          <w:tcPr>
            <w:tcW w:w="2051" w:type="dxa"/>
            <w:vAlign w:val="center"/>
          </w:tcPr>
          <w:p w:rsidR="00AE5B31" w:rsidRPr="00C81D6E" w:rsidRDefault="00AE5B31" w:rsidP="00E7602D">
            <w:pPr>
              <w:jc w:val="center"/>
              <w:rPr>
                <w:rFonts w:asciiTheme="minorHAnsi" w:hAnsiTheme="minorHAnsi"/>
                <w:b/>
                <w:sz w:val="20"/>
                <w:szCs w:val="24"/>
              </w:rPr>
            </w:pPr>
          </w:p>
        </w:tc>
        <w:tc>
          <w:tcPr>
            <w:tcW w:w="2051" w:type="dxa"/>
            <w:vAlign w:val="center"/>
          </w:tcPr>
          <w:p w:rsidR="00AE5B31" w:rsidRPr="00C81D6E" w:rsidRDefault="00AE5B31" w:rsidP="00E7602D">
            <w:pPr>
              <w:rPr>
                <w:rFonts w:asciiTheme="minorHAnsi" w:hAnsiTheme="minorHAnsi"/>
                <w:b/>
                <w:sz w:val="20"/>
                <w:szCs w:val="24"/>
              </w:rPr>
            </w:pPr>
          </w:p>
        </w:tc>
      </w:tr>
      <w:tr w:rsidR="00AE5B31" w:rsidTr="00E7602D">
        <w:tc>
          <w:tcPr>
            <w:tcW w:w="4320" w:type="dxa"/>
          </w:tcPr>
          <w:p w:rsidR="00AE5B31" w:rsidRPr="00B70F2C" w:rsidRDefault="00AE5B31" w:rsidP="00E7602D">
            <w:pPr>
              <w:jc w:val="both"/>
              <w:rPr>
                <w:rFonts w:asciiTheme="minorHAnsi" w:hAnsiTheme="minorHAnsi"/>
                <w:sz w:val="20"/>
                <w:szCs w:val="24"/>
              </w:rPr>
            </w:pPr>
            <w:r>
              <w:rPr>
                <w:rFonts w:asciiTheme="minorHAnsi" w:hAnsiTheme="minorHAnsi"/>
                <w:sz w:val="20"/>
                <w:szCs w:val="24"/>
              </w:rPr>
              <w:t xml:space="preserve">  Automóvil</w:t>
            </w:r>
          </w:p>
        </w:tc>
        <w:tc>
          <w:tcPr>
            <w:tcW w:w="2051"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0.257</w:t>
            </w:r>
          </w:p>
        </w:tc>
        <w:tc>
          <w:tcPr>
            <w:tcW w:w="2051"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0.300</w:t>
            </w:r>
          </w:p>
        </w:tc>
      </w:tr>
      <w:tr w:rsidR="00AE5B31" w:rsidTr="00E7602D">
        <w:tc>
          <w:tcPr>
            <w:tcW w:w="4320" w:type="dxa"/>
          </w:tcPr>
          <w:p w:rsidR="00AE5B31" w:rsidRPr="00B70F2C" w:rsidRDefault="00AE5B31" w:rsidP="00E7602D">
            <w:pPr>
              <w:jc w:val="both"/>
              <w:rPr>
                <w:rFonts w:asciiTheme="minorHAnsi" w:hAnsiTheme="minorHAnsi"/>
                <w:sz w:val="20"/>
                <w:szCs w:val="24"/>
              </w:rPr>
            </w:pPr>
            <w:r>
              <w:rPr>
                <w:rFonts w:asciiTheme="minorHAnsi" w:hAnsiTheme="minorHAnsi"/>
                <w:sz w:val="20"/>
                <w:szCs w:val="24"/>
              </w:rPr>
              <w:t xml:space="preserve">  Bus</w:t>
            </w:r>
          </w:p>
        </w:tc>
        <w:tc>
          <w:tcPr>
            <w:tcW w:w="2051"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0.567</w:t>
            </w:r>
          </w:p>
        </w:tc>
        <w:tc>
          <w:tcPr>
            <w:tcW w:w="2051"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0.700</w:t>
            </w:r>
          </w:p>
        </w:tc>
      </w:tr>
      <w:tr w:rsidR="00AE5B31" w:rsidTr="00E7602D">
        <w:tc>
          <w:tcPr>
            <w:tcW w:w="4320" w:type="dxa"/>
          </w:tcPr>
          <w:p w:rsidR="00AE5B31" w:rsidRDefault="00AE5B31" w:rsidP="00E7602D">
            <w:pPr>
              <w:jc w:val="both"/>
              <w:rPr>
                <w:rFonts w:asciiTheme="minorHAnsi" w:hAnsiTheme="minorHAnsi"/>
                <w:sz w:val="20"/>
                <w:szCs w:val="24"/>
              </w:rPr>
            </w:pPr>
            <w:r>
              <w:rPr>
                <w:rFonts w:asciiTheme="minorHAnsi" w:hAnsiTheme="minorHAnsi"/>
                <w:sz w:val="20"/>
                <w:szCs w:val="24"/>
              </w:rPr>
              <w:t xml:space="preserve">  Peatón</w:t>
            </w:r>
          </w:p>
        </w:tc>
        <w:tc>
          <w:tcPr>
            <w:tcW w:w="2051"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0.045</w:t>
            </w:r>
          </w:p>
        </w:tc>
        <w:tc>
          <w:tcPr>
            <w:tcW w:w="2051"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0.057</w:t>
            </w:r>
          </w:p>
        </w:tc>
      </w:tr>
      <w:tr w:rsidR="00AE5B31" w:rsidTr="00E7602D">
        <w:tc>
          <w:tcPr>
            <w:tcW w:w="4320" w:type="dxa"/>
          </w:tcPr>
          <w:p w:rsidR="00AE5B31" w:rsidRDefault="00AE5B31" w:rsidP="00E7602D">
            <w:pPr>
              <w:jc w:val="both"/>
              <w:rPr>
                <w:rFonts w:asciiTheme="minorHAnsi" w:hAnsiTheme="minorHAnsi"/>
                <w:sz w:val="20"/>
                <w:szCs w:val="24"/>
              </w:rPr>
            </w:pPr>
            <w:r>
              <w:rPr>
                <w:rFonts w:asciiTheme="minorHAnsi" w:hAnsiTheme="minorHAnsi"/>
                <w:b/>
                <w:sz w:val="20"/>
                <w:szCs w:val="24"/>
              </w:rPr>
              <w:t>Carga</w:t>
            </w:r>
          </w:p>
        </w:tc>
        <w:tc>
          <w:tcPr>
            <w:tcW w:w="2051" w:type="dxa"/>
          </w:tcPr>
          <w:p w:rsidR="00AE5B31" w:rsidRPr="00B70F2C" w:rsidRDefault="00AE5B31" w:rsidP="00E7602D">
            <w:pPr>
              <w:jc w:val="right"/>
              <w:rPr>
                <w:rFonts w:asciiTheme="minorHAnsi" w:hAnsiTheme="minorHAnsi"/>
                <w:sz w:val="20"/>
                <w:szCs w:val="24"/>
              </w:rPr>
            </w:pPr>
          </w:p>
        </w:tc>
        <w:tc>
          <w:tcPr>
            <w:tcW w:w="2051" w:type="dxa"/>
          </w:tcPr>
          <w:p w:rsidR="00AE5B31" w:rsidRPr="00B70F2C" w:rsidRDefault="00AE5B31" w:rsidP="00E7602D">
            <w:pPr>
              <w:jc w:val="right"/>
              <w:rPr>
                <w:rFonts w:asciiTheme="minorHAnsi" w:hAnsiTheme="minorHAnsi"/>
                <w:sz w:val="20"/>
                <w:szCs w:val="24"/>
              </w:rPr>
            </w:pPr>
          </w:p>
        </w:tc>
      </w:tr>
      <w:tr w:rsidR="00AE5B31" w:rsidTr="00E7602D">
        <w:tc>
          <w:tcPr>
            <w:tcW w:w="4320" w:type="dxa"/>
          </w:tcPr>
          <w:p w:rsidR="00AE5B31" w:rsidRDefault="00AE5B31" w:rsidP="00E7602D">
            <w:pPr>
              <w:jc w:val="both"/>
              <w:rPr>
                <w:rFonts w:asciiTheme="minorHAnsi" w:hAnsiTheme="minorHAnsi"/>
                <w:sz w:val="20"/>
                <w:szCs w:val="24"/>
              </w:rPr>
            </w:pPr>
            <w:r>
              <w:rPr>
                <w:rFonts w:asciiTheme="minorHAnsi" w:hAnsiTheme="minorHAnsi"/>
                <w:sz w:val="20"/>
                <w:szCs w:val="24"/>
              </w:rPr>
              <w:t xml:space="preserve">  Exportación / Importación</w:t>
            </w:r>
          </w:p>
        </w:tc>
        <w:tc>
          <w:tcPr>
            <w:tcW w:w="2051"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0.652</w:t>
            </w:r>
          </w:p>
        </w:tc>
        <w:tc>
          <w:tcPr>
            <w:tcW w:w="2051" w:type="dxa"/>
            <w:vAlign w:val="bottom"/>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0.930</w:t>
            </w:r>
          </w:p>
        </w:tc>
      </w:tr>
      <w:tr w:rsidR="00AE5B31" w:rsidTr="00E7602D">
        <w:tc>
          <w:tcPr>
            <w:tcW w:w="4320" w:type="dxa"/>
          </w:tcPr>
          <w:p w:rsidR="00AE5B31" w:rsidRPr="00C81D6E" w:rsidRDefault="00AE5B31" w:rsidP="00E7602D">
            <w:pPr>
              <w:jc w:val="both"/>
              <w:rPr>
                <w:rFonts w:asciiTheme="minorHAnsi" w:hAnsiTheme="minorHAnsi"/>
                <w:b/>
                <w:sz w:val="20"/>
                <w:szCs w:val="24"/>
              </w:rPr>
            </w:pPr>
            <w:r>
              <w:rPr>
                <w:rFonts w:asciiTheme="minorHAnsi" w:hAnsiTheme="minorHAnsi"/>
                <w:sz w:val="20"/>
                <w:szCs w:val="24"/>
              </w:rPr>
              <w:t xml:space="preserve">  Tránsito</w:t>
            </w:r>
          </w:p>
        </w:tc>
        <w:tc>
          <w:tcPr>
            <w:tcW w:w="2051" w:type="dxa"/>
          </w:tcPr>
          <w:p w:rsidR="00AE5B31" w:rsidRDefault="00AE5B31" w:rsidP="00E7602D">
            <w:pPr>
              <w:jc w:val="right"/>
              <w:rPr>
                <w:rFonts w:asciiTheme="minorHAnsi" w:hAnsiTheme="minorHAnsi"/>
                <w:sz w:val="20"/>
                <w:szCs w:val="24"/>
              </w:rPr>
            </w:pPr>
            <w:r>
              <w:rPr>
                <w:rFonts w:asciiTheme="minorHAnsi" w:hAnsiTheme="minorHAnsi"/>
                <w:sz w:val="20"/>
                <w:szCs w:val="24"/>
              </w:rPr>
              <w:t>0.656</w:t>
            </w:r>
          </w:p>
        </w:tc>
        <w:tc>
          <w:tcPr>
            <w:tcW w:w="2051" w:type="dxa"/>
            <w:vAlign w:val="bottom"/>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0.653</w:t>
            </w:r>
          </w:p>
        </w:tc>
      </w:tr>
      <w:tr w:rsidR="00AE5B31" w:rsidTr="00E7602D">
        <w:tc>
          <w:tcPr>
            <w:tcW w:w="4320" w:type="dxa"/>
          </w:tcPr>
          <w:p w:rsidR="00AE5B31" w:rsidRDefault="00AE5B31" w:rsidP="00E7602D">
            <w:pPr>
              <w:jc w:val="both"/>
              <w:rPr>
                <w:rFonts w:asciiTheme="minorHAnsi" w:hAnsiTheme="minorHAnsi"/>
                <w:b/>
                <w:sz w:val="20"/>
                <w:szCs w:val="24"/>
              </w:rPr>
            </w:pPr>
            <w:r>
              <w:rPr>
                <w:rFonts w:asciiTheme="minorHAnsi" w:hAnsiTheme="minorHAnsi"/>
                <w:sz w:val="20"/>
                <w:szCs w:val="24"/>
              </w:rPr>
              <w:t xml:space="preserve">  Vacíos</w:t>
            </w:r>
          </w:p>
        </w:tc>
        <w:tc>
          <w:tcPr>
            <w:tcW w:w="2051" w:type="dxa"/>
          </w:tcPr>
          <w:p w:rsidR="00AE5B31" w:rsidRDefault="00AE5B31" w:rsidP="00E7602D">
            <w:pPr>
              <w:jc w:val="right"/>
              <w:rPr>
                <w:rFonts w:asciiTheme="minorHAnsi" w:hAnsiTheme="minorHAnsi"/>
                <w:sz w:val="20"/>
                <w:szCs w:val="24"/>
              </w:rPr>
            </w:pPr>
            <w:r>
              <w:rPr>
                <w:rFonts w:asciiTheme="minorHAnsi" w:hAnsiTheme="minorHAnsi"/>
                <w:sz w:val="20"/>
                <w:szCs w:val="24"/>
              </w:rPr>
              <w:t>0.361</w:t>
            </w:r>
          </w:p>
        </w:tc>
        <w:tc>
          <w:tcPr>
            <w:tcW w:w="2051" w:type="dxa"/>
            <w:vAlign w:val="bottom"/>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0.356</w:t>
            </w:r>
          </w:p>
        </w:tc>
      </w:tr>
    </w:tbl>
    <w:p w:rsidR="00AE5B31" w:rsidRDefault="00AE5B31" w:rsidP="00AE5B31">
      <w:pPr>
        <w:pStyle w:val="ListParagraph"/>
        <w:ind w:left="705"/>
        <w:jc w:val="both"/>
      </w:pPr>
      <w:r w:rsidRPr="005250F0">
        <w:rPr>
          <w:sz w:val="18"/>
          <w:szCs w:val="24"/>
        </w:rPr>
        <w:t xml:space="preserve">Fuente: </w:t>
      </w:r>
      <w:r w:rsidRPr="00910299">
        <w:rPr>
          <w:sz w:val="18"/>
          <w:szCs w:val="24"/>
        </w:rPr>
        <w:t>“</w:t>
      </w:r>
      <w:r w:rsidRPr="008B1214">
        <w:rPr>
          <w:sz w:val="18"/>
          <w:szCs w:val="24"/>
        </w:rPr>
        <w:t>Elaboración de la línea base y estimación de ahorros para los procesos de carga y migración del paso de frontera Guabito, Cabecera de Panamá”</w:t>
      </w:r>
    </w:p>
    <w:p w:rsidR="00AE5B31" w:rsidRDefault="00AE5B31" w:rsidP="00AE5B31">
      <w:pPr>
        <w:widowControl w:val="0"/>
        <w:adjustRightInd w:val="0"/>
        <w:jc w:val="both"/>
        <w:textAlignment w:val="baseline"/>
      </w:pPr>
    </w:p>
    <w:p w:rsidR="00AE5B31" w:rsidRPr="00470541" w:rsidRDefault="00AE5B31" w:rsidP="00AE5B31">
      <w:pPr>
        <w:widowControl w:val="0"/>
        <w:adjustRightInd w:val="0"/>
        <w:jc w:val="both"/>
        <w:textAlignment w:val="baseline"/>
        <w:rPr>
          <w:i/>
          <w:u w:val="single"/>
        </w:rPr>
      </w:pPr>
      <w:r w:rsidRPr="00470541">
        <w:t>Asimismo</w:t>
      </w:r>
      <w:r>
        <w:t xml:space="preserve">, la evaluación económica </w:t>
      </w:r>
      <w:r w:rsidRPr="00CA2B57">
        <w:t>supone además quecon la implantación del proyecto</w:t>
      </w:r>
      <w:r>
        <w:t xml:space="preserve"> de modernización</w:t>
      </w:r>
      <w:r w:rsidRPr="00CA2B57">
        <w:t>, los casos de exp</w:t>
      </w:r>
      <w:r>
        <w:t>ortación que disfrutarán del ahorro de tiempo</w:t>
      </w:r>
      <w:r w:rsidRPr="00CA2B57">
        <w:t>representen</w:t>
      </w:r>
      <w:r>
        <w:t xml:space="preserve"> un 95%, mientras en los casos de exportaciónesta cifra mejorará</w:t>
      </w:r>
      <w:r w:rsidRPr="00CA2B57">
        <w:t xml:space="preserve">de manera gradual alcanzando 50%, 65%, 80% y 95% del total para los años </w:t>
      </w:r>
      <w:r>
        <w:t>2019, 2020, 2021 y 2022</w:t>
      </w:r>
      <w:r w:rsidRPr="00CA2B57">
        <w:t>, respectivamente.</w:t>
      </w:r>
    </w:p>
    <w:p w:rsidR="00AE5B31" w:rsidRPr="0006088F" w:rsidRDefault="00AE5B31" w:rsidP="00AE5B31">
      <w:pPr>
        <w:widowControl w:val="0"/>
        <w:adjustRightInd w:val="0"/>
        <w:ind w:left="709"/>
        <w:jc w:val="both"/>
        <w:textAlignment w:val="baseline"/>
      </w:pPr>
    </w:p>
    <w:p w:rsidR="00AE5B31" w:rsidRDefault="00AE5B31" w:rsidP="00AE5B31">
      <w:pPr>
        <w:widowControl w:val="0"/>
        <w:adjustRightInd w:val="0"/>
        <w:jc w:val="both"/>
        <w:textAlignment w:val="baseline"/>
      </w:pPr>
      <w:r>
        <w:rPr>
          <w:u w:val="single"/>
        </w:rPr>
        <w:t>Costo de tiempo</w:t>
      </w:r>
      <w:r w:rsidRPr="00C92D1F">
        <w:rPr>
          <w:u w:val="single"/>
        </w:rPr>
        <w:t>.</w:t>
      </w:r>
      <w:r>
        <w:t xml:space="preserve"> Se consideró adecuado mantener las estimaciones de costo</w:t>
      </w:r>
      <w:r w:rsidRPr="0006088F">
        <w:t xml:space="preserve"> de tiempo de los pasajeros</w:t>
      </w:r>
      <w:r>
        <w:t xml:space="preserve"> y el costo de tiempo de los vehículosde acuerdo a los lineamientos que utiliza</w:t>
      </w:r>
      <w:r w:rsidRPr="006C2278">
        <w:t xml:space="preserve"> internamente el modelo </w:t>
      </w:r>
      <w:r w:rsidRPr="00A33B69">
        <w:t>Highway Development and Management (HDM-4).</w:t>
      </w:r>
    </w:p>
    <w:p w:rsidR="00AE5B31" w:rsidRDefault="00AE5B31" w:rsidP="00AE5B31">
      <w:pPr>
        <w:widowControl w:val="0"/>
        <w:adjustRightInd w:val="0"/>
        <w:ind w:left="709"/>
        <w:jc w:val="both"/>
        <w:textAlignment w:val="baseline"/>
      </w:pPr>
    </w:p>
    <w:p w:rsidR="00AE5B31" w:rsidRDefault="00AE5B31" w:rsidP="00AE5B31">
      <w:pPr>
        <w:widowControl w:val="0"/>
        <w:adjustRightInd w:val="0"/>
        <w:jc w:val="both"/>
        <w:textAlignment w:val="baseline"/>
        <w:rPr>
          <w:lang w:val="es-ES_tradnl"/>
        </w:rPr>
      </w:pPr>
      <w:r>
        <w:t xml:space="preserve">Es importante recalcar que </w:t>
      </w:r>
      <w:r>
        <w:rPr>
          <w:lang w:val="es-ES_tradnl"/>
        </w:rPr>
        <w:t>el costo para camiones de carga incorpora el consumo de combustible (diésel)</w:t>
      </w:r>
      <w:r>
        <w:rPr>
          <w:rStyle w:val="FootnoteReference"/>
          <w:lang w:val="es-ES_tradnl"/>
        </w:rPr>
        <w:footnoteReference w:id="18"/>
      </w:r>
      <w:r>
        <w:rPr>
          <w:lang w:val="es-ES_tradnl"/>
        </w:rPr>
        <w:t>, para aquellos casos en los que el producto transportado requiere de equipos de refrigeración. El costo/hora se calculó con base en el precio actual del litro de Diesel 50 (US$0.689)</w:t>
      </w:r>
      <w:r>
        <w:rPr>
          <w:rStyle w:val="FootnoteReference"/>
          <w:lang w:val="es-ES_tradnl"/>
        </w:rPr>
        <w:footnoteReference w:id="19"/>
      </w:r>
      <w:r>
        <w:rPr>
          <w:lang w:val="es-ES_tradnl"/>
        </w:rPr>
        <w:t>, ponderando por despacho según el porcentaje de camiones que utilizan refrigeración</w:t>
      </w:r>
      <w:r>
        <w:rPr>
          <w:rStyle w:val="FootnoteReference"/>
          <w:lang w:val="es-ES_tradnl"/>
        </w:rPr>
        <w:footnoteReference w:id="20"/>
      </w:r>
      <w:r>
        <w:rPr>
          <w:lang w:val="es-ES_tradnl"/>
        </w:rPr>
        <w:t>.  De este modo, la refrigeración tiene un costo por hora de US$2.35 en despachos de exportación/importación y cargados en ambos sentidos.</w:t>
      </w:r>
    </w:p>
    <w:p w:rsidR="00AE5B31" w:rsidRDefault="00AE5B31" w:rsidP="00AE5B31">
      <w:pPr>
        <w:widowControl w:val="0"/>
        <w:adjustRightInd w:val="0"/>
        <w:jc w:val="both"/>
        <w:textAlignment w:val="baseline"/>
        <w:rPr>
          <w:lang w:val="es-ES_tradnl"/>
        </w:rPr>
      </w:pPr>
    </w:p>
    <w:p w:rsidR="00AE5B31" w:rsidRDefault="00AE5B31" w:rsidP="00AE5B31">
      <w:pPr>
        <w:widowControl w:val="0"/>
        <w:adjustRightInd w:val="0"/>
        <w:jc w:val="both"/>
        <w:textAlignment w:val="baseline"/>
        <w:rPr>
          <w:lang w:val="es-ES_tradnl"/>
        </w:rPr>
      </w:pPr>
    </w:p>
    <w:p w:rsidR="00AE5B31" w:rsidRDefault="00AE5B31" w:rsidP="00AE5B31">
      <w:pPr>
        <w:widowControl w:val="0"/>
        <w:adjustRightInd w:val="0"/>
        <w:jc w:val="both"/>
        <w:textAlignment w:val="baseline"/>
        <w:rPr>
          <w:lang w:val="es-ES_tradnl"/>
        </w:rPr>
      </w:pPr>
    </w:p>
    <w:p w:rsidR="00AE5B31" w:rsidRDefault="00AE5B31" w:rsidP="00AE5B31">
      <w:pPr>
        <w:widowControl w:val="0"/>
        <w:adjustRightInd w:val="0"/>
        <w:jc w:val="both"/>
        <w:textAlignment w:val="baseline"/>
        <w:rPr>
          <w:lang w:val="es-ES_tradnl"/>
        </w:rPr>
      </w:pPr>
    </w:p>
    <w:p w:rsidR="00AE5B31" w:rsidRDefault="00AE5B31" w:rsidP="00AE5B31">
      <w:pPr>
        <w:widowControl w:val="0"/>
        <w:adjustRightInd w:val="0"/>
        <w:jc w:val="both"/>
        <w:textAlignment w:val="baseline"/>
        <w:rPr>
          <w:lang w:val="es-ES_tradnl"/>
        </w:rPr>
      </w:pPr>
    </w:p>
    <w:p w:rsidR="00AE5B31" w:rsidRDefault="00AE5B31" w:rsidP="00AE5B31">
      <w:pPr>
        <w:widowControl w:val="0"/>
        <w:adjustRightInd w:val="0"/>
        <w:jc w:val="both"/>
        <w:textAlignment w:val="baseline"/>
        <w:rPr>
          <w:lang w:val="es-ES_tradnl"/>
        </w:rPr>
      </w:pPr>
    </w:p>
    <w:p w:rsidR="00AE5B31" w:rsidRDefault="00AE5B31" w:rsidP="00AE5B31">
      <w:pPr>
        <w:widowControl w:val="0"/>
        <w:adjustRightInd w:val="0"/>
        <w:jc w:val="both"/>
        <w:textAlignment w:val="baseline"/>
        <w:rPr>
          <w:lang w:val="es-ES_tradnl"/>
        </w:rPr>
      </w:pPr>
    </w:p>
    <w:p w:rsidR="00AE5B31" w:rsidRPr="005D59A7" w:rsidRDefault="00AE5B31" w:rsidP="00AE5B31">
      <w:pPr>
        <w:widowControl w:val="0"/>
        <w:adjustRightInd w:val="0"/>
        <w:jc w:val="both"/>
        <w:textAlignment w:val="baseline"/>
      </w:pPr>
    </w:p>
    <w:p w:rsidR="00AE5B31" w:rsidRDefault="00AE5B31" w:rsidP="00AE5B31">
      <w:pPr>
        <w:widowControl w:val="0"/>
        <w:adjustRightInd w:val="0"/>
        <w:jc w:val="both"/>
        <w:textAlignment w:val="baseline"/>
      </w:pPr>
    </w:p>
    <w:p w:rsidR="00AE5B31" w:rsidRDefault="00AE5B31" w:rsidP="00AE5B31">
      <w:pPr>
        <w:widowControl w:val="0"/>
        <w:adjustRightInd w:val="0"/>
        <w:jc w:val="both"/>
        <w:textAlignment w:val="baseline"/>
      </w:pPr>
    </w:p>
    <w:p w:rsidR="00AE5B31" w:rsidRDefault="00AE5B31" w:rsidP="00AE5B31">
      <w:pPr>
        <w:widowControl w:val="0"/>
        <w:adjustRightInd w:val="0"/>
        <w:jc w:val="both"/>
        <w:textAlignment w:val="baseline"/>
      </w:pPr>
    </w:p>
    <w:p w:rsidR="00AE5B31" w:rsidRDefault="00AE5B31" w:rsidP="00AE5B31">
      <w:pPr>
        <w:widowControl w:val="0"/>
        <w:adjustRightInd w:val="0"/>
        <w:jc w:val="both"/>
        <w:textAlignment w:val="baseline"/>
      </w:pPr>
    </w:p>
    <w:p w:rsidR="00AE5B31" w:rsidRPr="00B70F2C" w:rsidRDefault="00AE5B31" w:rsidP="00AE5B31">
      <w:pPr>
        <w:pStyle w:val="ListParagraph"/>
        <w:ind w:left="705"/>
        <w:jc w:val="center"/>
        <w:rPr>
          <w:b/>
          <w:sz w:val="22"/>
          <w:szCs w:val="22"/>
        </w:rPr>
      </w:pPr>
      <w:r w:rsidRPr="00B70F2C">
        <w:rPr>
          <w:b/>
          <w:sz w:val="22"/>
          <w:szCs w:val="22"/>
        </w:rPr>
        <w:lastRenderedPageBreak/>
        <w:t xml:space="preserve">Cuadro </w:t>
      </w:r>
      <w:r>
        <w:rPr>
          <w:b/>
          <w:sz w:val="22"/>
          <w:szCs w:val="22"/>
        </w:rPr>
        <w:t>XIV</w:t>
      </w:r>
    </w:p>
    <w:p w:rsidR="00AE5B31" w:rsidRPr="00B70F2C" w:rsidRDefault="00AE5B31" w:rsidP="00AE5B31">
      <w:pPr>
        <w:pStyle w:val="ListParagraph"/>
        <w:ind w:left="705"/>
        <w:jc w:val="center"/>
        <w:rPr>
          <w:b/>
          <w:bCs/>
          <w:sz w:val="20"/>
          <w:lang w:val="es-ES" w:eastAsia="es-ES"/>
        </w:rPr>
      </w:pPr>
      <w:r>
        <w:rPr>
          <w:b/>
          <w:bCs/>
          <w:sz w:val="20"/>
          <w:lang w:val="es-ES" w:eastAsia="es-ES"/>
        </w:rPr>
        <w:t>GUABITO</w:t>
      </w:r>
    </w:p>
    <w:p w:rsidR="00AE5B31" w:rsidRPr="00B70F2C" w:rsidRDefault="00AE5B31" w:rsidP="00AE5B31">
      <w:pPr>
        <w:pStyle w:val="ListParagraph"/>
        <w:ind w:left="705"/>
        <w:jc w:val="center"/>
        <w:rPr>
          <w:sz w:val="20"/>
        </w:rPr>
      </w:pPr>
      <w:r>
        <w:rPr>
          <w:noProof/>
          <w:lang w:val="en-US"/>
        </w:rPr>
        <w:drawing>
          <wp:anchor distT="0" distB="0" distL="114300" distR="114300" simplePos="0" relativeHeight="251661312" behindDoc="0" locked="0" layoutInCell="1" allowOverlap="1" wp14:anchorId="50A8F14C" wp14:editId="7C3DE259">
            <wp:simplePos x="0" y="0"/>
            <wp:positionH relativeFrom="column">
              <wp:posOffset>554355</wp:posOffset>
            </wp:positionH>
            <wp:positionV relativeFrom="paragraph">
              <wp:posOffset>255270</wp:posOffset>
            </wp:positionV>
            <wp:extent cx="4981575" cy="4070350"/>
            <wp:effectExtent l="0" t="0" r="9525" b="6350"/>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4981575" cy="4070350"/>
                    </a:xfrm>
                    <a:prstGeom prst="rect">
                      <a:avLst/>
                    </a:prstGeom>
                  </pic:spPr>
                </pic:pic>
              </a:graphicData>
            </a:graphic>
          </wp:anchor>
        </w:drawing>
      </w:r>
      <w:r>
        <w:rPr>
          <w:b/>
          <w:bCs/>
          <w:sz w:val="20"/>
          <w:lang w:val="es-ES" w:eastAsia="es-ES"/>
        </w:rPr>
        <w:t>Estructura Costo del Tiempo</w:t>
      </w:r>
    </w:p>
    <w:p w:rsidR="00AE5B31" w:rsidRPr="005250F0" w:rsidRDefault="00AE5B31" w:rsidP="00AE5B31">
      <w:pPr>
        <w:pStyle w:val="ListParagraph"/>
        <w:ind w:left="705"/>
        <w:jc w:val="both"/>
        <w:rPr>
          <w:szCs w:val="24"/>
        </w:rPr>
      </w:pPr>
      <w:r>
        <w:rPr>
          <w:sz w:val="18"/>
          <w:szCs w:val="24"/>
        </w:rPr>
        <w:t xml:space="preserve"> Fuente: Estimaciones de tiempo con base en </w:t>
      </w:r>
      <w:r w:rsidRPr="00A33B69">
        <w:rPr>
          <w:sz w:val="18"/>
          <w:szCs w:val="24"/>
        </w:rPr>
        <w:t>el modelo Highway Development and Management (HDM-4).</w:t>
      </w:r>
    </w:p>
    <w:p w:rsidR="00AE5B31" w:rsidRDefault="00AE5B31" w:rsidP="00AE5B31">
      <w:pPr>
        <w:pStyle w:val="ListParagraph"/>
        <w:ind w:left="705"/>
        <w:jc w:val="center"/>
        <w:rPr>
          <w:b/>
          <w:sz w:val="22"/>
          <w:szCs w:val="22"/>
        </w:rPr>
      </w:pPr>
    </w:p>
    <w:p w:rsidR="00AE5B31" w:rsidRPr="00B70F2C" w:rsidRDefault="00AE5B31" w:rsidP="00AE5B31">
      <w:pPr>
        <w:pStyle w:val="ListParagraph"/>
        <w:ind w:left="705"/>
        <w:jc w:val="center"/>
        <w:rPr>
          <w:b/>
          <w:sz w:val="22"/>
          <w:szCs w:val="22"/>
        </w:rPr>
      </w:pPr>
      <w:r w:rsidRPr="00B70F2C">
        <w:rPr>
          <w:b/>
          <w:sz w:val="22"/>
          <w:szCs w:val="22"/>
        </w:rPr>
        <w:t xml:space="preserve">Cuadro </w:t>
      </w:r>
      <w:r>
        <w:rPr>
          <w:b/>
          <w:sz w:val="22"/>
          <w:szCs w:val="22"/>
        </w:rPr>
        <w:t>XV</w:t>
      </w:r>
    </w:p>
    <w:p w:rsidR="00AE5B31" w:rsidRPr="00B70F2C" w:rsidRDefault="00AE5B31" w:rsidP="00AE5B31">
      <w:pPr>
        <w:pStyle w:val="ListParagraph"/>
        <w:ind w:left="705"/>
        <w:jc w:val="center"/>
        <w:rPr>
          <w:b/>
          <w:bCs/>
          <w:sz w:val="20"/>
          <w:lang w:val="es-ES" w:eastAsia="es-ES"/>
        </w:rPr>
      </w:pPr>
      <w:r>
        <w:rPr>
          <w:b/>
          <w:bCs/>
          <w:sz w:val="20"/>
          <w:lang w:val="es-ES" w:eastAsia="es-ES"/>
        </w:rPr>
        <w:t>GUABITO</w:t>
      </w:r>
    </w:p>
    <w:p w:rsidR="00AE5B31" w:rsidRPr="00B70F2C" w:rsidRDefault="00AE5B31" w:rsidP="00AE5B31">
      <w:pPr>
        <w:pStyle w:val="ListParagraph"/>
        <w:ind w:left="705"/>
        <w:jc w:val="center"/>
        <w:rPr>
          <w:sz w:val="20"/>
        </w:rPr>
      </w:pPr>
      <w:r>
        <w:rPr>
          <w:b/>
          <w:bCs/>
          <w:sz w:val="20"/>
          <w:lang w:val="es-ES" w:eastAsia="es-ES"/>
        </w:rPr>
        <w:t>Costo del Tiempo según Medio de Transporte y Tipo de Despacho (US$/hora)</w:t>
      </w:r>
    </w:p>
    <w:p w:rsidR="00AE5B31" w:rsidRPr="005250F0" w:rsidRDefault="00AE5B31" w:rsidP="00AE5B31">
      <w:pPr>
        <w:pStyle w:val="ListParagraph"/>
        <w:ind w:left="705"/>
        <w:jc w:val="both"/>
        <w:rPr>
          <w:szCs w:val="24"/>
        </w:rPr>
      </w:pPr>
    </w:p>
    <w:tbl>
      <w:tblPr>
        <w:tblStyle w:val="TableGrid"/>
        <w:tblW w:w="0" w:type="auto"/>
        <w:tblInd w:w="715" w:type="dxa"/>
        <w:tblLook w:val="04A0" w:firstRow="1" w:lastRow="0" w:firstColumn="1" w:lastColumn="0" w:noHBand="0" w:noVBand="1"/>
      </w:tblPr>
      <w:tblGrid>
        <w:gridCol w:w="4320"/>
        <w:gridCol w:w="2051"/>
        <w:gridCol w:w="2051"/>
      </w:tblGrid>
      <w:tr w:rsidR="00AE5B31" w:rsidTr="00E7602D">
        <w:tc>
          <w:tcPr>
            <w:tcW w:w="4320" w:type="dxa"/>
            <w:vAlign w:val="center"/>
          </w:tcPr>
          <w:p w:rsidR="00AE5B31" w:rsidRPr="00C81D6E" w:rsidRDefault="00AE5B31" w:rsidP="00E7602D">
            <w:pPr>
              <w:jc w:val="center"/>
              <w:rPr>
                <w:rFonts w:asciiTheme="minorHAnsi" w:hAnsiTheme="minorHAnsi"/>
                <w:b/>
                <w:sz w:val="20"/>
                <w:szCs w:val="24"/>
              </w:rPr>
            </w:pPr>
            <w:r>
              <w:rPr>
                <w:rFonts w:asciiTheme="minorHAnsi" w:hAnsiTheme="minorHAnsi"/>
                <w:b/>
                <w:sz w:val="20"/>
                <w:szCs w:val="24"/>
              </w:rPr>
              <w:t>Tipo de Usuario</w:t>
            </w:r>
          </w:p>
        </w:tc>
        <w:tc>
          <w:tcPr>
            <w:tcW w:w="2051" w:type="dxa"/>
            <w:vAlign w:val="center"/>
          </w:tcPr>
          <w:p w:rsidR="00AE5B31" w:rsidRPr="00C81D6E" w:rsidRDefault="00AE5B31" w:rsidP="00E7602D">
            <w:pPr>
              <w:jc w:val="center"/>
              <w:rPr>
                <w:rFonts w:asciiTheme="minorHAnsi" w:hAnsiTheme="minorHAnsi"/>
                <w:b/>
                <w:sz w:val="20"/>
                <w:szCs w:val="24"/>
              </w:rPr>
            </w:pPr>
            <w:r>
              <w:rPr>
                <w:rFonts w:asciiTheme="minorHAnsi" w:hAnsiTheme="minorHAnsi"/>
                <w:b/>
                <w:sz w:val="20"/>
                <w:szCs w:val="24"/>
              </w:rPr>
              <w:t>PA&gt;CR</w:t>
            </w:r>
          </w:p>
        </w:tc>
        <w:tc>
          <w:tcPr>
            <w:tcW w:w="2051" w:type="dxa"/>
            <w:vAlign w:val="center"/>
          </w:tcPr>
          <w:p w:rsidR="00AE5B31" w:rsidRPr="00C81D6E" w:rsidRDefault="00AE5B31" w:rsidP="00E7602D">
            <w:pPr>
              <w:jc w:val="center"/>
              <w:rPr>
                <w:rFonts w:asciiTheme="minorHAnsi" w:hAnsiTheme="minorHAnsi"/>
                <w:b/>
                <w:sz w:val="20"/>
                <w:szCs w:val="24"/>
              </w:rPr>
            </w:pPr>
            <w:r>
              <w:rPr>
                <w:rFonts w:asciiTheme="minorHAnsi" w:hAnsiTheme="minorHAnsi"/>
                <w:b/>
                <w:sz w:val="20"/>
                <w:szCs w:val="24"/>
              </w:rPr>
              <w:t>CR&gt;PA</w:t>
            </w:r>
          </w:p>
        </w:tc>
      </w:tr>
      <w:tr w:rsidR="00AE5B31" w:rsidTr="00E7602D">
        <w:tc>
          <w:tcPr>
            <w:tcW w:w="4320" w:type="dxa"/>
            <w:vAlign w:val="center"/>
          </w:tcPr>
          <w:p w:rsidR="00AE5B31" w:rsidRPr="00C81D6E" w:rsidRDefault="00AE5B31" w:rsidP="00E7602D">
            <w:pPr>
              <w:rPr>
                <w:rFonts w:asciiTheme="minorHAnsi" w:hAnsiTheme="minorHAnsi"/>
                <w:b/>
                <w:sz w:val="20"/>
                <w:szCs w:val="24"/>
              </w:rPr>
            </w:pPr>
            <w:r>
              <w:rPr>
                <w:rFonts w:asciiTheme="minorHAnsi" w:hAnsiTheme="minorHAnsi"/>
                <w:b/>
                <w:sz w:val="20"/>
                <w:szCs w:val="24"/>
              </w:rPr>
              <w:t>Medio de Transporte</w:t>
            </w:r>
          </w:p>
        </w:tc>
        <w:tc>
          <w:tcPr>
            <w:tcW w:w="2051" w:type="dxa"/>
            <w:vAlign w:val="center"/>
          </w:tcPr>
          <w:p w:rsidR="00AE5B31" w:rsidRPr="00C81D6E" w:rsidRDefault="00AE5B31" w:rsidP="00E7602D">
            <w:pPr>
              <w:jc w:val="center"/>
              <w:rPr>
                <w:rFonts w:asciiTheme="minorHAnsi" w:hAnsiTheme="minorHAnsi"/>
                <w:b/>
                <w:sz w:val="20"/>
                <w:szCs w:val="24"/>
              </w:rPr>
            </w:pPr>
          </w:p>
        </w:tc>
        <w:tc>
          <w:tcPr>
            <w:tcW w:w="2051" w:type="dxa"/>
            <w:vAlign w:val="center"/>
          </w:tcPr>
          <w:p w:rsidR="00AE5B31" w:rsidRPr="00C81D6E" w:rsidRDefault="00AE5B31" w:rsidP="00E7602D">
            <w:pPr>
              <w:rPr>
                <w:rFonts w:asciiTheme="minorHAnsi" w:hAnsiTheme="minorHAnsi"/>
                <w:b/>
                <w:sz w:val="20"/>
                <w:szCs w:val="24"/>
              </w:rPr>
            </w:pPr>
          </w:p>
        </w:tc>
      </w:tr>
      <w:tr w:rsidR="00AE5B31" w:rsidTr="00E7602D">
        <w:tc>
          <w:tcPr>
            <w:tcW w:w="4320" w:type="dxa"/>
          </w:tcPr>
          <w:p w:rsidR="00AE5B31" w:rsidRPr="00B70F2C" w:rsidRDefault="00AE5B31" w:rsidP="00E7602D">
            <w:pPr>
              <w:jc w:val="both"/>
              <w:rPr>
                <w:rFonts w:asciiTheme="minorHAnsi" w:hAnsiTheme="minorHAnsi"/>
                <w:sz w:val="20"/>
                <w:szCs w:val="24"/>
              </w:rPr>
            </w:pPr>
            <w:r>
              <w:rPr>
                <w:rFonts w:asciiTheme="minorHAnsi" w:hAnsiTheme="minorHAnsi"/>
                <w:sz w:val="20"/>
                <w:szCs w:val="24"/>
              </w:rPr>
              <w:t xml:space="preserve">  Automóvil</w:t>
            </w:r>
          </w:p>
        </w:tc>
        <w:tc>
          <w:tcPr>
            <w:tcW w:w="2051"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25.45</w:t>
            </w:r>
          </w:p>
        </w:tc>
        <w:tc>
          <w:tcPr>
            <w:tcW w:w="2051"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25.45</w:t>
            </w:r>
          </w:p>
        </w:tc>
      </w:tr>
      <w:tr w:rsidR="00AE5B31" w:rsidTr="00E7602D">
        <w:tc>
          <w:tcPr>
            <w:tcW w:w="4320" w:type="dxa"/>
          </w:tcPr>
          <w:p w:rsidR="00AE5B31" w:rsidRPr="00B70F2C" w:rsidRDefault="00AE5B31" w:rsidP="00E7602D">
            <w:pPr>
              <w:jc w:val="both"/>
              <w:rPr>
                <w:rFonts w:asciiTheme="minorHAnsi" w:hAnsiTheme="minorHAnsi"/>
                <w:sz w:val="20"/>
                <w:szCs w:val="24"/>
              </w:rPr>
            </w:pPr>
            <w:r>
              <w:rPr>
                <w:rFonts w:asciiTheme="minorHAnsi" w:hAnsiTheme="minorHAnsi"/>
                <w:sz w:val="20"/>
                <w:szCs w:val="24"/>
              </w:rPr>
              <w:t xml:space="preserve">  Bus</w:t>
            </w:r>
          </w:p>
        </w:tc>
        <w:tc>
          <w:tcPr>
            <w:tcW w:w="2051"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128.28</w:t>
            </w:r>
          </w:p>
        </w:tc>
        <w:tc>
          <w:tcPr>
            <w:tcW w:w="2051"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128.28</w:t>
            </w:r>
          </w:p>
        </w:tc>
      </w:tr>
      <w:tr w:rsidR="00AE5B31" w:rsidTr="00E7602D">
        <w:tc>
          <w:tcPr>
            <w:tcW w:w="4320" w:type="dxa"/>
          </w:tcPr>
          <w:p w:rsidR="00AE5B31" w:rsidRDefault="00AE5B31" w:rsidP="00E7602D">
            <w:pPr>
              <w:jc w:val="both"/>
              <w:rPr>
                <w:rFonts w:asciiTheme="minorHAnsi" w:hAnsiTheme="minorHAnsi"/>
                <w:sz w:val="20"/>
                <w:szCs w:val="24"/>
              </w:rPr>
            </w:pPr>
            <w:r>
              <w:rPr>
                <w:rFonts w:asciiTheme="minorHAnsi" w:hAnsiTheme="minorHAnsi"/>
                <w:sz w:val="20"/>
                <w:szCs w:val="24"/>
              </w:rPr>
              <w:t xml:space="preserve">  Peatón</w:t>
            </w:r>
          </w:p>
        </w:tc>
        <w:tc>
          <w:tcPr>
            <w:tcW w:w="2051"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2.63</w:t>
            </w:r>
          </w:p>
        </w:tc>
        <w:tc>
          <w:tcPr>
            <w:tcW w:w="2051"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2.63</w:t>
            </w:r>
          </w:p>
        </w:tc>
      </w:tr>
      <w:tr w:rsidR="00AE5B31" w:rsidTr="00E7602D">
        <w:tc>
          <w:tcPr>
            <w:tcW w:w="4320" w:type="dxa"/>
          </w:tcPr>
          <w:p w:rsidR="00AE5B31" w:rsidRDefault="00AE5B31" w:rsidP="00E7602D">
            <w:pPr>
              <w:jc w:val="both"/>
              <w:rPr>
                <w:rFonts w:asciiTheme="minorHAnsi" w:hAnsiTheme="minorHAnsi"/>
                <w:sz w:val="20"/>
                <w:szCs w:val="24"/>
              </w:rPr>
            </w:pPr>
            <w:r>
              <w:rPr>
                <w:rFonts w:asciiTheme="minorHAnsi" w:hAnsiTheme="minorHAnsi"/>
                <w:b/>
                <w:sz w:val="20"/>
                <w:szCs w:val="24"/>
              </w:rPr>
              <w:t>Tipo de Despacho</w:t>
            </w:r>
          </w:p>
        </w:tc>
        <w:tc>
          <w:tcPr>
            <w:tcW w:w="2051" w:type="dxa"/>
          </w:tcPr>
          <w:p w:rsidR="00AE5B31" w:rsidRPr="00B70F2C" w:rsidRDefault="00AE5B31" w:rsidP="00E7602D">
            <w:pPr>
              <w:jc w:val="right"/>
              <w:rPr>
                <w:rFonts w:asciiTheme="minorHAnsi" w:hAnsiTheme="minorHAnsi"/>
                <w:sz w:val="20"/>
                <w:szCs w:val="24"/>
              </w:rPr>
            </w:pPr>
          </w:p>
        </w:tc>
        <w:tc>
          <w:tcPr>
            <w:tcW w:w="2051" w:type="dxa"/>
          </w:tcPr>
          <w:p w:rsidR="00AE5B31" w:rsidRPr="00B70F2C" w:rsidRDefault="00AE5B31" w:rsidP="00E7602D">
            <w:pPr>
              <w:jc w:val="right"/>
              <w:rPr>
                <w:rFonts w:asciiTheme="minorHAnsi" w:hAnsiTheme="minorHAnsi"/>
                <w:sz w:val="20"/>
                <w:szCs w:val="24"/>
              </w:rPr>
            </w:pPr>
          </w:p>
        </w:tc>
      </w:tr>
      <w:tr w:rsidR="00AE5B31" w:rsidTr="00E7602D">
        <w:tc>
          <w:tcPr>
            <w:tcW w:w="4320" w:type="dxa"/>
          </w:tcPr>
          <w:p w:rsidR="00AE5B31" w:rsidRDefault="00AE5B31" w:rsidP="00E7602D">
            <w:pPr>
              <w:jc w:val="both"/>
              <w:rPr>
                <w:rFonts w:asciiTheme="minorHAnsi" w:hAnsiTheme="minorHAnsi"/>
                <w:sz w:val="20"/>
                <w:szCs w:val="24"/>
              </w:rPr>
            </w:pPr>
            <w:r>
              <w:rPr>
                <w:rFonts w:asciiTheme="minorHAnsi" w:hAnsiTheme="minorHAnsi"/>
                <w:sz w:val="20"/>
                <w:szCs w:val="24"/>
              </w:rPr>
              <w:t xml:space="preserve">  Exportación / Importación</w:t>
            </w:r>
          </w:p>
        </w:tc>
        <w:tc>
          <w:tcPr>
            <w:tcW w:w="2051" w:type="dxa"/>
            <w:vAlign w:val="bottom"/>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13.07</w:t>
            </w:r>
          </w:p>
        </w:tc>
        <w:tc>
          <w:tcPr>
            <w:tcW w:w="2051" w:type="dxa"/>
            <w:vAlign w:val="bottom"/>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13.07</w:t>
            </w:r>
          </w:p>
        </w:tc>
      </w:tr>
      <w:tr w:rsidR="00AE5B31" w:rsidTr="00E7602D">
        <w:tc>
          <w:tcPr>
            <w:tcW w:w="4320" w:type="dxa"/>
          </w:tcPr>
          <w:p w:rsidR="00AE5B31" w:rsidRPr="00C81D6E" w:rsidRDefault="00AE5B31" w:rsidP="00E7602D">
            <w:pPr>
              <w:jc w:val="both"/>
              <w:rPr>
                <w:rFonts w:asciiTheme="minorHAnsi" w:hAnsiTheme="minorHAnsi"/>
                <w:b/>
                <w:sz w:val="20"/>
                <w:szCs w:val="24"/>
              </w:rPr>
            </w:pPr>
            <w:r>
              <w:rPr>
                <w:rFonts w:asciiTheme="minorHAnsi" w:hAnsiTheme="minorHAnsi"/>
                <w:sz w:val="20"/>
                <w:szCs w:val="24"/>
              </w:rPr>
              <w:t xml:space="preserve">  Tránsito</w:t>
            </w:r>
          </w:p>
        </w:tc>
        <w:tc>
          <w:tcPr>
            <w:tcW w:w="2051" w:type="dxa"/>
            <w:vAlign w:val="bottom"/>
          </w:tcPr>
          <w:p w:rsidR="00AE5B31" w:rsidRDefault="00AE5B31" w:rsidP="00E7602D">
            <w:pPr>
              <w:jc w:val="right"/>
              <w:rPr>
                <w:rFonts w:asciiTheme="minorHAnsi" w:hAnsiTheme="minorHAnsi"/>
                <w:sz w:val="20"/>
                <w:szCs w:val="24"/>
              </w:rPr>
            </w:pPr>
            <w:r>
              <w:rPr>
                <w:rFonts w:asciiTheme="minorHAnsi" w:hAnsiTheme="minorHAnsi"/>
                <w:sz w:val="20"/>
                <w:szCs w:val="24"/>
              </w:rPr>
              <w:t>13.07</w:t>
            </w:r>
          </w:p>
        </w:tc>
        <w:tc>
          <w:tcPr>
            <w:tcW w:w="2051" w:type="dxa"/>
            <w:vAlign w:val="bottom"/>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13.07</w:t>
            </w:r>
          </w:p>
        </w:tc>
      </w:tr>
      <w:tr w:rsidR="00AE5B31" w:rsidTr="00E7602D">
        <w:tc>
          <w:tcPr>
            <w:tcW w:w="4320" w:type="dxa"/>
          </w:tcPr>
          <w:p w:rsidR="00AE5B31" w:rsidRDefault="00AE5B31" w:rsidP="00E7602D">
            <w:pPr>
              <w:jc w:val="both"/>
              <w:rPr>
                <w:rFonts w:asciiTheme="minorHAnsi" w:hAnsiTheme="minorHAnsi"/>
                <w:b/>
                <w:sz w:val="20"/>
                <w:szCs w:val="24"/>
              </w:rPr>
            </w:pPr>
            <w:r>
              <w:rPr>
                <w:rFonts w:asciiTheme="minorHAnsi" w:hAnsiTheme="minorHAnsi"/>
                <w:sz w:val="20"/>
                <w:szCs w:val="24"/>
              </w:rPr>
              <w:t xml:space="preserve">  Vacíos</w:t>
            </w:r>
          </w:p>
        </w:tc>
        <w:tc>
          <w:tcPr>
            <w:tcW w:w="2051" w:type="dxa"/>
            <w:vAlign w:val="bottom"/>
          </w:tcPr>
          <w:p w:rsidR="00AE5B31" w:rsidRDefault="00AE5B31" w:rsidP="00E7602D">
            <w:pPr>
              <w:jc w:val="right"/>
              <w:rPr>
                <w:rFonts w:asciiTheme="minorHAnsi" w:hAnsiTheme="minorHAnsi"/>
                <w:sz w:val="20"/>
                <w:szCs w:val="24"/>
              </w:rPr>
            </w:pPr>
            <w:r w:rsidRPr="00470541">
              <w:rPr>
                <w:rFonts w:asciiTheme="minorHAnsi" w:hAnsiTheme="minorHAnsi"/>
                <w:sz w:val="20"/>
                <w:szCs w:val="24"/>
              </w:rPr>
              <w:t>10.72</w:t>
            </w:r>
          </w:p>
        </w:tc>
        <w:tc>
          <w:tcPr>
            <w:tcW w:w="2051"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10.72</w:t>
            </w:r>
          </w:p>
        </w:tc>
      </w:tr>
    </w:tbl>
    <w:p w:rsidR="00AE5B31" w:rsidRDefault="00AE5B31" w:rsidP="00AE5B31">
      <w:pPr>
        <w:pStyle w:val="ListParagraph"/>
        <w:ind w:left="705"/>
        <w:jc w:val="both"/>
        <w:rPr>
          <w:sz w:val="18"/>
          <w:szCs w:val="24"/>
        </w:rPr>
      </w:pPr>
      <w:r>
        <w:rPr>
          <w:sz w:val="18"/>
          <w:szCs w:val="24"/>
        </w:rPr>
        <w:t xml:space="preserve">Nota: Automóvil supone una ocupación de 4 pasajeros y el Autobus de 30 pasajeros. </w:t>
      </w:r>
      <w:r w:rsidRPr="005250F0">
        <w:rPr>
          <w:sz w:val="18"/>
          <w:szCs w:val="24"/>
        </w:rPr>
        <w:t xml:space="preserve">Fuente: </w:t>
      </w:r>
      <w:r>
        <w:rPr>
          <w:sz w:val="18"/>
          <w:szCs w:val="24"/>
        </w:rPr>
        <w:t xml:space="preserve">Ponderaciones propias con base en estimaciones basadas en </w:t>
      </w:r>
      <w:r w:rsidRPr="00A33B69">
        <w:rPr>
          <w:sz w:val="18"/>
          <w:szCs w:val="24"/>
        </w:rPr>
        <w:t>el modelo Highway Development and Management (HDM-4)</w:t>
      </w:r>
      <w:r>
        <w:rPr>
          <w:sz w:val="18"/>
          <w:szCs w:val="24"/>
        </w:rPr>
        <w:t xml:space="preserve"> y datos del documento</w:t>
      </w:r>
      <w:r w:rsidRPr="004D4804">
        <w:rPr>
          <w:sz w:val="18"/>
          <w:szCs w:val="24"/>
        </w:rPr>
        <w:t>“Elaboración de la línea base y estimación de ahorros para los procesos de carga y migración del paso de frontera Guabito, Cabecera de Panamá”</w:t>
      </w:r>
      <w:r>
        <w:rPr>
          <w:sz w:val="18"/>
          <w:szCs w:val="24"/>
        </w:rPr>
        <w:t>.</w:t>
      </w:r>
    </w:p>
    <w:p w:rsidR="00AE5B31" w:rsidRDefault="00AE5B31" w:rsidP="00AE5B31">
      <w:pPr>
        <w:pStyle w:val="ListParagraph"/>
        <w:ind w:left="705"/>
        <w:jc w:val="both"/>
      </w:pPr>
    </w:p>
    <w:p w:rsidR="00AE5B31" w:rsidRPr="00F0449E" w:rsidRDefault="00AE5B31" w:rsidP="00AE5B31">
      <w:pPr>
        <w:widowControl w:val="0"/>
        <w:adjustRightInd w:val="0"/>
        <w:jc w:val="both"/>
        <w:textAlignment w:val="baseline"/>
        <w:rPr>
          <w:lang w:val="en-US"/>
        </w:rPr>
      </w:pPr>
      <w:r>
        <w:rPr>
          <w:u w:val="single"/>
        </w:rPr>
        <w:t>Emisiones de CO</w:t>
      </w:r>
      <w:r w:rsidRPr="007B3DEE">
        <w:rPr>
          <w:u w:val="single"/>
          <w:vertAlign w:val="superscript"/>
        </w:rPr>
        <w:t>2</w:t>
      </w:r>
      <w:r w:rsidRPr="00C92D1F">
        <w:rPr>
          <w:u w:val="single"/>
        </w:rPr>
        <w:t>.</w:t>
      </w:r>
      <w:r>
        <w:t xml:space="preserve"> Como parte de la inclusión del consumo de combustible por los sistemas de refrigeración en el transporte de carga, se ha procedido a cuantificar el costo en términos de </w:t>
      </w:r>
      <w:r>
        <w:lastRenderedPageBreak/>
        <w:t>emisiones de CO</w:t>
      </w:r>
      <w:r w:rsidRPr="007B3DEE">
        <w:rPr>
          <w:vertAlign w:val="superscript"/>
        </w:rPr>
        <w:t>2</w:t>
      </w:r>
      <w:r>
        <w:t>.  En este sentido el Equipo Consultor utiliza un factor de conversión de 2.67 kg de CO</w:t>
      </w:r>
      <w:r w:rsidRPr="009830EE">
        <w:rPr>
          <w:vertAlign w:val="superscript"/>
        </w:rPr>
        <w:t>2</w:t>
      </w:r>
      <w:r>
        <w:t>eq por cada litro de diésel que se consume. Esto se traduce en emisiones de aproximadamente 0.01 Toneladas de CO</w:t>
      </w:r>
      <w:r w:rsidRPr="009830EE">
        <w:rPr>
          <w:vertAlign w:val="superscript"/>
        </w:rPr>
        <w:t>2</w:t>
      </w:r>
      <w:r>
        <w:t xml:space="preserve">eq por cada hora en que se encuentra en funcionamiento el equipo refrigerante.  </w:t>
      </w:r>
      <w:r w:rsidRPr="000A4A31">
        <w:rPr>
          <w:lang w:val="en-US"/>
        </w:rPr>
        <w:t>El factor de de 2.67 kg de CO</w:t>
      </w:r>
      <w:r w:rsidRPr="000A4A31">
        <w:rPr>
          <w:vertAlign w:val="superscript"/>
          <w:lang w:val="en-US"/>
        </w:rPr>
        <w:t>2</w:t>
      </w:r>
      <w:r w:rsidRPr="000A4A31">
        <w:rPr>
          <w:lang w:val="en-US"/>
        </w:rPr>
        <w:t>eq</w:t>
      </w:r>
      <w:r>
        <w:rPr>
          <w:lang w:val="en-US"/>
        </w:rPr>
        <w:t>/litro es tomado del documento</w:t>
      </w:r>
      <w:r w:rsidRPr="000A4A31">
        <w:rPr>
          <w:i/>
          <w:lang w:val="en-US"/>
        </w:rPr>
        <w:t>“Guidance on measuring and reporting Greenhouse Gas (GHG) emissions from freight transport operations”</w:t>
      </w:r>
      <w:r>
        <w:rPr>
          <w:rStyle w:val="FootnoteReference"/>
          <w:i/>
          <w:lang w:val="en-US"/>
        </w:rPr>
        <w:footnoteReference w:id="21"/>
      </w:r>
      <w:r w:rsidRPr="000A4A31">
        <w:rPr>
          <w:i/>
          <w:lang w:val="en-US"/>
        </w:rPr>
        <w:t>.</w:t>
      </w:r>
    </w:p>
    <w:p w:rsidR="00AE5B31" w:rsidRPr="00F0449E" w:rsidRDefault="00AE5B31" w:rsidP="00AE5B31">
      <w:pPr>
        <w:widowControl w:val="0"/>
        <w:adjustRightInd w:val="0"/>
        <w:ind w:left="709"/>
        <w:jc w:val="both"/>
        <w:textAlignment w:val="baseline"/>
        <w:rPr>
          <w:lang w:val="en-US"/>
        </w:rPr>
      </w:pPr>
    </w:p>
    <w:p w:rsidR="00AE5B31" w:rsidRDefault="00AE5B31" w:rsidP="00AE5B31">
      <w:pPr>
        <w:widowControl w:val="0"/>
        <w:adjustRightInd w:val="0"/>
        <w:jc w:val="both"/>
        <w:textAlignment w:val="baseline"/>
      </w:pPr>
      <w:r>
        <w:t>Para la respectiva monetización de las emisiones de CO</w:t>
      </w:r>
      <w:r w:rsidRPr="009830EE">
        <w:rPr>
          <w:vertAlign w:val="superscript"/>
        </w:rPr>
        <w:t>2</w:t>
      </w:r>
      <w:r>
        <w:t>eq es necesario considerar las grandes asimetrías de precio en los mercados donde se transan certificados. El Emissions Trading System de la Unión Europea (EU-ETS) reporta un precio por tonelada de aproximadamente US$6.46 (promedio Enero 2014-Marzo 2015) en tanto el Mecanismo de Valoración de Carbono constituido por el Gobierno Australiano</w:t>
      </w:r>
      <w:r>
        <w:rPr>
          <w:rStyle w:val="FootnoteReference"/>
        </w:rPr>
        <w:footnoteReference w:id="22"/>
      </w:r>
      <w:r>
        <w:t xml:space="preserve"> establece un precio de US$24.0 por tonelada para el 2014. Para la monetización de las emisiones de CO</w:t>
      </w:r>
      <w:r w:rsidRPr="00FA3DE1">
        <w:rPr>
          <w:vertAlign w:val="superscript"/>
        </w:rPr>
        <w:t>2</w:t>
      </w:r>
      <w:r>
        <w:t xml:space="preserve">eq de la evaluación económica utilizaremos el supuesto de US$7/Tonelada, reflejando las condiciones del mercado europeo.  Se establece dicho con la salvedad del debate existente en torno a una potencial subvaloración de las emisiones dentro de los mercados actualmente activos.    </w:t>
      </w:r>
    </w:p>
    <w:p w:rsidR="00AE5B31" w:rsidRDefault="00AE5B31" w:rsidP="00AE5B31">
      <w:pPr>
        <w:pStyle w:val="ListParagraph"/>
        <w:ind w:left="720"/>
        <w:jc w:val="both"/>
        <w:rPr>
          <w:smallCaps/>
          <w:sz w:val="20"/>
        </w:rPr>
      </w:pPr>
    </w:p>
    <w:p w:rsidR="00AE5B31" w:rsidRDefault="00AE5B31" w:rsidP="00AE5B31">
      <w:pPr>
        <w:pStyle w:val="ListParagraph"/>
        <w:ind w:left="720"/>
        <w:jc w:val="both"/>
        <w:rPr>
          <w:smallCaps/>
          <w:sz w:val="20"/>
        </w:rPr>
      </w:pPr>
    </w:p>
    <w:p w:rsidR="00AE5B31" w:rsidRDefault="00AE5B31" w:rsidP="00AE5B31">
      <w:pPr>
        <w:pStyle w:val="ListParagraph"/>
        <w:ind w:left="720"/>
        <w:jc w:val="both"/>
        <w:rPr>
          <w:smallCaps/>
          <w:sz w:val="20"/>
        </w:rPr>
      </w:pPr>
    </w:p>
    <w:p w:rsidR="00AE5B31" w:rsidRDefault="00AE5B31" w:rsidP="00AE5B31">
      <w:pPr>
        <w:pStyle w:val="ListParagraph"/>
        <w:ind w:left="720"/>
        <w:jc w:val="both"/>
        <w:rPr>
          <w:smallCaps/>
          <w:sz w:val="20"/>
        </w:rPr>
      </w:pPr>
    </w:p>
    <w:p w:rsidR="00AE5B31" w:rsidRDefault="00AE5B31" w:rsidP="00AE5B31">
      <w:pPr>
        <w:pStyle w:val="ListParagraph"/>
        <w:ind w:left="720"/>
        <w:jc w:val="both"/>
        <w:rPr>
          <w:smallCaps/>
          <w:sz w:val="20"/>
        </w:rPr>
      </w:pPr>
    </w:p>
    <w:p w:rsidR="00AE5B31" w:rsidRDefault="00AE5B31" w:rsidP="00AE5B31">
      <w:pPr>
        <w:pStyle w:val="ListParagraph"/>
        <w:ind w:left="720"/>
        <w:jc w:val="both"/>
        <w:rPr>
          <w:smallCaps/>
          <w:sz w:val="20"/>
        </w:rPr>
      </w:pPr>
    </w:p>
    <w:p w:rsidR="00AE5B31" w:rsidRDefault="00AE5B31" w:rsidP="00AE5B31">
      <w:pPr>
        <w:pStyle w:val="ListParagraph"/>
        <w:ind w:left="720"/>
        <w:jc w:val="both"/>
        <w:rPr>
          <w:smallCaps/>
          <w:sz w:val="20"/>
        </w:rPr>
      </w:pPr>
    </w:p>
    <w:p w:rsidR="00AE5B31" w:rsidRDefault="00AE5B31" w:rsidP="00AE5B31">
      <w:pPr>
        <w:pStyle w:val="ListParagraph"/>
        <w:ind w:left="720"/>
        <w:jc w:val="both"/>
        <w:rPr>
          <w:smallCaps/>
          <w:sz w:val="20"/>
        </w:rPr>
      </w:pPr>
    </w:p>
    <w:p w:rsidR="00AE5B31" w:rsidRDefault="00AE5B31" w:rsidP="00AE5B31">
      <w:pPr>
        <w:pStyle w:val="ListParagraph"/>
        <w:ind w:left="720"/>
        <w:jc w:val="both"/>
        <w:rPr>
          <w:smallCaps/>
          <w:sz w:val="20"/>
        </w:rPr>
      </w:pPr>
    </w:p>
    <w:p w:rsidR="00AE5B31" w:rsidRDefault="00AE5B31" w:rsidP="00AE5B31">
      <w:pPr>
        <w:pStyle w:val="ListParagraph"/>
        <w:ind w:left="720"/>
        <w:jc w:val="both"/>
        <w:rPr>
          <w:smallCaps/>
          <w:sz w:val="20"/>
        </w:rPr>
      </w:pPr>
    </w:p>
    <w:p w:rsidR="00AE5B31" w:rsidRDefault="00AE5B31" w:rsidP="00AE5B31">
      <w:pPr>
        <w:pStyle w:val="ListParagraph"/>
        <w:ind w:left="720"/>
        <w:jc w:val="both"/>
        <w:rPr>
          <w:smallCaps/>
          <w:sz w:val="20"/>
        </w:rPr>
        <w:sectPr w:rsidR="00AE5B31" w:rsidSect="00FE6A09">
          <w:pgSz w:w="12242" w:h="15842" w:code="1"/>
          <w:pgMar w:top="1440" w:right="1298" w:bottom="1440" w:left="1797" w:header="731" w:footer="1134" w:gutter="0"/>
          <w:pgNumType w:fmt="numberInDash"/>
          <w:cols w:space="720"/>
        </w:sectPr>
      </w:pPr>
    </w:p>
    <w:p w:rsidR="00AE5B31" w:rsidRPr="00B70F2C" w:rsidRDefault="00AE5B31" w:rsidP="00AE5B31">
      <w:pPr>
        <w:pStyle w:val="ListParagraph"/>
        <w:ind w:left="705"/>
        <w:jc w:val="center"/>
        <w:rPr>
          <w:b/>
          <w:sz w:val="22"/>
          <w:szCs w:val="22"/>
        </w:rPr>
      </w:pPr>
      <w:r w:rsidRPr="00B70F2C">
        <w:rPr>
          <w:b/>
          <w:sz w:val="22"/>
          <w:szCs w:val="22"/>
        </w:rPr>
        <w:lastRenderedPageBreak/>
        <w:t xml:space="preserve">Cuadro </w:t>
      </w:r>
      <w:r>
        <w:rPr>
          <w:b/>
          <w:sz w:val="22"/>
          <w:szCs w:val="22"/>
        </w:rPr>
        <w:t>XVI</w:t>
      </w:r>
    </w:p>
    <w:p w:rsidR="00AE5B31" w:rsidRPr="00B70F2C" w:rsidRDefault="00AE5B31" w:rsidP="00AE5B31">
      <w:pPr>
        <w:pStyle w:val="ListParagraph"/>
        <w:ind w:left="705"/>
        <w:jc w:val="center"/>
        <w:rPr>
          <w:b/>
          <w:bCs/>
          <w:sz w:val="20"/>
          <w:lang w:val="es-ES" w:eastAsia="es-ES"/>
        </w:rPr>
      </w:pPr>
      <w:r>
        <w:rPr>
          <w:b/>
          <w:bCs/>
          <w:sz w:val="20"/>
          <w:lang w:val="es-ES" w:eastAsia="es-ES"/>
        </w:rPr>
        <w:t>GUABITO: PASAJEROS</w:t>
      </w:r>
    </w:p>
    <w:p w:rsidR="00AE5B31" w:rsidRPr="00B70F2C" w:rsidRDefault="00AE5B31" w:rsidP="00AE5B31">
      <w:pPr>
        <w:pStyle w:val="ListParagraph"/>
        <w:ind w:left="705"/>
        <w:jc w:val="center"/>
        <w:rPr>
          <w:sz w:val="20"/>
        </w:rPr>
      </w:pPr>
      <w:r>
        <w:rPr>
          <w:b/>
          <w:bCs/>
          <w:sz w:val="20"/>
          <w:lang w:val="es-ES" w:eastAsia="es-ES"/>
        </w:rPr>
        <w:t>“Sin Proyecto”: Costo Anual en Tiempo según Tipo de Transporte (US$)</w:t>
      </w:r>
    </w:p>
    <w:p w:rsidR="00AE5B31" w:rsidRDefault="00AE5B31" w:rsidP="00AE5B31">
      <w:pPr>
        <w:pStyle w:val="ListParagraph"/>
        <w:ind w:left="810" w:right="182"/>
        <w:jc w:val="both"/>
        <w:rPr>
          <w:sz w:val="18"/>
          <w:szCs w:val="24"/>
        </w:rPr>
      </w:pPr>
    </w:p>
    <w:p w:rsidR="00AE5B31" w:rsidRDefault="00AE5B31" w:rsidP="00AE5B31">
      <w:pPr>
        <w:pStyle w:val="ListParagraph"/>
        <w:ind w:left="810" w:right="182"/>
        <w:jc w:val="both"/>
        <w:rPr>
          <w:sz w:val="18"/>
          <w:szCs w:val="24"/>
        </w:rPr>
      </w:pPr>
      <w:r w:rsidRPr="00BE5F5D">
        <w:rPr>
          <w:noProof/>
          <w:lang w:val="en-US"/>
        </w:rPr>
        <w:drawing>
          <wp:inline distT="0" distB="0" distL="0" distR="0" wp14:anchorId="748E6791" wp14:editId="16281E77">
            <wp:extent cx="7580508" cy="3676650"/>
            <wp:effectExtent l="0" t="0" r="1905" b="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583360" cy="3678033"/>
                    </a:xfrm>
                    <a:prstGeom prst="rect">
                      <a:avLst/>
                    </a:prstGeom>
                    <a:noFill/>
                    <a:ln>
                      <a:noFill/>
                    </a:ln>
                  </pic:spPr>
                </pic:pic>
              </a:graphicData>
            </a:graphic>
          </wp:inline>
        </w:drawing>
      </w:r>
    </w:p>
    <w:p w:rsidR="00AE5B31" w:rsidRPr="005250F0" w:rsidRDefault="00AE5B31" w:rsidP="00AE5B31">
      <w:pPr>
        <w:pStyle w:val="ListParagraph"/>
        <w:tabs>
          <w:tab w:val="left" w:pos="12690"/>
        </w:tabs>
        <w:ind w:left="810" w:right="182"/>
        <w:jc w:val="both"/>
        <w:rPr>
          <w:szCs w:val="24"/>
        </w:rPr>
      </w:pPr>
      <w:r w:rsidRPr="005250F0">
        <w:rPr>
          <w:sz w:val="18"/>
          <w:szCs w:val="24"/>
        </w:rPr>
        <w:t xml:space="preserve">Fuente: </w:t>
      </w:r>
      <w:r>
        <w:rPr>
          <w:sz w:val="18"/>
          <w:szCs w:val="24"/>
        </w:rPr>
        <w:t xml:space="preserve">Elaboración propia con base en datos </w:t>
      </w:r>
      <w:r w:rsidRPr="00DF61B1">
        <w:rPr>
          <w:sz w:val="18"/>
          <w:szCs w:val="24"/>
        </w:rPr>
        <w:t>de la Dirección General de Migración y Extranjería (DGME), Instituto Nacional de E</w:t>
      </w:r>
      <w:r>
        <w:rPr>
          <w:sz w:val="18"/>
          <w:szCs w:val="24"/>
        </w:rPr>
        <w:t>stadística y Censos de Panamá, el S</w:t>
      </w:r>
      <w:r w:rsidRPr="00DF61B1">
        <w:rPr>
          <w:sz w:val="18"/>
          <w:szCs w:val="24"/>
        </w:rPr>
        <w:t>ervicio Nacional de Migración de Panamá</w:t>
      </w:r>
      <w:r>
        <w:rPr>
          <w:sz w:val="18"/>
          <w:szCs w:val="24"/>
        </w:rPr>
        <w:t xml:space="preserve"> y el documento </w:t>
      </w:r>
      <w:r w:rsidRPr="004D4804">
        <w:rPr>
          <w:sz w:val="18"/>
          <w:szCs w:val="24"/>
        </w:rPr>
        <w:t>“Elaboración de la línea base y estimación de ahorros para los procesos de carga y migración del paso de frontera Guabito, Cabecera de Panamá”</w:t>
      </w:r>
      <w:r>
        <w:rPr>
          <w:sz w:val="18"/>
          <w:szCs w:val="24"/>
        </w:rPr>
        <w:t>.</w:t>
      </w:r>
    </w:p>
    <w:p w:rsidR="00AE5B31" w:rsidRDefault="00AE5B31" w:rsidP="00AE5B31">
      <w:pPr>
        <w:widowControl w:val="0"/>
        <w:adjustRightInd w:val="0"/>
        <w:jc w:val="both"/>
        <w:textAlignment w:val="baseline"/>
      </w:pPr>
    </w:p>
    <w:p w:rsidR="00AE5B31" w:rsidRDefault="00AE5B31" w:rsidP="00AE5B31">
      <w:pPr>
        <w:widowControl w:val="0"/>
        <w:adjustRightInd w:val="0"/>
        <w:jc w:val="both"/>
        <w:textAlignment w:val="baseline"/>
      </w:pPr>
    </w:p>
    <w:p w:rsidR="00AE5B31" w:rsidRDefault="00AE5B31" w:rsidP="00AE5B31">
      <w:pPr>
        <w:widowControl w:val="0"/>
        <w:adjustRightInd w:val="0"/>
        <w:jc w:val="both"/>
        <w:textAlignment w:val="baseline"/>
      </w:pPr>
    </w:p>
    <w:p w:rsidR="00AE5B31" w:rsidRDefault="00AE5B31" w:rsidP="00AE5B31">
      <w:pPr>
        <w:widowControl w:val="0"/>
        <w:adjustRightInd w:val="0"/>
        <w:jc w:val="both"/>
        <w:textAlignment w:val="baseline"/>
      </w:pPr>
    </w:p>
    <w:p w:rsidR="00AE5B31" w:rsidRDefault="00AE5B31" w:rsidP="00AE5B31">
      <w:pPr>
        <w:widowControl w:val="0"/>
        <w:adjustRightInd w:val="0"/>
        <w:jc w:val="both"/>
        <w:textAlignment w:val="baseline"/>
      </w:pPr>
    </w:p>
    <w:p w:rsidR="00AE5B31" w:rsidRDefault="00AE5B31" w:rsidP="00AE5B31">
      <w:pPr>
        <w:widowControl w:val="0"/>
        <w:adjustRightInd w:val="0"/>
        <w:jc w:val="both"/>
        <w:textAlignment w:val="baseline"/>
      </w:pPr>
    </w:p>
    <w:p w:rsidR="00AE5B31" w:rsidRDefault="00AE5B31" w:rsidP="00AE5B31">
      <w:pPr>
        <w:widowControl w:val="0"/>
        <w:adjustRightInd w:val="0"/>
        <w:jc w:val="both"/>
        <w:textAlignment w:val="baseline"/>
      </w:pPr>
    </w:p>
    <w:p w:rsidR="00AE5B31" w:rsidRDefault="00AE5B31" w:rsidP="00AE5B31">
      <w:pPr>
        <w:widowControl w:val="0"/>
        <w:adjustRightInd w:val="0"/>
        <w:jc w:val="both"/>
        <w:textAlignment w:val="baseline"/>
      </w:pPr>
    </w:p>
    <w:p w:rsidR="00AE5B31" w:rsidRPr="00B70F2C" w:rsidRDefault="00AE5B31" w:rsidP="00AE5B31">
      <w:pPr>
        <w:pStyle w:val="ListParagraph"/>
        <w:ind w:left="705"/>
        <w:jc w:val="center"/>
        <w:rPr>
          <w:b/>
          <w:sz w:val="22"/>
          <w:szCs w:val="22"/>
        </w:rPr>
      </w:pPr>
      <w:r w:rsidRPr="00B70F2C">
        <w:rPr>
          <w:b/>
          <w:sz w:val="22"/>
          <w:szCs w:val="22"/>
        </w:rPr>
        <w:t xml:space="preserve">Cuadro </w:t>
      </w:r>
      <w:r>
        <w:rPr>
          <w:b/>
          <w:sz w:val="22"/>
          <w:szCs w:val="22"/>
        </w:rPr>
        <w:t>XVII</w:t>
      </w:r>
    </w:p>
    <w:p w:rsidR="00AE5B31" w:rsidRPr="00B70F2C" w:rsidRDefault="00AE5B31" w:rsidP="00AE5B31">
      <w:pPr>
        <w:pStyle w:val="ListParagraph"/>
        <w:ind w:left="705"/>
        <w:jc w:val="center"/>
        <w:rPr>
          <w:b/>
          <w:bCs/>
          <w:sz w:val="20"/>
          <w:lang w:val="es-ES" w:eastAsia="es-ES"/>
        </w:rPr>
      </w:pPr>
      <w:r>
        <w:rPr>
          <w:b/>
          <w:bCs/>
          <w:sz w:val="20"/>
          <w:lang w:val="es-ES" w:eastAsia="es-ES"/>
        </w:rPr>
        <w:t>GUABITO: PASAJEROS</w:t>
      </w:r>
    </w:p>
    <w:p w:rsidR="00AE5B31" w:rsidRDefault="00AE5B31" w:rsidP="00AE5B31">
      <w:pPr>
        <w:pStyle w:val="ListParagraph"/>
        <w:ind w:left="705"/>
        <w:jc w:val="center"/>
        <w:rPr>
          <w:b/>
          <w:bCs/>
          <w:sz w:val="20"/>
          <w:lang w:val="es-ES" w:eastAsia="es-ES"/>
        </w:rPr>
      </w:pPr>
      <w:r>
        <w:rPr>
          <w:b/>
          <w:bCs/>
          <w:sz w:val="20"/>
          <w:lang w:val="es-ES" w:eastAsia="es-ES"/>
        </w:rPr>
        <w:t>“Con Proyecto”: Costo Anual en Tiempo según Tipo de Transporte (US$)</w:t>
      </w:r>
    </w:p>
    <w:p w:rsidR="00AE5B31" w:rsidRDefault="00AE5B31" w:rsidP="00AE5B31">
      <w:pPr>
        <w:pStyle w:val="ListParagraph"/>
        <w:ind w:left="705"/>
        <w:jc w:val="center"/>
        <w:rPr>
          <w:sz w:val="20"/>
        </w:rPr>
      </w:pPr>
    </w:p>
    <w:p w:rsidR="00AE5B31" w:rsidRPr="00B70F2C" w:rsidRDefault="00AE5B31" w:rsidP="00AE5B31">
      <w:pPr>
        <w:pStyle w:val="ListParagraph"/>
        <w:ind w:left="90"/>
        <w:jc w:val="center"/>
        <w:rPr>
          <w:sz w:val="20"/>
        </w:rPr>
      </w:pPr>
      <w:r w:rsidRPr="00BE5F5D">
        <w:rPr>
          <w:noProof/>
          <w:lang w:val="en-US"/>
        </w:rPr>
        <w:drawing>
          <wp:inline distT="0" distB="0" distL="0" distR="0" wp14:anchorId="1C256737" wp14:editId="61F5745B">
            <wp:extent cx="7791450" cy="2946725"/>
            <wp:effectExtent l="0" t="0" r="0" b="635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7804553" cy="2951681"/>
                    </a:xfrm>
                    <a:prstGeom prst="rect">
                      <a:avLst/>
                    </a:prstGeom>
                    <a:noFill/>
                    <a:ln>
                      <a:noFill/>
                    </a:ln>
                  </pic:spPr>
                </pic:pic>
              </a:graphicData>
            </a:graphic>
          </wp:inline>
        </w:drawing>
      </w:r>
    </w:p>
    <w:p w:rsidR="00AE5B31" w:rsidRPr="005250F0" w:rsidRDefault="00AE5B31" w:rsidP="00AE5B31">
      <w:pPr>
        <w:pStyle w:val="ListParagraph"/>
        <w:tabs>
          <w:tab w:val="left" w:pos="12420"/>
          <w:tab w:val="left" w:pos="12690"/>
        </w:tabs>
        <w:ind w:left="270" w:right="182"/>
        <w:jc w:val="both"/>
        <w:rPr>
          <w:szCs w:val="24"/>
        </w:rPr>
      </w:pPr>
      <w:r w:rsidRPr="005250F0">
        <w:rPr>
          <w:sz w:val="18"/>
          <w:szCs w:val="24"/>
        </w:rPr>
        <w:t xml:space="preserve">Fuente: </w:t>
      </w:r>
      <w:r>
        <w:rPr>
          <w:sz w:val="18"/>
          <w:szCs w:val="24"/>
        </w:rPr>
        <w:t xml:space="preserve">Elaboración propia con base en datos </w:t>
      </w:r>
      <w:r w:rsidRPr="00DF61B1">
        <w:rPr>
          <w:sz w:val="18"/>
          <w:szCs w:val="24"/>
        </w:rPr>
        <w:t>de la Dirección General de Migración y Extranjería (DGME), Instituto Nacional de E</w:t>
      </w:r>
      <w:r>
        <w:rPr>
          <w:sz w:val="18"/>
          <w:szCs w:val="24"/>
        </w:rPr>
        <w:t>stadística y Censos de Panamá, el S</w:t>
      </w:r>
      <w:r w:rsidRPr="00DF61B1">
        <w:rPr>
          <w:sz w:val="18"/>
          <w:szCs w:val="24"/>
        </w:rPr>
        <w:t>ervicio Nacional de Migración de Panamá</w:t>
      </w:r>
      <w:r>
        <w:rPr>
          <w:sz w:val="18"/>
          <w:szCs w:val="24"/>
        </w:rPr>
        <w:t xml:space="preserve"> y el documento </w:t>
      </w:r>
      <w:r w:rsidRPr="004D4804">
        <w:rPr>
          <w:sz w:val="18"/>
          <w:szCs w:val="24"/>
        </w:rPr>
        <w:t>“Elaboración de la línea base y estimación de ahorros para los procesos de carga y migración del paso de frontera Guabito, Cabecera de Panamá”</w:t>
      </w:r>
      <w:r>
        <w:rPr>
          <w:sz w:val="18"/>
          <w:szCs w:val="24"/>
        </w:rPr>
        <w:t>.</w:t>
      </w:r>
    </w:p>
    <w:p w:rsidR="00AE5B31" w:rsidRPr="005250F0" w:rsidRDefault="00AE5B31" w:rsidP="00AE5B31">
      <w:pPr>
        <w:pStyle w:val="ListParagraph"/>
        <w:ind w:left="540" w:right="542"/>
        <w:jc w:val="both"/>
        <w:rPr>
          <w:szCs w:val="24"/>
        </w:rPr>
      </w:pPr>
    </w:p>
    <w:p w:rsidR="00AE5B31" w:rsidRPr="004509CE" w:rsidRDefault="00AE5B31" w:rsidP="00AE5B31">
      <w:pPr>
        <w:jc w:val="both"/>
        <w:rPr>
          <w:sz w:val="18"/>
          <w:szCs w:val="24"/>
        </w:rPr>
      </w:pPr>
    </w:p>
    <w:p w:rsidR="00AE5B31" w:rsidRDefault="00AE5B31" w:rsidP="00AE5B31">
      <w:pPr>
        <w:pStyle w:val="ListParagraph"/>
        <w:ind w:left="705"/>
        <w:jc w:val="center"/>
        <w:rPr>
          <w:b/>
          <w:sz w:val="22"/>
          <w:szCs w:val="22"/>
        </w:rPr>
      </w:pPr>
    </w:p>
    <w:p w:rsidR="00AE5B31" w:rsidRDefault="00AE5B31" w:rsidP="00AE5B31">
      <w:pPr>
        <w:pStyle w:val="ListParagraph"/>
        <w:ind w:left="705"/>
        <w:jc w:val="center"/>
        <w:rPr>
          <w:b/>
          <w:sz w:val="22"/>
          <w:szCs w:val="22"/>
        </w:rPr>
      </w:pPr>
    </w:p>
    <w:p w:rsidR="00AE5B31" w:rsidRDefault="00AE5B31" w:rsidP="00AE5B31">
      <w:pPr>
        <w:pStyle w:val="ListParagraph"/>
        <w:ind w:left="705"/>
        <w:jc w:val="center"/>
        <w:rPr>
          <w:b/>
          <w:sz w:val="22"/>
          <w:szCs w:val="22"/>
        </w:rPr>
      </w:pPr>
    </w:p>
    <w:p w:rsidR="00AE5B31" w:rsidRDefault="00AE5B31" w:rsidP="00AE5B31">
      <w:pPr>
        <w:pStyle w:val="ListParagraph"/>
        <w:ind w:left="705"/>
        <w:jc w:val="center"/>
        <w:rPr>
          <w:b/>
          <w:sz w:val="22"/>
          <w:szCs w:val="22"/>
        </w:rPr>
      </w:pPr>
    </w:p>
    <w:p w:rsidR="00AE5B31" w:rsidRDefault="00AE5B31" w:rsidP="00AE5B31">
      <w:pPr>
        <w:pStyle w:val="ListParagraph"/>
        <w:ind w:left="705"/>
        <w:jc w:val="center"/>
        <w:rPr>
          <w:b/>
          <w:sz w:val="22"/>
          <w:szCs w:val="22"/>
        </w:rPr>
      </w:pPr>
    </w:p>
    <w:p w:rsidR="00AE5B31" w:rsidRDefault="00AE5B31" w:rsidP="00AE5B31">
      <w:pPr>
        <w:pStyle w:val="ListParagraph"/>
        <w:ind w:left="705"/>
        <w:jc w:val="center"/>
        <w:rPr>
          <w:b/>
          <w:sz w:val="22"/>
          <w:szCs w:val="22"/>
        </w:rPr>
      </w:pPr>
    </w:p>
    <w:p w:rsidR="00AE5B31" w:rsidRDefault="00AE5B31" w:rsidP="00AE5B31">
      <w:pPr>
        <w:pStyle w:val="ListParagraph"/>
        <w:ind w:left="705"/>
        <w:jc w:val="center"/>
        <w:rPr>
          <w:b/>
          <w:sz w:val="22"/>
          <w:szCs w:val="22"/>
        </w:rPr>
      </w:pPr>
    </w:p>
    <w:p w:rsidR="00AE5B31" w:rsidRPr="00B70F2C" w:rsidRDefault="00AE5B31" w:rsidP="00AE5B31">
      <w:pPr>
        <w:pStyle w:val="ListParagraph"/>
        <w:ind w:left="705"/>
        <w:jc w:val="center"/>
        <w:rPr>
          <w:b/>
          <w:sz w:val="22"/>
          <w:szCs w:val="22"/>
        </w:rPr>
      </w:pPr>
      <w:r w:rsidRPr="00B70F2C">
        <w:rPr>
          <w:b/>
          <w:sz w:val="22"/>
          <w:szCs w:val="22"/>
        </w:rPr>
        <w:lastRenderedPageBreak/>
        <w:t xml:space="preserve">Cuadro </w:t>
      </w:r>
      <w:r>
        <w:rPr>
          <w:b/>
          <w:sz w:val="22"/>
          <w:szCs w:val="22"/>
        </w:rPr>
        <w:t>XVIII</w:t>
      </w:r>
    </w:p>
    <w:p w:rsidR="00AE5B31" w:rsidRPr="00B70F2C" w:rsidRDefault="00AE5B31" w:rsidP="00AE5B31">
      <w:pPr>
        <w:pStyle w:val="ListParagraph"/>
        <w:ind w:left="705"/>
        <w:jc w:val="center"/>
        <w:rPr>
          <w:b/>
          <w:bCs/>
          <w:sz w:val="20"/>
          <w:lang w:val="es-ES" w:eastAsia="es-ES"/>
        </w:rPr>
      </w:pPr>
      <w:r>
        <w:rPr>
          <w:b/>
          <w:bCs/>
          <w:sz w:val="20"/>
          <w:lang w:val="es-ES" w:eastAsia="es-ES"/>
        </w:rPr>
        <w:t>GUABITO: CARGA</w:t>
      </w:r>
    </w:p>
    <w:p w:rsidR="00AE5B31" w:rsidRDefault="00AE5B31" w:rsidP="00AE5B31">
      <w:pPr>
        <w:pStyle w:val="ListParagraph"/>
        <w:ind w:left="705"/>
        <w:jc w:val="center"/>
        <w:rPr>
          <w:b/>
          <w:bCs/>
          <w:sz w:val="20"/>
          <w:lang w:val="es-ES" w:eastAsia="es-ES"/>
        </w:rPr>
      </w:pPr>
      <w:r>
        <w:rPr>
          <w:b/>
          <w:bCs/>
          <w:sz w:val="20"/>
          <w:lang w:val="es-ES" w:eastAsia="es-ES"/>
        </w:rPr>
        <w:t>“Sin Proyecto”: Costo Anual en Tiempo según Tipo de Despacho (US$)</w:t>
      </w:r>
    </w:p>
    <w:p w:rsidR="00AE5B31" w:rsidRDefault="00AE5B31" w:rsidP="00AE5B31">
      <w:pPr>
        <w:widowControl w:val="0"/>
        <w:adjustRightInd w:val="0"/>
        <w:jc w:val="both"/>
        <w:textAlignment w:val="baseline"/>
        <w:rPr>
          <w:sz w:val="18"/>
          <w:szCs w:val="24"/>
          <w:lang w:val="es-ES"/>
        </w:rPr>
      </w:pPr>
    </w:p>
    <w:p w:rsidR="00AE5B31" w:rsidRDefault="00AE5B31" w:rsidP="00AE5B31">
      <w:pPr>
        <w:widowControl w:val="0"/>
        <w:adjustRightInd w:val="0"/>
        <w:jc w:val="both"/>
        <w:textAlignment w:val="baseline"/>
        <w:rPr>
          <w:sz w:val="18"/>
          <w:szCs w:val="24"/>
          <w:lang w:val="es-ES"/>
        </w:rPr>
      </w:pPr>
      <w:r w:rsidRPr="00EC2447">
        <w:rPr>
          <w:noProof/>
          <w:lang w:val="en-US"/>
        </w:rPr>
        <w:drawing>
          <wp:inline distT="0" distB="0" distL="0" distR="0" wp14:anchorId="207DBCEC" wp14:editId="12C578DD">
            <wp:extent cx="8058150" cy="4151592"/>
            <wp:effectExtent l="0" t="0" r="0" b="1905"/>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058150" cy="4151592"/>
                    </a:xfrm>
                    <a:prstGeom prst="rect">
                      <a:avLst/>
                    </a:prstGeom>
                    <a:noFill/>
                    <a:ln>
                      <a:noFill/>
                    </a:ln>
                  </pic:spPr>
                </pic:pic>
              </a:graphicData>
            </a:graphic>
          </wp:inline>
        </w:drawing>
      </w:r>
    </w:p>
    <w:p w:rsidR="00AE5B31" w:rsidRPr="00DF61B1" w:rsidRDefault="00AE5B31" w:rsidP="00AE5B31">
      <w:pPr>
        <w:widowControl w:val="0"/>
        <w:adjustRightInd w:val="0"/>
        <w:ind w:right="180"/>
        <w:jc w:val="both"/>
        <w:textAlignment w:val="baseline"/>
        <w:rPr>
          <w:szCs w:val="24"/>
        </w:rPr>
      </w:pPr>
      <w:r w:rsidRPr="00804585">
        <w:rPr>
          <w:sz w:val="18"/>
          <w:szCs w:val="24"/>
        </w:rPr>
        <w:t>Fuente: Elaboración propia con base en cifras de</w:t>
      </w:r>
      <w:r>
        <w:rPr>
          <w:sz w:val="18"/>
          <w:szCs w:val="24"/>
        </w:rPr>
        <w:t xml:space="preserve"> comercio internacional SIECA, </w:t>
      </w:r>
      <w:r w:rsidRPr="00804585">
        <w:rPr>
          <w:sz w:val="18"/>
          <w:szCs w:val="24"/>
        </w:rPr>
        <w:t>Instituto Panameño de Estadística y Censo</w:t>
      </w:r>
      <w:r>
        <w:rPr>
          <w:sz w:val="18"/>
          <w:szCs w:val="24"/>
        </w:rPr>
        <w:t>, Procomer y datos del documento</w:t>
      </w:r>
      <w:r w:rsidRPr="004D4804">
        <w:rPr>
          <w:sz w:val="18"/>
          <w:szCs w:val="24"/>
        </w:rPr>
        <w:t>“Elaboración de la línea base y estimación de ahorros para los procesos de carga y migración del paso de frontera Guabito, Cabecera de Panamá”</w:t>
      </w:r>
      <w:r>
        <w:rPr>
          <w:sz w:val="18"/>
          <w:szCs w:val="24"/>
        </w:rPr>
        <w:t>.</w:t>
      </w:r>
    </w:p>
    <w:p w:rsidR="00AE5B31" w:rsidRPr="004509CE" w:rsidRDefault="00AE5B31" w:rsidP="00AE5B31">
      <w:pPr>
        <w:jc w:val="both"/>
        <w:rPr>
          <w:sz w:val="18"/>
          <w:szCs w:val="24"/>
        </w:rPr>
      </w:pPr>
    </w:p>
    <w:p w:rsidR="00AE5B31" w:rsidRPr="00804585" w:rsidRDefault="00AE5B31" w:rsidP="00AE5B31">
      <w:pPr>
        <w:jc w:val="both"/>
        <w:rPr>
          <w:szCs w:val="24"/>
        </w:rPr>
      </w:pPr>
    </w:p>
    <w:p w:rsidR="00AE5B31" w:rsidRDefault="00AE5B31" w:rsidP="00AE5B31">
      <w:pPr>
        <w:jc w:val="both"/>
      </w:pPr>
    </w:p>
    <w:p w:rsidR="00AE5B31" w:rsidRDefault="00AE5B31" w:rsidP="00AE5B31">
      <w:pPr>
        <w:jc w:val="both"/>
      </w:pPr>
    </w:p>
    <w:p w:rsidR="00AE5B31" w:rsidRDefault="00AE5B31" w:rsidP="00AE5B31">
      <w:pPr>
        <w:widowControl w:val="0"/>
        <w:adjustRightInd w:val="0"/>
        <w:jc w:val="both"/>
        <w:textAlignment w:val="baseline"/>
      </w:pPr>
    </w:p>
    <w:p w:rsidR="00AE5B31" w:rsidRPr="00B70F2C" w:rsidRDefault="00AE5B31" w:rsidP="00AE5B31">
      <w:pPr>
        <w:pStyle w:val="ListParagraph"/>
        <w:ind w:left="705"/>
        <w:jc w:val="center"/>
        <w:rPr>
          <w:b/>
          <w:sz w:val="22"/>
          <w:szCs w:val="22"/>
        </w:rPr>
      </w:pPr>
      <w:r w:rsidRPr="00B70F2C">
        <w:rPr>
          <w:b/>
          <w:sz w:val="22"/>
          <w:szCs w:val="22"/>
        </w:rPr>
        <w:t xml:space="preserve">Cuadro </w:t>
      </w:r>
      <w:r>
        <w:rPr>
          <w:b/>
          <w:sz w:val="22"/>
          <w:szCs w:val="22"/>
        </w:rPr>
        <w:t>XIX</w:t>
      </w:r>
    </w:p>
    <w:p w:rsidR="00AE5B31" w:rsidRPr="00B70F2C" w:rsidRDefault="00AE5B31" w:rsidP="00AE5B31">
      <w:pPr>
        <w:pStyle w:val="ListParagraph"/>
        <w:ind w:left="705"/>
        <w:jc w:val="center"/>
        <w:rPr>
          <w:b/>
          <w:bCs/>
          <w:sz w:val="20"/>
          <w:lang w:val="es-ES" w:eastAsia="es-ES"/>
        </w:rPr>
      </w:pPr>
      <w:r>
        <w:rPr>
          <w:b/>
          <w:bCs/>
          <w:sz w:val="20"/>
          <w:lang w:val="es-ES" w:eastAsia="es-ES"/>
        </w:rPr>
        <w:t>GUABITO: CARGA</w:t>
      </w:r>
    </w:p>
    <w:p w:rsidR="00AE5B31" w:rsidRDefault="00AE5B31" w:rsidP="00AE5B31">
      <w:pPr>
        <w:pStyle w:val="ListParagraph"/>
        <w:ind w:left="705"/>
        <w:jc w:val="center"/>
        <w:rPr>
          <w:b/>
          <w:bCs/>
          <w:sz w:val="20"/>
          <w:lang w:val="es-ES" w:eastAsia="es-ES"/>
        </w:rPr>
      </w:pPr>
      <w:r>
        <w:rPr>
          <w:b/>
          <w:bCs/>
          <w:sz w:val="20"/>
          <w:lang w:val="es-ES" w:eastAsia="es-ES"/>
        </w:rPr>
        <w:t>“Con Proyecto”: Costo Anual en Tiempo según Tipo de Despacho (US$)</w:t>
      </w:r>
    </w:p>
    <w:p w:rsidR="00AE5B31" w:rsidRPr="00A13F0F" w:rsidRDefault="00AE5B31" w:rsidP="00AE5B31">
      <w:pPr>
        <w:pStyle w:val="ListParagraph"/>
        <w:ind w:left="705"/>
        <w:jc w:val="center"/>
        <w:rPr>
          <w:noProof/>
          <w:lang w:val="es-CR"/>
        </w:rPr>
      </w:pPr>
    </w:p>
    <w:p w:rsidR="00AE5B31" w:rsidRPr="00B70F2C" w:rsidRDefault="00AE5B31" w:rsidP="00AE5B31">
      <w:pPr>
        <w:pStyle w:val="ListParagraph"/>
        <w:ind w:left="180" w:right="272"/>
        <w:jc w:val="center"/>
        <w:rPr>
          <w:sz w:val="20"/>
        </w:rPr>
      </w:pPr>
      <w:r w:rsidRPr="00EC2447">
        <w:rPr>
          <w:noProof/>
          <w:lang w:val="en-US"/>
        </w:rPr>
        <w:drawing>
          <wp:inline distT="0" distB="0" distL="0" distR="0" wp14:anchorId="3CBA6291" wp14:editId="55643BED">
            <wp:extent cx="8058150" cy="3257282"/>
            <wp:effectExtent l="0" t="0" r="0" b="635"/>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058150" cy="3257282"/>
                    </a:xfrm>
                    <a:prstGeom prst="rect">
                      <a:avLst/>
                    </a:prstGeom>
                    <a:noFill/>
                    <a:ln>
                      <a:noFill/>
                    </a:ln>
                  </pic:spPr>
                </pic:pic>
              </a:graphicData>
            </a:graphic>
          </wp:inline>
        </w:drawing>
      </w:r>
    </w:p>
    <w:p w:rsidR="00AE5B31" w:rsidRPr="00DF61B1" w:rsidRDefault="00AE5B31" w:rsidP="00AE5B31">
      <w:pPr>
        <w:widowControl w:val="0"/>
        <w:adjustRightInd w:val="0"/>
        <w:ind w:left="284" w:right="180"/>
        <w:jc w:val="both"/>
        <w:textAlignment w:val="baseline"/>
        <w:rPr>
          <w:szCs w:val="24"/>
        </w:rPr>
      </w:pPr>
      <w:r w:rsidRPr="00804585">
        <w:rPr>
          <w:sz w:val="18"/>
          <w:szCs w:val="24"/>
        </w:rPr>
        <w:t>Fuente: Elaboración propia con base en cifras de</w:t>
      </w:r>
      <w:r>
        <w:rPr>
          <w:sz w:val="18"/>
          <w:szCs w:val="24"/>
        </w:rPr>
        <w:t xml:space="preserve"> comercio internacional SIECA, </w:t>
      </w:r>
      <w:r w:rsidRPr="00804585">
        <w:rPr>
          <w:sz w:val="18"/>
          <w:szCs w:val="24"/>
        </w:rPr>
        <w:t>Instituto Panameño de Estadística y Censo</w:t>
      </w:r>
      <w:r>
        <w:rPr>
          <w:sz w:val="18"/>
          <w:szCs w:val="24"/>
        </w:rPr>
        <w:t xml:space="preserve">, Procomer y datos del documento </w:t>
      </w:r>
      <w:r w:rsidRPr="004D4804">
        <w:rPr>
          <w:sz w:val="18"/>
          <w:szCs w:val="24"/>
        </w:rPr>
        <w:t>“Elaboración de la línea base y estimación de ahorros para los procesos de carga y migración del paso de frontera Guabito, Cabecera de Panamá”</w:t>
      </w:r>
      <w:r>
        <w:rPr>
          <w:sz w:val="18"/>
          <w:szCs w:val="24"/>
        </w:rPr>
        <w:t>.</w:t>
      </w:r>
    </w:p>
    <w:p w:rsidR="00AE5B31" w:rsidRPr="00DF61B1" w:rsidRDefault="00AE5B31" w:rsidP="00AE5B31">
      <w:pPr>
        <w:widowControl w:val="0"/>
        <w:adjustRightInd w:val="0"/>
        <w:ind w:left="180" w:right="180"/>
        <w:jc w:val="both"/>
        <w:textAlignment w:val="baseline"/>
        <w:rPr>
          <w:szCs w:val="24"/>
        </w:rPr>
      </w:pPr>
    </w:p>
    <w:p w:rsidR="00AE5B31" w:rsidRDefault="00AE5B31" w:rsidP="00AE5B31">
      <w:pPr>
        <w:widowControl w:val="0"/>
        <w:adjustRightInd w:val="0"/>
        <w:jc w:val="both"/>
        <w:textAlignment w:val="baseline"/>
      </w:pPr>
    </w:p>
    <w:p w:rsidR="00AE5B31" w:rsidRDefault="00AE5B31" w:rsidP="00AE5B31">
      <w:pPr>
        <w:pStyle w:val="ListParagraph"/>
        <w:ind w:left="720"/>
        <w:jc w:val="both"/>
        <w:rPr>
          <w:smallCaps/>
          <w:sz w:val="20"/>
        </w:rPr>
      </w:pPr>
    </w:p>
    <w:p w:rsidR="00AE5B31" w:rsidRDefault="00AE5B31" w:rsidP="00AE5B31">
      <w:pPr>
        <w:pStyle w:val="ListParagraph"/>
        <w:ind w:left="720"/>
        <w:jc w:val="both"/>
        <w:rPr>
          <w:smallCaps/>
          <w:sz w:val="20"/>
        </w:rPr>
      </w:pPr>
    </w:p>
    <w:p w:rsidR="00AE5B31" w:rsidRDefault="00AE5B31" w:rsidP="00AE5B31">
      <w:pPr>
        <w:pStyle w:val="ListParagraph"/>
        <w:ind w:left="720"/>
        <w:jc w:val="both"/>
        <w:rPr>
          <w:smallCaps/>
          <w:sz w:val="20"/>
        </w:rPr>
      </w:pPr>
    </w:p>
    <w:p w:rsidR="00AE5B31" w:rsidRDefault="00AE5B31" w:rsidP="00AE5B31">
      <w:pPr>
        <w:pStyle w:val="ListParagraph"/>
        <w:ind w:left="720"/>
        <w:jc w:val="both"/>
        <w:rPr>
          <w:smallCaps/>
          <w:sz w:val="20"/>
        </w:rPr>
      </w:pPr>
    </w:p>
    <w:p w:rsidR="00AE5B31" w:rsidRDefault="00AE5B31" w:rsidP="00AE5B31">
      <w:pPr>
        <w:pStyle w:val="ListParagraph"/>
        <w:ind w:left="720"/>
        <w:jc w:val="both"/>
        <w:rPr>
          <w:smallCaps/>
          <w:sz w:val="20"/>
        </w:rPr>
      </w:pPr>
    </w:p>
    <w:p w:rsidR="00AE5B31" w:rsidRDefault="00AE5B31" w:rsidP="00AE5B31">
      <w:pPr>
        <w:pStyle w:val="ListParagraph"/>
        <w:ind w:left="720"/>
        <w:jc w:val="both"/>
        <w:rPr>
          <w:smallCaps/>
          <w:sz w:val="20"/>
        </w:rPr>
      </w:pPr>
    </w:p>
    <w:p w:rsidR="00AE5B31" w:rsidRDefault="00AE5B31" w:rsidP="00AE5B31">
      <w:pPr>
        <w:pStyle w:val="ListParagraph"/>
        <w:ind w:left="720"/>
        <w:jc w:val="both"/>
        <w:rPr>
          <w:smallCaps/>
          <w:sz w:val="20"/>
        </w:rPr>
      </w:pPr>
    </w:p>
    <w:p w:rsidR="00AE5B31" w:rsidRPr="00B70F2C" w:rsidRDefault="00AE5B31" w:rsidP="00AE5B31">
      <w:pPr>
        <w:pStyle w:val="ListParagraph"/>
        <w:ind w:left="705"/>
        <w:jc w:val="center"/>
        <w:rPr>
          <w:b/>
          <w:sz w:val="22"/>
          <w:szCs w:val="22"/>
        </w:rPr>
      </w:pPr>
      <w:r w:rsidRPr="00B70F2C">
        <w:rPr>
          <w:b/>
          <w:sz w:val="22"/>
          <w:szCs w:val="22"/>
        </w:rPr>
        <w:lastRenderedPageBreak/>
        <w:t xml:space="preserve">Cuadro </w:t>
      </w:r>
      <w:r>
        <w:rPr>
          <w:b/>
          <w:sz w:val="22"/>
          <w:szCs w:val="22"/>
        </w:rPr>
        <w:t>XX</w:t>
      </w:r>
    </w:p>
    <w:p w:rsidR="00AE5B31" w:rsidRPr="00B70F2C" w:rsidRDefault="00AE5B31" w:rsidP="00AE5B31">
      <w:pPr>
        <w:pStyle w:val="ListParagraph"/>
        <w:ind w:left="705"/>
        <w:jc w:val="center"/>
        <w:rPr>
          <w:b/>
          <w:bCs/>
          <w:sz w:val="20"/>
          <w:lang w:val="es-ES" w:eastAsia="es-ES"/>
        </w:rPr>
      </w:pPr>
      <w:r>
        <w:rPr>
          <w:b/>
          <w:bCs/>
          <w:sz w:val="20"/>
          <w:lang w:val="es-ES" w:eastAsia="es-ES"/>
        </w:rPr>
        <w:t>GUABITO: CARGA</w:t>
      </w:r>
    </w:p>
    <w:p w:rsidR="00AE5B31" w:rsidRDefault="00AE5B31" w:rsidP="00AE5B31">
      <w:pPr>
        <w:pStyle w:val="ListParagraph"/>
        <w:ind w:left="705"/>
        <w:jc w:val="center"/>
        <w:rPr>
          <w:b/>
          <w:bCs/>
          <w:sz w:val="20"/>
          <w:lang w:val="es-ES" w:eastAsia="es-ES"/>
        </w:rPr>
      </w:pPr>
      <w:r>
        <w:rPr>
          <w:b/>
          <w:bCs/>
          <w:sz w:val="20"/>
          <w:lang w:val="es-ES" w:eastAsia="es-ES"/>
        </w:rPr>
        <w:t>“Sin Proyecto”: Costo en Emisiones de CO</w:t>
      </w:r>
      <w:r w:rsidRPr="006B371C">
        <w:rPr>
          <w:b/>
          <w:bCs/>
          <w:sz w:val="20"/>
          <w:vertAlign w:val="superscript"/>
          <w:lang w:val="es-ES" w:eastAsia="es-ES"/>
        </w:rPr>
        <w:t>2</w:t>
      </w:r>
      <w:r>
        <w:rPr>
          <w:b/>
          <w:bCs/>
          <w:sz w:val="20"/>
          <w:lang w:val="es-ES" w:eastAsia="es-ES"/>
        </w:rPr>
        <w:t>eq por Equipos de Refrigeración (US$)</w:t>
      </w:r>
    </w:p>
    <w:p w:rsidR="00AE5B31" w:rsidRDefault="00AE5B31" w:rsidP="00AE5B31">
      <w:pPr>
        <w:pStyle w:val="ListParagraph"/>
        <w:ind w:left="705"/>
        <w:jc w:val="center"/>
        <w:rPr>
          <w:b/>
          <w:bCs/>
          <w:sz w:val="20"/>
          <w:lang w:val="es-ES" w:eastAsia="es-ES"/>
        </w:rPr>
      </w:pPr>
    </w:p>
    <w:p w:rsidR="00AE5B31" w:rsidRPr="006B371C" w:rsidRDefault="00AE5B31" w:rsidP="00AE5B31">
      <w:pPr>
        <w:pStyle w:val="ListParagraph"/>
        <w:ind w:left="90"/>
        <w:jc w:val="center"/>
        <w:rPr>
          <w:sz w:val="18"/>
          <w:szCs w:val="24"/>
        </w:rPr>
      </w:pPr>
      <w:r w:rsidRPr="00BE5F5D">
        <w:rPr>
          <w:noProof/>
          <w:lang w:val="en-US"/>
        </w:rPr>
        <w:drawing>
          <wp:inline distT="0" distB="0" distL="0" distR="0" wp14:anchorId="015BD87B" wp14:editId="3B8C90F2">
            <wp:extent cx="8058150" cy="4144391"/>
            <wp:effectExtent l="0" t="0" r="0" b="889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058150" cy="4144391"/>
                    </a:xfrm>
                    <a:prstGeom prst="rect">
                      <a:avLst/>
                    </a:prstGeom>
                    <a:noFill/>
                    <a:ln>
                      <a:noFill/>
                    </a:ln>
                  </pic:spPr>
                </pic:pic>
              </a:graphicData>
            </a:graphic>
          </wp:inline>
        </w:drawing>
      </w:r>
    </w:p>
    <w:p w:rsidR="00AE5B31" w:rsidRPr="00DF61B1" w:rsidRDefault="00AE5B31" w:rsidP="00AE5B31">
      <w:pPr>
        <w:widowControl w:val="0"/>
        <w:adjustRightInd w:val="0"/>
        <w:ind w:left="180" w:right="180"/>
        <w:jc w:val="both"/>
        <w:textAlignment w:val="baseline"/>
        <w:rPr>
          <w:szCs w:val="24"/>
        </w:rPr>
      </w:pPr>
      <w:r w:rsidRPr="00DF61B1">
        <w:rPr>
          <w:sz w:val="18"/>
          <w:szCs w:val="24"/>
        </w:rPr>
        <w:t xml:space="preserve">Fuente: Elaboración propia con base precios deEmissions Trading System Unión Europea (EU-ETS) y cifras </w:t>
      </w:r>
      <w:r>
        <w:rPr>
          <w:sz w:val="18"/>
          <w:szCs w:val="24"/>
        </w:rPr>
        <w:t>del documento</w:t>
      </w:r>
      <w:r w:rsidRPr="004D4804">
        <w:rPr>
          <w:sz w:val="18"/>
          <w:szCs w:val="24"/>
        </w:rPr>
        <w:t>“Elaboración de la línea base y estimación de ahorros para los procesos de carga y migración del paso de frontera Guabito, Cabecera de Panamá”</w:t>
      </w:r>
      <w:r>
        <w:rPr>
          <w:sz w:val="18"/>
          <w:szCs w:val="24"/>
        </w:rPr>
        <w:t>.</w:t>
      </w:r>
    </w:p>
    <w:p w:rsidR="00AE5B31" w:rsidRDefault="00AE5B31" w:rsidP="00AE5B31">
      <w:pPr>
        <w:widowControl w:val="0"/>
        <w:adjustRightInd w:val="0"/>
        <w:jc w:val="both"/>
        <w:textAlignment w:val="baseline"/>
      </w:pPr>
    </w:p>
    <w:p w:rsidR="00AE5B31" w:rsidRDefault="00AE5B31" w:rsidP="00AE5B31">
      <w:pPr>
        <w:pStyle w:val="ListParagraph"/>
        <w:ind w:left="720"/>
        <w:jc w:val="both"/>
        <w:rPr>
          <w:smallCaps/>
          <w:sz w:val="20"/>
        </w:rPr>
      </w:pPr>
    </w:p>
    <w:p w:rsidR="00AE5B31" w:rsidRDefault="00AE5B31" w:rsidP="00AE5B31">
      <w:pPr>
        <w:pStyle w:val="ListParagraph"/>
        <w:ind w:left="450" w:right="542"/>
        <w:jc w:val="both"/>
        <w:rPr>
          <w:i/>
          <w:sz w:val="18"/>
          <w:szCs w:val="24"/>
        </w:rPr>
      </w:pPr>
    </w:p>
    <w:p w:rsidR="00AE5B31" w:rsidRPr="005250F0" w:rsidRDefault="00AE5B31" w:rsidP="00AE5B31">
      <w:pPr>
        <w:pStyle w:val="ListParagraph"/>
        <w:ind w:left="450" w:right="542"/>
        <w:jc w:val="both"/>
        <w:rPr>
          <w:szCs w:val="24"/>
        </w:rPr>
      </w:pPr>
    </w:p>
    <w:p w:rsidR="00AE5B31" w:rsidRDefault="00AE5B31" w:rsidP="00AE5B31">
      <w:pPr>
        <w:widowControl w:val="0"/>
        <w:adjustRightInd w:val="0"/>
        <w:jc w:val="both"/>
        <w:textAlignment w:val="baseline"/>
      </w:pPr>
    </w:p>
    <w:p w:rsidR="00AE5B31" w:rsidRDefault="00AE5B31" w:rsidP="00AE5B31">
      <w:pPr>
        <w:widowControl w:val="0"/>
        <w:adjustRightInd w:val="0"/>
        <w:jc w:val="both"/>
        <w:textAlignment w:val="baseline"/>
      </w:pPr>
    </w:p>
    <w:p w:rsidR="00AE5B31" w:rsidRPr="00B70F2C" w:rsidRDefault="00AE5B31" w:rsidP="00AE5B31">
      <w:pPr>
        <w:pStyle w:val="ListParagraph"/>
        <w:ind w:left="705"/>
        <w:jc w:val="center"/>
        <w:rPr>
          <w:b/>
          <w:sz w:val="22"/>
          <w:szCs w:val="22"/>
        </w:rPr>
      </w:pPr>
      <w:r w:rsidRPr="00B70F2C">
        <w:rPr>
          <w:b/>
          <w:sz w:val="22"/>
          <w:szCs w:val="22"/>
        </w:rPr>
        <w:t xml:space="preserve">Cuadro </w:t>
      </w:r>
      <w:r>
        <w:rPr>
          <w:b/>
          <w:sz w:val="22"/>
          <w:szCs w:val="22"/>
        </w:rPr>
        <w:t>XXI</w:t>
      </w:r>
    </w:p>
    <w:p w:rsidR="00AE5B31" w:rsidRPr="00B70F2C" w:rsidRDefault="00AE5B31" w:rsidP="00AE5B31">
      <w:pPr>
        <w:pStyle w:val="ListParagraph"/>
        <w:ind w:left="705"/>
        <w:jc w:val="center"/>
        <w:rPr>
          <w:b/>
          <w:bCs/>
          <w:sz w:val="20"/>
          <w:lang w:val="es-ES" w:eastAsia="es-ES"/>
        </w:rPr>
      </w:pPr>
      <w:r>
        <w:rPr>
          <w:b/>
          <w:bCs/>
          <w:sz w:val="20"/>
          <w:lang w:val="es-ES" w:eastAsia="es-ES"/>
        </w:rPr>
        <w:t>GUABITO: CARGA</w:t>
      </w:r>
    </w:p>
    <w:p w:rsidR="00AE5B31" w:rsidRDefault="00AE5B31" w:rsidP="00AE5B31">
      <w:pPr>
        <w:pStyle w:val="ListParagraph"/>
        <w:ind w:left="705"/>
        <w:jc w:val="center"/>
        <w:rPr>
          <w:b/>
          <w:bCs/>
          <w:sz w:val="20"/>
          <w:lang w:val="es-ES" w:eastAsia="es-ES"/>
        </w:rPr>
      </w:pPr>
      <w:r>
        <w:rPr>
          <w:b/>
          <w:bCs/>
          <w:sz w:val="20"/>
          <w:lang w:val="es-ES" w:eastAsia="es-ES"/>
        </w:rPr>
        <w:t>“Con Proyecto”: Costo en Emisiones de CO</w:t>
      </w:r>
      <w:r w:rsidRPr="006B371C">
        <w:rPr>
          <w:b/>
          <w:bCs/>
          <w:sz w:val="20"/>
          <w:vertAlign w:val="superscript"/>
          <w:lang w:val="es-ES" w:eastAsia="es-ES"/>
        </w:rPr>
        <w:t>2</w:t>
      </w:r>
      <w:r>
        <w:rPr>
          <w:b/>
          <w:bCs/>
          <w:sz w:val="20"/>
          <w:lang w:val="es-ES" w:eastAsia="es-ES"/>
        </w:rPr>
        <w:t>eq por Equipos de Refrigeración (US$)</w:t>
      </w:r>
    </w:p>
    <w:p w:rsidR="00AE5B31" w:rsidRDefault="00AE5B31" w:rsidP="00AE5B31">
      <w:pPr>
        <w:widowControl w:val="0"/>
        <w:adjustRightInd w:val="0"/>
        <w:jc w:val="both"/>
        <w:textAlignment w:val="baseline"/>
        <w:rPr>
          <w:sz w:val="18"/>
          <w:szCs w:val="24"/>
          <w:lang w:val="es-ES"/>
        </w:rPr>
      </w:pPr>
    </w:p>
    <w:p w:rsidR="00AE5B31" w:rsidRDefault="00AE5B31" w:rsidP="00AE5B31">
      <w:pPr>
        <w:widowControl w:val="0"/>
        <w:adjustRightInd w:val="0"/>
        <w:jc w:val="both"/>
        <w:textAlignment w:val="baseline"/>
        <w:rPr>
          <w:sz w:val="18"/>
          <w:szCs w:val="24"/>
          <w:lang w:val="es-ES"/>
        </w:rPr>
      </w:pPr>
      <w:r w:rsidRPr="00BE5F5D">
        <w:rPr>
          <w:noProof/>
          <w:lang w:val="en-US"/>
        </w:rPr>
        <w:drawing>
          <wp:inline distT="0" distB="0" distL="0" distR="0" wp14:anchorId="1AA1587A" wp14:editId="3ACC06FA">
            <wp:extent cx="8058150" cy="3252196"/>
            <wp:effectExtent l="0" t="0" r="0" b="5715"/>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058150" cy="3252196"/>
                    </a:xfrm>
                    <a:prstGeom prst="rect">
                      <a:avLst/>
                    </a:prstGeom>
                    <a:noFill/>
                    <a:ln>
                      <a:noFill/>
                    </a:ln>
                  </pic:spPr>
                </pic:pic>
              </a:graphicData>
            </a:graphic>
          </wp:inline>
        </w:drawing>
      </w:r>
    </w:p>
    <w:p w:rsidR="00AE5B31" w:rsidRPr="00DF61B1" w:rsidRDefault="00AE5B31" w:rsidP="00AE5B31">
      <w:pPr>
        <w:widowControl w:val="0"/>
        <w:adjustRightInd w:val="0"/>
        <w:ind w:right="180"/>
        <w:jc w:val="both"/>
        <w:textAlignment w:val="baseline"/>
        <w:rPr>
          <w:szCs w:val="24"/>
        </w:rPr>
      </w:pPr>
      <w:r w:rsidRPr="00DF61B1">
        <w:rPr>
          <w:sz w:val="18"/>
          <w:szCs w:val="24"/>
        </w:rPr>
        <w:t>Fuente: Elaboración propia con base precios deEmissions Trading System Unión Europea (EU-ETS) y cifras de</w:t>
      </w:r>
      <w:r>
        <w:rPr>
          <w:sz w:val="18"/>
          <w:szCs w:val="24"/>
        </w:rPr>
        <w:t>l</w:t>
      </w:r>
      <w:r w:rsidRPr="00DF61B1">
        <w:rPr>
          <w:sz w:val="18"/>
          <w:szCs w:val="24"/>
        </w:rPr>
        <w:t>documento</w:t>
      </w:r>
      <w:r w:rsidRPr="004D4804">
        <w:rPr>
          <w:sz w:val="18"/>
          <w:szCs w:val="24"/>
        </w:rPr>
        <w:t>“Elaboración de la línea base y estimación de ahorros para los procesos de carga y migración del paso de frontera Guabito, Cabecera de Panamá”</w:t>
      </w:r>
      <w:r>
        <w:rPr>
          <w:sz w:val="18"/>
          <w:szCs w:val="24"/>
        </w:rPr>
        <w:t>.</w:t>
      </w:r>
    </w:p>
    <w:p w:rsidR="00AE5B31" w:rsidRDefault="00AE5B31" w:rsidP="00AE5B31">
      <w:pPr>
        <w:widowControl w:val="0"/>
        <w:adjustRightInd w:val="0"/>
        <w:jc w:val="both"/>
        <w:textAlignment w:val="baseline"/>
        <w:rPr>
          <w:smallCaps/>
          <w:sz w:val="20"/>
        </w:rPr>
      </w:pPr>
    </w:p>
    <w:p w:rsidR="00AE5B31" w:rsidRDefault="00AE5B31" w:rsidP="00AE5B31">
      <w:pPr>
        <w:pStyle w:val="ListParagraph"/>
        <w:ind w:left="720"/>
        <w:jc w:val="both"/>
        <w:rPr>
          <w:smallCaps/>
          <w:sz w:val="20"/>
        </w:rPr>
      </w:pPr>
    </w:p>
    <w:p w:rsidR="00AE5B31" w:rsidRDefault="00AE5B31" w:rsidP="00AE5B31">
      <w:pPr>
        <w:pStyle w:val="ListParagraph"/>
        <w:ind w:left="720"/>
        <w:jc w:val="both"/>
        <w:rPr>
          <w:smallCaps/>
          <w:sz w:val="20"/>
        </w:rPr>
      </w:pPr>
    </w:p>
    <w:p w:rsidR="00AE5B31" w:rsidRDefault="00AE5B31" w:rsidP="00AE5B31">
      <w:pPr>
        <w:pStyle w:val="ListParagraph"/>
        <w:ind w:left="720"/>
        <w:jc w:val="both"/>
        <w:rPr>
          <w:smallCaps/>
          <w:sz w:val="20"/>
        </w:rPr>
        <w:sectPr w:rsidR="00AE5B31" w:rsidSect="00D90329">
          <w:pgSz w:w="15842" w:h="12242" w:orient="landscape" w:code="1"/>
          <w:pgMar w:top="1298" w:right="1712" w:bottom="1797" w:left="1440" w:header="731" w:footer="1134" w:gutter="0"/>
          <w:pgNumType w:fmt="numberInDash"/>
          <w:cols w:space="720"/>
          <w:docGrid w:linePitch="326"/>
        </w:sectPr>
      </w:pPr>
    </w:p>
    <w:p w:rsidR="00AE5B31" w:rsidRPr="006B371C" w:rsidRDefault="00AE5B31" w:rsidP="00AE5B31">
      <w:pPr>
        <w:pStyle w:val="Heading1"/>
        <w:numPr>
          <w:ilvl w:val="0"/>
          <w:numId w:val="25"/>
        </w:numPr>
        <w:tabs>
          <w:tab w:val="left" w:pos="270"/>
        </w:tabs>
        <w:ind w:left="0" w:firstLine="0"/>
        <w:jc w:val="both"/>
        <w:rPr>
          <w:b w:val="0"/>
        </w:rPr>
      </w:pPr>
      <w:bookmarkStart w:id="18" w:name="_Toc428992897"/>
      <w:r w:rsidRPr="001D1DBE">
        <w:rPr>
          <w:rFonts w:ascii="Times New Roman" w:hAnsi="Times New Roman"/>
        </w:rPr>
        <w:lastRenderedPageBreak/>
        <w:t>Beneficios</w:t>
      </w:r>
      <w:bookmarkEnd w:id="18"/>
    </w:p>
    <w:p w:rsidR="00AE5B31" w:rsidRPr="0006088F" w:rsidRDefault="00AE5B31" w:rsidP="00AE5B31">
      <w:pPr>
        <w:rPr>
          <w:szCs w:val="24"/>
        </w:rPr>
      </w:pPr>
    </w:p>
    <w:p w:rsidR="00AE5B31" w:rsidRDefault="00AE5B31" w:rsidP="00AE5B31">
      <w:pPr>
        <w:widowControl w:val="0"/>
        <w:adjustRightInd w:val="0"/>
        <w:jc w:val="both"/>
        <w:textAlignment w:val="baseline"/>
        <w:rPr>
          <w:szCs w:val="24"/>
        </w:rPr>
      </w:pPr>
      <w:bookmarkStart w:id="19" w:name="_Ref338497933"/>
      <w:r w:rsidRPr="00AE2C31">
        <w:rPr>
          <w:szCs w:val="24"/>
          <w:u w:val="single"/>
        </w:rPr>
        <w:t>Cuantificación de beneficios.</w:t>
      </w:r>
      <w:r w:rsidRPr="00AE2C31">
        <w:rPr>
          <w:szCs w:val="24"/>
        </w:rPr>
        <w:t>Losbeneficios económicos se calcularon utilizando la metodología tradicional de cuantificación de los “excedentes del consumidor”; en ese sentido, se calcularon: losahorros en costos por reducción de tiempos</w:t>
      </w:r>
      <w:r>
        <w:rPr>
          <w:szCs w:val="24"/>
        </w:rPr>
        <w:t xml:space="preserve"> de permanencia en el paso</w:t>
      </w:r>
      <w:r w:rsidRPr="00AE2C31">
        <w:rPr>
          <w:szCs w:val="24"/>
        </w:rPr>
        <w:t xml:space="preserve"> para los pasajeros y vehículos en función de la aplicación de los nuevos procesos y operaciones</w:t>
      </w:r>
      <w:bookmarkEnd w:id="19"/>
      <w:r w:rsidRPr="00AE2C31">
        <w:rPr>
          <w:szCs w:val="24"/>
        </w:rPr>
        <w:t>. Asimismo, se incorporan los ahorros producto de reducción de emisiones de CO</w:t>
      </w:r>
      <w:r w:rsidRPr="00AE2C31">
        <w:rPr>
          <w:szCs w:val="24"/>
          <w:vertAlign w:val="superscript"/>
        </w:rPr>
        <w:t>2</w:t>
      </w:r>
      <w:r w:rsidRPr="00AE2C31">
        <w:rPr>
          <w:szCs w:val="24"/>
        </w:rPr>
        <w:t>eq</w:t>
      </w:r>
      <w:r>
        <w:rPr>
          <w:szCs w:val="24"/>
        </w:rPr>
        <w:t xml:space="preserve"> y de manera indirecta la no realización por parte del Estado Panameño de “inversiones paliativas” para hacer frente a la creciente demanda en un escenario “Sin Proyecto”.</w:t>
      </w:r>
    </w:p>
    <w:p w:rsidR="00AE5B31" w:rsidRPr="00AE2C31" w:rsidRDefault="00AE5B31" w:rsidP="00AE5B31">
      <w:pPr>
        <w:widowControl w:val="0"/>
        <w:adjustRightInd w:val="0"/>
        <w:jc w:val="both"/>
        <w:textAlignment w:val="baseline"/>
        <w:rPr>
          <w:szCs w:val="24"/>
        </w:rPr>
      </w:pPr>
    </w:p>
    <w:p w:rsidR="00AE5B31" w:rsidRPr="00AE2C31" w:rsidRDefault="00AE5B31" w:rsidP="00AE5B31">
      <w:pPr>
        <w:widowControl w:val="0"/>
        <w:adjustRightInd w:val="0"/>
        <w:jc w:val="both"/>
        <w:textAlignment w:val="baseline"/>
        <w:rPr>
          <w:szCs w:val="24"/>
        </w:rPr>
      </w:pPr>
      <w:bookmarkStart w:id="20" w:name="_Ref338527414"/>
      <w:r w:rsidRPr="001D1DBE">
        <w:rPr>
          <w:szCs w:val="24"/>
          <w:u w:val="single"/>
        </w:rPr>
        <w:t>Beneficios no cuantificados</w:t>
      </w:r>
      <w:r>
        <w:rPr>
          <w:szCs w:val="24"/>
          <w:u w:val="single"/>
        </w:rPr>
        <w:t>.</w:t>
      </w:r>
      <w:r w:rsidRPr="00AE2C31">
        <w:rPr>
          <w:szCs w:val="24"/>
        </w:rPr>
        <w:t xml:space="preserve"> Existen beneficios</w:t>
      </w:r>
      <w:r>
        <w:rPr>
          <w:szCs w:val="24"/>
        </w:rPr>
        <w:t xml:space="preserve"> potenciales</w:t>
      </w:r>
      <w:r w:rsidRPr="00AE2C31">
        <w:rPr>
          <w:szCs w:val="24"/>
        </w:rPr>
        <w:t xml:space="preserve"> de</w:t>
      </w:r>
      <w:r>
        <w:rPr>
          <w:szCs w:val="24"/>
        </w:rPr>
        <w:t>l Proyecto de Modernización del Paso Fronterizo de Guabito</w:t>
      </w:r>
      <w:r w:rsidRPr="00AE2C31">
        <w:rPr>
          <w:szCs w:val="24"/>
        </w:rPr>
        <w:t>que no fueron cuantificados. Por ejemplo, la capacidad de cubrir</w:t>
      </w:r>
      <w:r>
        <w:rPr>
          <w:szCs w:val="24"/>
        </w:rPr>
        <w:t xml:space="preserve"> el </w:t>
      </w:r>
      <w:r w:rsidRPr="00AE2C31">
        <w:rPr>
          <w:szCs w:val="24"/>
        </w:rPr>
        <w:t>control de los actuales pasajeros y vehículos que evaden los controles, permitiendo al Estado cumplir su rol al evitar actividades ilegales.</w:t>
      </w:r>
      <w:r>
        <w:rPr>
          <w:szCs w:val="24"/>
        </w:rPr>
        <w:t xml:space="preserve"> Asimismo, es de esperar</w:t>
      </w:r>
      <w:r w:rsidRPr="00AE2C31">
        <w:rPr>
          <w:szCs w:val="24"/>
        </w:rPr>
        <w:t xml:space="preserve"> que la modernizació</w:t>
      </w:r>
      <w:r>
        <w:rPr>
          <w:szCs w:val="24"/>
        </w:rPr>
        <w:t>n de Guabito introduzca mejores cualitativas en los servicios prestados al usuario.</w:t>
      </w:r>
    </w:p>
    <w:bookmarkEnd w:id="20"/>
    <w:p w:rsidR="00AE5B31" w:rsidRPr="0006088F" w:rsidRDefault="00AE5B31" w:rsidP="00AE5B31">
      <w:pPr>
        <w:rPr>
          <w:szCs w:val="24"/>
        </w:rPr>
      </w:pPr>
    </w:p>
    <w:p w:rsidR="00AE5B31" w:rsidRPr="0006088F" w:rsidRDefault="00AE5B31" w:rsidP="00AE5B31">
      <w:pPr>
        <w:widowControl w:val="0"/>
        <w:adjustRightInd w:val="0"/>
        <w:ind w:left="-1"/>
        <w:jc w:val="both"/>
        <w:textAlignment w:val="baseline"/>
        <w:rPr>
          <w:szCs w:val="24"/>
          <w:lang w:eastAsia="es-ES"/>
        </w:rPr>
      </w:pPr>
    </w:p>
    <w:p w:rsidR="00AE5B31" w:rsidRPr="0006088F" w:rsidRDefault="00AE5B31" w:rsidP="00AE5B31">
      <w:pPr>
        <w:rPr>
          <w:szCs w:val="24"/>
          <w:lang w:val="es-ES"/>
        </w:rPr>
        <w:sectPr w:rsidR="00AE5B31" w:rsidRPr="0006088F" w:rsidSect="00FE6A09">
          <w:pgSz w:w="12242" w:h="15842" w:code="1"/>
          <w:pgMar w:top="1440" w:right="1298" w:bottom="1440" w:left="1797" w:header="731" w:footer="1134" w:gutter="0"/>
          <w:pgNumType w:fmt="numberInDash"/>
          <w:cols w:space="720"/>
        </w:sectPr>
      </w:pPr>
    </w:p>
    <w:p w:rsidR="00AE5B31" w:rsidRPr="00B70F2C" w:rsidRDefault="00AE5B31" w:rsidP="00AE5B31">
      <w:pPr>
        <w:pStyle w:val="ListParagraph"/>
        <w:ind w:left="705"/>
        <w:jc w:val="center"/>
        <w:rPr>
          <w:b/>
          <w:sz w:val="22"/>
          <w:szCs w:val="22"/>
        </w:rPr>
      </w:pPr>
      <w:r w:rsidRPr="00B70F2C">
        <w:rPr>
          <w:b/>
          <w:sz w:val="22"/>
          <w:szCs w:val="22"/>
        </w:rPr>
        <w:lastRenderedPageBreak/>
        <w:t xml:space="preserve">Cuadro </w:t>
      </w:r>
      <w:r>
        <w:rPr>
          <w:b/>
          <w:sz w:val="22"/>
          <w:szCs w:val="22"/>
        </w:rPr>
        <w:t>XXII</w:t>
      </w:r>
    </w:p>
    <w:p w:rsidR="00AE5B31" w:rsidRPr="00B70F2C" w:rsidRDefault="00AE5B31" w:rsidP="00AE5B31">
      <w:pPr>
        <w:pStyle w:val="ListParagraph"/>
        <w:ind w:left="705"/>
        <w:jc w:val="center"/>
        <w:rPr>
          <w:b/>
          <w:bCs/>
          <w:sz w:val="20"/>
          <w:lang w:val="es-ES" w:eastAsia="es-ES"/>
        </w:rPr>
      </w:pPr>
      <w:r>
        <w:rPr>
          <w:b/>
          <w:bCs/>
          <w:sz w:val="20"/>
          <w:lang w:val="es-ES" w:eastAsia="es-ES"/>
        </w:rPr>
        <w:t>GUABITO: PASAJEROS</w:t>
      </w:r>
    </w:p>
    <w:p w:rsidR="00AE5B31" w:rsidRDefault="00AE5B31" w:rsidP="00AE5B31">
      <w:pPr>
        <w:pStyle w:val="ListParagraph"/>
        <w:ind w:left="705"/>
        <w:jc w:val="center"/>
        <w:rPr>
          <w:b/>
          <w:bCs/>
          <w:sz w:val="20"/>
          <w:lang w:val="es-ES" w:eastAsia="es-ES"/>
        </w:rPr>
      </w:pPr>
      <w:r>
        <w:rPr>
          <w:b/>
          <w:bCs/>
          <w:sz w:val="20"/>
          <w:lang w:val="es-ES" w:eastAsia="es-ES"/>
        </w:rPr>
        <w:t>Ahorro: Costo Anual en Tiempo según Tipo de Transporte (US$)</w:t>
      </w:r>
    </w:p>
    <w:p w:rsidR="00AE5B31" w:rsidRPr="00A13F0F" w:rsidRDefault="00AE5B31" w:rsidP="00AE5B31">
      <w:pPr>
        <w:widowControl w:val="0"/>
        <w:adjustRightInd w:val="0"/>
        <w:jc w:val="both"/>
        <w:textAlignment w:val="baseline"/>
        <w:rPr>
          <w:noProof/>
          <w:lang w:val="es-CR"/>
        </w:rPr>
      </w:pPr>
    </w:p>
    <w:p w:rsidR="00AE5B31" w:rsidRDefault="00AE5B31" w:rsidP="00AE5B31">
      <w:pPr>
        <w:widowControl w:val="0"/>
        <w:adjustRightInd w:val="0"/>
        <w:jc w:val="both"/>
        <w:textAlignment w:val="baseline"/>
        <w:rPr>
          <w:noProof/>
          <w:lang w:val="en-US"/>
        </w:rPr>
      </w:pPr>
      <w:r w:rsidRPr="00BE5F5D">
        <w:rPr>
          <w:noProof/>
          <w:lang w:val="en-US"/>
        </w:rPr>
        <w:drawing>
          <wp:inline distT="0" distB="0" distL="0" distR="0" wp14:anchorId="403489AD" wp14:editId="3A92780E">
            <wp:extent cx="8058150" cy="3047591"/>
            <wp:effectExtent l="0" t="0" r="0" b="635"/>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058150" cy="3047591"/>
                    </a:xfrm>
                    <a:prstGeom prst="rect">
                      <a:avLst/>
                    </a:prstGeom>
                    <a:noFill/>
                    <a:ln>
                      <a:noFill/>
                    </a:ln>
                  </pic:spPr>
                </pic:pic>
              </a:graphicData>
            </a:graphic>
          </wp:inline>
        </w:drawing>
      </w:r>
    </w:p>
    <w:p w:rsidR="00AE5B31" w:rsidRPr="005250F0" w:rsidRDefault="00AE5B31" w:rsidP="00AE5B31">
      <w:pPr>
        <w:pStyle w:val="ListParagraph"/>
        <w:tabs>
          <w:tab w:val="left" w:pos="12420"/>
          <w:tab w:val="left" w:pos="12690"/>
        </w:tabs>
        <w:ind w:left="0" w:right="182"/>
        <w:jc w:val="both"/>
        <w:rPr>
          <w:szCs w:val="24"/>
        </w:rPr>
      </w:pPr>
      <w:r w:rsidRPr="005250F0">
        <w:rPr>
          <w:sz w:val="18"/>
          <w:szCs w:val="24"/>
        </w:rPr>
        <w:t xml:space="preserve">Fuente: </w:t>
      </w:r>
      <w:r>
        <w:rPr>
          <w:sz w:val="18"/>
          <w:szCs w:val="24"/>
        </w:rPr>
        <w:t xml:space="preserve">Elaboración propia con base en datos </w:t>
      </w:r>
      <w:r w:rsidRPr="00DF61B1">
        <w:rPr>
          <w:sz w:val="18"/>
          <w:szCs w:val="24"/>
        </w:rPr>
        <w:t>de la Dirección General de Migración y Extranjería (DGME), Instituto Nacional de E</w:t>
      </w:r>
      <w:r>
        <w:rPr>
          <w:sz w:val="18"/>
          <w:szCs w:val="24"/>
        </w:rPr>
        <w:t>stadística y Censos de Panamá, el S</w:t>
      </w:r>
      <w:r w:rsidRPr="00DF61B1">
        <w:rPr>
          <w:sz w:val="18"/>
          <w:szCs w:val="24"/>
        </w:rPr>
        <w:t>ervicio Nacional de Migración de Panamá</w:t>
      </w:r>
      <w:r>
        <w:rPr>
          <w:sz w:val="18"/>
          <w:szCs w:val="24"/>
        </w:rPr>
        <w:t xml:space="preserve"> y el documento </w:t>
      </w:r>
      <w:r w:rsidRPr="004D4804">
        <w:rPr>
          <w:sz w:val="18"/>
          <w:szCs w:val="24"/>
        </w:rPr>
        <w:t>“Elaboración de la línea base y estimación de ahorros para los procesos de carga y migración del paso de frontera Guabito, Cabecera de Panamá</w:t>
      </w:r>
      <w:r>
        <w:rPr>
          <w:sz w:val="18"/>
          <w:szCs w:val="24"/>
        </w:rPr>
        <w:t>”.</w:t>
      </w:r>
    </w:p>
    <w:p w:rsidR="00AE5B31" w:rsidRDefault="00AE5B31" w:rsidP="00AE5B31">
      <w:pPr>
        <w:pStyle w:val="BodyText"/>
        <w:tabs>
          <w:tab w:val="clear" w:pos="3060"/>
        </w:tabs>
      </w:pPr>
    </w:p>
    <w:p w:rsidR="00AE5B31" w:rsidRDefault="00AE5B31" w:rsidP="00AE5B31">
      <w:pPr>
        <w:pStyle w:val="BodyText"/>
        <w:tabs>
          <w:tab w:val="clear" w:pos="3060"/>
        </w:tabs>
      </w:pPr>
    </w:p>
    <w:p w:rsidR="00AE5B31" w:rsidRDefault="00AE5B31" w:rsidP="00AE5B31">
      <w:pPr>
        <w:pStyle w:val="BodyText"/>
        <w:tabs>
          <w:tab w:val="clear" w:pos="3060"/>
        </w:tabs>
      </w:pPr>
    </w:p>
    <w:p w:rsidR="00AE5B31" w:rsidRDefault="00AE5B31" w:rsidP="00AE5B31">
      <w:pPr>
        <w:pStyle w:val="BodyText"/>
        <w:tabs>
          <w:tab w:val="clear" w:pos="3060"/>
        </w:tabs>
      </w:pPr>
    </w:p>
    <w:p w:rsidR="00AE5B31" w:rsidRDefault="00AE5B31" w:rsidP="00AE5B31">
      <w:pPr>
        <w:pStyle w:val="BodyText"/>
        <w:tabs>
          <w:tab w:val="clear" w:pos="3060"/>
        </w:tabs>
      </w:pPr>
    </w:p>
    <w:p w:rsidR="00AE5B31" w:rsidRDefault="00AE5B31" w:rsidP="00AE5B31">
      <w:pPr>
        <w:pStyle w:val="BodyText"/>
        <w:tabs>
          <w:tab w:val="clear" w:pos="3060"/>
        </w:tabs>
      </w:pPr>
    </w:p>
    <w:p w:rsidR="00AE5B31" w:rsidRDefault="00AE5B31" w:rsidP="00AE5B31">
      <w:pPr>
        <w:pStyle w:val="BodyText"/>
        <w:tabs>
          <w:tab w:val="clear" w:pos="3060"/>
        </w:tabs>
      </w:pPr>
    </w:p>
    <w:p w:rsidR="00AE5B31" w:rsidRDefault="00AE5B31" w:rsidP="00AE5B31">
      <w:pPr>
        <w:pStyle w:val="BodyText"/>
        <w:tabs>
          <w:tab w:val="clear" w:pos="3060"/>
        </w:tabs>
      </w:pPr>
    </w:p>
    <w:p w:rsidR="00AE5B31" w:rsidRDefault="00AE5B31" w:rsidP="00AE5B31">
      <w:pPr>
        <w:pStyle w:val="BodyText"/>
        <w:tabs>
          <w:tab w:val="clear" w:pos="3060"/>
        </w:tabs>
      </w:pPr>
    </w:p>
    <w:p w:rsidR="00AE5B31" w:rsidRDefault="00AE5B31" w:rsidP="00AE5B31">
      <w:pPr>
        <w:pStyle w:val="BodyText"/>
        <w:tabs>
          <w:tab w:val="clear" w:pos="3060"/>
        </w:tabs>
      </w:pPr>
    </w:p>
    <w:p w:rsidR="00AE5B31" w:rsidRPr="00B70F2C" w:rsidRDefault="00AE5B31" w:rsidP="00AE5B31">
      <w:pPr>
        <w:pStyle w:val="ListParagraph"/>
        <w:ind w:left="705"/>
        <w:jc w:val="center"/>
        <w:rPr>
          <w:b/>
          <w:sz w:val="22"/>
          <w:szCs w:val="22"/>
        </w:rPr>
      </w:pPr>
      <w:r w:rsidRPr="00B70F2C">
        <w:rPr>
          <w:b/>
          <w:sz w:val="22"/>
          <w:szCs w:val="22"/>
        </w:rPr>
        <w:t xml:space="preserve">Cuadro </w:t>
      </w:r>
      <w:r>
        <w:rPr>
          <w:b/>
          <w:sz w:val="22"/>
          <w:szCs w:val="22"/>
        </w:rPr>
        <w:t>XXIII</w:t>
      </w:r>
    </w:p>
    <w:p w:rsidR="00AE5B31" w:rsidRPr="00B70F2C" w:rsidRDefault="00AE5B31" w:rsidP="00AE5B31">
      <w:pPr>
        <w:pStyle w:val="ListParagraph"/>
        <w:ind w:left="705"/>
        <w:jc w:val="center"/>
        <w:rPr>
          <w:b/>
          <w:bCs/>
          <w:sz w:val="20"/>
          <w:lang w:val="es-ES" w:eastAsia="es-ES"/>
        </w:rPr>
      </w:pPr>
      <w:r>
        <w:rPr>
          <w:b/>
          <w:bCs/>
          <w:sz w:val="20"/>
          <w:lang w:val="es-ES" w:eastAsia="es-ES"/>
        </w:rPr>
        <w:t>GUABITO: CARGA</w:t>
      </w:r>
    </w:p>
    <w:p w:rsidR="00AE5B31" w:rsidRDefault="00AE5B31" w:rsidP="00AE5B31">
      <w:pPr>
        <w:pStyle w:val="ListParagraph"/>
        <w:ind w:left="705"/>
        <w:jc w:val="center"/>
        <w:rPr>
          <w:b/>
          <w:bCs/>
          <w:sz w:val="20"/>
          <w:lang w:val="es-ES" w:eastAsia="es-ES"/>
        </w:rPr>
      </w:pPr>
      <w:r>
        <w:rPr>
          <w:b/>
          <w:bCs/>
          <w:sz w:val="20"/>
          <w:lang w:val="es-ES" w:eastAsia="es-ES"/>
        </w:rPr>
        <w:t>Ahorro: Costo Anual en Tiempo según Tipo de Despacho (US$)</w:t>
      </w:r>
    </w:p>
    <w:p w:rsidR="00AE5B31" w:rsidRDefault="00AE5B31" w:rsidP="00AE5B31">
      <w:pPr>
        <w:ind w:right="272"/>
        <w:jc w:val="both"/>
        <w:rPr>
          <w:sz w:val="18"/>
          <w:szCs w:val="24"/>
        </w:rPr>
      </w:pPr>
    </w:p>
    <w:p w:rsidR="00AE5B31" w:rsidRDefault="00AE5B31" w:rsidP="00AE5B31">
      <w:pPr>
        <w:ind w:right="272"/>
        <w:jc w:val="both"/>
        <w:rPr>
          <w:sz w:val="18"/>
          <w:szCs w:val="24"/>
        </w:rPr>
      </w:pPr>
      <w:r w:rsidRPr="00BE5F5D">
        <w:rPr>
          <w:noProof/>
          <w:lang w:val="en-US"/>
        </w:rPr>
        <w:drawing>
          <wp:inline distT="0" distB="0" distL="0" distR="0" wp14:anchorId="2014927F" wp14:editId="5044CAB5">
            <wp:extent cx="7964558" cy="3219450"/>
            <wp:effectExtent l="0" t="0" r="0" b="0"/>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7969279" cy="3221358"/>
                    </a:xfrm>
                    <a:prstGeom prst="rect">
                      <a:avLst/>
                    </a:prstGeom>
                    <a:noFill/>
                    <a:ln>
                      <a:noFill/>
                    </a:ln>
                  </pic:spPr>
                </pic:pic>
              </a:graphicData>
            </a:graphic>
          </wp:inline>
        </w:drawing>
      </w:r>
    </w:p>
    <w:p w:rsidR="00AE5B31" w:rsidRPr="00DF61B1" w:rsidRDefault="00AE5B31" w:rsidP="00AE5B31">
      <w:pPr>
        <w:widowControl w:val="0"/>
        <w:adjustRightInd w:val="0"/>
        <w:ind w:right="180"/>
        <w:jc w:val="both"/>
        <w:textAlignment w:val="baseline"/>
        <w:rPr>
          <w:szCs w:val="24"/>
        </w:rPr>
      </w:pPr>
      <w:r w:rsidRPr="00804585">
        <w:rPr>
          <w:sz w:val="18"/>
          <w:szCs w:val="24"/>
        </w:rPr>
        <w:t>Fuente: Elaboración propia con base en cifras de</w:t>
      </w:r>
      <w:r>
        <w:rPr>
          <w:sz w:val="18"/>
          <w:szCs w:val="24"/>
        </w:rPr>
        <w:t xml:space="preserve"> comercio internacional SIECA, </w:t>
      </w:r>
      <w:r w:rsidRPr="00804585">
        <w:rPr>
          <w:sz w:val="18"/>
          <w:szCs w:val="24"/>
        </w:rPr>
        <w:t>Instituto Panameño de Estadística y Censo</w:t>
      </w:r>
      <w:r>
        <w:rPr>
          <w:sz w:val="18"/>
          <w:szCs w:val="24"/>
        </w:rPr>
        <w:t xml:space="preserve">, Procomer y datos del documento </w:t>
      </w:r>
      <w:r w:rsidRPr="00BE5F5D">
        <w:rPr>
          <w:sz w:val="18"/>
          <w:szCs w:val="24"/>
        </w:rPr>
        <w:t>“Elaboración de la línea base y estimación de ahorros para los procesos de carga y migración del paso de frontera Guabito, Cabecera de Panamá”.</w:t>
      </w:r>
    </w:p>
    <w:p w:rsidR="00AE5B31" w:rsidRDefault="00AE5B31" w:rsidP="00AE5B31">
      <w:pPr>
        <w:pStyle w:val="BodyText"/>
        <w:tabs>
          <w:tab w:val="clear" w:pos="3060"/>
        </w:tabs>
      </w:pPr>
    </w:p>
    <w:p w:rsidR="00AE5B31" w:rsidRDefault="00AE5B31" w:rsidP="00AE5B31">
      <w:pPr>
        <w:pStyle w:val="BodyText"/>
        <w:tabs>
          <w:tab w:val="clear" w:pos="3060"/>
        </w:tabs>
      </w:pPr>
    </w:p>
    <w:p w:rsidR="00AE5B31" w:rsidRDefault="00AE5B31" w:rsidP="00AE5B31">
      <w:pPr>
        <w:pStyle w:val="BodyText"/>
        <w:tabs>
          <w:tab w:val="clear" w:pos="3060"/>
        </w:tabs>
      </w:pPr>
    </w:p>
    <w:p w:rsidR="00AE5B31" w:rsidRDefault="00AE5B31" w:rsidP="00AE5B31">
      <w:pPr>
        <w:pStyle w:val="BodyText"/>
        <w:tabs>
          <w:tab w:val="clear" w:pos="3060"/>
        </w:tabs>
      </w:pPr>
    </w:p>
    <w:p w:rsidR="00AE5B31" w:rsidRDefault="00AE5B31" w:rsidP="00AE5B31">
      <w:pPr>
        <w:pStyle w:val="BodyText"/>
        <w:tabs>
          <w:tab w:val="clear" w:pos="3060"/>
        </w:tabs>
      </w:pPr>
    </w:p>
    <w:p w:rsidR="00AE5B31" w:rsidRDefault="00AE5B31" w:rsidP="00AE5B31">
      <w:pPr>
        <w:pStyle w:val="BodyText"/>
        <w:tabs>
          <w:tab w:val="clear" w:pos="3060"/>
        </w:tabs>
      </w:pPr>
    </w:p>
    <w:p w:rsidR="00AE5B31" w:rsidRDefault="00AE5B31" w:rsidP="00AE5B31">
      <w:pPr>
        <w:pStyle w:val="BodyText"/>
        <w:tabs>
          <w:tab w:val="clear" w:pos="3060"/>
        </w:tabs>
      </w:pPr>
    </w:p>
    <w:p w:rsidR="00AE5B31" w:rsidRDefault="00AE5B31" w:rsidP="00AE5B31">
      <w:pPr>
        <w:pStyle w:val="BodyText"/>
        <w:tabs>
          <w:tab w:val="clear" w:pos="3060"/>
        </w:tabs>
      </w:pPr>
    </w:p>
    <w:p w:rsidR="00AE5B31" w:rsidRDefault="00AE5B31" w:rsidP="00AE5B31">
      <w:pPr>
        <w:pStyle w:val="BodyText"/>
        <w:tabs>
          <w:tab w:val="clear" w:pos="3060"/>
        </w:tabs>
      </w:pPr>
    </w:p>
    <w:p w:rsidR="00AE5B31" w:rsidRPr="00B70F2C" w:rsidRDefault="00AE5B31" w:rsidP="00AE5B31">
      <w:pPr>
        <w:pStyle w:val="ListParagraph"/>
        <w:ind w:left="705"/>
        <w:jc w:val="center"/>
        <w:rPr>
          <w:b/>
          <w:sz w:val="22"/>
          <w:szCs w:val="22"/>
        </w:rPr>
      </w:pPr>
      <w:r w:rsidRPr="00B70F2C">
        <w:rPr>
          <w:b/>
          <w:sz w:val="22"/>
          <w:szCs w:val="22"/>
        </w:rPr>
        <w:t xml:space="preserve">Cuadro </w:t>
      </w:r>
      <w:r>
        <w:rPr>
          <w:b/>
          <w:sz w:val="22"/>
          <w:szCs w:val="22"/>
        </w:rPr>
        <w:t>XXIV</w:t>
      </w:r>
    </w:p>
    <w:p w:rsidR="00AE5B31" w:rsidRPr="00B70F2C" w:rsidRDefault="00AE5B31" w:rsidP="00AE5B31">
      <w:pPr>
        <w:pStyle w:val="ListParagraph"/>
        <w:ind w:left="705"/>
        <w:jc w:val="center"/>
        <w:rPr>
          <w:b/>
          <w:bCs/>
          <w:sz w:val="20"/>
          <w:lang w:val="es-ES" w:eastAsia="es-ES"/>
        </w:rPr>
      </w:pPr>
      <w:r>
        <w:rPr>
          <w:b/>
          <w:bCs/>
          <w:sz w:val="20"/>
          <w:lang w:val="es-ES" w:eastAsia="es-ES"/>
        </w:rPr>
        <w:t>GUABITO: CARGA</w:t>
      </w:r>
    </w:p>
    <w:p w:rsidR="00AE5B31" w:rsidRDefault="00AE5B31" w:rsidP="00AE5B31">
      <w:pPr>
        <w:pStyle w:val="ListParagraph"/>
        <w:ind w:left="705"/>
        <w:jc w:val="center"/>
        <w:rPr>
          <w:b/>
          <w:bCs/>
          <w:sz w:val="20"/>
          <w:lang w:val="es-ES" w:eastAsia="es-ES"/>
        </w:rPr>
      </w:pPr>
      <w:r>
        <w:rPr>
          <w:b/>
          <w:bCs/>
          <w:sz w:val="20"/>
          <w:lang w:val="es-ES" w:eastAsia="es-ES"/>
        </w:rPr>
        <w:t>Ahorro: Costo en Emisiones de CO</w:t>
      </w:r>
      <w:r w:rsidRPr="006B371C">
        <w:rPr>
          <w:b/>
          <w:bCs/>
          <w:sz w:val="20"/>
          <w:vertAlign w:val="superscript"/>
          <w:lang w:val="es-ES" w:eastAsia="es-ES"/>
        </w:rPr>
        <w:t>2</w:t>
      </w:r>
      <w:r>
        <w:rPr>
          <w:b/>
          <w:bCs/>
          <w:sz w:val="20"/>
          <w:lang w:val="es-ES" w:eastAsia="es-ES"/>
        </w:rPr>
        <w:t>eq por Equipos de Refrigeración (US$)</w:t>
      </w:r>
    </w:p>
    <w:p w:rsidR="00AE5B31" w:rsidRDefault="00AE5B31" w:rsidP="00AE5B31">
      <w:pPr>
        <w:pStyle w:val="ListParagraph"/>
        <w:ind w:left="705"/>
        <w:jc w:val="center"/>
        <w:rPr>
          <w:b/>
          <w:bCs/>
          <w:sz w:val="20"/>
          <w:lang w:val="es-ES" w:eastAsia="es-ES"/>
        </w:rPr>
      </w:pPr>
    </w:p>
    <w:p w:rsidR="00AE5B31" w:rsidRDefault="00AE5B31" w:rsidP="00AE5B31">
      <w:pPr>
        <w:pStyle w:val="ListParagraph"/>
        <w:ind w:left="90"/>
        <w:jc w:val="center"/>
        <w:rPr>
          <w:b/>
          <w:bCs/>
          <w:sz w:val="20"/>
          <w:lang w:val="es-ES" w:eastAsia="es-ES"/>
        </w:rPr>
      </w:pPr>
      <w:r w:rsidRPr="00BE5F5D">
        <w:rPr>
          <w:noProof/>
          <w:lang w:val="en-US"/>
        </w:rPr>
        <w:drawing>
          <wp:inline distT="0" distB="0" distL="0" distR="0" wp14:anchorId="7A2160E9" wp14:editId="6D8FBEB5">
            <wp:extent cx="7800975" cy="3148402"/>
            <wp:effectExtent l="0" t="0" r="0" b="0"/>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7810002" cy="3152045"/>
                    </a:xfrm>
                    <a:prstGeom prst="rect">
                      <a:avLst/>
                    </a:prstGeom>
                    <a:noFill/>
                    <a:ln>
                      <a:noFill/>
                    </a:ln>
                  </pic:spPr>
                </pic:pic>
              </a:graphicData>
            </a:graphic>
          </wp:inline>
        </w:drawing>
      </w:r>
    </w:p>
    <w:p w:rsidR="00AE5B31" w:rsidRPr="00DF61B1" w:rsidRDefault="00AE5B31" w:rsidP="00AE5B31">
      <w:pPr>
        <w:widowControl w:val="0"/>
        <w:adjustRightInd w:val="0"/>
        <w:ind w:left="270" w:right="180"/>
        <w:jc w:val="both"/>
        <w:textAlignment w:val="baseline"/>
        <w:rPr>
          <w:szCs w:val="24"/>
        </w:rPr>
      </w:pPr>
      <w:r w:rsidRPr="00DF61B1">
        <w:rPr>
          <w:sz w:val="18"/>
          <w:szCs w:val="24"/>
        </w:rPr>
        <w:t>Fuente: Elaboración propia con base precios deEmissions Trading System Unión Europea (EU-ETS) y cifras de</w:t>
      </w:r>
      <w:r>
        <w:rPr>
          <w:sz w:val="18"/>
          <w:szCs w:val="24"/>
        </w:rPr>
        <w:t xml:space="preserve">l documento </w:t>
      </w:r>
      <w:r w:rsidRPr="00BE5F5D">
        <w:rPr>
          <w:sz w:val="18"/>
          <w:szCs w:val="24"/>
        </w:rPr>
        <w:t>“Elaboración de la línea base y estimación de ahorros para los procesos de carga y migración del paso de frontera Guabito, Cabecera de Panamá”.</w:t>
      </w:r>
    </w:p>
    <w:p w:rsidR="00AE5B31" w:rsidRDefault="00AE5B31" w:rsidP="00AE5B31">
      <w:pPr>
        <w:pStyle w:val="BodyText"/>
        <w:tabs>
          <w:tab w:val="clear" w:pos="3060"/>
        </w:tabs>
      </w:pPr>
    </w:p>
    <w:p w:rsidR="00AE5B31" w:rsidRDefault="00AE5B31" w:rsidP="00AE5B31">
      <w:pPr>
        <w:pStyle w:val="BodyText"/>
        <w:tabs>
          <w:tab w:val="clear" w:pos="3060"/>
        </w:tabs>
      </w:pPr>
    </w:p>
    <w:p w:rsidR="00AE5B31" w:rsidRPr="0006088F" w:rsidRDefault="00AE5B31" w:rsidP="00AE5B31">
      <w:pPr>
        <w:pStyle w:val="BodyText"/>
        <w:tabs>
          <w:tab w:val="clear" w:pos="3060"/>
        </w:tabs>
      </w:pPr>
    </w:p>
    <w:p w:rsidR="00AE5B31" w:rsidRPr="0006088F" w:rsidRDefault="00AE5B31" w:rsidP="00AE5B31">
      <w:pPr>
        <w:pStyle w:val="BodyText"/>
        <w:rPr>
          <w:sz w:val="16"/>
          <w:szCs w:val="16"/>
        </w:rPr>
      </w:pPr>
    </w:p>
    <w:p w:rsidR="00AE5B31" w:rsidRDefault="00AE5B31" w:rsidP="00AE5B31">
      <w:pPr>
        <w:ind w:left="708"/>
        <w:rPr>
          <w:szCs w:val="24"/>
        </w:rPr>
        <w:sectPr w:rsidR="00AE5B31" w:rsidSect="00D90329">
          <w:pgSz w:w="15842" w:h="12242" w:orient="landscape" w:code="1"/>
          <w:pgMar w:top="1797" w:right="1712" w:bottom="1298" w:left="1440" w:header="731" w:footer="1134" w:gutter="0"/>
          <w:pgNumType w:fmt="numberInDash"/>
          <w:cols w:space="720"/>
          <w:docGrid w:linePitch="326"/>
        </w:sectPr>
      </w:pPr>
    </w:p>
    <w:p w:rsidR="00AE5B31" w:rsidRPr="001D1DBE" w:rsidRDefault="00AE5B31" w:rsidP="00AE5B31">
      <w:pPr>
        <w:pStyle w:val="Heading1"/>
        <w:numPr>
          <w:ilvl w:val="0"/>
          <w:numId w:val="25"/>
        </w:numPr>
        <w:tabs>
          <w:tab w:val="left" w:pos="270"/>
        </w:tabs>
        <w:ind w:left="0" w:firstLine="0"/>
        <w:jc w:val="both"/>
        <w:rPr>
          <w:rFonts w:ascii="Times New Roman" w:hAnsi="Times New Roman"/>
        </w:rPr>
      </w:pPr>
      <w:bookmarkStart w:id="21" w:name="_Toc428992898"/>
      <w:r w:rsidRPr="001D1DBE">
        <w:rPr>
          <w:rFonts w:ascii="Times New Roman" w:hAnsi="Times New Roman"/>
        </w:rPr>
        <w:lastRenderedPageBreak/>
        <w:t>Rentabilidad E</w:t>
      </w:r>
      <w:r>
        <w:rPr>
          <w:rFonts w:ascii="Times New Roman" w:hAnsi="Times New Roman"/>
        </w:rPr>
        <w:t>conómica</w:t>
      </w:r>
      <w:bookmarkEnd w:id="21"/>
    </w:p>
    <w:p w:rsidR="00AE5B31" w:rsidRPr="0006088F" w:rsidRDefault="00AE5B31" w:rsidP="00AE5B31">
      <w:pPr>
        <w:rPr>
          <w:szCs w:val="24"/>
        </w:rPr>
      </w:pPr>
    </w:p>
    <w:p w:rsidR="00AE5B31" w:rsidRDefault="00AE5B31" w:rsidP="00AE5B31">
      <w:pPr>
        <w:widowControl w:val="0"/>
        <w:adjustRightInd w:val="0"/>
        <w:jc w:val="both"/>
        <w:textAlignment w:val="baseline"/>
      </w:pPr>
      <w:bookmarkStart w:id="22" w:name="_Ref146170026"/>
      <w:r w:rsidRPr="00185302">
        <w:rPr>
          <w:szCs w:val="24"/>
          <w:u w:val="single"/>
        </w:rPr>
        <w:t>Resultados de la evaluación.</w:t>
      </w:r>
      <w:r>
        <w:rPr>
          <w:szCs w:val="24"/>
        </w:rPr>
        <w:t>Los cuadros que se</w:t>
      </w:r>
      <w:r>
        <w:t xml:space="preserve">presentan seguidamente resumen </w:t>
      </w:r>
      <w:r w:rsidRPr="0006088F">
        <w:t>los resultados de la evaluación</w:t>
      </w:r>
      <w:r>
        <w:t xml:space="preserve"> con base en el análisis de escenarios</w:t>
      </w:r>
      <w:r w:rsidRPr="0006088F">
        <w:t xml:space="preserve">“Sin Proyecto” y “Con Proyecto”portipo de costo, el flujo económico neto, los indicadores de Valor Actual Neto Económico (VANE), la Tasa Interna de Retorno Económica (TIRE), </w:t>
      </w:r>
      <w:bookmarkEnd w:id="22"/>
      <w:r w:rsidRPr="0006088F">
        <w:t>la relación Beneficio/Costo y el cociente VA</w:t>
      </w:r>
      <w:r>
        <w:t>NE/Inversión.</w:t>
      </w:r>
    </w:p>
    <w:p w:rsidR="00AE5B31" w:rsidRPr="0006088F" w:rsidRDefault="00AE5B31" w:rsidP="00AE5B31">
      <w:pPr>
        <w:widowControl w:val="0"/>
        <w:adjustRightInd w:val="0"/>
        <w:ind w:left="709"/>
        <w:jc w:val="both"/>
        <w:textAlignment w:val="baseline"/>
      </w:pPr>
    </w:p>
    <w:p w:rsidR="00AE5B31" w:rsidRPr="00403061" w:rsidRDefault="00AE5B31" w:rsidP="00AE5B31">
      <w:pPr>
        <w:widowControl w:val="0"/>
        <w:adjustRightInd w:val="0"/>
        <w:jc w:val="both"/>
        <w:textAlignment w:val="baseline"/>
        <w:rPr>
          <w:szCs w:val="24"/>
        </w:rPr>
      </w:pPr>
      <w:r>
        <w:rPr>
          <w:szCs w:val="24"/>
        </w:rPr>
        <w:t>El Resultado B</w:t>
      </w:r>
      <w:r w:rsidRPr="00403061">
        <w:rPr>
          <w:szCs w:val="24"/>
        </w:rPr>
        <w:t>ase,</w:t>
      </w:r>
      <w:r>
        <w:rPr>
          <w:szCs w:val="24"/>
        </w:rPr>
        <w:t xml:space="preserve"> es decir ejecutando el modelo con los supuestos descritos en apartados anteriores, arroja</w:t>
      </w:r>
      <w:r w:rsidRPr="00403061">
        <w:rPr>
          <w:szCs w:val="24"/>
        </w:rPr>
        <w:t xml:space="preserve"> un Valor Actual Neto Económico (VANE) de US$ </w:t>
      </w:r>
      <w:r>
        <w:rPr>
          <w:szCs w:val="24"/>
        </w:rPr>
        <w:t>240,330</w:t>
      </w:r>
      <w:r w:rsidRPr="00403061">
        <w:rPr>
          <w:szCs w:val="24"/>
        </w:rPr>
        <w:t xml:space="preserve">(para la tasa de descuento de 12,0%) y una Tasa Interna de Retorno Económica (TIRE) de </w:t>
      </w:r>
      <w:r>
        <w:rPr>
          <w:szCs w:val="24"/>
        </w:rPr>
        <w:t>13,9</w:t>
      </w:r>
      <w:r w:rsidRPr="00403061">
        <w:rPr>
          <w:szCs w:val="24"/>
        </w:rPr>
        <w:t xml:space="preserve">%; en tanto,la relación Beneficio/Costo es de </w:t>
      </w:r>
      <w:r>
        <w:rPr>
          <w:szCs w:val="24"/>
        </w:rPr>
        <w:t>1,13</w:t>
      </w:r>
      <w:r w:rsidRPr="00403061">
        <w:rPr>
          <w:szCs w:val="24"/>
        </w:rPr>
        <w:t xml:space="preserve"> y el ratio VANE/Inversión es de </w:t>
      </w:r>
      <w:r>
        <w:rPr>
          <w:szCs w:val="24"/>
        </w:rPr>
        <w:t>0,15</w:t>
      </w:r>
      <w:r w:rsidRPr="00403061">
        <w:rPr>
          <w:szCs w:val="24"/>
        </w:rPr>
        <w:t>. El valor de l</w:t>
      </w:r>
      <w:r>
        <w:rPr>
          <w:szCs w:val="24"/>
        </w:rPr>
        <w:t xml:space="preserve">a TIRE es </w:t>
      </w:r>
      <w:r w:rsidRPr="00403061">
        <w:rPr>
          <w:szCs w:val="24"/>
        </w:rPr>
        <w:t>superior a la tasa de corte del 12,0%</w:t>
      </w:r>
      <w:r>
        <w:rPr>
          <w:szCs w:val="24"/>
        </w:rPr>
        <w:t xml:space="preserve"> a la vez que los demás indicadores resultan positivos</w:t>
      </w:r>
      <w:r w:rsidRPr="00403061">
        <w:rPr>
          <w:szCs w:val="24"/>
        </w:rPr>
        <w:t>,</w:t>
      </w:r>
      <w:r>
        <w:rPr>
          <w:szCs w:val="24"/>
        </w:rPr>
        <w:t xml:space="preserve"> siendo VANE/Inversión es más cercano al punto de equilibro.En este sentido, una inversión equivalente al 20% de la planteada originalmente (ie. US$1,565,636 en costo inicial) resultaría </w:t>
      </w:r>
      <w:r w:rsidRPr="00403061">
        <w:rPr>
          <w:szCs w:val="24"/>
        </w:rPr>
        <w:t>rentable desde el punto de vista económico</w:t>
      </w:r>
      <w:r>
        <w:rPr>
          <w:szCs w:val="24"/>
        </w:rPr>
        <w:t>, en el tanto no se presenten eventos que impacten demanda e inversión proyectada</w:t>
      </w:r>
      <w:r w:rsidRPr="00403061">
        <w:rPr>
          <w:szCs w:val="24"/>
        </w:rPr>
        <w:t>.</w:t>
      </w:r>
      <w:r>
        <w:rPr>
          <w:szCs w:val="24"/>
        </w:rPr>
        <w:t>El efecto de los mismos, se presenta en la siguiente sección.</w:t>
      </w:r>
    </w:p>
    <w:p w:rsidR="00AE5B31" w:rsidRDefault="00AE5B31" w:rsidP="00AE5B31">
      <w:pPr>
        <w:pStyle w:val="ListParagraph"/>
        <w:widowControl w:val="0"/>
        <w:adjustRightInd w:val="0"/>
        <w:ind w:left="1069"/>
        <w:jc w:val="both"/>
        <w:textAlignment w:val="baseline"/>
      </w:pPr>
    </w:p>
    <w:p w:rsidR="00AE5B31" w:rsidRDefault="00AE5B31" w:rsidP="00AE5B31">
      <w:pPr>
        <w:pStyle w:val="ListParagraph"/>
        <w:widowControl w:val="0"/>
        <w:adjustRightInd w:val="0"/>
        <w:ind w:left="1069"/>
        <w:jc w:val="both"/>
        <w:textAlignment w:val="baseline"/>
      </w:pPr>
    </w:p>
    <w:p w:rsidR="00AE5B31" w:rsidRDefault="00AE5B31" w:rsidP="00AE5B31">
      <w:pPr>
        <w:pStyle w:val="ListParagraph"/>
        <w:widowControl w:val="0"/>
        <w:adjustRightInd w:val="0"/>
        <w:ind w:left="1069"/>
        <w:jc w:val="both"/>
        <w:textAlignment w:val="baseline"/>
      </w:pPr>
    </w:p>
    <w:p w:rsidR="00AE5B31" w:rsidRDefault="00AE5B31" w:rsidP="00AE5B31">
      <w:pPr>
        <w:pStyle w:val="ListParagraph"/>
        <w:widowControl w:val="0"/>
        <w:adjustRightInd w:val="0"/>
        <w:ind w:left="1069"/>
        <w:jc w:val="both"/>
        <w:textAlignment w:val="baseline"/>
      </w:pPr>
    </w:p>
    <w:p w:rsidR="00AE5B31" w:rsidRDefault="00AE5B31" w:rsidP="00AE5B31">
      <w:pPr>
        <w:pStyle w:val="ListParagraph"/>
        <w:widowControl w:val="0"/>
        <w:adjustRightInd w:val="0"/>
        <w:ind w:left="1069"/>
        <w:jc w:val="both"/>
        <w:textAlignment w:val="baseline"/>
      </w:pPr>
    </w:p>
    <w:p w:rsidR="00AE5B31" w:rsidRDefault="00AE5B31" w:rsidP="00AE5B31">
      <w:pPr>
        <w:pStyle w:val="ListParagraph"/>
        <w:widowControl w:val="0"/>
        <w:adjustRightInd w:val="0"/>
        <w:ind w:left="1069"/>
        <w:jc w:val="both"/>
        <w:textAlignment w:val="baseline"/>
      </w:pPr>
    </w:p>
    <w:p w:rsidR="00AE5B31" w:rsidRDefault="00AE5B31" w:rsidP="00AE5B31">
      <w:pPr>
        <w:pStyle w:val="ListParagraph"/>
        <w:widowControl w:val="0"/>
        <w:adjustRightInd w:val="0"/>
        <w:ind w:left="1069"/>
        <w:jc w:val="both"/>
        <w:textAlignment w:val="baseline"/>
      </w:pPr>
    </w:p>
    <w:p w:rsidR="00AE5B31" w:rsidRDefault="00AE5B31" w:rsidP="00AE5B31">
      <w:pPr>
        <w:pStyle w:val="ListParagraph"/>
        <w:widowControl w:val="0"/>
        <w:adjustRightInd w:val="0"/>
        <w:ind w:left="1069"/>
        <w:jc w:val="both"/>
        <w:textAlignment w:val="baseline"/>
      </w:pPr>
    </w:p>
    <w:p w:rsidR="00AE5B31" w:rsidRDefault="00AE5B31" w:rsidP="00AE5B31">
      <w:pPr>
        <w:pStyle w:val="ListParagraph"/>
        <w:widowControl w:val="0"/>
        <w:adjustRightInd w:val="0"/>
        <w:ind w:left="1069"/>
        <w:jc w:val="both"/>
        <w:textAlignment w:val="baseline"/>
      </w:pPr>
    </w:p>
    <w:p w:rsidR="00AE5B31" w:rsidRDefault="00AE5B31" w:rsidP="00AE5B31">
      <w:pPr>
        <w:pStyle w:val="ListParagraph"/>
        <w:widowControl w:val="0"/>
        <w:adjustRightInd w:val="0"/>
        <w:ind w:left="1069"/>
        <w:jc w:val="both"/>
        <w:textAlignment w:val="baseline"/>
      </w:pPr>
    </w:p>
    <w:p w:rsidR="00AE5B31" w:rsidRDefault="00AE5B31" w:rsidP="00AE5B31">
      <w:pPr>
        <w:pStyle w:val="ListParagraph"/>
        <w:widowControl w:val="0"/>
        <w:adjustRightInd w:val="0"/>
        <w:ind w:left="1069"/>
        <w:jc w:val="both"/>
        <w:textAlignment w:val="baseline"/>
      </w:pPr>
    </w:p>
    <w:p w:rsidR="00AE5B31" w:rsidRDefault="00AE5B31" w:rsidP="00AE5B31">
      <w:pPr>
        <w:pStyle w:val="ListParagraph"/>
        <w:widowControl w:val="0"/>
        <w:adjustRightInd w:val="0"/>
        <w:ind w:left="1069"/>
        <w:jc w:val="both"/>
        <w:textAlignment w:val="baseline"/>
      </w:pPr>
    </w:p>
    <w:p w:rsidR="00AE5B31" w:rsidRDefault="00AE5B31" w:rsidP="00AE5B31">
      <w:pPr>
        <w:pStyle w:val="ListParagraph"/>
        <w:widowControl w:val="0"/>
        <w:adjustRightInd w:val="0"/>
        <w:ind w:left="1069"/>
        <w:jc w:val="both"/>
        <w:textAlignment w:val="baseline"/>
      </w:pPr>
    </w:p>
    <w:p w:rsidR="00AE5B31" w:rsidRDefault="00AE5B31" w:rsidP="00AE5B31">
      <w:pPr>
        <w:pStyle w:val="ListParagraph"/>
        <w:widowControl w:val="0"/>
        <w:adjustRightInd w:val="0"/>
        <w:ind w:left="1069"/>
        <w:jc w:val="both"/>
        <w:textAlignment w:val="baseline"/>
      </w:pPr>
    </w:p>
    <w:p w:rsidR="00AE5B31" w:rsidRDefault="00AE5B31" w:rsidP="00AE5B31">
      <w:pPr>
        <w:pStyle w:val="ListParagraph"/>
        <w:widowControl w:val="0"/>
        <w:adjustRightInd w:val="0"/>
        <w:ind w:left="1069"/>
        <w:jc w:val="both"/>
        <w:textAlignment w:val="baseline"/>
      </w:pPr>
    </w:p>
    <w:p w:rsidR="00AE5B31" w:rsidRDefault="00AE5B31" w:rsidP="00AE5B31">
      <w:pPr>
        <w:pStyle w:val="ListParagraph"/>
        <w:widowControl w:val="0"/>
        <w:adjustRightInd w:val="0"/>
        <w:ind w:left="1069"/>
        <w:jc w:val="both"/>
        <w:textAlignment w:val="baseline"/>
      </w:pPr>
    </w:p>
    <w:p w:rsidR="00AE5B31" w:rsidRDefault="00AE5B31" w:rsidP="00AE5B31">
      <w:pPr>
        <w:pStyle w:val="ListParagraph"/>
        <w:widowControl w:val="0"/>
        <w:adjustRightInd w:val="0"/>
        <w:ind w:left="1069"/>
        <w:jc w:val="both"/>
        <w:textAlignment w:val="baseline"/>
      </w:pPr>
    </w:p>
    <w:p w:rsidR="00AE5B31" w:rsidRPr="0006088F" w:rsidRDefault="00AE5B31" w:rsidP="00AE5B31">
      <w:pPr>
        <w:pStyle w:val="ListParagraph"/>
        <w:widowControl w:val="0"/>
        <w:adjustRightInd w:val="0"/>
        <w:ind w:left="1069"/>
        <w:jc w:val="both"/>
        <w:textAlignment w:val="baseline"/>
      </w:pPr>
    </w:p>
    <w:p w:rsidR="00AE5B31" w:rsidRPr="0006088F" w:rsidRDefault="00AE5B31" w:rsidP="00AE5B31">
      <w:pPr>
        <w:widowControl w:val="0"/>
        <w:adjustRightInd w:val="0"/>
        <w:jc w:val="both"/>
        <w:textAlignment w:val="baseline"/>
      </w:pPr>
    </w:p>
    <w:p w:rsidR="00AE5B31" w:rsidRPr="0006088F" w:rsidRDefault="00AE5B31" w:rsidP="00AE5B31"/>
    <w:p w:rsidR="00AE5B31" w:rsidRPr="0006088F" w:rsidRDefault="00AE5B31" w:rsidP="00AE5B31">
      <w:pPr>
        <w:sectPr w:rsidR="00AE5B31" w:rsidRPr="0006088F" w:rsidSect="00FE6A09">
          <w:pgSz w:w="12242" w:h="15842" w:code="1"/>
          <w:pgMar w:top="1440" w:right="1298" w:bottom="1440" w:left="1797" w:header="731" w:footer="1134" w:gutter="0"/>
          <w:pgNumType w:fmt="numberInDash"/>
          <w:cols w:space="720"/>
        </w:sectPr>
      </w:pPr>
    </w:p>
    <w:p w:rsidR="00AE5B31" w:rsidRPr="0006088F" w:rsidRDefault="00AE5B31" w:rsidP="00AE5B31">
      <w:r w:rsidRPr="0006088F">
        <w:lastRenderedPageBreak/>
        <w:t>.</w:t>
      </w:r>
    </w:p>
    <w:p w:rsidR="00AE5B31" w:rsidRPr="00B70F2C" w:rsidRDefault="00AE5B31" w:rsidP="00AE5B31">
      <w:pPr>
        <w:pStyle w:val="ListParagraph"/>
        <w:ind w:left="705"/>
        <w:jc w:val="center"/>
        <w:rPr>
          <w:b/>
          <w:sz w:val="22"/>
          <w:szCs w:val="22"/>
        </w:rPr>
      </w:pPr>
      <w:r w:rsidRPr="00B70F2C">
        <w:rPr>
          <w:b/>
          <w:sz w:val="22"/>
          <w:szCs w:val="22"/>
        </w:rPr>
        <w:t xml:space="preserve">Cuadro </w:t>
      </w:r>
      <w:r>
        <w:rPr>
          <w:b/>
          <w:sz w:val="22"/>
          <w:szCs w:val="22"/>
        </w:rPr>
        <w:t>XXV</w:t>
      </w:r>
    </w:p>
    <w:p w:rsidR="00AE5B31" w:rsidRPr="00B70F2C" w:rsidRDefault="00AE5B31" w:rsidP="00AE5B31">
      <w:pPr>
        <w:pStyle w:val="ListParagraph"/>
        <w:ind w:left="705"/>
        <w:jc w:val="center"/>
        <w:rPr>
          <w:b/>
          <w:bCs/>
          <w:sz w:val="20"/>
          <w:lang w:val="es-ES" w:eastAsia="es-ES"/>
        </w:rPr>
      </w:pPr>
      <w:r>
        <w:rPr>
          <w:b/>
          <w:bCs/>
          <w:sz w:val="20"/>
          <w:lang w:val="es-ES" w:eastAsia="es-ES"/>
        </w:rPr>
        <w:t>GUABITO</w:t>
      </w:r>
    </w:p>
    <w:p w:rsidR="00AE5B31" w:rsidRDefault="00AE5B31" w:rsidP="00AE5B31">
      <w:pPr>
        <w:pStyle w:val="ListParagraph"/>
        <w:ind w:left="705"/>
        <w:jc w:val="center"/>
        <w:rPr>
          <w:b/>
          <w:bCs/>
          <w:sz w:val="20"/>
          <w:lang w:val="es-ES" w:eastAsia="es-ES"/>
        </w:rPr>
      </w:pPr>
      <w:r>
        <w:rPr>
          <w:b/>
          <w:bCs/>
          <w:sz w:val="20"/>
          <w:lang w:val="es-ES" w:eastAsia="es-ES"/>
        </w:rPr>
        <w:t>“Sin Proyecto”: Flujos Anuales utilizados en la Evaluación Económica (US$)</w:t>
      </w:r>
    </w:p>
    <w:p w:rsidR="00AE5B31" w:rsidRDefault="00AE5B31" w:rsidP="00AE5B31">
      <w:pPr>
        <w:pStyle w:val="ListParagraph"/>
        <w:ind w:left="705"/>
        <w:jc w:val="center"/>
        <w:rPr>
          <w:b/>
          <w:bCs/>
          <w:sz w:val="20"/>
          <w:lang w:val="es-ES" w:eastAsia="es-ES"/>
        </w:rPr>
      </w:pPr>
    </w:p>
    <w:p w:rsidR="00AE5B31" w:rsidRDefault="00AE5B31" w:rsidP="00AE5B31">
      <w:pPr>
        <w:widowControl w:val="0"/>
        <w:tabs>
          <w:tab w:val="left" w:pos="1530"/>
          <w:tab w:val="left" w:pos="1800"/>
        </w:tabs>
        <w:adjustRightInd w:val="0"/>
        <w:ind w:left="1440" w:firstLine="270"/>
        <w:jc w:val="both"/>
        <w:textAlignment w:val="baseline"/>
        <w:rPr>
          <w:sz w:val="18"/>
          <w:szCs w:val="24"/>
        </w:rPr>
      </w:pPr>
      <w:r w:rsidRPr="00602B1A">
        <w:rPr>
          <w:noProof/>
          <w:lang w:val="en-US"/>
        </w:rPr>
        <w:drawing>
          <wp:inline distT="0" distB="0" distL="0" distR="0" wp14:anchorId="3E940D88" wp14:editId="50D7E3E9">
            <wp:extent cx="7162800" cy="3587840"/>
            <wp:effectExtent l="0" t="0" r="0"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7174220" cy="3593560"/>
                    </a:xfrm>
                    <a:prstGeom prst="rect">
                      <a:avLst/>
                    </a:prstGeom>
                    <a:noFill/>
                    <a:ln>
                      <a:noFill/>
                    </a:ln>
                  </pic:spPr>
                </pic:pic>
              </a:graphicData>
            </a:graphic>
          </wp:inline>
        </w:drawing>
      </w:r>
    </w:p>
    <w:p w:rsidR="00AE5B31" w:rsidRPr="00DE26A8" w:rsidRDefault="00AE5B31" w:rsidP="00AE5B31">
      <w:pPr>
        <w:widowControl w:val="0"/>
        <w:tabs>
          <w:tab w:val="left" w:pos="1530"/>
          <w:tab w:val="left" w:pos="1800"/>
        </w:tabs>
        <w:adjustRightInd w:val="0"/>
        <w:ind w:left="1620"/>
        <w:jc w:val="both"/>
        <w:textAlignment w:val="baseline"/>
        <w:rPr>
          <w:sz w:val="18"/>
          <w:szCs w:val="24"/>
        </w:rPr>
      </w:pPr>
      <w:r>
        <w:rPr>
          <w:sz w:val="18"/>
          <w:szCs w:val="24"/>
        </w:rPr>
        <w:t xml:space="preserve">Fuente: </w:t>
      </w:r>
      <w:r w:rsidRPr="00B058CF">
        <w:rPr>
          <w:sz w:val="18"/>
          <w:szCs w:val="24"/>
        </w:rPr>
        <w:t>Elaboración propia</w:t>
      </w:r>
      <w:r>
        <w:rPr>
          <w:sz w:val="18"/>
          <w:szCs w:val="24"/>
        </w:rPr>
        <w:t xml:space="preserve"> con base en la información y supuestos indicados a lo largo del presente documento.</w:t>
      </w:r>
    </w:p>
    <w:p w:rsidR="00AE5B31" w:rsidRDefault="00AE5B31" w:rsidP="00AE5B31">
      <w:pPr>
        <w:pStyle w:val="BodyText"/>
        <w:tabs>
          <w:tab w:val="clear" w:pos="3060"/>
          <w:tab w:val="left" w:pos="12255"/>
        </w:tabs>
        <w:jc w:val="left"/>
      </w:pPr>
      <w:r>
        <w:tab/>
      </w:r>
    </w:p>
    <w:p w:rsidR="00AE5B31" w:rsidRDefault="00AE5B31" w:rsidP="00AE5B31">
      <w:pPr>
        <w:jc w:val="center"/>
        <w:rPr>
          <w:b/>
          <w:sz w:val="20"/>
        </w:rPr>
      </w:pPr>
    </w:p>
    <w:p w:rsidR="00AE5B31" w:rsidRDefault="00AE5B31" w:rsidP="00AE5B31">
      <w:pPr>
        <w:jc w:val="center"/>
        <w:rPr>
          <w:b/>
          <w:sz w:val="20"/>
        </w:rPr>
      </w:pPr>
    </w:p>
    <w:p w:rsidR="00AE5B31" w:rsidRDefault="00AE5B31" w:rsidP="00AE5B31">
      <w:pPr>
        <w:jc w:val="center"/>
        <w:rPr>
          <w:b/>
          <w:sz w:val="20"/>
        </w:rPr>
      </w:pPr>
    </w:p>
    <w:p w:rsidR="00AE5B31" w:rsidRDefault="00AE5B31" w:rsidP="00AE5B31">
      <w:pPr>
        <w:jc w:val="center"/>
        <w:rPr>
          <w:b/>
          <w:sz w:val="20"/>
        </w:rPr>
      </w:pPr>
    </w:p>
    <w:p w:rsidR="00AE5B31" w:rsidRDefault="00AE5B31" w:rsidP="00AE5B31">
      <w:pPr>
        <w:jc w:val="center"/>
        <w:rPr>
          <w:b/>
          <w:sz w:val="20"/>
        </w:rPr>
      </w:pPr>
    </w:p>
    <w:p w:rsidR="00AE5B31" w:rsidRDefault="00AE5B31" w:rsidP="00AE5B31">
      <w:pPr>
        <w:jc w:val="center"/>
        <w:rPr>
          <w:b/>
          <w:sz w:val="20"/>
        </w:rPr>
      </w:pPr>
    </w:p>
    <w:p w:rsidR="00AE5B31" w:rsidRDefault="00AE5B31" w:rsidP="00AE5B31">
      <w:pPr>
        <w:jc w:val="center"/>
        <w:rPr>
          <w:b/>
          <w:sz w:val="20"/>
        </w:rPr>
      </w:pPr>
    </w:p>
    <w:p w:rsidR="00AE5B31" w:rsidRDefault="00AE5B31" w:rsidP="00AE5B31">
      <w:pPr>
        <w:jc w:val="center"/>
        <w:rPr>
          <w:b/>
          <w:sz w:val="20"/>
        </w:rPr>
      </w:pPr>
    </w:p>
    <w:p w:rsidR="00AE5B31" w:rsidRDefault="00AE5B31" w:rsidP="00AE5B31">
      <w:pPr>
        <w:jc w:val="center"/>
        <w:rPr>
          <w:b/>
          <w:sz w:val="20"/>
        </w:rPr>
      </w:pPr>
    </w:p>
    <w:p w:rsidR="00AE5B31" w:rsidRDefault="00AE5B31" w:rsidP="00AE5B31">
      <w:pPr>
        <w:jc w:val="center"/>
        <w:rPr>
          <w:b/>
          <w:sz w:val="20"/>
        </w:rPr>
      </w:pPr>
    </w:p>
    <w:p w:rsidR="00AE5B31" w:rsidRDefault="00AE5B31" w:rsidP="00AE5B31">
      <w:pPr>
        <w:jc w:val="center"/>
        <w:rPr>
          <w:b/>
          <w:sz w:val="20"/>
        </w:rPr>
      </w:pPr>
    </w:p>
    <w:p w:rsidR="00AE5B31" w:rsidRDefault="00AE5B31" w:rsidP="00AE5B31">
      <w:pPr>
        <w:jc w:val="center"/>
        <w:rPr>
          <w:b/>
          <w:sz w:val="20"/>
        </w:rPr>
      </w:pPr>
    </w:p>
    <w:p w:rsidR="00AE5B31" w:rsidRPr="00B70F2C" w:rsidRDefault="00AE5B31" w:rsidP="00AE5B31">
      <w:pPr>
        <w:pStyle w:val="ListParagraph"/>
        <w:ind w:left="705"/>
        <w:jc w:val="center"/>
        <w:rPr>
          <w:b/>
          <w:sz w:val="22"/>
          <w:szCs w:val="22"/>
        </w:rPr>
      </w:pPr>
      <w:r w:rsidRPr="00B70F2C">
        <w:rPr>
          <w:b/>
          <w:sz w:val="22"/>
          <w:szCs w:val="22"/>
        </w:rPr>
        <w:t xml:space="preserve">Cuadro </w:t>
      </w:r>
      <w:r>
        <w:rPr>
          <w:b/>
          <w:sz w:val="22"/>
          <w:szCs w:val="22"/>
        </w:rPr>
        <w:t>XXVI</w:t>
      </w:r>
    </w:p>
    <w:p w:rsidR="00AE5B31" w:rsidRPr="00B70F2C" w:rsidRDefault="00AE5B31" w:rsidP="00AE5B31">
      <w:pPr>
        <w:pStyle w:val="ListParagraph"/>
        <w:ind w:left="705"/>
        <w:jc w:val="center"/>
        <w:rPr>
          <w:b/>
          <w:bCs/>
          <w:sz w:val="20"/>
          <w:lang w:val="es-ES" w:eastAsia="es-ES"/>
        </w:rPr>
      </w:pPr>
      <w:r>
        <w:rPr>
          <w:b/>
          <w:bCs/>
          <w:sz w:val="20"/>
          <w:lang w:val="es-ES" w:eastAsia="es-ES"/>
        </w:rPr>
        <w:t>GUABITO</w:t>
      </w:r>
    </w:p>
    <w:p w:rsidR="00AE5B31" w:rsidRDefault="00AE5B31" w:rsidP="00AE5B31">
      <w:pPr>
        <w:pStyle w:val="ListParagraph"/>
        <w:ind w:left="705"/>
        <w:jc w:val="center"/>
        <w:rPr>
          <w:b/>
          <w:bCs/>
          <w:sz w:val="20"/>
          <w:lang w:val="es-ES" w:eastAsia="es-ES"/>
        </w:rPr>
      </w:pPr>
      <w:r>
        <w:rPr>
          <w:b/>
          <w:bCs/>
          <w:sz w:val="20"/>
          <w:lang w:val="es-ES" w:eastAsia="es-ES"/>
        </w:rPr>
        <w:t>“Con Proyecto”: Flujos Anuales utilizados en la Evaluación Económica (US$)</w:t>
      </w:r>
    </w:p>
    <w:p w:rsidR="00AE5B31" w:rsidRDefault="00AE5B31" w:rsidP="00AE5B31">
      <w:pPr>
        <w:pStyle w:val="ListParagraph"/>
        <w:ind w:left="705"/>
        <w:jc w:val="center"/>
        <w:rPr>
          <w:b/>
          <w:bCs/>
          <w:sz w:val="20"/>
          <w:lang w:val="es-ES" w:eastAsia="es-ES"/>
        </w:rPr>
      </w:pPr>
    </w:p>
    <w:p w:rsidR="00AE5B31" w:rsidRDefault="00AE5B31" w:rsidP="00AE5B31">
      <w:pPr>
        <w:pStyle w:val="ListParagraph"/>
        <w:ind w:left="705"/>
        <w:jc w:val="center"/>
        <w:rPr>
          <w:b/>
          <w:bCs/>
          <w:sz w:val="20"/>
          <w:lang w:val="es-ES" w:eastAsia="es-ES"/>
        </w:rPr>
      </w:pPr>
      <w:r w:rsidRPr="00602B1A">
        <w:rPr>
          <w:noProof/>
          <w:lang w:val="en-US"/>
        </w:rPr>
        <w:drawing>
          <wp:inline distT="0" distB="0" distL="0" distR="0" wp14:anchorId="054F42C1" wp14:editId="4CC0A92C">
            <wp:extent cx="8439150" cy="3226223"/>
            <wp:effectExtent l="0" t="0" r="0"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454052" cy="3231920"/>
                    </a:xfrm>
                    <a:prstGeom prst="rect">
                      <a:avLst/>
                    </a:prstGeom>
                    <a:noFill/>
                    <a:ln>
                      <a:noFill/>
                    </a:ln>
                  </pic:spPr>
                </pic:pic>
              </a:graphicData>
            </a:graphic>
          </wp:inline>
        </w:drawing>
      </w:r>
    </w:p>
    <w:p w:rsidR="00AE5B31" w:rsidRDefault="00AE5B31" w:rsidP="00AE5B31">
      <w:pPr>
        <w:pStyle w:val="BodyText"/>
        <w:tabs>
          <w:tab w:val="clear" w:pos="3060"/>
        </w:tabs>
        <w:ind w:left="1260"/>
        <w:jc w:val="left"/>
      </w:pPr>
      <w:r>
        <w:rPr>
          <w:sz w:val="18"/>
          <w:szCs w:val="24"/>
        </w:rPr>
        <w:t xml:space="preserve">Fuente: </w:t>
      </w:r>
      <w:r w:rsidRPr="00B058CF">
        <w:rPr>
          <w:sz w:val="18"/>
          <w:szCs w:val="24"/>
        </w:rPr>
        <w:t>Elaboración propia</w:t>
      </w:r>
      <w:r>
        <w:rPr>
          <w:sz w:val="18"/>
          <w:szCs w:val="24"/>
        </w:rPr>
        <w:t xml:space="preserve"> con base en la información y supuestos indicados a lo largo del presente documento.</w:t>
      </w:r>
    </w:p>
    <w:p w:rsidR="00AE5B31" w:rsidRDefault="00AE5B31" w:rsidP="00AE5B31">
      <w:pPr>
        <w:jc w:val="center"/>
        <w:rPr>
          <w:b/>
          <w:sz w:val="20"/>
        </w:rPr>
      </w:pPr>
    </w:p>
    <w:p w:rsidR="00AE5B31" w:rsidRDefault="00AE5B31" w:rsidP="00AE5B31">
      <w:pPr>
        <w:jc w:val="center"/>
        <w:rPr>
          <w:b/>
          <w:sz w:val="20"/>
        </w:rPr>
      </w:pPr>
    </w:p>
    <w:p w:rsidR="00AE5B31" w:rsidRDefault="00AE5B31" w:rsidP="00AE5B31">
      <w:pPr>
        <w:jc w:val="center"/>
        <w:rPr>
          <w:b/>
          <w:sz w:val="20"/>
        </w:rPr>
      </w:pPr>
    </w:p>
    <w:p w:rsidR="00AE5B31" w:rsidRDefault="00AE5B31" w:rsidP="00AE5B31">
      <w:pPr>
        <w:jc w:val="center"/>
        <w:rPr>
          <w:b/>
          <w:sz w:val="20"/>
        </w:rPr>
      </w:pPr>
    </w:p>
    <w:p w:rsidR="00AE5B31" w:rsidRDefault="00AE5B31" w:rsidP="00AE5B31">
      <w:pPr>
        <w:jc w:val="center"/>
        <w:rPr>
          <w:b/>
          <w:sz w:val="20"/>
        </w:rPr>
        <w:sectPr w:rsidR="00AE5B31" w:rsidSect="00FE6A09">
          <w:pgSz w:w="15842" w:h="12242" w:orient="landscape" w:code="1"/>
          <w:pgMar w:top="567" w:right="284" w:bottom="567" w:left="284" w:header="731" w:footer="851" w:gutter="0"/>
          <w:pgNumType w:fmt="numberInDash"/>
          <w:cols w:space="720"/>
        </w:sectPr>
      </w:pPr>
    </w:p>
    <w:p w:rsidR="00AE5B31" w:rsidRDefault="00AE5B31" w:rsidP="00AE5B31">
      <w:pPr>
        <w:jc w:val="center"/>
        <w:rPr>
          <w:b/>
          <w:sz w:val="20"/>
        </w:rPr>
      </w:pPr>
    </w:p>
    <w:p w:rsidR="00AE5B31" w:rsidRPr="00B70F2C" w:rsidRDefault="00AE5B31" w:rsidP="00AE5B31">
      <w:pPr>
        <w:pStyle w:val="ListParagraph"/>
        <w:ind w:left="705" w:right="1067" w:hanging="705"/>
        <w:jc w:val="center"/>
        <w:rPr>
          <w:b/>
          <w:sz w:val="22"/>
          <w:szCs w:val="22"/>
        </w:rPr>
      </w:pPr>
      <w:r w:rsidRPr="00B70F2C">
        <w:rPr>
          <w:b/>
          <w:sz w:val="22"/>
          <w:szCs w:val="22"/>
        </w:rPr>
        <w:t xml:space="preserve">Cuadro </w:t>
      </w:r>
      <w:r>
        <w:rPr>
          <w:b/>
          <w:sz w:val="22"/>
          <w:szCs w:val="22"/>
        </w:rPr>
        <w:t>XXVII</w:t>
      </w:r>
    </w:p>
    <w:p w:rsidR="00AE5B31" w:rsidRPr="00B70F2C" w:rsidRDefault="00AE5B31" w:rsidP="00AE5B31">
      <w:pPr>
        <w:pStyle w:val="ListParagraph"/>
        <w:ind w:left="705" w:right="1067" w:hanging="705"/>
        <w:jc w:val="center"/>
        <w:rPr>
          <w:b/>
          <w:bCs/>
          <w:sz w:val="20"/>
          <w:lang w:val="es-ES" w:eastAsia="es-ES"/>
        </w:rPr>
      </w:pPr>
      <w:r>
        <w:rPr>
          <w:b/>
          <w:bCs/>
          <w:sz w:val="20"/>
          <w:lang w:val="es-ES" w:eastAsia="es-ES"/>
        </w:rPr>
        <w:t>GUABITO</w:t>
      </w:r>
    </w:p>
    <w:p w:rsidR="00AE5B31" w:rsidRDefault="00AE5B31" w:rsidP="00AE5B31">
      <w:pPr>
        <w:pStyle w:val="ListParagraph"/>
        <w:ind w:left="705" w:right="1067" w:hanging="705"/>
        <w:jc w:val="center"/>
        <w:rPr>
          <w:b/>
          <w:bCs/>
          <w:sz w:val="20"/>
          <w:lang w:val="es-ES" w:eastAsia="es-ES"/>
        </w:rPr>
      </w:pPr>
      <w:r>
        <w:rPr>
          <w:b/>
          <w:bCs/>
          <w:sz w:val="20"/>
          <w:lang w:val="es-ES" w:eastAsia="es-ES"/>
        </w:rPr>
        <w:t>Beneficios Netos e Indicadores de Rentabilidad</w:t>
      </w:r>
    </w:p>
    <w:p w:rsidR="00AE5B31" w:rsidRDefault="00AE5B31" w:rsidP="00AE5B31">
      <w:pPr>
        <w:pStyle w:val="ListParagraph"/>
        <w:ind w:left="705"/>
        <w:jc w:val="center"/>
        <w:rPr>
          <w:b/>
          <w:bCs/>
          <w:sz w:val="20"/>
          <w:lang w:val="es-ES" w:eastAsia="es-ES"/>
        </w:rPr>
      </w:pPr>
    </w:p>
    <w:p w:rsidR="00AE5B31" w:rsidRDefault="00AE5B31" w:rsidP="00AE5B31">
      <w:pPr>
        <w:pStyle w:val="ListParagraph"/>
        <w:tabs>
          <w:tab w:val="left" w:pos="7110"/>
        </w:tabs>
        <w:ind w:left="90" w:right="507" w:firstLine="90"/>
        <w:rPr>
          <w:b/>
          <w:bCs/>
          <w:sz w:val="20"/>
          <w:lang w:val="es-ES" w:eastAsia="es-ES"/>
        </w:rPr>
      </w:pPr>
      <w:r>
        <w:rPr>
          <w:b/>
          <w:bCs/>
          <w:sz w:val="20"/>
          <w:lang w:val="es-ES" w:eastAsia="es-ES"/>
        </w:rPr>
        <w:tab/>
      </w:r>
    </w:p>
    <w:p w:rsidR="00AE5B31" w:rsidRPr="00D25830" w:rsidRDefault="00AE5B31" w:rsidP="00AE5B31">
      <w:pPr>
        <w:tabs>
          <w:tab w:val="left" w:pos="7110"/>
        </w:tabs>
        <w:rPr>
          <w:b/>
          <w:bCs/>
          <w:sz w:val="20"/>
          <w:lang w:val="es-ES" w:eastAsia="es-ES"/>
        </w:rPr>
      </w:pPr>
      <w:r w:rsidRPr="00602B1A">
        <w:rPr>
          <w:noProof/>
          <w:lang w:val="en-US"/>
        </w:rPr>
        <w:drawing>
          <wp:inline distT="0" distB="0" distL="0" distR="0" wp14:anchorId="1626ECA1" wp14:editId="6E50A8B0">
            <wp:extent cx="5110331" cy="5568950"/>
            <wp:effectExtent l="0" t="0" r="0" b="0"/>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113221" cy="5572100"/>
                    </a:xfrm>
                    <a:prstGeom prst="rect">
                      <a:avLst/>
                    </a:prstGeom>
                    <a:noFill/>
                    <a:ln>
                      <a:noFill/>
                    </a:ln>
                  </pic:spPr>
                </pic:pic>
              </a:graphicData>
            </a:graphic>
          </wp:inline>
        </w:drawing>
      </w:r>
    </w:p>
    <w:p w:rsidR="00AE5B31" w:rsidRDefault="00AE5B31" w:rsidP="00AE5B31">
      <w:pPr>
        <w:pStyle w:val="ListParagraph"/>
        <w:tabs>
          <w:tab w:val="left" w:pos="7110"/>
        </w:tabs>
        <w:ind w:left="705"/>
        <w:rPr>
          <w:b/>
          <w:bCs/>
          <w:sz w:val="20"/>
          <w:lang w:val="es-ES" w:eastAsia="es-ES"/>
        </w:rPr>
      </w:pPr>
    </w:p>
    <w:p w:rsidR="00AE5B31" w:rsidRDefault="00AE5B31" w:rsidP="00AE5B31">
      <w:pPr>
        <w:pStyle w:val="BodyText"/>
        <w:tabs>
          <w:tab w:val="clear" w:pos="3060"/>
        </w:tabs>
        <w:ind w:left="1080" w:right="327"/>
        <w:rPr>
          <w:sz w:val="18"/>
          <w:szCs w:val="24"/>
        </w:rPr>
      </w:pPr>
    </w:p>
    <w:p w:rsidR="00AE5B31" w:rsidRDefault="00AE5B31" w:rsidP="00AE5B31">
      <w:pPr>
        <w:pStyle w:val="BodyText"/>
        <w:tabs>
          <w:tab w:val="clear" w:pos="3060"/>
        </w:tabs>
        <w:ind w:left="1080" w:right="327"/>
        <w:jc w:val="left"/>
        <w:rPr>
          <w:sz w:val="18"/>
          <w:szCs w:val="24"/>
        </w:rPr>
      </w:pPr>
    </w:p>
    <w:p w:rsidR="00AE5B31" w:rsidRDefault="00AE5B31" w:rsidP="00AE5B31">
      <w:pPr>
        <w:pStyle w:val="BodyText"/>
        <w:tabs>
          <w:tab w:val="clear" w:pos="3060"/>
        </w:tabs>
        <w:ind w:left="142" w:right="327"/>
        <w:jc w:val="left"/>
      </w:pPr>
      <w:r w:rsidRPr="00B058CF">
        <w:rPr>
          <w:sz w:val="18"/>
          <w:szCs w:val="24"/>
        </w:rPr>
        <w:t>Fuente: Elaboración propia</w:t>
      </w:r>
      <w:r>
        <w:rPr>
          <w:sz w:val="18"/>
          <w:szCs w:val="24"/>
        </w:rPr>
        <w:t xml:space="preserve"> con base en la información y supuestos indicados a lo largo del presente documento.</w:t>
      </w:r>
    </w:p>
    <w:p w:rsidR="00AE5B31" w:rsidRPr="00DE26A8" w:rsidRDefault="00AE5B31" w:rsidP="00AE5B31">
      <w:pPr>
        <w:widowControl w:val="0"/>
        <w:adjustRightInd w:val="0"/>
        <w:ind w:left="900"/>
        <w:jc w:val="both"/>
        <w:textAlignment w:val="baseline"/>
        <w:rPr>
          <w:sz w:val="18"/>
          <w:szCs w:val="24"/>
        </w:rPr>
      </w:pPr>
    </w:p>
    <w:p w:rsidR="00AE5B31" w:rsidRDefault="00AE5B31" w:rsidP="00AE5B31">
      <w:pPr>
        <w:pStyle w:val="BodyText"/>
        <w:tabs>
          <w:tab w:val="clear" w:pos="3060"/>
        </w:tabs>
      </w:pPr>
    </w:p>
    <w:p w:rsidR="00AE5B31" w:rsidRDefault="00AE5B31" w:rsidP="00AE5B31">
      <w:pPr>
        <w:jc w:val="center"/>
        <w:rPr>
          <w:b/>
          <w:sz w:val="20"/>
        </w:rPr>
      </w:pPr>
    </w:p>
    <w:p w:rsidR="00AE5B31" w:rsidRDefault="00AE5B31" w:rsidP="00AE5B31">
      <w:pPr>
        <w:jc w:val="center"/>
        <w:rPr>
          <w:b/>
          <w:sz w:val="20"/>
        </w:rPr>
      </w:pPr>
    </w:p>
    <w:p w:rsidR="00AE5B31" w:rsidRDefault="00AE5B31" w:rsidP="00AE5B31">
      <w:pPr>
        <w:jc w:val="center"/>
        <w:rPr>
          <w:b/>
          <w:sz w:val="20"/>
        </w:rPr>
      </w:pPr>
    </w:p>
    <w:p w:rsidR="00AE5B31" w:rsidRDefault="00AE5B31" w:rsidP="00AE5B31">
      <w:pPr>
        <w:jc w:val="center"/>
        <w:rPr>
          <w:b/>
          <w:sz w:val="20"/>
        </w:rPr>
      </w:pPr>
    </w:p>
    <w:p w:rsidR="00AE5B31" w:rsidRDefault="00AE5B31" w:rsidP="00AE5B31">
      <w:pPr>
        <w:jc w:val="center"/>
        <w:rPr>
          <w:b/>
          <w:sz w:val="20"/>
        </w:rPr>
      </w:pPr>
    </w:p>
    <w:p w:rsidR="00AE5B31" w:rsidRDefault="00AE5B31" w:rsidP="00AE5B31">
      <w:pPr>
        <w:jc w:val="center"/>
        <w:rPr>
          <w:b/>
          <w:sz w:val="20"/>
        </w:rPr>
      </w:pPr>
    </w:p>
    <w:p w:rsidR="00AE5B31" w:rsidRPr="00C36498" w:rsidRDefault="00AE5B31" w:rsidP="00AE5B31">
      <w:pPr>
        <w:pStyle w:val="Heading1"/>
        <w:numPr>
          <w:ilvl w:val="0"/>
          <w:numId w:val="25"/>
        </w:numPr>
        <w:tabs>
          <w:tab w:val="left" w:pos="270"/>
        </w:tabs>
        <w:ind w:left="0" w:firstLine="0"/>
        <w:jc w:val="both"/>
        <w:rPr>
          <w:rFonts w:ascii="Times New Roman" w:hAnsi="Times New Roman"/>
        </w:rPr>
      </w:pPr>
      <w:bookmarkStart w:id="23" w:name="_Toc428992899"/>
      <w:r w:rsidRPr="00C36498">
        <w:rPr>
          <w:rFonts w:ascii="Times New Roman" w:hAnsi="Times New Roman"/>
        </w:rPr>
        <w:lastRenderedPageBreak/>
        <w:t>Análisis de S</w:t>
      </w:r>
      <w:r>
        <w:rPr>
          <w:rFonts w:ascii="Times New Roman" w:hAnsi="Times New Roman"/>
        </w:rPr>
        <w:t>ensibilidad</w:t>
      </w:r>
      <w:bookmarkEnd w:id="23"/>
    </w:p>
    <w:p w:rsidR="00AE5B31" w:rsidRPr="0006088F" w:rsidRDefault="00AE5B31" w:rsidP="00AE5B31">
      <w:pPr>
        <w:ind w:left="708"/>
      </w:pPr>
    </w:p>
    <w:p w:rsidR="00AE5B31" w:rsidRDefault="00AE5B31" w:rsidP="00AE5B31">
      <w:pPr>
        <w:widowControl w:val="0"/>
        <w:adjustRightInd w:val="0"/>
        <w:jc w:val="both"/>
        <w:textAlignment w:val="baseline"/>
        <w:rPr>
          <w:szCs w:val="24"/>
        </w:rPr>
      </w:pPr>
      <w:r>
        <w:rPr>
          <w:szCs w:val="24"/>
        </w:rPr>
        <w:t xml:space="preserve">La proyección de flujos comerciales y tránsito de personas para un horizonte de largo plazo está sujeta a una cantidad innumerable de factores que pueden provocar que la realidad señale cifras tanto menores como mayores a las estimadas.  Asimismo, variaciones en el costo de la inversión inicial tendrían un impacto en los indicadores de rentabilidad económica. </w:t>
      </w:r>
    </w:p>
    <w:p w:rsidR="00AE5B31" w:rsidRDefault="00AE5B31" w:rsidP="00AE5B31">
      <w:pPr>
        <w:widowControl w:val="0"/>
        <w:adjustRightInd w:val="0"/>
        <w:jc w:val="both"/>
        <w:textAlignment w:val="baseline"/>
        <w:rPr>
          <w:szCs w:val="24"/>
        </w:rPr>
      </w:pPr>
    </w:p>
    <w:p w:rsidR="00AE5B31" w:rsidRPr="00E24977" w:rsidRDefault="00AE5B31" w:rsidP="00AE5B31">
      <w:pPr>
        <w:widowControl w:val="0"/>
        <w:adjustRightInd w:val="0"/>
        <w:jc w:val="both"/>
        <w:textAlignment w:val="baseline"/>
        <w:rPr>
          <w:szCs w:val="24"/>
        </w:rPr>
      </w:pPr>
      <w:r>
        <w:rPr>
          <w:szCs w:val="24"/>
        </w:rPr>
        <w:t xml:space="preserve">En este sentido, </w:t>
      </w:r>
      <w:r w:rsidRPr="002C126B">
        <w:rPr>
          <w:szCs w:val="24"/>
        </w:rPr>
        <w:t xml:space="preserve">se realizó un análisis de sensibilidad </w:t>
      </w:r>
      <w:r>
        <w:rPr>
          <w:szCs w:val="24"/>
        </w:rPr>
        <w:t xml:space="preserve">estándar </w:t>
      </w:r>
      <w:r w:rsidRPr="002C126B">
        <w:rPr>
          <w:szCs w:val="24"/>
        </w:rPr>
        <w:t>frente a la variación de los factores de mayor incidencia en la rentabilidad</w:t>
      </w:r>
      <w:r>
        <w:rPr>
          <w:szCs w:val="24"/>
        </w:rPr>
        <w:t xml:space="preserve">, específicamente i) un reducción del 10% en el Tránsito Promedio Diario Anual (TPDA), ii) un incremento del 10% en la inversión inicial y iii) la combinación de ambos elementos.  </w:t>
      </w:r>
      <w:r w:rsidRPr="0038739A">
        <w:rPr>
          <w:szCs w:val="24"/>
        </w:rPr>
        <w:t xml:space="preserve">Los resultados </w:t>
      </w:r>
      <w:r>
        <w:rPr>
          <w:szCs w:val="24"/>
        </w:rPr>
        <w:t xml:space="preserve">muestran al combinarse una menor demanda con sobre-costos en la inversión inicial, el proyecto pierde su viabilidad económica. Ante este hecho, se procedió a evaluar los mismos escenarios pero con una inversión inicial de US$1,252,509, resultando indicadores positivos. Este monto equivale a un 20% de la </w:t>
      </w:r>
      <w:r>
        <w:t xml:space="preserve">inversión estimada en el documento, </w:t>
      </w:r>
      <w:r w:rsidRPr="001E1941">
        <w:rPr>
          <w:i/>
        </w:rPr>
        <w:t>“Adecuación de Estudios de Proceso de Control, Gestión, Infraestructuras e Inversión de los Pasos de Frontera Terrestres de Costa Rica”</w:t>
      </w:r>
      <w:r>
        <w:rPr>
          <w:i/>
        </w:rPr>
        <w:t>.</w:t>
      </w:r>
    </w:p>
    <w:p w:rsidR="00AE5B31" w:rsidRDefault="00AE5B31" w:rsidP="00AE5B31">
      <w:pPr>
        <w:widowControl w:val="0"/>
        <w:adjustRightInd w:val="0"/>
        <w:jc w:val="both"/>
        <w:textAlignment w:val="baseline"/>
        <w:rPr>
          <w:szCs w:val="24"/>
        </w:rPr>
      </w:pPr>
    </w:p>
    <w:p w:rsidR="00AE5B31" w:rsidRDefault="00AE5B31" w:rsidP="00AE5B31">
      <w:pPr>
        <w:pStyle w:val="ListParagraph"/>
        <w:ind w:left="705" w:firstLine="3"/>
        <w:jc w:val="center"/>
        <w:rPr>
          <w:b/>
          <w:sz w:val="22"/>
          <w:szCs w:val="22"/>
        </w:rPr>
      </w:pPr>
      <w:r>
        <w:rPr>
          <w:b/>
          <w:sz w:val="22"/>
          <w:szCs w:val="22"/>
        </w:rPr>
        <w:t>Cuadro XXVIII</w:t>
      </w:r>
    </w:p>
    <w:p w:rsidR="00AE5B31" w:rsidRPr="00B70F2C" w:rsidRDefault="00AE5B31" w:rsidP="00AE5B31">
      <w:pPr>
        <w:pStyle w:val="ListParagraph"/>
        <w:ind w:left="705"/>
        <w:jc w:val="center"/>
        <w:rPr>
          <w:b/>
          <w:bCs/>
          <w:sz w:val="20"/>
          <w:lang w:val="es-ES" w:eastAsia="es-ES"/>
        </w:rPr>
      </w:pPr>
      <w:r>
        <w:rPr>
          <w:b/>
          <w:bCs/>
          <w:sz w:val="20"/>
          <w:lang w:val="es-ES" w:eastAsia="es-ES"/>
        </w:rPr>
        <w:t>GUABITO</w:t>
      </w:r>
    </w:p>
    <w:p w:rsidR="00AE5B31" w:rsidRPr="00B70F2C" w:rsidRDefault="00AE5B31" w:rsidP="00AE5B31">
      <w:pPr>
        <w:pStyle w:val="ListParagraph"/>
        <w:ind w:left="705"/>
        <w:jc w:val="center"/>
        <w:rPr>
          <w:sz w:val="20"/>
        </w:rPr>
      </w:pPr>
      <w:r>
        <w:rPr>
          <w:b/>
          <w:bCs/>
          <w:sz w:val="20"/>
          <w:lang w:val="es-ES" w:eastAsia="es-ES"/>
        </w:rPr>
        <w:t>Resultados del Análisis de Sensibilidad Estándar: Supuesto inversión inicial US$1,565,636</w:t>
      </w:r>
    </w:p>
    <w:p w:rsidR="00AE5B31" w:rsidRPr="0038739A" w:rsidRDefault="00AE5B31" w:rsidP="00AE5B31">
      <w:pPr>
        <w:pStyle w:val="ListParagraph"/>
        <w:ind w:left="705" w:firstLine="3"/>
        <w:jc w:val="center"/>
        <w:rPr>
          <w:b/>
          <w:sz w:val="22"/>
          <w:szCs w:val="22"/>
        </w:rPr>
      </w:pPr>
    </w:p>
    <w:tbl>
      <w:tblPr>
        <w:tblStyle w:val="TableGrid"/>
        <w:tblW w:w="9138" w:type="dxa"/>
        <w:tblLook w:val="04A0" w:firstRow="1" w:lastRow="0" w:firstColumn="1" w:lastColumn="0" w:noHBand="0" w:noVBand="1"/>
      </w:tblPr>
      <w:tblGrid>
        <w:gridCol w:w="1980"/>
        <w:gridCol w:w="1674"/>
        <w:gridCol w:w="1828"/>
        <w:gridCol w:w="1828"/>
        <w:gridCol w:w="1828"/>
      </w:tblGrid>
      <w:tr w:rsidR="00AE5B31" w:rsidTr="00E7602D">
        <w:tc>
          <w:tcPr>
            <w:tcW w:w="1980" w:type="dxa"/>
            <w:vAlign w:val="center"/>
          </w:tcPr>
          <w:p w:rsidR="00AE5B31" w:rsidRPr="00FC36FF" w:rsidRDefault="00AE5B31" w:rsidP="00E7602D">
            <w:pPr>
              <w:jc w:val="center"/>
              <w:rPr>
                <w:rFonts w:asciiTheme="minorHAnsi" w:hAnsiTheme="minorHAnsi"/>
                <w:b/>
                <w:sz w:val="20"/>
                <w:szCs w:val="24"/>
              </w:rPr>
            </w:pPr>
            <w:r w:rsidRPr="00FC36FF">
              <w:rPr>
                <w:rFonts w:asciiTheme="minorHAnsi" w:hAnsiTheme="minorHAnsi"/>
                <w:b/>
                <w:sz w:val="20"/>
                <w:szCs w:val="24"/>
              </w:rPr>
              <w:t>Indicador</w:t>
            </w:r>
          </w:p>
        </w:tc>
        <w:tc>
          <w:tcPr>
            <w:tcW w:w="1674" w:type="dxa"/>
            <w:vAlign w:val="center"/>
          </w:tcPr>
          <w:p w:rsidR="00AE5B31" w:rsidRPr="00FC36FF" w:rsidRDefault="00AE5B31" w:rsidP="00E7602D">
            <w:pPr>
              <w:jc w:val="center"/>
              <w:rPr>
                <w:rFonts w:asciiTheme="minorHAnsi" w:hAnsiTheme="minorHAnsi"/>
                <w:b/>
                <w:sz w:val="20"/>
                <w:szCs w:val="24"/>
              </w:rPr>
            </w:pPr>
            <w:r w:rsidRPr="00FC36FF">
              <w:rPr>
                <w:rFonts w:asciiTheme="minorHAnsi" w:hAnsiTheme="minorHAnsi"/>
                <w:b/>
                <w:sz w:val="20"/>
                <w:szCs w:val="24"/>
              </w:rPr>
              <w:t>Base</w:t>
            </w:r>
          </w:p>
        </w:tc>
        <w:tc>
          <w:tcPr>
            <w:tcW w:w="1828" w:type="dxa"/>
            <w:vAlign w:val="center"/>
          </w:tcPr>
          <w:p w:rsidR="00AE5B31" w:rsidRPr="00FC36FF" w:rsidRDefault="00AE5B31" w:rsidP="00E7602D">
            <w:pPr>
              <w:ind w:left="-81" w:hanging="142"/>
              <w:jc w:val="center"/>
              <w:rPr>
                <w:rFonts w:asciiTheme="minorHAnsi" w:hAnsiTheme="minorHAnsi"/>
                <w:b/>
                <w:sz w:val="20"/>
                <w:szCs w:val="24"/>
              </w:rPr>
            </w:pPr>
            <w:r w:rsidRPr="00FC36FF">
              <w:rPr>
                <w:rFonts w:asciiTheme="minorHAnsi" w:hAnsiTheme="minorHAnsi"/>
                <w:b/>
                <w:sz w:val="20"/>
                <w:szCs w:val="24"/>
              </w:rPr>
              <w:t>-10% TPDA</w:t>
            </w:r>
          </w:p>
        </w:tc>
        <w:tc>
          <w:tcPr>
            <w:tcW w:w="1828" w:type="dxa"/>
            <w:vAlign w:val="center"/>
          </w:tcPr>
          <w:p w:rsidR="00AE5B31" w:rsidRPr="00FC36FF" w:rsidRDefault="00AE5B31" w:rsidP="00E7602D">
            <w:pPr>
              <w:ind w:left="-81" w:hanging="142"/>
              <w:jc w:val="center"/>
              <w:rPr>
                <w:rFonts w:asciiTheme="minorHAnsi" w:hAnsiTheme="minorHAnsi"/>
                <w:b/>
                <w:sz w:val="20"/>
                <w:szCs w:val="24"/>
              </w:rPr>
            </w:pPr>
            <w:r w:rsidRPr="00FC36FF">
              <w:rPr>
                <w:rFonts w:asciiTheme="minorHAnsi" w:hAnsiTheme="minorHAnsi"/>
                <w:b/>
                <w:sz w:val="20"/>
                <w:szCs w:val="24"/>
              </w:rPr>
              <w:t>+10% Costos de Obra</w:t>
            </w:r>
          </w:p>
        </w:tc>
        <w:tc>
          <w:tcPr>
            <w:tcW w:w="1828" w:type="dxa"/>
            <w:vAlign w:val="center"/>
          </w:tcPr>
          <w:p w:rsidR="00AE5B31" w:rsidRPr="00FC36FF" w:rsidRDefault="00AE5B31" w:rsidP="00E7602D">
            <w:pPr>
              <w:jc w:val="center"/>
              <w:rPr>
                <w:rFonts w:asciiTheme="minorHAnsi" w:hAnsiTheme="minorHAnsi"/>
                <w:b/>
                <w:sz w:val="20"/>
                <w:szCs w:val="24"/>
              </w:rPr>
            </w:pPr>
            <w:r w:rsidRPr="00FC36FF">
              <w:rPr>
                <w:rFonts w:asciiTheme="minorHAnsi" w:hAnsiTheme="minorHAnsi"/>
                <w:b/>
                <w:sz w:val="20"/>
                <w:szCs w:val="24"/>
              </w:rPr>
              <w:t>+10% Costos de Obra &amp; -10% TPDA</w:t>
            </w:r>
          </w:p>
        </w:tc>
      </w:tr>
      <w:tr w:rsidR="00AE5B31" w:rsidTr="00E7602D">
        <w:tc>
          <w:tcPr>
            <w:tcW w:w="1980" w:type="dxa"/>
          </w:tcPr>
          <w:p w:rsidR="00AE5B31" w:rsidRPr="00FC36FF"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Valor Actual Neto Económico (VANE)</w:t>
            </w:r>
          </w:p>
        </w:tc>
        <w:tc>
          <w:tcPr>
            <w:tcW w:w="1674" w:type="dxa"/>
          </w:tcPr>
          <w:p w:rsidR="00AE5B31" w:rsidRPr="00FC36FF"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240,330</w:t>
            </w:r>
          </w:p>
        </w:tc>
        <w:tc>
          <w:tcPr>
            <w:tcW w:w="1828" w:type="dxa"/>
          </w:tcPr>
          <w:p w:rsidR="00AE5B31"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29,380</w:t>
            </w:r>
          </w:p>
        </w:tc>
        <w:tc>
          <w:tcPr>
            <w:tcW w:w="1828" w:type="dxa"/>
          </w:tcPr>
          <w:p w:rsidR="00AE5B31" w:rsidRPr="00FC36FF"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92,153</w:t>
            </w:r>
          </w:p>
        </w:tc>
        <w:tc>
          <w:tcPr>
            <w:tcW w:w="1828" w:type="dxa"/>
          </w:tcPr>
          <w:p w:rsidR="00AE5B31" w:rsidRPr="00AC2A0E" w:rsidRDefault="00AE5B31" w:rsidP="00E7602D">
            <w:pPr>
              <w:widowControl w:val="0"/>
              <w:adjustRightInd w:val="0"/>
              <w:jc w:val="both"/>
              <w:textAlignment w:val="baseline"/>
              <w:rPr>
                <w:rFonts w:asciiTheme="minorHAnsi" w:hAnsiTheme="minorHAnsi"/>
                <w:color w:val="FF0000"/>
                <w:sz w:val="20"/>
                <w:szCs w:val="24"/>
              </w:rPr>
            </w:pPr>
            <w:r w:rsidRPr="00AC2A0E">
              <w:rPr>
                <w:rFonts w:asciiTheme="minorHAnsi" w:hAnsiTheme="minorHAnsi"/>
                <w:color w:val="FF0000"/>
                <w:sz w:val="20"/>
                <w:szCs w:val="24"/>
              </w:rPr>
              <w:t>(118,796)</w:t>
            </w:r>
          </w:p>
        </w:tc>
      </w:tr>
      <w:tr w:rsidR="00AE5B31" w:rsidTr="00E7602D">
        <w:tc>
          <w:tcPr>
            <w:tcW w:w="1980" w:type="dxa"/>
          </w:tcPr>
          <w:p w:rsidR="00AE5B31" w:rsidRPr="00FC36FF"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Tasa Interna de Retorno Económica (TIRE)</w:t>
            </w:r>
          </w:p>
        </w:tc>
        <w:tc>
          <w:tcPr>
            <w:tcW w:w="1674" w:type="dxa"/>
          </w:tcPr>
          <w:p w:rsidR="00AE5B31" w:rsidRPr="00FC36FF"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13.9%</w:t>
            </w:r>
          </w:p>
        </w:tc>
        <w:tc>
          <w:tcPr>
            <w:tcW w:w="1828" w:type="dxa"/>
          </w:tcPr>
          <w:p w:rsidR="00AE5B31"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12.2%</w:t>
            </w:r>
          </w:p>
        </w:tc>
        <w:tc>
          <w:tcPr>
            <w:tcW w:w="1828" w:type="dxa"/>
          </w:tcPr>
          <w:p w:rsidR="00AE5B31" w:rsidRPr="00FC36FF"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12.7%</w:t>
            </w:r>
          </w:p>
        </w:tc>
        <w:tc>
          <w:tcPr>
            <w:tcW w:w="1828" w:type="dxa"/>
          </w:tcPr>
          <w:p w:rsidR="00AE5B31" w:rsidRPr="00FC36FF" w:rsidRDefault="00AE5B31" w:rsidP="00E7602D">
            <w:pPr>
              <w:widowControl w:val="0"/>
              <w:adjustRightInd w:val="0"/>
              <w:jc w:val="both"/>
              <w:textAlignment w:val="baseline"/>
              <w:rPr>
                <w:rFonts w:asciiTheme="minorHAnsi" w:hAnsiTheme="minorHAnsi"/>
                <w:sz w:val="20"/>
                <w:szCs w:val="24"/>
              </w:rPr>
            </w:pPr>
            <w:r w:rsidRPr="00AC2A0E">
              <w:rPr>
                <w:rFonts w:asciiTheme="minorHAnsi" w:hAnsiTheme="minorHAnsi"/>
                <w:color w:val="FF0000"/>
                <w:sz w:val="20"/>
                <w:szCs w:val="24"/>
              </w:rPr>
              <w:t>11.1%</w:t>
            </w:r>
          </w:p>
        </w:tc>
      </w:tr>
      <w:tr w:rsidR="00AE5B31" w:rsidTr="00E7602D">
        <w:tc>
          <w:tcPr>
            <w:tcW w:w="1980" w:type="dxa"/>
          </w:tcPr>
          <w:p w:rsidR="00AE5B31" w:rsidRPr="00FC36FF"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Razón Costo/Beneficio</w:t>
            </w:r>
          </w:p>
        </w:tc>
        <w:tc>
          <w:tcPr>
            <w:tcW w:w="1674" w:type="dxa"/>
          </w:tcPr>
          <w:p w:rsidR="00AE5B31" w:rsidRPr="00FC36FF"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1.13x</w:t>
            </w:r>
          </w:p>
        </w:tc>
        <w:tc>
          <w:tcPr>
            <w:tcW w:w="1828" w:type="dxa"/>
          </w:tcPr>
          <w:p w:rsidR="00AE5B31"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1.02x</w:t>
            </w:r>
          </w:p>
        </w:tc>
        <w:tc>
          <w:tcPr>
            <w:tcW w:w="1828" w:type="dxa"/>
          </w:tcPr>
          <w:p w:rsidR="00AE5B31" w:rsidRPr="00FC36FF"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1.05x</w:t>
            </w:r>
          </w:p>
        </w:tc>
        <w:tc>
          <w:tcPr>
            <w:tcW w:w="1828" w:type="dxa"/>
          </w:tcPr>
          <w:p w:rsidR="00AE5B31" w:rsidRPr="00FC36FF"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0.94x</w:t>
            </w:r>
          </w:p>
        </w:tc>
      </w:tr>
      <w:tr w:rsidR="00AE5B31" w:rsidTr="00E7602D">
        <w:tc>
          <w:tcPr>
            <w:tcW w:w="1980" w:type="dxa"/>
          </w:tcPr>
          <w:p w:rsidR="00AE5B31" w:rsidRPr="00FC36FF"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Razón VANE/Inversión</w:t>
            </w:r>
          </w:p>
        </w:tc>
        <w:tc>
          <w:tcPr>
            <w:tcW w:w="1674" w:type="dxa"/>
          </w:tcPr>
          <w:p w:rsidR="00AE5B31" w:rsidRPr="00FC36FF"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0.15x</w:t>
            </w:r>
          </w:p>
        </w:tc>
        <w:tc>
          <w:tcPr>
            <w:tcW w:w="1828" w:type="dxa"/>
          </w:tcPr>
          <w:p w:rsidR="00AE5B31"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0.02x</w:t>
            </w:r>
          </w:p>
        </w:tc>
        <w:tc>
          <w:tcPr>
            <w:tcW w:w="1828" w:type="dxa"/>
          </w:tcPr>
          <w:p w:rsidR="00AE5B31" w:rsidRPr="00FC36FF"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0.05x</w:t>
            </w:r>
          </w:p>
        </w:tc>
        <w:tc>
          <w:tcPr>
            <w:tcW w:w="1828" w:type="dxa"/>
          </w:tcPr>
          <w:p w:rsidR="00AE5B31" w:rsidRPr="00FC36FF" w:rsidRDefault="00AE5B31" w:rsidP="00E7602D">
            <w:pPr>
              <w:widowControl w:val="0"/>
              <w:adjustRightInd w:val="0"/>
              <w:jc w:val="both"/>
              <w:textAlignment w:val="baseline"/>
              <w:rPr>
                <w:rFonts w:asciiTheme="minorHAnsi" w:hAnsiTheme="minorHAnsi"/>
                <w:sz w:val="20"/>
                <w:szCs w:val="24"/>
              </w:rPr>
            </w:pPr>
            <w:r w:rsidRPr="00AC2A0E">
              <w:rPr>
                <w:rFonts w:asciiTheme="minorHAnsi" w:hAnsiTheme="minorHAnsi"/>
                <w:color w:val="FF0000"/>
                <w:sz w:val="20"/>
                <w:szCs w:val="24"/>
              </w:rPr>
              <w:t>(0.07)x</w:t>
            </w:r>
          </w:p>
        </w:tc>
      </w:tr>
    </w:tbl>
    <w:p w:rsidR="00AE5B31" w:rsidRDefault="00AE5B31" w:rsidP="00AE5B31">
      <w:pPr>
        <w:widowControl w:val="0"/>
        <w:adjustRightInd w:val="0"/>
        <w:jc w:val="both"/>
        <w:textAlignment w:val="baseline"/>
        <w:rPr>
          <w:szCs w:val="24"/>
        </w:rPr>
      </w:pPr>
      <w:r>
        <w:rPr>
          <w:sz w:val="18"/>
          <w:szCs w:val="24"/>
        </w:rPr>
        <w:t>Fuente: Elaboración propia.</w:t>
      </w:r>
    </w:p>
    <w:p w:rsidR="00AE5B31" w:rsidRDefault="00AE5B31" w:rsidP="00AE5B31">
      <w:pPr>
        <w:widowControl w:val="0"/>
        <w:adjustRightInd w:val="0"/>
        <w:jc w:val="both"/>
        <w:textAlignment w:val="baseline"/>
        <w:rPr>
          <w:szCs w:val="24"/>
        </w:rPr>
      </w:pPr>
    </w:p>
    <w:p w:rsidR="00AE5B31" w:rsidRDefault="00AE5B31" w:rsidP="00AE5B31">
      <w:pPr>
        <w:pStyle w:val="ListParagraph"/>
        <w:ind w:left="705" w:firstLine="3"/>
        <w:jc w:val="center"/>
        <w:rPr>
          <w:b/>
          <w:sz w:val="22"/>
          <w:szCs w:val="22"/>
        </w:rPr>
      </w:pPr>
      <w:r>
        <w:rPr>
          <w:b/>
          <w:sz w:val="22"/>
          <w:szCs w:val="22"/>
        </w:rPr>
        <w:t>Cuadro XXIX</w:t>
      </w:r>
    </w:p>
    <w:p w:rsidR="00AE5B31" w:rsidRPr="00B70F2C" w:rsidRDefault="00AE5B31" w:rsidP="00AE5B31">
      <w:pPr>
        <w:pStyle w:val="ListParagraph"/>
        <w:ind w:left="705"/>
        <w:jc w:val="center"/>
        <w:rPr>
          <w:b/>
          <w:bCs/>
          <w:sz w:val="20"/>
          <w:lang w:val="es-ES" w:eastAsia="es-ES"/>
        </w:rPr>
      </w:pPr>
      <w:r>
        <w:rPr>
          <w:b/>
          <w:bCs/>
          <w:sz w:val="20"/>
          <w:lang w:val="es-ES" w:eastAsia="es-ES"/>
        </w:rPr>
        <w:t>GUABITO</w:t>
      </w:r>
    </w:p>
    <w:p w:rsidR="00AE5B31" w:rsidRPr="00B70F2C" w:rsidRDefault="00AE5B31" w:rsidP="00AE5B31">
      <w:pPr>
        <w:pStyle w:val="ListParagraph"/>
        <w:ind w:left="705"/>
        <w:jc w:val="center"/>
        <w:rPr>
          <w:sz w:val="20"/>
        </w:rPr>
      </w:pPr>
      <w:r>
        <w:rPr>
          <w:b/>
          <w:bCs/>
          <w:sz w:val="20"/>
          <w:lang w:val="es-ES" w:eastAsia="es-ES"/>
        </w:rPr>
        <w:t>Resultados del Análisis de Sensibilidad Estándar: Supuesto inversión inicial US$1,252,509</w:t>
      </w:r>
    </w:p>
    <w:p w:rsidR="00AE5B31" w:rsidRPr="0038739A" w:rsidRDefault="00AE5B31" w:rsidP="00AE5B31">
      <w:pPr>
        <w:pStyle w:val="ListParagraph"/>
        <w:ind w:left="705" w:firstLine="3"/>
        <w:jc w:val="center"/>
        <w:rPr>
          <w:b/>
          <w:sz w:val="22"/>
          <w:szCs w:val="22"/>
        </w:rPr>
      </w:pPr>
    </w:p>
    <w:tbl>
      <w:tblPr>
        <w:tblStyle w:val="TableGrid"/>
        <w:tblW w:w="9138" w:type="dxa"/>
        <w:tblLook w:val="04A0" w:firstRow="1" w:lastRow="0" w:firstColumn="1" w:lastColumn="0" w:noHBand="0" w:noVBand="1"/>
      </w:tblPr>
      <w:tblGrid>
        <w:gridCol w:w="1980"/>
        <w:gridCol w:w="1674"/>
        <w:gridCol w:w="1828"/>
        <w:gridCol w:w="1828"/>
        <w:gridCol w:w="1828"/>
      </w:tblGrid>
      <w:tr w:rsidR="00AE5B31" w:rsidTr="00E7602D">
        <w:tc>
          <w:tcPr>
            <w:tcW w:w="1980" w:type="dxa"/>
            <w:vAlign w:val="center"/>
          </w:tcPr>
          <w:p w:rsidR="00AE5B31" w:rsidRPr="00FC36FF" w:rsidRDefault="00AE5B31" w:rsidP="00E7602D">
            <w:pPr>
              <w:jc w:val="center"/>
              <w:rPr>
                <w:rFonts w:asciiTheme="minorHAnsi" w:hAnsiTheme="minorHAnsi"/>
                <w:b/>
                <w:sz w:val="20"/>
                <w:szCs w:val="24"/>
              </w:rPr>
            </w:pPr>
            <w:r w:rsidRPr="00FC36FF">
              <w:rPr>
                <w:rFonts w:asciiTheme="minorHAnsi" w:hAnsiTheme="minorHAnsi"/>
                <w:b/>
                <w:sz w:val="20"/>
                <w:szCs w:val="24"/>
              </w:rPr>
              <w:t>Indicador</w:t>
            </w:r>
          </w:p>
        </w:tc>
        <w:tc>
          <w:tcPr>
            <w:tcW w:w="1674" w:type="dxa"/>
            <w:vAlign w:val="center"/>
          </w:tcPr>
          <w:p w:rsidR="00AE5B31" w:rsidRPr="00FC36FF" w:rsidRDefault="00AE5B31" w:rsidP="00E7602D">
            <w:pPr>
              <w:jc w:val="center"/>
              <w:rPr>
                <w:rFonts w:asciiTheme="minorHAnsi" w:hAnsiTheme="minorHAnsi"/>
                <w:b/>
                <w:sz w:val="20"/>
                <w:szCs w:val="24"/>
              </w:rPr>
            </w:pPr>
            <w:r w:rsidRPr="00FC36FF">
              <w:rPr>
                <w:rFonts w:asciiTheme="minorHAnsi" w:hAnsiTheme="minorHAnsi"/>
                <w:b/>
                <w:sz w:val="20"/>
                <w:szCs w:val="24"/>
              </w:rPr>
              <w:t>Base</w:t>
            </w:r>
          </w:p>
        </w:tc>
        <w:tc>
          <w:tcPr>
            <w:tcW w:w="1828" w:type="dxa"/>
            <w:vAlign w:val="center"/>
          </w:tcPr>
          <w:p w:rsidR="00AE5B31" w:rsidRPr="00FC36FF" w:rsidRDefault="00AE5B31" w:rsidP="00E7602D">
            <w:pPr>
              <w:ind w:left="-81" w:hanging="142"/>
              <w:jc w:val="center"/>
              <w:rPr>
                <w:rFonts w:asciiTheme="minorHAnsi" w:hAnsiTheme="minorHAnsi"/>
                <w:b/>
                <w:sz w:val="20"/>
                <w:szCs w:val="24"/>
              </w:rPr>
            </w:pPr>
            <w:r w:rsidRPr="00FC36FF">
              <w:rPr>
                <w:rFonts w:asciiTheme="minorHAnsi" w:hAnsiTheme="minorHAnsi"/>
                <w:b/>
                <w:sz w:val="20"/>
                <w:szCs w:val="24"/>
              </w:rPr>
              <w:t>-10% TPDA</w:t>
            </w:r>
          </w:p>
        </w:tc>
        <w:tc>
          <w:tcPr>
            <w:tcW w:w="1828" w:type="dxa"/>
            <w:vAlign w:val="center"/>
          </w:tcPr>
          <w:p w:rsidR="00AE5B31" w:rsidRPr="00FC36FF" w:rsidRDefault="00AE5B31" w:rsidP="00E7602D">
            <w:pPr>
              <w:ind w:left="-81" w:hanging="142"/>
              <w:jc w:val="center"/>
              <w:rPr>
                <w:rFonts w:asciiTheme="minorHAnsi" w:hAnsiTheme="minorHAnsi"/>
                <w:b/>
                <w:sz w:val="20"/>
                <w:szCs w:val="24"/>
              </w:rPr>
            </w:pPr>
            <w:r w:rsidRPr="00FC36FF">
              <w:rPr>
                <w:rFonts w:asciiTheme="minorHAnsi" w:hAnsiTheme="minorHAnsi"/>
                <w:b/>
                <w:sz w:val="20"/>
                <w:szCs w:val="24"/>
              </w:rPr>
              <w:t>+10% Costos de Obra</w:t>
            </w:r>
          </w:p>
        </w:tc>
        <w:tc>
          <w:tcPr>
            <w:tcW w:w="1828" w:type="dxa"/>
            <w:vAlign w:val="center"/>
          </w:tcPr>
          <w:p w:rsidR="00AE5B31" w:rsidRPr="00FC36FF" w:rsidRDefault="00AE5B31" w:rsidP="00E7602D">
            <w:pPr>
              <w:jc w:val="center"/>
              <w:rPr>
                <w:rFonts w:asciiTheme="minorHAnsi" w:hAnsiTheme="minorHAnsi"/>
                <w:b/>
                <w:sz w:val="20"/>
                <w:szCs w:val="24"/>
              </w:rPr>
            </w:pPr>
            <w:r w:rsidRPr="00FC36FF">
              <w:rPr>
                <w:rFonts w:asciiTheme="minorHAnsi" w:hAnsiTheme="minorHAnsi"/>
                <w:b/>
                <w:sz w:val="20"/>
                <w:szCs w:val="24"/>
              </w:rPr>
              <w:t>+10% Costos de Obra &amp; -10% TPDA</w:t>
            </w:r>
          </w:p>
        </w:tc>
      </w:tr>
      <w:tr w:rsidR="00AE5B31" w:rsidTr="00E7602D">
        <w:tc>
          <w:tcPr>
            <w:tcW w:w="1980" w:type="dxa"/>
          </w:tcPr>
          <w:p w:rsidR="00AE5B31" w:rsidRPr="00FC36FF"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Valor Actual Neto Económico (VANE)</w:t>
            </w:r>
          </w:p>
        </w:tc>
        <w:tc>
          <w:tcPr>
            <w:tcW w:w="1674" w:type="dxa"/>
          </w:tcPr>
          <w:p w:rsidR="00AE5B31" w:rsidRPr="00FC36FF"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525,022</w:t>
            </w:r>
          </w:p>
        </w:tc>
        <w:tc>
          <w:tcPr>
            <w:tcW w:w="1828" w:type="dxa"/>
          </w:tcPr>
          <w:p w:rsidR="00AE5B31"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314,073</w:t>
            </w:r>
          </w:p>
        </w:tc>
        <w:tc>
          <w:tcPr>
            <w:tcW w:w="1828" w:type="dxa"/>
          </w:tcPr>
          <w:p w:rsidR="00AE5B31" w:rsidRPr="00FC36FF"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406,481</w:t>
            </w:r>
          </w:p>
        </w:tc>
        <w:tc>
          <w:tcPr>
            <w:tcW w:w="1828" w:type="dxa"/>
          </w:tcPr>
          <w:p w:rsidR="00AE5B31" w:rsidRPr="00AC2A0E" w:rsidRDefault="00AE5B31" w:rsidP="00E7602D">
            <w:pPr>
              <w:widowControl w:val="0"/>
              <w:adjustRightInd w:val="0"/>
              <w:jc w:val="both"/>
              <w:textAlignment w:val="baseline"/>
              <w:rPr>
                <w:rFonts w:asciiTheme="minorHAnsi" w:hAnsiTheme="minorHAnsi"/>
                <w:color w:val="FF0000"/>
                <w:sz w:val="20"/>
                <w:szCs w:val="24"/>
              </w:rPr>
            </w:pPr>
            <w:r>
              <w:rPr>
                <w:rFonts w:asciiTheme="minorHAnsi" w:hAnsiTheme="minorHAnsi"/>
                <w:sz w:val="20"/>
                <w:szCs w:val="24"/>
              </w:rPr>
              <w:t>195,532</w:t>
            </w:r>
          </w:p>
        </w:tc>
      </w:tr>
      <w:tr w:rsidR="00AE5B31" w:rsidTr="00E7602D">
        <w:tc>
          <w:tcPr>
            <w:tcW w:w="1980" w:type="dxa"/>
          </w:tcPr>
          <w:p w:rsidR="00AE5B31" w:rsidRPr="00FC36FF"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Tasa Interna de Retorno Económica (TIRE)</w:t>
            </w:r>
          </w:p>
        </w:tc>
        <w:tc>
          <w:tcPr>
            <w:tcW w:w="1674" w:type="dxa"/>
          </w:tcPr>
          <w:p w:rsidR="00AE5B31" w:rsidRPr="00FC36FF"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16.9%</w:t>
            </w:r>
          </w:p>
        </w:tc>
        <w:tc>
          <w:tcPr>
            <w:tcW w:w="1828" w:type="dxa"/>
          </w:tcPr>
          <w:p w:rsidR="00AE5B31"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15.0%</w:t>
            </w:r>
          </w:p>
        </w:tc>
        <w:tc>
          <w:tcPr>
            <w:tcW w:w="1828" w:type="dxa"/>
          </w:tcPr>
          <w:p w:rsidR="00AE5B31" w:rsidRPr="00FC36FF"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15.6%</w:t>
            </w:r>
          </w:p>
        </w:tc>
        <w:tc>
          <w:tcPr>
            <w:tcW w:w="1828" w:type="dxa"/>
          </w:tcPr>
          <w:p w:rsidR="00AE5B31" w:rsidRPr="00FC36FF"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13.7%</w:t>
            </w:r>
          </w:p>
        </w:tc>
      </w:tr>
      <w:tr w:rsidR="00AE5B31" w:rsidTr="00E7602D">
        <w:tc>
          <w:tcPr>
            <w:tcW w:w="1980" w:type="dxa"/>
          </w:tcPr>
          <w:p w:rsidR="00AE5B31" w:rsidRPr="00FC36FF"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Razón Costo/Beneficio</w:t>
            </w:r>
          </w:p>
        </w:tc>
        <w:tc>
          <w:tcPr>
            <w:tcW w:w="1674" w:type="dxa"/>
          </w:tcPr>
          <w:p w:rsidR="00AE5B31" w:rsidRPr="00FC36FF"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1.33x</w:t>
            </w:r>
          </w:p>
        </w:tc>
        <w:tc>
          <w:tcPr>
            <w:tcW w:w="1828" w:type="dxa"/>
          </w:tcPr>
          <w:p w:rsidR="00AE5B31"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1.20x</w:t>
            </w:r>
          </w:p>
        </w:tc>
        <w:tc>
          <w:tcPr>
            <w:tcW w:w="1828" w:type="dxa"/>
          </w:tcPr>
          <w:p w:rsidR="00AE5B31" w:rsidRPr="00FC36FF"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1.24x</w:t>
            </w:r>
          </w:p>
        </w:tc>
        <w:tc>
          <w:tcPr>
            <w:tcW w:w="1828" w:type="dxa"/>
          </w:tcPr>
          <w:p w:rsidR="00AE5B31" w:rsidRPr="00FC36FF"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1.11x</w:t>
            </w:r>
          </w:p>
        </w:tc>
      </w:tr>
      <w:tr w:rsidR="00AE5B31" w:rsidTr="00E7602D">
        <w:tc>
          <w:tcPr>
            <w:tcW w:w="1980" w:type="dxa"/>
          </w:tcPr>
          <w:p w:rsidR="00AE5B31" w:rsidRPr="00FC36FF"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Razón VANE/Inversión</w:t>
            </w:r>
          </w:p>
        </w:tc>
        <w:tc>
          <w:tcPr>
            <w:tcW w:w="1674" w:type="dxa"/>
          </w:tcPr>
          <w:p w:rsidR="00AE5B31" w:rsidRPr="00FC36FF"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0.42x</w:t>
            </w:r>
          </w:p>
        </w:tc>
        <w:tc>
          <w:tcPr>
            <w:tcW w:w="1828" w:type="dxa"/>
          </w:tcPr>
          <w:p w:rsidR="00AE5B31"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0.25x</w:t>
            </w:r>
          </w:p>
        </w:tc>
        <w:tc>
          <w:tcPr>
            <w:tcW w:w="1828" w:type="dxa"/>
          </w:tcPr>
          <w:p w:rsidR="00AE5B31" w:rsidRPr="00FC36FF"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0.30x</w:t>
            </w:r>
          </w:p>
        </w:tc>
        <w:tc>
          <w:tcPr>
            <w:tcW w:w="1828" w:type="dxa"/>
          </w:tcPr>
          <w:p w:rsidR="00AE5B31" w:rsidRPr="00FC36FF" w:rsidRDefault="00AE5B31" w:rsidP="00E7602D">
            <w:pPr>
              <w:widowControl w:val="0"/>
              <w:adjustRightInd w:val="0"/>
              <w:jc w:val="both"/>
              <w:textAlignment w:val="baseline"/>
              <w:rPr>
                <w:rFonts w:asciiTheme="minorHAnsi" w:hAnsiTheme="minorHAnsi"/>
                <w:sz w:val="20"/>
                <w:szCs w:val="24"/>
              </w:rPr>
            </w:pPr>
            <w:r>
              <w:rPr>
                <w:rFonts w:asciiTheme="minorHAnsi" w:hAnsiTheme="minorHAnsi"/>
                <w:sz w:val="20"/>
                <w:szCs w:val="24"/>
              </w:rPr>
              <w:t>0.14x</w:t>
            </w:r>
          </w:p>
        </w:tc>
      </w:tr>
    </w:tbl>
    <w:p w:rsidR="00AE5B31" w:rsidRDefault="00AE5B31" w:rsidP="00AE5B31">
      <w:pPr>
        <w:widowControl w:val="0"/>
        <w:adjustRightInd w:val="0"/>
        <w:jc w:val="both"/>
        <w:textAlignment w:val="baseline"/>
        <w:rPr>
          <w:szCs w:val="24"/>
        </w:rPr>
      </w:pPr>
      <w:r>
        <w:rPr>
          <w:sz w:val="18"/>
          <w:szCs w:val="24"/>
        </w:rPr>
        <w:t>Fuente: Elaboración propia.</w:t>
      </w:r>
    </w:p>
    <w:p w:rsidR="00AE5B31" w:rsidRPr="0006088F" w:rsidRDefault="00AE5B31" w:rsidP="00AE5B31">
      <w:pPr>
        <w:widowControl w:val="0"/>
        <w:adjustRightInd w:val="0"/>
        <w:jc w:val="both"/>
        <w:textAlignment w:val="baseline"/>
      </w:pPr>
      <w:r>
        <w:rPr>
          <w:szCs w:val="24"/>
          <w:lang w:val="es-ES_tradnl"/>
        </w:rPr>
        <w:lastRenderedPageBreak/>
        <w:t xml:space="preserve">En adición al análisis de sensibilidad estándar, se modeló la combinación de diversos escenarios bajo la metodología de Monte Carlo,soportado por </w:t>
      </w:r>
      <w:r w:rsidRPr="002C126B">
        <w:rPr>
          <w:szCs w:val="24"/>
          <w:lang w:val="es-ES_tradnl"/>
        </w:rPr>
        <w:t>el programa Oracle</w:t>
      </w:r>
      <w:r w:rsidRPr="002C126B">
        <w:rPr>
          <w:szCs w:val="24"/>
          <w:vertAlign w:val="superscript"/>
          <w:lang w:val="es-CR"/>
        </w:rPr>
        <w:t>®</w:t>
      </w:r>
      <w:r>
        <w:rPr>
          <w:szCs w:val="24"/>
          <w:lang w:val="es-ES_tradnl"/>
        </w:rPr>
        <w:t>Crystal Ball. Esta simulación mantuvo el rango de variación del análisis estándar (0% hasta +10%) tanto para potenciales sobre-costos iniciales como para una disminución del TPDA, con la variante de que se utilizó una distribución es de carácter continuo</w:t>
      </w:r>
      <w:r>
        <w:rPr>
          <w:rStyle w:val="FootnoteReference"/>
          <w:szCs w:val="24"/>
          <w:lang w:val="es-ES_tradnl"/>
        </w:rPr>
        <w:footnoteReference w:id="23"/>
      </w:r>
      <w:r>
        <w:rPr>
          <w:szCs w:val="24"/>
          <w:lang w:val="es-ES_tradnl"/>
        </w:rPr>
        <w:t xml:space="preserve">. </w:t>
      </w:r>
      <w:r>
        <w:rPr>
          <w:szCs w:val="24"/>
        </w:rPr>
        <w:t>La simulación se realizó para 20,000 iteraciones</w:t>
      </w:r>
      <w:r>
        <w:rPr>
          <w:rStyle w:val="FootnoteReference"/>
          <w:szCs w:val="24"/>
        </w:rPr>
        <w:footnoteReference w:id="24"/>
      </w:r>
      <w:r>
        <w:rPr>
          <w:szCs w:val="24"/>
        </w:rPr>
        <w:t>, teniendo como variables resultado el VANE, TIRE, B/C y VANE/Inversión.  Por su parte las variables explicativas (costo inicial y flujo de demanda según tipo de vehículo y despacho) se estudiaron en rangos de valor con base en una distribución de probabilidad uniforme. Es decir todos los valores dentro de dichos rangos con la misma probabilidad de ocurrencia</w:t>
      </w:r>
      <w:r>
        <w:rPr>
          <w:rStyle w:val="FootnoteReference"/>
          <w:szCs w:val="24"/>
        </w:rPr>
        <w:footnoteReference w:id="25"/>
      </w:r>
      <w:r>
        <w:rPr>
          <w:szCs w:val="24"/>
        </w:rPr>
        <w:t xml:space="preserve">.  </w:t>
      </w:r>
    </w:p>
    <w:p w:rsidR="00AE5B31" w:rsidRPr="0006088F" w:rsidRDefault="00AE5B31" w:rsidP="00AE5B31">
      <w:pPr>
        <w:widowControl w:val="0"/>
        <w:adjustRightInd w:val="0"/>
        <w:ind w:left="709"/>
        <w:jc w:val="both"/>
        <w:textAlignment w:val="baseline"/>
      </w:pPr>
    </w:p>
    <w:p w:rsidR="00AE5B31" w:rsidRPr="004E2482" w:rsidRDefault="00AE5B31" w:rsidP="00AE5B31">
      <w:pPr>
        <w:widowControl w:val="0"/>
        <w:adjustRightInd w:val="0"/>
        <w:jc w:val="both"/>
        <w:textAlignment w:val="baseline"/>
        <w:rPr>
          <w:b/>
          <w:szCs w:val="24"/>
        </w:rPr>
      </w:pPr>
      <w:r w:rsidRPr="005010EE">
        <w:rPr>
          <w:szCs w:val="24"/>
        </w:rPr>
        <w:t xml:space="preserve">Los resultados de la Simulación de Monte Carlo indican que, dados los rangos de estrés seleccionados, existe un elevada probabilidad </w:t>
      </w:r>
      <w:r>
        <w:rPr>
          <w:szCs w:val="24"/>
        </w:rPr>
        <w:t>de que una inversión inicial de US$1,565,636 no resulte económicamente rentable. Por su parte, al considerar un menor nivel de inversión (US$1,252,509), se obtienen resultados satisfactorios.</w:t>
      </w:r>
      <w:r w:rsidRPr="005010EE">
        <w:rPr>
          <w:szCs w:val="24"/>
        </w:rPr>
        <w:t>Los siguientes cuadros muestran los rangos de sensibilidad y resultados obtenidos en el análisis de Monte Carlo.</w:t>
      </w:r>
    </w:p>
    <w:p w:rsidR="00AE5B31" w:rsidRDefault="00AE5B31" w:rsidP="00AE5B31">
      <w:pPr>
        <w:pStyle w:val="ListParagraph"/>
        <w:rPr>
          <w:b/>
          <w:szCs w:val="24"/>
        </w:rPr>
      </w:pPr>
    </w:p>
    <w:p w:rsidR="00AE5B31" w:rsidRPr="008B3621" w:rsidRDefault="00AE5B31" w:rsidP="00AE5B31">
      <w:pPr>
        <w:pStyle w:val="ListParagraph"/>
        <w:ind w:left="705" w:firstLine="3"/>
        <w:jc w:val="center"/>
        <w:rPr>
          <w:b/>
          <w:sz w:val="22"/>
          <w:szCs w:val="22"/>
          <w:lang w:val="es-ES_tradnl"/>
        </w:rPr>
      </w:pPr>
    </w:p>
    <w:p w:rsidR="00AE5B31" w:rsidRPr="00B70F2C" w:rsidRDefault="00AE5B31" w:rsidP="00AE5B31">
      <w:pPr>
        <w:pStyle w:val="ListParagraph"/>
        <w:ind w:left="705" w:firstLine="3"/>
        <w:jc w:val="center"/>
        <w:rPr>
          <w:b/>
          <w:sz w:val="22"/>
          <w:szCs w:val="22"/>
        </w:rPr>
      </w:pPr>
      <w:r w:rsidRPr="00B70F2C">
        <w:rPr>
          <w:b/>
          <w:sz w:val="22"/>
          <w:szCs w:val="22"/>
        </w:rPr>
        <w:t xml:space="preserve">Cuadro </w:t>
      </w:r>
      <w:r>
        <w:rPr>
          <w:b/>
          <w:sz w:val="22"/>
          <w:szCs w:val="22"/>
        </w:rPr>
        <w:t>XXX</w:t>
      </w:r>
    </w:p>
    <w:p w:rsidR="00AE5B31" w:rsidRPr="00B70F2C" w:rsidRDefault="00AE5B31" w:rsidP="00AE5B31">
      <w:pPr>
        <w:pStyle w:val="ListParagraph"/>
        <w:ind w:left="705"/>
        <w:jc w:val="center"/>
        <w:rPr>
          <w:b/>
          <w:bCs/>
          <w:sz w:val="20"/>
          <w:lang w:val="es-ES" w:eastAsia="es-ES"/>
        </w:rPr>
      </w:pPr>
      <w:r>
        <w:rPr>
          <w:b/>
          <w:bCs/>
          <w:sz w:val="20"/>
          <w:lang w:val="es-ES" w:eastAsia="es-ES"/>
        </w:rPr>
        <w:t>GUABITO</w:t>
      </w:r>
    </w:p>
    <w:p w:rsidR="00AE5B31" w:rsidRDefault="00AE5B31" w:rsidP="00AE5B31">
      <w:pPr>
        <w:pStyle w:val="ListParagraph"/>
        <w:ind w:left="705"/>
        <w:jc w:val="center"/>
        <w:rPr>
          <w:b/>
          <w:bCs/>
          <w:sz w:val="20"/>
          <w:lang w:val="es-ES" w:eastAsia="es-ES"/>
        </w:rPr>
      </w:pPr>
      <w:r>
        <w:rPr>
          <w:b/>
          <w:bCs/>
          <w:sz w:val="20"/>
          <w:lang w:val="es-ES" w:eastAsia="es-ES"/>
        </w:rPr>
        <w:t xml:space="preserve">Resumen de Resultados Análisis de Viabilidad Económica. Simulación Monte Carlo. </w:t>
      </w:r>
    </w:p>
    <w:p w:rsidR="00AE5B31" w:rsidRPr="00B70F2C" w:rsidRDefault="00AE5B31" w:rsidP="00AE5B31">
      <w:pPr>
        <w:pStyle w:val="ListParagraph"/>
        <w:ind w:left="705"/>
        <w:jc w:val="center"/>
        <w:rPr>
          <w:sz w:val="20"/>
        </w:rPr>
      </w:pPr>
      <w:r>
        <w:rPr>
          <w:b/>
          <w:bCs/>
          <w:sz w:val="20"/>
          <w:lang w:val="es-ES" w:eastAsia="es-ES"/>
        </w:rPr>
        <w:t>Supuesto inversión inicial US$1,565,636</w:t>
      </w:r>
    </w:p>
    <w:p w:rsidR="00AE5B31" w:rsidRPr="005250F0" w:rsidRDefault="00AE5B31" w:rsidP="00AE5B31">
      <w:pPr>
        <w:pStyle w:val="ListParagraph"/>
        <w:ind w:left="705"/>
        <w:jc w:val="both"/>
        <w:rPr>
          <w:szCs w:val="24"/>
        </w:rPr>
      </w:pPr>
    </w:p>
    <w:tbl>
      <w:tblPr>
        <w:tblStyle w:val="TableGrid"/>
        <w:tblW w:w="0" w:type="auto"/>
        <w:tblInd w:w="715" w:type="dxa"/>
        <w:tblLook w:val="04A0" w:firstRow="1" w:lastRow="0" w:firstColumn="1" w:lastColumn="0" w:noHBand="0" w:noVBand="1"/>
      </w:tblPr>
      <w:tblGrid>
        <w:gridCol w:w="3690"/>
        <w:gridCol w:w="1620"/>
        <w:gridCol w:w="3112"/>
      </w:tblGrid>
      <w:tr w:rsidR="00AE5B31" w:rsidTr="00E7602D">
        <w:trPr>
          <w:trHeight w:val="330"/>
        </w:trPr>
        <w:tc>
          <w:tcPr>
            <w:tcW w:w="3690" w:type="dxa"/>
            <w:vAlign w:val="center"/>
          </w:tcPr>
          <w:p w:rsidR="00AE5B31" w:rsidRPr="00C81D6E" w:rsidRDefault="00AE5B31" w:rsidP="00E7602D">
            <w:pPr>
              <w:jc w:val="center"/>
              <w:rPr>
                <w:rFonts w:asciiTheme="minorHAnsi" w:hAnsiTheme="minorHAnsi"/>
                <w:b/>
                <w:sz w:val="20"/>
                <w:szCs w:val="24"/>
              </w:rPr>
            </w:pPr>
            <w:r>
              <w:rPr>
                <w:rFonts w:asciiTheme="minorHAnsi" w:hAnsiTheme="minorHAnsi"/>
                <w:b/>
                <w:sz w:val="20"/>
                <w:szCs w:val="24"/>
              </w:rPr>
              <w:t>Indicador</w:t>
            </w:r>
          </w:p>
        </w:tc>
        <w:tc>
          <w:tcPr>
            <w:tcW w:w="1620" w:type="dxa"/>
            <w:vAlign w:val="center"/>
          </w:tcPr>
          <w:p w:rsidR="00AE5B31" w:rsidRPr="00C81D6E" w:rsidRDefault="00AE5B31" w:rsidP="00E7602D">
            <w:pPr>
              <w:jc w:val="center"/>
              <w:rPr>
                <w:rFonts w:asciiTheme="minorHAnsi" w:hAnsiTheme="minorHAnsi"/>
                <w:b/>
                <w:sz w:val="20"/>
                <w:szCs w:val="24"/>
              </w:rPr>
            </w:pPr>
            <w:r>
              <w:rPr>
                <w:rFonts w:asciiTheme="minorHAnsi" w:hAnsiTheme="minorHAnsi"/>
                <w:b/>
                <w:sz w:val="20"/>
                <w:szCs w:val="24"/>
              </w:rPr>
              <w:t>Caso Base</w:t>
            </w:r>
          </w:p>
        </w:tc>
        <w:tc>
          <w:tcPr>
            <w:tcW w:w="3112" w:type="dxa"/>
            <w:vAlign w:val="center"/>
          </w:tcPr>
          <w:p w:rsidR="00AE5B31" w:rsidRPr="00C81D6E" w:rsidRDefault="00AE5B31" w:rsidP="00E7602D">
            <w:pPr>
              <w:jc w:val="center"/>
              <w:rPr>
                <w:rFonts w:asciiTheme="minorHAnsi" w:hAnsiTheme="minorHAnsi"/>
                <w:b/>
                <w:sz w:val="20"/>
                <w:szCs w:val="24"/>
              </w:rPr>
            </w:pPr>
            <w:r>
              <w:rPr>
                <w:rFonts w:asciiTheme="minorHAnsi" w:hAnsiTheme="minorHAnsi"/>
                <w:b/>
                <w:sz w:val="20"/>
                <w:szCs w:val="24"/>
              </w:rPr>
              <w:t>Prob. Superior al 50%</w:t>
            </w:r>
          </w:p>
        </w:tc>
      </w:tr>
      <w:tr w:rsidR="00AE5B31" w:rsidTr="00E7602D">
        <w:tc>
          <w:tcPr>
            <w:tcW w:w="3690" w:type="dxa"/>
          </w:tcPr>
          <w:p w:rsidR="00AE5B31" w:rsidRPr="00B70F2C" w:rsidRDefault="00AE5B31" w:rsidP="00E7602D">
            <w:pPr>
              <w:jc w:val="both"/>
              <w:rPr>
                <w:rFonts w:asciiTheme="minorHAnsi" w:hAnsiTheme="minorHAnsi"/>
                <w:sz w:val="20"/>
                <w:szCs w:val="24"/>
              </w:rPr>
            </w:pPr>
            <w:r>
              <w:rPr>
                <w:rFonts w:asciiTheme="minorHAnsi" w:hAnsiTheme="minorHAnsi"/>
                <w:sz w:val="20"/>
                <w:szCs w:val="24"/>
              </w:rPr>
              <w:t>Valor Actual Neto Económico (VANE)</w:t>
            </w:r>
          </w:p>
        </w:tc>
        <w:tc>
          <w:tcPr>
            <w:tcW w:w="1620" w:type="dxa"/>
          </w:tcPr>
          <w:p w:rsidR="00AE5B31" w:rsidRPr="00B70F2C" w:rsidRDefault="00AE5B31" w:rsidP="00E7602D">
            <w:pPr>
              <w:jc w:val="right"/>
              <w:rPr>
                <w:rFonts w:asciiTheme="minorHAnsi" w:hAnsiTheme="minorHAnsi"/>
                <w:sz w:val="20"/>
                <w:szCs w:val="24"/>
              </w:rPr>
            </w:pPr>
            <w:r w:rsidRPr="008B3621">
              <w:rPr>
                <w:rFonts w:asciiTheme="minorHAnsi" w:hAnsiTheme="minorHAnsi"/>
                <w:sz w:val="20"/>
                <w:szCs w:val="24"/>
              </w:rPr>
              <w:t>240,330</w:t>
            </w:r>
          </w:p>
        </w:tc>
        <w:tc>
          <w:tcPr>
            <w:tcW w:w="3112"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Menor a US$0</w:t>
            </w:r>
          </w:p>
        </w:tc>
      </w:tr>
      <w:tr w:rsidR="00AE5B31" w:rsidTr="00E7602D">
        <w:tc>
          <w:tcPr>
            <w:tcW w:w="3690" w:type="dxa"/>
          </w:tcPr>
          <w:p w:rsidR="00AE5B31" w:rsidRPr="00B70F2C" w:rsidRDefault="00AE5B31" w:rsidP="00E7602D">
            <w:pPr>
              <w:jc w:val="both"/>
              <w:rPr>
                <w:rFonts w:asciiTheme="minorHAnsi" w:hAnsiTheme="minorHAnsi"/>
                <w:sz w:val="20"/>
                <w:szCs w:val="24"/>
              </w:rPr>
            </w:pPr>
            <w:r>
              <w:rPr>
                <w:rFonts w:asciiTheme="minorHAnsi" w:hAnsiTheme="minorHAnsi"/>
                <w:sz w:val="20"/>
                <w:szCs w:val="24"/>
              </w:rPr>
              <w:t>Tasa Interna de Retorno Económica (TIRE)</w:t>
            </w:r>
          </w:p>
        </w:tc>
        <w:tc>
          <w:tcPr>
            <w:tcW w:w="1620" w:type="dxa"/>
          </w:tcPr>
          <w:p w:rsidR="00AE5B31" w:rsidRPr="00B70F2C" w:rsidRDefault="00AE5B31" w:rsidP="00E7602D">
            <w:pPr>
              <w:jc w:val="right"/>
              <w:rPr>
                <w:rFonts w:asciiTheme="minorHAnsi" w:hAnsiTheme="minorHAnsi"/>
                <w:sz w:val="20"/>
                <w:szCs w:val="24"/>
              </w:rPr>
            </w:pPr>
            <w:r w:rsidRPr="008B3621">
              <w:rPr>
                <w:rFonts w:asciiTheme="minorHAnsi" w:hAnsiTheme="minorHAnsi"/>
                <w:sz w:val="20"/>
                <w:szCs w:val="24"/>
              </w:rPr>
              <w:t>13.9%</w:t>
            </w:r>
          </w:p>
        </w:tc>
        <w:tc>
          <w:tcPr>
            <w:tcW w:w="3112"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Menor a 12%</w:t>
            </w:r>
          </w:p>
        </w:tc>
      </w:tr>
      <w:tr w:rsidR="00AE5B31" w:rsidTr="00E7602D">
        <w:tc>
          <w:tcPr>
            <w:tcW w:w="3690" w:type="dxa"/>
          </w:tcPr>
          <w:p w:rsidR="00AE5B31" w:rsidRDefault="00AE5B31" w:rsidP="00E7602D">
            <w:pPr>
              <w:jc w:val="both"/>
              <w:rPr>
                <w:rFonts w:asciiTheme="minorHAnsi" w:hAnsiTheme="minorHAnsi"/>
                <w:sz w:val="20"/>
                <w:szCs w:val="24"/>
              </w:rPr>
            </w:pPr>
            <w:r>
              <w:rPr>
                <w:rFonts w:asciiTheme="minorHAnsi" w:hAnsiTheme="minorHAnsi"/>
                <w:sz w:val="20"/>
                <w:szCs w:val="24"/>
              </w:rPr>
              <w:t>Razón Costo/Beneficio</w:t>
            </w:r>
          </w:p>
        </w:tc>
        <w:tc>
          <w:tcPr>
            <w:tcW w:w="1620" w:type="dxa"/>
          </w:tcPr>
          <w:p w:rsidR="00AE5B31" w:rsidRPr="00B70F2C" w:rsidRDefault="00AE5B31" w:rsidP="00E7602D">
            <w:pPr>
              <w:jc w:val="right"/>
              <w:rPr>
                <w:rFonts w:asciiTheme="minorHAnsi" w:hAnsiTheme="minorHAnsi"/>
                <w:sz w:val="20"/>
                <w:szCs w:val="24"/>
              </w:rPr>
            </w:pPr>
            <w:r w:rsidRPr="008B3621">
              <w:rPr>
                <w:rFonts w:asciiTheme="minorHAnsi" w:hAnsiTheme="minorHAnsi"/>
                <w:sz w:val="20"/>
                <w:szCs w:val="24"/>
              </w:rPr>
              <w:t>1.13x</w:t>
            </w:r>
          </w:p>
        </w:tc>
        <w:tc>
          <w:tcPr>
            <w:tcW w:w="3112"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Menor a 1.0x</w:t>
            </w:r>
          </w:p>
        </w:tc>
      </w:tr>
      <w:tr w:rsidR="00AE5B31" w:rsidTr="00E7602D">
        <w:tc>
          <w:tcPr>
            <w:tcW w:w="3690" w:type="dxa"/>
          </w:tcPr>
          <w:p w:rsidR="00AE5B31" w:rsidRDefault="00AE5B31" w:rsidP="00E7602D">
            <w:pPr>
              <w:jc w:val="both"/>
              <w:rPr>
                <w:rFonts w:asciiTheme="minorHAnsi" w:hAnsiTheme="minorHAnsi"/>
                <w:sz w:val="20"/>
                <w:szCs w:val="24"/>
              </w:rPr>
            </w:pPr>
            <w:r>
              <w:rPr>
                <w:rFonts w:asciiTheme="minorHAnsi" w:hAnsiTheme="minorHAnsi"/>
                <w:sz w:val="20"/>
                <w:szCs w:val="24"/>
              </w:rPr>
              <w:t>Razón VANE/Inversión</w:t>
            </w:r>
          </w:p>
        </w:tc>
        <w:tc>
          <w:tcPr>
            <w:tcW w:w="1620" w:type="dxa"/>
          </w:tcPr>
          <w:p w:rsidR="00AE5B31" w:rsidRPr="00B70F2C" w:rsidRDefault="00AE5B31" w:rsidP="00E7602D">
            <w:pPr>
              <w:jc w:val="right"/>
              <w:rPr>
                <w:rFonts w:asciiTheme="minorHAnsi" w:hAnsiTheme="minorHAnsi"/>
                <w:sz w:val="20"/>
                <w:szCs w:val="24"/>
              </w:rPr>
            </w:pPr>
            <w:r w:rsidRPr="008B3621">
              <w:rPr>
                <w:rFonts w:asciiTheme="minorHAnsi" w:hAnsiTheme="minorHAnsi"/>
                <w:sz w:val="20"/>
                <w:szCs w:val="24"/>
              </w:rPr>
              <w:t>0.15x</w:t>
            </w:r>
          </w:p>
        </w:tc>
        <w:tc>
          <w:tcPr>
            <w:tcW w:w="3112"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Menor a 0.0x</w:t>
            </w:r>
          </w:p>
        </w:tc>
      </w:tr>
    </w:tbl>
    <w:p w:rsidR="00AE5B31" w:rsidRPr="005250F0" w:rsidRDefault="00AE5B31" w:rsidP="00AE5B31">
      <w:pPr>
        <w:pStyle w:val="ListParagraph"/>
        <w:ind w:left="705"/>
        <w:jc w:val="both"/>
        <w:rPr>
          <w:szCs w:val="24"/>
        </w:rPr>
      </w:pPr>
      <w:r>
        <w:rPr>
          <w:sz w:val="18"/>
          <w:szCs w:val="24"/>
        </w:rPr>
        <w:t xml:space="preserve">*Bajo el escenario de estrés en la Simulación de Monte Carlo. </w:t>
      </w:r>
      <w:r w:rsidRPr="005250F0">
        <w:rPr>
          <w:sz w:val="18"/>
          <w:szCs w:val="24"/>
        </w:rPr>
        <w:t xml:space="preserve">Fuente: </w:t>
      </w:r>
      <w:r>
        <w:rPr>
          <w:sz w:val="18"/>
          <w:szCs w:val="24"/>
        </w:rPr>
        <w:t>Elaboración propia</w:t>
      </w:r>
    </w:p>
    <w:p w:rsidR="00AE5B31" w:rsidRDefault="00AE5B31" w:rsidP="00AE5B31">
      <w:pPr>
        <w:widowControl w:val="0"/>
        <w:adjustRightInd w:val="0"/>
        <w:jc w:val="both"/>
        <w:textAlignment w:val="baseline"/>
        <w:rPr>
          <w:b/>
          <w:szCs w:val="24"/>
        </w:rPr>
      </w:pPr>
    </w:p>
    <w:p w:rsidR="00AE5B31" w:rsidRPr="00B70F2C" w:rsidRDefault="00AE5B31" w:rsidP="00AE5B31">
      <w:pPr>
        <w:pStyle w:val="ListParagraph"/>
        <w:ind w:left="705" w:firstLine="3"/>
        <w:jc w:val="center"/>
        <w:rPr>
          <w:b/>
          <w:sz w:val="22"/>
          <w:szCs w:val="22"/>
        </w:rPr>
      </w:pPr>
      <w:r w:rsidRPr="00B70F2C">
        <w:rPr>
          <w:b/>
          <w:sz w:val="22"/>
          <w:szCs w:val="22"/>
        </w:rPr>
        <w:t xml:space="preserve">Cuadro </w:t>
      </w:r>
      <w:r>
        <w:rPr>
          <w:b/>
          <w:sz w:val="22"/>
          <w:szCs w:val="22"/>
        </w:rPr>
        <w:t>XXXI</w:t>
      </w:r>
    </w:p>
    <w:p w:rsidR="00AE5B31" w:rsidRPr="00B70F2C" w:rsidRDefault="00AE5B31" w:rsidP="00AE5B31">
      <w:pPr>
        <w:pStyle w:val="ListParagraph"/>
        <w:ind w:left="705"/>
        <w:jc w:val="center"/>
        <w:rPr>
          <w:b/>
          <w:bCs/>
          <w:sz w:val="20"/>
          <w:lang w:val="es-ES" w:eastAsia="es-ES"/>
        </w:rPr>
      </w:pPr>
      <w:r>
        <w:rPr>
          <w:b/>
          <w:bCs/>
          <w:sz w:val="20"/>
          <w:lang w:val="es-ES" w:eastAsia="es-ES"/>
        </w:rPr>
        <w:t>GUABITO</w:t>
      </w:r>
    </w:p>
    <w:p w:rsidR="00AE5B31" w:rsidRDefault="00AE5B31" w:rsidP="00AE5B31">
      <w:pPr>
        <w:pStyle w:val="ListParagraph"/>
        <w:ind w:left="705"/>
        <w:jc w:val="center"/>
        <w:rPr>
          <w:b/>
          <w:bCs/>
          <w:sz w:val="20"/>
          <w:lang w:val="es-ES" w:eastAsia="es-ES"/>
        </w:rPr>
      </w:pPr>
      <w:r>
        <w:rPr>
          <w:b/>
          <w:bCs/>
          <w:sz w:val="20"/>
          <w:lang w:val="es-ES" w:eastAsia="es-ES"/>
        </w:rPr>
        <w:t xml:space="preserve">Resumen de Resultados Análisis de Viabilidad Económica. Simulación Monte Carlo. </w:t>
      </w:r>
    </w:p>
    <w:p w:rsidR="00AE5B31" w:rsidRPr="00B70F2C" w:rsidRDefault="00AE5B31" w:rsidP="00AE5B31">
      <w:pPr>
        <w:pStyle w:val="ListParagraph"/>
        <w:ind w:left="705"/>
        <w:jc w:val="center"/>
        <w:rPr>
          <w:sz w:val="20"/>
        </w:rPr>
      </w:pPr>
      <w:r>
        <w:rPr>
          <w:b/>
          <w:bCs/>
          <w:sz w:val="20"/>
          <w:lang w:val="es-ES" w:eastAsia="es-ES"/>
        </w:rPr>
        <w:t>Supuesto inversión inicial US$1,252,509</w:t>
      </w:r>
    </w:p>
    <w:p w:rsidR="00AE5B31" w:rsidRPr="005250F0" w:rsidRDefault="00AE5B31" w:rsidP="00AE5B31">
      <w:pPr>
        <w:pStyle w:val="ListParagraph"/>
        <w:ind w:left="705"/>
        <w:jc w:val="both"/>
        <w:rPr>
          <w:szCs w:val="24"/>
        </w:rPr>
      </w:pPr>
    </w:p>
    <w:tbl>
      <w:tblPr>
        <w:tblStyle w:val="TableGrid"/>
        <w:tblW w:w="0" w:type="auto"/>
        <w:tblInd w:w="715" w:type="dxa"/>
        <w:tblLook w:val="04A0" w:firstRow="1" w:lastRow="0" w:firstColumn="1" w:lastColumn="0" w:noHBand="0" w:noVBand="1"/>
      </w:tblPr>
      <w:tblGrid>
        <w:gridCol w:w="3690"/>
        <w:gridCol w:w="1620"/>
        <w:gridCol w:w="3112"/>
      </w:tblGrid>
      <w:tr w:rsidR="00AE5B31" w:rsidTr="00E7602D">
        <w:trPr>
          <w:trHeight w:val="330"/>
        </w:trPr>
        <w:tc>
          <w:tcPr>
            <w:tcW w:w="3690" w:type="dxa"/>
            <w:vAlign w:val="center"/>
          </w:tcPr>
          <w:p w:rsidR="00AE5B31" w:rsidRPr="00C81D6E" w:rsidRDefault="00AE5B31" w:rsidP="00E7602D">
            <w:pPr>
              <w:jc w:val="center"/>
              <w:rPr>
                <w:rFonts w:asciiTheme="minorHAnsi" w:hAnsiTheme="minorHAnsi"/>
                <w:b/>
                <w:sz w:val="20"/>
                <w:szCs w:val="24"/>
              </w:rPr>
            </w:pPr>
            <w:r>
              <w:rPr>
                <w:rFonts w:asciiTheme="minorHAnsi" w:hAnsiTheme="minorHAnsi"/>
                <w:b/>
                <w:sz w:val="20"/>
                <w:szCs w:val="24"/>
              </w:rPr>
              <w:t>Indicador</w:t>
            </w:r>
          </w:p>
        </w:tc>
        <w:tc>
          <w:tcPr>
            <w:tcW w:w="1620" w:type="dxa"/>
            <w:vAlign w:val="center"/>
          </w:tcPr>
          <w:p w:rsidR="00AE5B31" w:rsidRPr="00C81D6E" w:rsidRDefault="00AE5B31" w:rsidP="00E7602D">
            <w:pPr>
              <w:jc w:val="center"/>
              <w:rPr>
                <w:rFonts w:asciiTheme="minorHAnsi" w:hAnsiTheme="minorHAnsi"/>
                <w:b/>
                <w:sz w:val="20"/>
                <w:szCs w:val="24"/>
              </w:rPr>
            </w:pPr>
            <w:r>
              <w:rPr>
                <w:rFonts w:asciiTheme="minorHAnsi" w:hAnsiTheme="minorHAnsi"/>
                <w:b/>
                <w:sz w:val="20"/>
                <w:szCs w:val="24"/>
              </w:rPr>
              <w:t>Caso Base</w:t>
            </w:r>
          </w:p>
        </w:tc>
        <w:tc>
          <w:tcPr>
            <w:tcW w:w="3112" w:type="dxa"/>
            <w:vAlign w:val="center"/>
          </w:tcPr>
          <w:p w:rsidR="00AE5B31" w:rsidRPr="00C81D6E" w:rsidRDefault="00AE5B31" w:rsidP="00E7602D">
            <w:pPr>
              <w:jc w:val="center"/>
              <w:rPr>
                <w:rFonts w:asciiTheme="minorHAnsi" w:hAnsiTheme="minorHAnsi"/>
                <w:b/>
                <w:sz w:val="20"/>
                <w:szCs w:val="24"/>
              </w:rPr>
            </w:pPr>
            <w:r>
              <w:rPr>
                <w:rFonts w:asciiTheme="minorHAnsi" w:hAnsiTheme="minorHAnsi"/>
                <w:b/>
                <w:sz w:val="20"/>
                <w:szCs w:val="24"/>
              </w:rPr>
              <w:t>Prob. Superior al 90%</w:t>
            </w:r>
          </w:p>
        </w:tc>
      </w:tr>
      <w:tr w:rsidR="00AE5B31" w:rsidTr="00E7602D">
        <w:tc>
          <w:tcPr>
            <w:tcW w:w="3690" w:type="dxa"/>
          </w:tcPr>
          <w:p w:rsidR="00AE5B31" w:rsidRPr="00B70F2C" w:rsidRDefault="00AE5B31" w:rsidP="00E7602D">
            <w:pPr>
              <w:jc w:val="both"/>
              <w:rPr>
                <w:rFonts w:asciiTheme="minorHAnsi" w:hAnsiTheme="minorHAnsi"/>
                <w:sz w:val="20"/>
                <w:szCs w:val="24"/>
              </w:rPr>
            </w:pPr>
            <w:r>
              <w:rPr>
                <w:rFonts w:asciiTheme="minorHAnsi" w:hAnsiTheme="minorHAnsi"/>
                <w:sz w:val="20"/>
                <w:szCs w:val="24"/>
              </w:rPr>
              <w:t>Valor Actual Neto Económico (VANE)</w:t>
            </w:r>
          </w:p>
        </w:tc>
        <w:tc>
          <w:tcPr>
            <w:tcW w:w="1620"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525,022</w:t>
            </w:r>
          </w:p>
        </w:tc>
        <w:tc>
          <w:tcPr>
            <w:tcW w:w="3112"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Superior a US$255,397</w:t>
            </w:r>
          </w:p>
        </w:tc>
      </w:tr>
      <w:tr w:rsidR="00AE5B31" w:rsidTr="00E7602D">
        <w:tc>
          <w:tcPr>
            <w:tcW w:w="3690" w:type="dxa"/>
          </w:tcPr>
          <w:p w:rsidR="00AE5B31" w:rsidRPr="00B70F2C" w:rsidRDefault="00AE5B31" w:rsidP="00E7602D">
            <w:pPr>
              <w:jc w:val="both"/>
              <w:rPr>
                <w:rFonts w:asciiTheme="minorHAnsi" w:hAnsiTheme="minorHAnsi"/>
                <w:sz w:val="20"/>
                <w:szCs w:val="24"/>
              </w:rPr>
            </w:pPr>
            <w:r>
              <w:rPr>
                <w:rFonts w:asciiTheme="minorHAnsi" w:hAnsiTheme="minorHAnsi"/>
                <w:sz w:val="20"/>
                <w:szCs w:val="24"/>
              </w:rPr>
              <w:t>Tasa Interna de Retorno Económica (TIRE)</w:t>
            </w:r>
          </w:p>
        </w:tc>
        <w:tc>
          <w:tcPr>
            <w:tcW w:w="1620"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16.9%</w:t>
            </w:r>
          </w:p>
        </w:tc>
        <w:tc>
          <w:tcPr>
            <w:tcW w:w="3112"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Superior a 14.3%</w:t>
            </w:r>
          </w:p>
        </w:tc>
      </w:tr>
      <w:tr w:rsidR="00AE5B31" w:rsidTr="00E7602D">
        <w:tc>
          <w:tcPr>
            <w:tcW w:w="3690" w:type="dxa"/>
          </w:tcPr>
          <w:p w:rsidR="00AE5B31" w:rsidRDefault="00AE5B31" w:rsidP="00E7602D">
            <w:pPr>
              <w:jc w:val="both"/>
              <w:rPr>
                <w:rFonts w:asciiTheme="minorHAnsi" w:hAnsiTheme="minorHAnsi"/>
                <w:sz w:val="20"/>
                <w:szCs w:val="24"/>
              </w:rPr>
            </w:pPr>
            <w:r>
              <w:rPr>
                <w:rFonts w:asciiTheme="minorHAnsi" w:hAnsiTheme="minorHAnsi"/>
                <w:sz w:val="20"/>
                <w:szCs w:val="24"/>
              </w:rPr>
              <w:t>Razón Costo/Beneficio</w:t>
            </w:r>
          </w:p>
        </w:tc>
        <w:tc>
          <w:tcPr>
            <w:tcW w:w="1620"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1.33x</w:t>
            </w:r>
          </w:p>
        </w:tc>
        <w:tc>
          <w:tcPr>
            <w:tcW w:w="3112"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Superior  a 1.15x</w:t>
            </w:r>
          </w:p>
        </w:tc>
      </w:tr>
      <w:tr w:rsidR="00AE5B31" w:rsidTr="00E7602D">
        <w:tc>
          <w:tcPr>
            <w:tcW w:w="3690" w:type="dxa"/>
          </w:tcPr>
          <w:p w:rsidR="00AE5B31" w:rsidRDefault="00AE5B31" w:rsidP="00E7602D">
            <w:pPr>
              <w:jc w:val="both"/>
              <w:rPr>
                <w:rFonts w:asciiTheme="minorHAnsi" w:hAnsiTheme="minorHAnsi"/>
                <w:sz w:val="20"/>
                <w:szCs w:val="24"/>
              </w:rPr>
            </w:pPr>
            <w:r>
              <w:rPr>
                <w:rFonts w:asciiTheme="minorHAnsi" w:hAnsiTheme="minorHAnsi"/>
                <w:sz w:val="20"/>
                <w:szCs w:val="24"/>
              </w:rPr>
              <w:t>Razón VANE/Inversión</w:t>
            </w:r>
          </w:p>
        </w:tc>
        <w:tc>
          <w:tcPr>
            <w:tcW w:w="1620"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0.42x</w:t>
            </w:r>
          </w:p>
        </w:tc>
        <w:tc>
          <w:tcPr>
            <w:tcW w:w="3112" w:type="dxa"/>
          </w:tcPr>
          <w:p w:rsidR="00AE5B31" w:rsidRPr="00B70F2C" w:rsidRDefault="00AE5B31" w:rsidP="00E7602D">
            <w:pPr>
              <w:jc w:val="right"/>
              <w:rPr>
                <w:rFonts w:asciiTheme="minorHAnsi" w:hAnsiTheme="minorHAnsi"/>
                <w:sz w:val="20"/>
                <w:szCs w:val="24"/>
              </w:rPr>
            </w:pPr>
            <w:r>
              <w:rPr>
                <w:rFonts w:asciiTheme="minorHAnsi" w:hAnsiTheme="minorHAnsi"/>
                <w:sz w:val="20"/>
                <w:szCs w:val="24"/>
              </w:rPr>
              <w:t>Superior a 0.19x</w:t>
            </w:r>
          </w:p>
        </w:tc>
      </w:tr>
    </w:tbl>
    <w:p w:rsidR="00AE5B31" w:rsidRPr="005250F0" w:rsidRDefault="00AE5B31" w:rsidP="00AE5B31">
      <w:pPr>
        <w:pStyle w:val="ListParagraph"/>
        <w:ind w:left="705"/>
        <w:jc w:val="both"/>
        <w:rPr>
          <w:szCs w:val="24"/>
        </w:rPr>
      </w:pPr>
      <w:r>
        <w:rPr>
          <w:sz w:val="18"/>
          <w:szCs w:val="24"/>
        </w:rPr>
        <w:t xml:space="preserve">*Bajo el escenario de estrés en la Simulación de Monte Carlo. </w:t>
      </w:r>
      <w:r w:rsidRPr="005250F0">
        <w:rPr>
          <w:sz w:val="18"/>
          <w:szCs w:val="24"/>
        </w:rPr>
        <w:t xml:space="preserve">Fuente: </w:t>
      </w:r>
      <w:r>
        <w:rPr>
          <w:sz w:val="18"/>
          <w:szCs w:val="24"/>
        </w:rPr>
        <w:t>Elaboración propia</w:t>
      </w:r>
    </w:p>
    <w:p w:rsidR="00AE5B31" w:rsidRDefault="00AE5B31" w:rsidP="00AE5B31">
      <w:pPr>
        <w:widowControl w:val="0"/>
        <w:adjustRightInd w:val="0"/>
        <w:jc w:val="both"/>
        <w:textAlignment w:val="baseline"/>
        <w:rPr>
          <w:b/>
          <w:szCs w:val="24"/>
        </w:rPr>
      </w:pPr>
    </w:p>
    <w:p w:rsidR="00AE5B31" w:rsidRDefault="00AE5B31" w:rsidP="00AE5B31">
      <w:pPr>
        <w:widowControl w:val="0"/>
        <w:adjustRightInd w:val="0"/>
        <w:jc w:val="both"/>
        <w:textAlignment w:val="baseline"/>
        <w:rPr>
          <w:b/>
          <w:szCs w:val="24"/>
        </w:rPr>
      </w:pPr>
    </w:p>
    <w:p w:rsidR="00AE5B31" w:rsidRDefault="00AE5B31" w:rsidP="00AE5B31">
      <w:pPr>
        <w:sectPr w:rsidR="00AE5B31" w:rsidSect="00A6559C">
          <w:pgSz w:w="12242" w:h="15842" w:code="1"/>
          <w:pgMar w:top="1440" w:right="1298" w:bottom="1440" w:left="1797" w:header="731" w:footer="1134" w:gutter="0"/>
          <w:pgNumType w:fmt="numberInDash"/>
          <w:cols w:space="720"/>
          <w:docGrid w:linePitch="326"/>
        </w:sectPr>
      </w:pPr>
    </w:p>
    <w:p w:rsidR="00AE5B31" w:rsidRPr="00B70F2C" w:rsidRDefault="00AE5B31" w:rsidP="00AE5B31">
      <w:pPr>
        <w:pStyle w:val="ListParagraph"/>
        <w:ind w:left="705"/>
        <w:jc w:val="center"/>
        <w:rPr>
          <w:b/>
          <w:sz w:val="22"/>
          <w:szCs w:val="22"/>
        </w:rPr>
      </w:pPr>
      <w:r w:rsidRPr="00B70F2C">
        <w:rPr>
          <w:b/>
          <w:sz w:val="22"/>
          <w:szCs w:val="22"/>
        </w:rPr>
        <w:lastRenderedPageBreak/>
        <w:t xml:space="preserve">Cuadro </w:t>
      </w:r>
      <w:r>
        <w:rPr>
          <w:b/>
          <w:sz w:val="22"/>
          <w:szCs w:val="22"/>
        </w:rPr>
        <w:t>XXXII</w:t>
      </w:r>
    </w:p>
    <w:p w:rsidR="00AE5B31" w:rsidRPr="00B70F2C" w:rsidRDefault="00AE5B31" w:rsidP="00AE5B31">
      <w:pPr>
        <w:pStyle w:val="ListParagraph"/>
        <w:ind w:left="705"/>
        <w:jc w:val="center"/>
        <w:rPr>
          <w:b/>
          <w:bCs/>
          <w:sz w:val="20"/>
          <w:lang w:val="es-ES" w:eastAsia="es-ES"/>
        </w:rPr>
      </w:pPr>
      <w:r>
        <w:rPr>
          <w:b/>
          <w:bCs/>
          <w:sz w:val="20"/>
          <w:lang w:val="es-ES" w:eastAsia="es-ES"/>
        </w:rPr>
        <w:t>GUABITO</w:t>
      </w:r>
    </w:p>
    <w:p w:rsidR="00AE5B31" w:rsidRDefault="00AE5B31" w:rsidP="00AE5B31">
      <w:pPr>
        <w:pStyle w:val="ListParagraph"/>
        <w:ind w:left="705"/>
        <w:jc w:val="center"/>
        <w:rPr>
          <w:b/>
          <w:bCs/>
          <w:sz w:val="20"/>
          <w:lang w:val="es-ES" w:eastAsia="es-ES"/>
        </w:rPr>
      </w:pPr>
      <w:r>
        <w:rPr>
          <w:b/>
          <w:bCs/>
          <w:sz w:val="20"/>
          <w:lang w:val="es-ES" w:eastAsia="es-ES"/>
        </w:rPr>
        <w:t>Variaciones consideradas en el Análisis de Sensibilidad. Simulación Monte Carlo (20,000 iteraciones).</w:t>
      </w:r>
    </w:p>
    <w:p w:rsidR="00AE5B31" w:rsidRDefault="00AE5B31" w:rsidP="00AE5B31">
      <w:pPr>
        <w:rPr>
          <w:sz w:val="18"/>
          <w:szCs w:val="24"/>
        </w:rPr>
      </w:pPr>
    </w:p>
    <w:p w:rsidR="00AE5B31" w:rsidRDefault="00AE5B31" w:rsidP="00AE5B31">
      <w:pPr>
        <w:jc w:val="center"/>
        <w:rPr>
          <w:sz w:val="18"/>
          <w:szCs w:val="24"/>
        </w:rPr>
      </w:pPr>
      <w:r w:rsidRPr="00E0403E">
        <w:rPr>
          <w:noProof/>
          <w:lang w:val="en-US"/>
        </w:rPr>
        <w:drawing>
          <wp:inline distT="0" distB="0" distL="0" distR="0" wp14:anchorId="6C1FD8D9" wp14:editId="1CCEF458">
            <wp:extent cx="7843445" cy="4514850"/>
            <wp:effectExtent l="19050" t="19050" r="24765" b="1905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7844964" cy="4515724"/>
                    </a:xfrm>
                    <a:prstGeom prst="rect">
                      <a:avLst/>
                    </a:prstGeom>
                    <a:noFill/>
                    <a:ln>
                      <a:solidFill>
                        <a:schemeClr val="tx1"/>
                      </a:solidFill>
                    </a:ln>
                  </pic:spPr>
                </pic:pic>
              </a:graphicData>
            </a:graphic>
          </wp:inline>
        </w:drawing>
      </w:r>
    </w:p>
    <w:p w:rsidR="00AE5B31" w:rsidRDefault="00AE5B31" w:rsidP="00AE5B31">
      <w:pPr>
        <w:rPr>
          <w:sz w:val="18"/>
          <w:szCs w:val="24"/>
        </w:rPr>
      </w:pPr>
    </w:p>
    <w:p w:rsidR="00AE5B31" w:rsidRDefault="00AE5B31" w:rsidP="00AE5B31">
      <w:r w:rsidRPr="00B058CF">
        <w:rPr>
          <w:sz w:val="18"/>
          <w:szCs w:val="24"/>
        </w:rPr>
        <w:t>Fuente: Elaboración propia</w:t>
      </w:r>
      <w:r>
        <w:rPr>
          <w:sz w:val="18"/>
          <w:szCs w:val="24"/>
        </w:rPr>
        <w:t>.</w:t>
      </w:r>
    </w:p>
    <w:p w:rsidR="00AE5B31" w:rsidRDefault="00AE5B31" w:rsidP="00AE5B31"/>
    <w:p w:rsidR="00AE5B31" w:rsidRDefault="00AE5B31" w:rsidP="00AE5B31"/>
    <w:p w:rsidR="00AE5B31" w:rsidRDefault="00AE5B31" w:rsidP="00AE5B31"/>
    <w:p w:rsidR="00AE5B31" w:rsidRPr="00B70F2C" w:rsidRDefault="00AE5B31" w:rsidP="00AE5B31">
      <w:pPr>
        <w:pStyle w:val="ListParagraph"/>
        <w:ind w:left="705"/>
        <w:jc w:val="center"/>
        <w:rPr>
          <w:b/>
          <w:sz w:val="22"/>
          <w:szCs w:val="22"/>
        </w:rPr>
      </w:pPr>
      <w:r w:rsidRPr="00B70F2C">
        <w:rPr>
          <w:b/>
          <w:sz w:val="22"/>
          <w:szCs w:val="22"/>
        </w:rPr>
        <w:t xml:space="preserve">Cuadro </w:t>
      </w:r>
      <w:r>
        <w:rPr>
          <w:b/>
          <w:sz w:val="22"/>
          <w:szCs w:val="22"/>
        </w:rPr>
        <w:t>XXXIII</w:t>
      </w:r>
    </w:p>
    <w:p w:rsidR="00AE5B31" w:rsidRPr="00B70F2C" w:rsidRDefault="00AE5B31" w:rsidP="00AE5B31">
      <w:pPr>
        <w:pStyle w:val="ListParagraph"/>
        <w:ind w:left="705"/>
        <w:jc w:val="center"/>
        <w:rPr>
          <w:b/>
          <w:bCs/>
          <w:sz w:val="20"/>
          <w:lang w:val="es-ES" w:eastAsia="es-ES"/>
        </w:rPr>
      </w:pPr>
      <w:r>
        <w:rPr>
          <w:b/>
          <w:bCs/>
          <w:sz w:val="20"/>
          <w:lang w:val="es-ES" w:eastAsia="es-ES"/>
        </w:rPr>
        <w:t xml:space="preserve"> GUABITO</w:t>
      </w:r>
    </w:p>
    <w:p w:rsidR="00AE5B31" w:rsidRPr="00B70F2C" w:rsidRDefault="00AE5B31" w:rsidP="00AE5B31">
      <w:pPr>
        <w:pStyle w:val="ListParagraph"/>
        <w:ind w:left="705"/>
        <w:jc w:val="center"/>
        <w:rPr>
          <w:sz w:val="20"/>
        </w:rPr>
      </w:pPr>
      <w:r>
        <w:rPr>
          <w:b/>
          <w:bCs/>
          <w:sz w:val="20"/>
          <w:lang w:val="es-ES" w:eastAsia="es-ES"/>
        </w:rPr>
        <w:t>TIRE: Resultados obtenidos de la Simulación Monte Carlo (20,000 iteraciones). Supuesto inversión inicial US$1,565,636</w:t>
      </w:r>
    </w:p>
    <w:p w:rsidR="00AE5B31" w:rsidRDefault="00AE5B31" w:rsidP="00AE5B31">
      <w:pPr>
        <w:pStyle w:val="ListParagraph"/>
        <w:ind w:left="705"/>
        <w:jc w:val="center"/>
        <w:rPr>
          <w:b/>
          <w:bCs/>
          <w:sz w:val="20"/>
          <w:lang w:val="es-ES" w:eastAsia="es-ES"/>
        </w:rPr>
      </w:pPr>
    </w:p>
    <w:p w:rsidR="00AE5B31" w:rsidRDefault="00AE5B31" w:rsidP="00AE5B31">
      <w:pPr>
        <w:pStyle w:val="ListParagraph"/>
        <w:ind w:left="705"/>
        <w:jc w:val="center"/>
        <w:rPr>
          <w:b/>
          <w:bCs/>
          <w:sz w:val="20"/>
          <w:lang w:val="es-ES" w:eastAsia="es-ES"/>
        </w:rPr>
      </w:pPr>
      <w:r w:rsidRPr="008B3621">
        <w:rPr>
          <w:noProof/>
          <w:lang w:val="en-US"/>
        </w:rPr>
        <w:drawing>
          <wp:inline distT="0" distB="0" distL="0" distR="0" wp14:anchorId="4A80A305" wp14:editId="43FAC27E">
            <wp:extent cx="6389082" cy="3847605"/>
            <wp:effectExtent l="0" t="0" r="0" b="635"/>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6401877" cy="3855310"/>
                    </a:xfrm>
                    <a:prstGeom prst="rect">
                      <a:avLst/>
                    </a:prstGeom>
                    <a:noFill/>
                    <a:ln>
                      <a:noFill/>
                    </a:ln>
                  </pic:spPr>
                </pic:pic>
              </a:graphicData>
            </a:graphic>
          </wp:inline>
        </w:drawing>
      </w:r>
    </w:p>
    <w:p w:rsidR="00AE5B31" w:rsidRDefault="00AE5B31" w:rsidP="00AE5B31">
      <w:pPr>
        <w:ind w:left="1620" w:firstLine="90"/>
      </w:pPr>
      <w:r w:rsidRPr="00B058CF">
        <w:rPr>
          <w:sz w:val="18"/>
          <w:szCs w:val="24"/>
        </w:rPr>
        <w:t>Fuente: Elaboración propia</w:t>
      </w:r>
      <w:r>
        <w:rPr>
          <w:sz w:val="18"/>
          <w:szCs w:val="24"/>
        </w:rPr>
        <w:t>.</w:t>
      </w:r>
    </w:p>
    <w:p w:rsidR="00AE5B31" w:rsidRDefault="00AE5B31" w:rsidP="00AE5B31">
      <w:pPr>
        <w:pStyle w:val="ListParagraph"/>
        <w:ind w:left="705"/>
        <w:jc w:val="center"/>
        <w:rPr>
          <w:b/>
          <w:sz w:val="22"/>
          <w:szCs w:val="22"/>
        </w:rPr>
      </w:pPr>
    </w:p>
    <w:p w:rsidR="00AE5B31" w:rsidRDefault="00AE5B31" w:rsidP="00AE5B31">
      <w:pPr>
        <w:pStyle w:val="ListParagraph"/>
        <w:ind w:left="705"/>
        <w:jc w:val="center"/>
        <w:rPr>
          <w:b/>
          <w:sz w:val="22"/>
          <w:szCs w:val="22"/>
        </w:rPr>
      </w:pPr>
    </w:p>
    <w:p w:rsidR="00AE5B31" w:rsidRDefault="00AE5B31" w:rsidP="00AE5B31">
      <w:pPr>
        <w:pStyle w:val="ListParagraph"/>
        <w:ind w:left="705"/>
        <w:jc w:val="center"/>
        <w:rPr>
          <w:b/>
          <w:sz w:val="22"/>
          <w:szCs w:val="22"/>
        </w:rPr>
      </w:pPr>
    </w:p>
    <w:p w:rsidR="00AE5B31" w:rsidRDefault="00AE5B31" w:rsidP="00AE5B31">
      <w:pPr>
        <w:pStyle w:val="ListParagraph"/>
        <w:ind w:left="705"/>
        <w:jc w:val="center"/>
        <w:rPr>
          <w:b/>
          <w:sz w:val="22"/>
          <w:szCs w:val="22"/>
        </w:rPr>
      </w:pPr>
    </w:p>
    <w:p w:rsidR="00AE5B31" w:rsidRDefault="00AE5B31" w:rsidP="00AE5B31">
      <w:pPr>
        <w:pStyle w:val="ListParagraph"/>
        <w:ind w:left="705"/>
        <w:jc w:val="center"/>
        <w:rPr>
          <w:b/>
          <w:sz w:val="22"/>
          <w:szCs w:val="22"/>
        </w:rPr>
      </w:pPr>
    </w:p>
    <w:p w:rsidR="00AE5B31" w:rsidRDefault="00AE5B31" w:rsidP="00AE5B31">
      <w:pPr>
        <w:pStyle w:val="ListParagraph"/>
        <w:ind w:left="705"/>
        <w:jc w:val="center"/>
        <w:rPr>
          <w:b/>
          <w:sz w:val="22"/>
          <w:szCs w:val="22"/>
        </w:rPr>
      </w:pPr>
    </w:p>
    <w:p w:rsidR="00AE5B31" w:rsidRDefault="00AE5B31" w:rsidP="00AE5B31">
      <w:pPr>
        <w:pStyle w:val="ListParagraph"/>
        <w:ind w:left="705"/>
        <w:jc w:val="center"/>
        <w:rPr>
          <w:b/>
          <w:sz w:val="22"/>
          <w:szCs w:val="22"/>
        </w:rPr>
      </w:pPr>
    </w:p>
    <w:p w:rsidR="00AE5B31" w:rsidRDefault="00AE5B31" w:rsidP="00AE5B31">
      <w:pPr>
        <w:pStyle w:val="ListParagraph"/>
        <w:ind w:left="705"/>
        <w:jc w:val="center"/>
        <w:rPr>
          <w:b/>
          <w:sz w:val="22"/>
          <w:szCs w:val="22"/>
        </w:rPr>
      </w:pPr>
    </w:p>
    <w:p w:rsidR="00AE5B31" w:rsidRPr="00B70F2C" w:rsidRDefault="00AE5B31" w:rsidP="00AE5B31">
      <w:pPr>
        <w:pStyle w:val="ListParagraph"/>
        <w:ind w:left="705"/>
        <w:jc w:val="center"/>
        <w:rPr>
          <w:b/>
          <w:sz w:val="22"/>
          <w:szCs w:val="22"/>
        </w:rPr>
      </w:pPr>
      <w:r w:rsidRPr="00B70F2C">
        <w:rPr>
          <w:b/>
          <w:sz w:val="22"/>
          <w:szCs w:val="22"/>
        </w:rPr>
        <w:t xml:space="preserve">Cuadro </w:t>
      </w:r>
      <w:r>
        <w:rPr>
          <w:b/>
          <w:sz w:val="22"/>
          <w:szCs w:val="22"/>
        </w:rPr>
        <w:t>XXXIV</w:t>
      </w:r>
    </w:p>
    <w:p w:rsidR="00AE5B31" w:rsidRPr="00B70F2C" w:rsidRDefault="00AE5B31" w:rsidP="00AE5B31">
      <w:pPr>
        <w:pStyle w:val="ListParagraph"/>
        <w:ind w:left="705"/>
        <w:jc w:val="center"/>
        <w:rPr>
          <w:b/>
          <w:bCs/>
          <w:sz w:val="20"/>
          <w:lang w:val="es-ES" w:eastAsia="es-ES"/>
        </w:rPr>
      </w:pPr>
      <w:r>
        <w:rPr>
          <w:b/>
          <w:bCs/>
          <w:sz w:val="20"/>
          <w:lang w:val="es-ES" w:eastAsia="es-ES"/>
        </w:rPr>
        <w:t>GUABITO</w:t>
      </w:r>
    </w:p>
    <w:p w:rsidR="00AE5B31" w:rsidRPr="00B70F2C" w:rsidRDefault="00AE5B31" w:rsidP="00AE5B31">
      <w:pPr>
        <w:pStyle w:val="ListParagraph"/>
        <w:ind w:left="705"/>
        <w:jc w:val="center"/>
        <w:rPr>
          <w:sz w:val="20"/>
        </w:rPr>
      </w:pPr>
      <w:r>
        <w:rPr>
          <w:b/>
          <w:bCs/>
          <w:sz w:val="20"/>
          <w:lang w:val="es-ES" w:eastAsia="es-ES"/>
        </w:rPr>
        <w:t>TIRE: Resultados obtenidos de la Simulación Monte Carlo (20,000 iteraciones). Supuesto inversión inicial US$1,252,509</w:t>
      </w:r>
    </w:p>
    <w:p w:rsidR="00AE5B31" w:rsidRDefault="00AE5B31" w:rsidP="00AE5B31">
      <w:pPr>
        <w:pStyle w:val="ListParagraph"/>
        <w:ind w:left="705"/>
        <w:jc w:val="center"/>
        <w:rPr>
          <w:b/>
          <w:bCs/>
          <w:sz w:val="20"/>
          <w:lang w:val="es-ES" w:eastAsia="es-ES"/>
        </w:rPr>
      </w:pPr>
    </w:p>
    <w:p w:rsidR="00AE5B31" w:rsidRDefault="00AE5B31" w:rsidP="00AE5B31">
      <w:pPr>
        <w:pStyle w:val="ListParagraph"/>
        <w:ind w:left="705"/>
        <w:jc w:val="center"/>
        <w:rPr>
          <w:b/>
          <w:bCs/>
          <w:sz w:val="20"/>
          <w:lang w:val="es-ES" w:eastAsia="es-ES"/>
        </w:rPr>
      </w:pPr>
      <w:r w:rsidRPr="003141A1">
        <w:rPr>
          <w:noProof/>
          <w:lang w:val="en-US"/>
        </w:rPr>
        <w:drawing>
          <wp:anchor distT="0" distB="0" distL="114300" distR="114300" simplePos="0" relativeHeight="251669504" behindDoc="1" locked="0" layoutInCell="1" allowOverlap="1" wp14:anchorId="06044726" wp14:editId="6D2A3B71">
            <wp:simplePos x="0" y="0"/>
            <wp:positionH relativeFrom="column">
              <wp:posOffset>1151905</wp:posOffset>
            </wp:positionH>
            <wp:positionV relativeFrom="paragraph">
              <wp:posOffset>19479</wp:posOffset>
            </wp:positionV>
            <wp:extent cx="6433283" cy="3871356"/>
            <wp:effectExtent l="0" t="0" r="5715" b="0"/>
            <wp:wrapNone/>
            <wp:docPr id="64" name="Imagen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6441460" cy="3876277"/>
                    </a:xfrm>
                    <a:prstGeom prst="rect">
                      <a:avLst/>
                    </a:prstGeom>
                    <a:noFill/>
                    <a:ln>
                      <a:noFill/>
                    </a:ln>
                  </pic:spPr>
                </pic:pic>
              </a:graphicData>
            </a:graphic>
          </wp:anchor>
        </w:drawing>
      </w:r>
    </w:p>
    <w:p w:rsidR="00AE5B31" w:rsidRDefault="00AE5B31" w:rsidP="00AE5B31">
      <w:pPr>
        <w:pStyle w:val="ListParagraph"/>
        <w:ind w:left="705"/>
        <w:jc w:val="center"/>
        <w:rPr>
          <w:b/>
          <w:bCs/>
          <w:sz w:val="20"/>
          <w:lang w:val="es-ES" w:eastAsia="es-ES"/>
        </w:rPr>
      </w:pPr>
    </w:p>
    <w:p w:rsidR="00AE5B31" w:rsidRDefault="00AE5B31" w:rsidP="00AE5B31">
      <w:pPr>
        <w:pStyle w:val="ListParagraph"/>
        <w:ind w:left="705"/>
        <w:jc w:val="center"/>
        <w:rPr>
          <w:b/>
          <w:bCs/>
          <w:sz w:val="20"/>
          <w:lang w:val="es-ES" w:eastAsia="es-ES"/>
        </w:rPr>
      </w:pPr>
    </w:p>
    <w:p w:rsidR="00AE5B31" w:rsidRDefault="00AE5B31" w:rsidP="00AE5B31">
      <w:pPr>
        <w:pStyle w:val="ListParagraph"/>
        <w:ind w:left="705"/>
        <w:jc w:val="center"/>
        <w:rPr>
          <w:b/>
          <w:bCs/>
          <w:sz w:val="20"/>
          <w:lang w:val="es-ES" w:eastAsia="es-ES"/>
        </w:rPr>
      </w:pPr>
    </w:p>
    <w:p w:rsidR="00AE5B31" w:rsidRDefault="00AE5B31" w:rsidP="00AE5B31">
      <w:pPr>
        <w:pStyle w:val="ListParagraph"/>
        <w:ind w:left="705"/>
        <w:jc w:val="center"/>
        <w:rPr>
          <w:b/>
          <w:bCs/>
          <w:sz w:val="20"/>
          <w:lang w:val="es-ES" w:eastAsia="es-ES"/>
        </w:rPr>
      </w:pPr>
    </w:p>
    <w:p w:rsidR="00AE5B31" w:rsidRDefault="00AE5B31" w:rsidP="00AE5B31">
      <w:pPr>
        <w:ind w:left="1620" w:firstLine="90"/>
        <w:rPr>
          <w:sz w:val="18"/>
          <w:szCs w:val="24"/>
        </w:rPr>
      </w:pPr>
    </w:p>
    <w:p w:rsidR="00AE5B31" w:rsidRDefault="00AE5B31" w:rsidP="00AE5B31">
      <w:pPr>
        <w:ind w:left="1620" w:firstLine="90"/>
        <w:rPr>
          <w:sz w:val="18"/>
          <w:szCs w:val="24"/>
        </w:rPr>
      </w:pPr>
    </w:p>
    <w:p w:rsidR="00AE5B31" w:rsidRDefault="00AE5B31" w:rsidP="00AE5B31">
      <w:pPr>
        <w:ind w:left="1620" w:firstLine="90"/>
        <w:rPr>
          <w:sz w:val="18"/>
          <w:szCs w:val="24"/>
        </w:rPr>
      </w:pPr>
    </w:p>
    <w:p w:rsidR="00AE5B31" w:rsidRDefault="00AE5B31" w:rsidP="00AE5B31">
      <w:pPr>
        <w:ind w:left="1620" w:firstLine="90"/>
        <w:rPr>
          <w:sz w:val="18"/>
          <w:szCs w:val="24"/>
        </w:rPr>
      </w:pPr>
    </w:p>
    <w:p w:rsidR="00AE5B31" w:rsidRDefault="00AE5B31" w:rsidP="00AE5B31">
      <w:pPr>
        <w:ind w:left="1620" w:firstLine="90"/>
        <w:rPr>
          <w:sz w:val="18"/>
          <w:szCs w:val="24"/>
        </w:rPr>
      </w:pPr>
    </w:p>
    <w:p w:rsidR="00AE5B31" w:rsidRDefault="00AE5B31" w:rsidP="00AE5B31">
      <w:pPr>
        <w:ind w:left="1620" w:firstLine="90"/>
        <w:rPr>
          <w:sz w:val="18"/>
          <w:szCs w:val="24"/>
        </w:rPr>
      </w:pPr>
    </w:p>
    <w:p w:rsidR="00AE5B31" w:rsidRDefault="00AE5B31" w:rsidP="00AE5B31">
      <w:pPr>
        <w:ind w:left="1620" w:firstLine="90"/>
        <w:rPr>
          <w:sz w:val="18"/>
          <w:szCs w:val="24"/>
        </w:rPr>
      </w:pPr>
    </w:p>
    <w:p w:rsidR="00AE5B31" w:rsidRDefault="00AE5B31" w:rsidP="00AE5B31">
      <w:pPr>
        <w:ind w:left="1620" w:firstLine="90"/>
        <w:rPr>
          <w:sz w:val="18"/>
          <w:szCs w:val="24"/>
        </w:rPr>
      </w:pPr>
    </w:p>
    <w:p w:rsidR="00AE5B31" w:rsidRDefault="00AE5B31" w:rsidP="00AE5B31">
      <w:pPr>
        <w:ind w:left="1620" w:firstLine="90"/>
        <w:rPr>
          <w:sz w:val="18"/>
          <w:szCs w:val="24"/>
        </w:rPr>
      </w:pPr>
    </w:p>
    <w:p w:rsidR="00AE5B31" w:rsidRDefault="00AE5B31" w:rsidP="00AE5B31">
      <w:pPr>
        <w:ind w:left="1620" w:firstLine="90"/>
        <w:rPr>
          <w:sz w:val="18"/>
          <w:szCs w:val="24"/>
        </w:rPr>
      </w:pPr>
    </w:p>
    <w:p w:rsidR="00AE5B31" w:rsidRDefault="00AE5B31" w:rsidP="00AE5B31">
      <w:pPr>
        <w:ind w:left="1620" w:firstLine="90"/>
        <w:rPr>
          <w:sz w:val="18"/>
          <w:szCs w:val="24"/>
        </w:rPr>
      </w:pPr>
    </w:p>
    <w:p w:rsidR="00AE5B31" w:rsidRDefault="00AE5B31" w:rsidP="00AE5B31">
      <w:pPr>
        <w:ind w:left="1620" w:firstLine="90"/>
        <w:rPr>
          <w:sz w:val="18"/>
          <w:szCs w:val="24"/>
        </w:rPr>
      </w:pPr>
    </w:p>
    <w:p w:rsidR="00AE5B31" w:rsidRDefault="00AE5B31" w:rsidP="00AE5B31">
      <w:pPr>
        <w:ind w:left="1620" w:firstLine="90"/>
        <w:rPr>
          <w:sz w:val="18"/>
          <w:szCs w:val="24"/>
        </w:rPr>
      </w:pPr>
    </w:p>
    <w:p w:rsidR="00AE5B31" w:rsidRDefault="00AE5B31" w:rsidP="00AE5B31">
      <w:pPr>
        <w:ind w:left="1620" w:firstLine="90"/>
        <w:rPr>
          <w:sz w:val="18"/>
          <w:szCs w:val="24"/>
        </w:rPr>
      </w:pPr>
    </w:p>
    <w:p w:rsidR="00AE5B31" w:rsidRDefault="00AE5B31" w:rsidP="00AE5B31">
      <w:pPr>
        <w:ind w:left="1620" w:firstLine="90"/>
        <w:rPr>
          <w:sz w:val="18"/>
          <w:szCs w:val="24"/>
        </w:rPr>
      </w:pPr>
    </w:p>
    <w:p w:rsidR="00AE5B31" w:rsidRDefault="00AE5B31" w:rsidP="00AE5B31">
      <w:pPr>
        <w:ind w:left="1620" w:firstLine="90"/>
        <w:rPr>
          <w:sz w:val="18"/>
          <w:szCs w:val="24"/>
        </w:rPr>
      </w:pPr>
    </w:p>
    <w:p w:rsidR="00AE5B31" w:rsidRDefault="00AE5B31" w:rsidP="00AE5B31">
      <w:pPr>
        <w:ind w:left="1620" w:firstLine="90"/>
        <w:rPr>
          <w:sz w:val="18"/>
          <w:szCs w:val="24"/>
        </w:rPr>
      </w:pPr>
    </w:p>
    <w:p w:rsidR="00AE5B31" w:rsidRDefault="00AE5B31" w:rsidP="00AE5B31">
      <w:pPr>
        <w:ind w:left="1620" w:firstLine="90"/>
        <w:rPr>
          <w:sz w:val="18"/>
          <w:szCs w:val="24"/>
        </w:rPr>
      </w:pPr>
    </w:p>
    <w:p w:rsidR="00AE5B31" w:rsidRDefault="00AE5B31" w:rsidP="00AE5B31">
      <w:pPr>
        <w:ind w:left="1620" w:firstLine="90"/>
        <w:rPr>
          <w:sz w:val="18"/>
          <w:szCs w:val="24"/>
        </w:rPr>
      </w:pPr>
    </w:p>
    <w:p w:rsidR="00AE5B31" w:rsidRDefault="00AE5B31" w:rsidP="00AE5B31">
      <w:pPr>
        <w:ind w:left="1620" w:firstLine="90"/>
        <w:rPr>
          <w:sz w:val="18"/>
          <w:szCs w:val="24"/>
        </w:rPr>
      </w:pPr>
    </w:p>
    <w:p w:rsidR="00AE5B31" w:rsidRDefault="00AE5B31" w:rsidP="00AE5B31">
      <w:pPr>
        <w:ind w:left="1620" w:firstLine="90"/>
        <w:rPr>
          <w:sz w:val="18"/>
          <w:szCs w:val="24"/>
        </w:rPr>
      </w:pPr>
    </w:p>
    <w:p w:rsidR="00AE5B31" w:rsidRDefault="00AE5B31" w:rsidP="00AE5B31">
      <w:pPr>
        <w:ind w:left="1620" w:firstLine="90"/>
        <w:rPr>
          <w:sz w:val="18"/>
          <w:szCs w:val="24"/>
        </w:rPr>
      </w:pPr>
    </w:p>
    <w:p w:rsidR="00AE5B31" w:rsidRDefault="00AE5B31" w:rsidP="00AE5B31">
      <w:pPr>
        <w:ind w:left="1620" w:firstLine="90"/>
        <w:rPr>
          <w:sz w:val="18"/>
          <w:szCs w:val="24"/>
        </w:rPr>
      </w:pPr>
    </w:p>
    <w:p w:rsidR="00AE5B31" w:rsidRDefault="00AE5B31" w:rsidP="00AE5B31">
      <w:pPr>
        <w:ind w:left="1620" w:firstLine="90"/>
        <w:rPr>
          <w:sz w:val="18"/>
          <w:szCs w:val="24"/>
        </w:rPr>
      </w:pPr>
    </w:p>
    <w:p w:rsidR="00AE5B31" w:rsidRDefault="00AE5B31" w:rsidP="00AE5B31">
      <w:pPr>
        <w:ind w:left="1620" w:firstLine="90"/>
      </w:pPr>
      <w:r w:rsidRPr="00B058CF">
        <w:rPr>
          <w:sz w:val="18"/>
          <w:szCs w:val="24"/>
        </w:rPr>
        <w:t>Fuente: Elaboración propia</w:t>
      </w:r>
      <w:r>
        <w:rPr>
          <w:sz w:val="18"/>
          <w:szCs w:val="24"/>
        </w:rPr>
        <w:t>.</w:t>
      </w:r>
    </w:p>
    <w:p w:rsidR="00AE5B31" w:rsidRPr="0006088F" w:rsidRDefault="00AE5B31" w:rsidP="00AE5B31"/>
    <w:p w:rsidR="00AE5B31" w:rsidRDefault="00AE5B31" w:rsidP="00AE5B31">
      <w:pPr>
        <w:pStyle w:val="ListParagraph"/>
        <w:ind w:left="705"/>
        <w:jc w:val="center"/>
        <w:rPr>
          <w:b/>
          <w:sz w:val="22"/>
          <w:szCs w:val="22"/>
        </w:rPr>
      </w:pPr>
    </w:p>
    <w:p w:rsidR="00AE5B31" w:rsidRDefault="00AE5B31" w:rsidP="00AE5B31">
      <w:pPr>
        <w:pStyle w:val="ListParagraph"/>
        <w:ind w:left="705"/>
        <w:jc w:val="center"/>
        <w:rPr>
          <w:b/>
          <w:sz w:val="22"/>
          <w:szCs w:val="22"/>
        </w:rPr>
      </w:pPr>
    </w:p>
    <w:p w:rsidR="00AE5B31" w:rsidRDefault="00AE5B31" w:rsidP="00AE5B31">
      <w:pPr>
        <w:pStyle w:val="ListParagraph"/>
        <w:ind w:left="705"/>
        <w:jc w:val="center"/>
        <w:rPr>
          <w:b/>
          <w:sz w:val="22"/>
          <w:szCs w:val="22"/>
        </w:rPr>
      </w:pPr>
    </w:p>
    <w:p w:rsidR="00AE5B31" w:rsidRDefault="00AE5B31" w:rsidP="00AE5B31">
      <w:pPr>
        <w:pStyle w:val="ListParagraph"/>
        <w:ind w:left="705"/>
        <w:jc w:val="center"/>
        <w:rPr>
          <w:b/>
          <w:sz w:val="22"/>
          <w:szCs w:val="22"/>
        </w:rPr>
      </w:pPr>
    </w:p>
    <w:p w:rsidR="00AE5B31" w:rsidRDefault="00AE5B31" w:rsidP="00AE5B31">
      <w:pPr>
        <w:pStyle w:val="ListParagraph"/>
        <w:tabs>
          <w:tab w:val="left" w:pos="4110"/>
        </w:tabs>
        <w:ind w:left="705"/>
        <w:rPr>
          <w:b/>
          <w:sz w:val="22"/>
          <w:szCs w:val="22"/>
        </w:rPr>
      </w:pPr>
      <w:r>
        <w:rPr>
          <w:b/>
          <w:sz w:val="22"/>
          <w:szCs w:val="22"/>
        </w:rPr>
        <w:lastRenderedPageBreak/>
        <w:tab/>
      </w:r>
    </w:p>
    <w:p w:rsidR="00AE5B31" w:rsidRDefault="00AE5B31" w:rsidP="00AE5B31">
      <w:pPr>
        <w:pStyle w:val="ListParagraph"/>
        <w:ind w:left="705"/>
        <w:jc w:val="center"/>
        <w:rPr>
          <w:b/>
          <w:sz w:val="22"/>
          <w:szCs w:val="22"/>
        </w:rPr>
      </w:pPr>
    </w:p>
    <w:p w:rsidR="00AE5B31" w:rsidRPr="00B70F2C" w:rsidRDefault="00AE5B31" w:rsidP="00AE5B31">
      <w:pPr>
        <w:pStyle w:val="ListParagraph"/>
        <w:ind w:left="705"/>
        <w:jc w:val="center"/>
        <w:rPr>
          <w:b/>
          <w:sz w:val="22"/>
          <w:szCs w:val="22"/>
        </w:rPr>
      </w:pPr>
      <w:r w:rsidRPr="00B70F2C">
        <w:rPr>
          <w:b/>
          <w:sz w:val="22"/>
          <w:szCs w:val="22"/>
        </w:rPr>
        <w:t xml:space="preserve">Cuadro </w:t>
      </w:r>
      <w:r>
        <w:rPr>
          <w:b/>
          <w:sz w:val="22"/>
          <w:szCs w:val="22"/>
        </w:rPr>
        <w:t>XXXV</w:t>
      </w:r>
    </w:p>
    <w:p w:rsidR="00AE5B31" w:rsidRPr="00B70F2C" w:rsidRDefault="00AE5B31" w:rsidP="00AE5B31">
      <w:pPr>
        <w:pStyle w:val="ListParagraph"/>
        <w:ind w:left="705"/>
        <w:jc w:val="center"/>
        <w:rPr>
          <w:b/>
          <w:bCs/>
          <w:sz w:val="20"/>
          <w:lang w:val="es-ES" w:eastAsia="es-ES"/>
        </w:rPr>
      </w:pPr>
      <w:r>
        <w:rPr>
          <w:b/>
          <w:bCs/>
          <w:sz w:val="20"/>
          <w:lang w:val="es-ES" w:eastAsia="es-ES"/>
        </w:rPr>
        <w:t>GUABITO</w:t>
      </w:r>
    </w:p>
    <w:p w:rsidR="00AE5B31" w:rsidRDefault="00AE5B31" w:rsidP="00AE5B31">
      <w:pPr>
        <w:pStyle w:val="ListParagraph"/>
        <w:ind w:left="705"/>
        <w:jc w:val="center"/>
        <w:rPr>
          <w:b/>
          <w:bCs/>
          <w:sz w:val="20"/>
          <w:lang w:val="es-ES" w:eastAsia="es-ES"/>
        </w:rPr>
      </w:pPr>
      <w:r>
        <w:rPr>
          <w:b/>
          <w:bCs/>
          <w:sz w:val="20"/>
          <w:lang w:val="es-ES" w:eastAsia="es-ES"/>
        </w:rPr>
        <w:t>VANE: Resultados obtenidos de la Simulación Monte Carlo (20,000 iteraciones). Supuesto inversión inicial US$1,565,636</w:t>
      </w:r>
    </w:p>
    <w:p w:rsidR="00AE5B31" w:rsidRDefault="00AE5B31" w:rsidP="00AE5B31">
      <w:pPr>
        <w:pStyle w:val="ListParagraph"/>
        <w:ind w:left="705"/>
        <w:jc w:val="center"/>
        <w:rPr>
          <w:b/>
          <w:bCs/>
          <w:sz w:val="20"/>
          <w:lang w:val="es-ES" w:eastAsia="es-ES"/>
        </w:rPr>
      </w:pPr>
    </w:p>
    <w:p w:rsidR="00AE5B31" w:rsidRDefault="00AE5B31" w:rsidP="00AE5B31">
      <w:pPr>
        <w:pStyle w:val="ListParagraph"/>
        <w:ind w:left="705"/>
        <w:jc w:val="center"/>
        <w:rPr>
          <w:b/>
          <w:bCs/>
          <w:sz w:val="20"/>
          <w:lang w:val="es-ES" w:eastAsia="es-ES"/>
        </w:rPr>
      </w:pPr>
      <w:r w:rsidRPr="008E50A2">
        <w:rPr>
          <w:noProof/>
          <w:lang w:val="en-US"/>
        </w:rPr>
        <w:drawing>
          <wp:inline distT="0" distB="0" distL="0" distR="0" wp14:anchorId="08375890" wp14:editId="4E4D3F30">
            <wp:extent cx="6546837" cy="3942608"/>
            <wp:effectExtent l="0" t="0" r="6985" b="1270"/>
            <wp:docPr id="77" name="Imagen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6558608" cy="3949697"/>
                    </a:xfrm>
                    <a:prstGeom prst="rect">
                      <a:avLst/>
                    </a:prstGeom>
                    <a:noFill/>
                    <a:ln>
                      <a:noFill/>
                    </a:ln>
                  </pic:spPr>
                </pic:pic>
              </a:graphicData>
            </a:graphic>
          </wp:inline>
        </w:drawing>
      </w:r>
    </w:p>
    <w:p w:rsidR="00AE5B31" w:rsidRDefault="00AE5B31" w:rsidP="00AE5B31">
      <w:r w:rsidRPr="00B058CF">
        <w:rPr>
          <w:sz w:val="18"/>
          <w:szCs w:val="24"/>
        </w:rPr>
        <w:t>Fuente: Elaboración propia</w:t>
      </w:r>
      <w:r>
        <w:rPr>
          <w:sz w:val="18"/>
          <w:szCs w:val="24"/>
        </w:rPr>
        <w:t>.</w:t>
      </w:r>
    </w:p>
    <w:p w:rsidR="00AE5B31" w:rsidRPr="0006088F" w:rsidRDefault="00AE5B31" w:rsidP="00AE5B31"/>
    <w:p w:rsidR="00AE5B31" w:rsidRDefault="00AE5B31" w:rsidP="00AE5B31"/>
    <w:p w:rsidR="00AE5B31" w:rsidRDefault="00AE5B31" w:rsidP="00AE5B31"/>
    <w:p w:rsidR="00AE5B31" w:rsidRDefault="00AE5B31" w:rsidP="00AE5B31"/>
    <w:p w:rsidR="00AE5B31" w:rsidRDefault="00AE5B31" w:rsidP="00AE5B31"/>
    <w:p w:rsidR="00AE5B31" w:rsidRDefault="00AE5B31" w:rsidP="00AE5B31"/>
    <w:p w:rsidR="00AE5B31" w:rsidRPr="00B70F2C" w:rsidRDefault="00AE5B31" w:rsidP="00AE5B31">
      <w:pPr>
        <w:pStyle w:val="ListParagraph"/>
        <w:ind w:left="705"/>
        <w:jc w:val="center"/>
        <w:rPr>
          <w:b/>
          <w:sz w:val="22"/>
          <w:szCs w:val="22"/>
        </w:rPr>
      </w:pPr>
      <w:r w:rsidRPr="00B70F2C">
        <w:rPr>
          <w:b/>
          <w:sz w:val="22"/>
          <w:szCs w:val="22"/>
        </w:rPr>
        <w:t xml:space="preserve">Cuadro </w:t>
      </w:r>
      <w:r>
        <w:rPr>
          <w:b/>
          <w:sz w:val="22"/>
          <w:szCs w:val="22"/>
        </w:rPr>
        <w:t>XXXVI</w:t>
      </w:r>
    </w:p>
    <w:p w:rsidR="00AE5B31" w:rsidRPr="00B70F2C" w:rsidRDefault="00AE5B31" w:rsidP="00AE5B31">
      <w:pPr>
        <w:pStyle w:val="ListParagraph"/>
        <w:ind w:left="705"/>
        <w:jc w:val="center"/>
        <w:rPr>
          <w:b/>
          <w:bCs/>
          <w:sz w:val="20"/>
          <w:lang w:val="es-ES" w:eastAsia="es-ES"/>
        </w:rPr>
      </w:pPr>
      <w:r>
        <w:rPr>
          <w:b/>
          <w:bCs/>
          <w:sz w:val="20"/>
          <w:lang w:val="es-ES" w:eastAsia="es-ES"/>
        </w:rPr>
        <w:t>GUABITO</w:t>
      </w:r>
    </w:p>
    <w:p w:rsidR="00AE5B31" w:rsidRDefault="00AE5B31" w:rsidP="00AE5B31">
      <w:pPr>
        <w:pStyle w:val="ListParagraph"/>
        <w:ind w:left="705"/>
        <w:jc w:val="center"/>
        <w:rPr>
          <w:b/>
          <w:bCs/>
          <w:sz w:val="20"/>
          <w:lang w:val="es-ES" w:eastAsia="es-ES"/>
        </w:rPr>
      </w:pPr>
      <w:r>
        <w:rPr>
          <w:b/>
          <w:bCs/>
          <w:sz w:val="20"/>
          <w:lang w:val="es-ES" w:eastAsia="es-ES"/>
        </w:rPr>
        <w:t>VANE: Resultados obtenidos de la Simulación Monte Carlo (20,000 iteraciones). Supuesto inversión inicial US$1,252,509</w:t>
      </w:r>
    </w:p>
    <w:p w:rsidR="00AE5B31" w:rsidRPr="00B70F2C" w:rsidRDefault="00AE5B31" w:rsidP="00AE5B31">
      <w:pPr>
        <w:pStyle w:val="ListParagraph"/>
        <w:ind w:left="705"/>
        <w:jc w:val="center"/>
        <w:rPr>
          <w:sz w:val="20"/>
        </w:rPr>
      </w:pPr>
    </w:p>
    <w:p w:rsidR="00AE5B31" w:rsidRDefault="00AE5B31" w:rsidP="00AE5B31">
      <w:pPr>
        <w:pStyle w:val="ListParagraph"/>
        <w:ind w:left="705"/>
        <w:jc w:val="center"/>
        <w:rPr>
          <w:b/>
          <w:bCs/>
          <w:sz w:val="20"/>
          <w:lang w:val="es-ES" w:eastAsia="es-ES"/>
        </w:rPr>
      </w:pPr>
      <w:r w:rsidRPr="00B4564B">
        <w:rPr>
          <w:noProof/>
          <w:lang w:val="en-US"/>
        </w:rPr>
        <w:drawing>
          <wp:inline distT="0" distB="0" distL="0" distR="0" wp14:anchorId="047DFB18" wp14:editId="70167559">
            <wp:extent cx="6527119" cy="3930733"/>
            <wp:effectExtent l="0" t="0" r="7620" b="0"/>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6548023" cy="3943322"/>
                    </a:xfrm>
                    <a:prstGeom prst="rect">
                      <a:avLst/>
                    </a:prstGeom>
                    <a:noFill/>
                    <a:ln>
                      <a:noFill/>
                    </a:ln>
                  </pic:spPr>
                </pic:pic>
              </a:graphicData>
            </a:graphic>
          </wp:inline>
        </w:drawing>
      </w:r>
    </w:p>
    <w:p w:rsidR="00AE5B31" w:rsidRDefault="00AE5B31" w:rsidP="00AE5B31">
      <w:r w:rsidRPr="00B058CF">
        <w:rPr>
          <w:sz w:val="18"/>
          <w:szCs w:val="24"/>
        </w:rPr>
        <w:t>Fuente: Elaboración propia</w:t>
      </w:r>
      <w:r>
        <w:rPr>
          <w:sz w:val="18"/>
          <w:szCs w:val="24"/>
        </w:rPr>
        <w:t>.</w:t>
      </w:r>
    </w:p>
    <w:p w:rsidR="00AE5B31" w:rsidRPr="0006088F" w:rsidRDefault="00AE5B31" w:rsidP="00AE5B31"/>
    <w:p w:rsidR="00AE5B31" w:rsidRDefault="00AE5B31" w:rsidP="00AE5B31"/>
    <w:p w:rsidR="00AE5B31" w:rsidRDefault="00AE5B31" w:rsidP="00AE5B31">
      <w:pPr>
        <w:pStyle w:val="ListParagraph"/>
        <w:ind w:left="705"/>
        <w:jc w:val="center"/>
        <w:rPr>
          <w:b/>
          <w:sz w:val="22"/>
          <w:szCs w:val="22"/>
        </w:rPr>
      </w:pPr>
    </w:p>
    <w:p w:rsidR="00AE5B31" w:rsidRDefault="00AE5B31" w:rsidP="00AE5B31">
      <w:pPr>
        <w:pStyle w:val="ListParagraph"/>
        <w:ind w:left="705"/>
        <w:jc w:val="center"/>
        <w:rPr>
          <w:b/>
          <w:sz w:val="22"/>
          <w:szCs w:val="22"/>
        </w:rPr>
      </w:pPr>
    </w:p>
    <w:p w:rsidR="00AE5B31" w:rsidRPr="00B70F2C" w:rsidRDefault="00AE5B31" w:rsidP="00AE5B31">
      <w:pPr>
        <w:pStyle w:val="ListParagraph"/>
        <w:ind w:left="705"/>
        <w:jc w:val="center"/>
        <w:rPr>
          <w:b/>
          <w:sz w:val="22"/>
          <w:szCs w:val="22"/>
        </w:rPr>
      </w:pPr>
      <w:r w:rsidRPr="00B70F2C">
        <w:rPr>
          <w:b/>
          <w:sz w:val="22"/>
          <w:szCs w:val="22"/>
        </w:rPr>
        <w:lastRenderedPageBreak/>
        <w:t xml:space="preserve">Cuadro </w:t>
      </w:r>
      <w:r>
        <w:rPr>
          <w:b/>
          <w:sz w:val="22"/>
          <w:szCs w:val="22"/>
        </w:rPr>
        <w:t>XXXVII</w:t>
      </w:r>
    </w:p>
    <w:p w:rsidR="00AE5B31" w:rsidRPr="00B70F2C" w:rsidRDefault="00AE5B31" w:rsidP="00AE5B31">
      <w:pPr>
        <w:pStyle w:val="ListParagraph"/>
        <w:ind w:left="705"/>
        <w:jc w:val="center"/>
        <w:rPr>
          <w:b/>
          <w:bCs/>
          <w:sz w:val="20"/>
          <w:lang w:val="es-ES" w:eastAsia="es-ES"/>
        </w:rPr>
      </w:pPr>
      <w:r>
        <w:rPr>
          <w:b/>
          <w:bCs/>
          <w:sz w:val="20"/>
          <w:lang w:val="es-ES" w:eastAsia="es-ES"/>
        </w:rPr>
        <w:t>GUABITO</w:t>
      </w:r>
    </w:p>
    <w:p w:rsidR="00AE5B31" w:rsidRDefault="00AE5B31" w:rsidP="00AE5B31">
      <w:pPr>
        <w:pStyle w:val="ListParagraph"/>
        <w:ind w:left="705"/>
        <w:jc w:val="center"/>
        <w:rPr>
          <w:b/>
          <w:bCs/>
          <w:sz w:val="20"/>
          <w:lang w:val="es-ES" w:eastAsia="es-ES"/>
        </w:rPr>
      </w:pPr>
      <w:r>
        <w:rPr>
          <w:b/>
          <w:bCs/>
          <w:sz w:val="20"/>
          <w:lang w:val="es-ES" w:eastAsia="es-ES"/>
        </w:rPr>
        <w:t>VANE/Inversión: Resultados obtenidos de la Simulación Monte Carlo (20,000 iteraciones). Supuesto inversión inicial US$1,565,636</w:t>
      </w:r>
    </w:p>
    <w:p w:rsidR="00AE5B31" w:rsidRDefault="00AE5B31" w:rsidP="00AE5B31">
      <w:pPr>
        <w:pStyle w:val="ListParagraph"/>
        <w:ind w:left="705"/>
        <w:jc w:val="center"/>
        <w:rPr>
          <w:b/>
          <w:bCs/>
          <w:sz w:val="20"/>
          <w:lang w:val="es-ES" w:eastAsia="es-ES"/>
        </w:rPr>
      </w:pPr>
    </w:p>
    <w:p w:rsidR="00AE5B31" w:rsidRDefault="00AE5B31" w:rsidP="00AE5B31">
      <w:pPr>
        <w:jc w:val="center"/>
        <w:rPr>
          <w:sz w:val="18"/>
          <w:szCs w:val="24"/>
        </w:rPr>
      </w:pPr>
      <w:r w:rsidRPr="008E50A2">
        <w:rPr>
          <w:noProof/>
          <w:lang w:val="en-US"/>
        </w:rPr>
        <w:drawing>
          <wp:inline distT="0" distB="0" distL="0" distR="0" wp14:anchorId="28A0C8ED" wp14:editId="3B48EDA9">
            <wp:extent cx="6586277" cy="3966359"/>
            <wp:effectExtent l="0" t="0" r="5080" b="0"/>
            <wp:docPr id="78" name="Imagen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6604092" cy="3977087"/>
                    </a:xfrm>
                    <a:prstGeom prst="rect">
                      <a:avLst/>
                    </a:prstGeom>
                    <a:noFill/>
                    <a:ln>
                      <a:noFill/>
                    </a:ln>
                  </pic:spPr>
                </pic:pic>
              </a:graphicData>
            </a:graphic>
          </wp:inline>
        </w:drawing>
      </w:r>
    </w:p>
    <w:p w:rsidR="00AE5B31" w:rsidRDefault="00AE5B31" w:rsidP="00AE5B31">
      <w:pPr>
        <w:ind w:left="1260"/>
        <w:rPr>
          <w:sz w:val="18"/>
          <w:szCs w:val="24"/>
        </w:rPr>
      </w:pPr>
      <w:r w:rsidRPr="00B058CF">
        <w:rPr>
          <w:sz w:val="18"/>
          <w:szCs w:val="24"/>
        </w:rPr>
        <w:t>Fuente: Elaboración propia</w:t>
      </w:r>
    </w:p>
    <w:p w:rsidR="00AE5B31" w:rsidRDefault="00AE5B31" w:rsidP="00AE5B31">
      <w:pPr>
        <w:ind w:left="1260"/>
        <w:rPr>
          <w:sz w:val="18"/>
          <w:szCs w:val="24"/>
        </w:rPr>
      </w:pPr>
    </w:p>
    <w:p w:rsidR="00AE5B31" w:rsidRDefault="00AE5B31" w:rsidP="00AE5B31">
      <w:pPr>
        <w:ind w:left="1260"/>
        <w:rPr>
          <w:sz w:val="18"/>
          <w:szCs w:val="24"/>
        </w:rPr>
      </w:pPr>
    </w:p>
    <w:p w:rsidR="00AE5B31" w:rsidRDefault="00AE5B31" w:rsidP="00AE5B31">
      <w:pPr>
        <w:ind w:left="1260"/>
        <w:rPr>
          <w:sz w:val="18"/>
          <w:szCs w:val="24"/>
        </w:rPr>
      </w:pPr>
    </w:p>
    <w:p w:rsidR="00AE5B31" w:rsidRDefault="00AE5B31" w:rsidP="00AE5B31">
      <w:pPr>
        <w:ind w:left="1260"/>
        <w:rPr>
          <w:sz w:val="18"/>
          <w:szCs w:val="24"/>
        </w:rPr>
      </w:pPr>
    </w:p>
    <w:p w:rsidR="00AE5B31" w:rsidRDefault="00AE5B31" w:rsidP="00AE5B31">
      <w:pPr>
        <w:ind w:left="1260"/>
        <w:rPr>
          <w:sz w:val="18"/>
          <w:szCs w:val="24"/>
        </w:rPr>
      </w:pPr>
    </w:p>
    <w:p w:rsidR="00AE5B31" w:rsidRDefault="00AE5B31" w:rsidP="00AE5B31">
      <w:pPr>
        <w:pStyle w:val="ListParagraph"/>
        <w:ind w:left="705"/>
        <w:jc w:val="center"/>
        <w:rPr>
          <w:b/>
          <w:sz w:val="22"/>
          <w:szCs w:val="22"/>
        </w:rPr>
      </w:pPr>
    </w:p>
    <w:p w:rsidR="00AE5B31" w:rsidRDefault="00AE5B31" w:rsidP="00AE5B31">
      <w:pPr>
        <w:pStyle w:val="ListParagraph"/>
        <w:ind w:left="705"/>
        <w:jc w:val="center"/>
        <w:rPr>
          <w:b/>
          <w:sz w:val="22"/>
          <w:szCs w:val="22"/>
        </w:rPr>
      </w:pPr>
    </w:p>
    <w:p w:rsidR="00AE5B31" w:rsidRDefault="00AE5B31" w:rsidP="00AE5B31">
      <w:pPr>
        <w:pStyle w:val="ListParagraph"/>
        <w:ind w:left="705"/>
        <w:jc w:val="center"/>
        <w:rPr>
          <w:b/>
          <w:sz w:val="22"/>
          <w:szCs w:val="22"/>
        </w:rPr>
      </w:pPr>
    </w:p>
    <w:p w:rsidR="00AE5B31" w:rsidRPr="00B70F2C" w:rsidRDefault="00AE5B31" w:rsidP="00AE5B31">
      <w:pPr>
        <w:pStyle w:val="ListParagraph"/>
        <w:ind w:left="705"/>
        <w:jc w:val="center"/>
        <w:rPr>
          <w:b/>
          <w:sz w:val="22"/>
          <w:szCs w:val="22"/>
        </w:rPr>
      </w:pPr>
      <w:r w:rsidRPr="00B70F2C">
        <w:rPr>
          <w:b/>
          <w:sz w:val="22"/>
          <w:szCs w:val="22"/>
        </w:rPr>
        <w:t xml:space="preserve">Cuadro </w:t>
      </w:r>
      <w:r>
        <w:rPr>
          <w:b/>
          <w:sz w:val="22"/>
          <w:szCs w:val="22"/>
        </w:rPr>
        <w:t>XXXVIII</w:t>
      </w:r>
    </w:p>
    <w:p w:rsidR="00AE5B31" w:rsidRPr="00B70F2C" w:rsidRDefault="00AE5B31" w:rsidP="00AE5B31">
      <w:pPr>
        <w:pStyle w:val="ListParagraph"/>
        <w:ind w:left="705"/>
        <w:jc w:val="center"/>
        <w:rPr>
          <w:b/>
          <w:bCs/>
          <w:sz w:val="20"/>
          <w:lang w:val="es-ES" w:eastAsia="es-ES"/>
        </w:rPr>
      </w:pPr>
      <w:r>
        <w:rPr>
          <w:b/>
          <w:bCs/>
          <w:sz w:val="20"/>
          <w:lang w:val="es-ES" w:eastAsia="es-ES"/>
        </w:rPr>
        <w:t>GUABITO</w:t>
      </w:r>
    </w:p>
    <w:p w:rsidR="00AE5B31" w:rsidRDefault="00AE5B31" w:rsidP="00AE5B31">
      <w:pPr>
        <w:pStyle w:val="ListParagraph"/>
        <w:ind w:left="705"/>
        <w:jc w:val="center"/>
        <w:rPr>
          <w:b/>
          <w:bCs/>
          <w:sz w:val="20"/>
          <w:lang w:val="es-ES" w:eastAsia="es-ES"/>
        </w:rPr>
      </w:pPr>
      <w:r>
        <w:rPr>
          <w:b/>
          <w:bCs/>
          <w:sz w:val="20"/>
          <w:lang w:val="es-ES" w:eastAsia="es-ES"/>
        </w:rPr>
        <w:t>VANE/Inversión: Resultados obtenidos de la Simulación Monte Carlo (20,000 iteraciones). Supuesto inversión inicial US$1,252,509</w:t>
      </w:r>
    </w:p>
    <w:p w:rsidR="00AE5B31" w:rsidRDefault="00AE5B31" w:rsidP="00AE5B31">
      <w:pPr>
        <w:pStyle w:val="ListParagraph"/>
        <w:ind w:left="705"/>
        <w:jc w:val="center"/>
        <w:rPr>
          <w:b/>
          <w:bCs/>
          <w:sz w:val="20"/>
          <w:lang w:val="es-ES" w:eastAsia="es-ES"/>
        </w:rPr>
      </w:pPr>
    </w:p>
    <w:p w:rsidR="00AE5B31" w:rsidRDefault="00AE5B31" w:rsidP="00AE5B31">
      <w:pPr>
        <w:jc w:val="center"/>
        <w:rPr>
          <w:sz w:val="18"/>
          <w:szCs w:val="24"/>
        </w:rPr>
      </w:pPr>
      <w:r w:rsidRPr="007A21E4">
        <w:rPr>
          <w:noProof/>
          <w:lang w:val="en-US"/>
        </w:rPr>
        <w:drawing>
          <wp:inline distT="0" distB="0" distL="0" distR="0" wp14:anchorId="77D243C2" wp14:editId="587E61BC">
            <wp:extent cx="6507398" cy="3918857"/>
            <wp:effectExtent l="0" t="0" r="8255" b="5715"/>
            <wp:docPr id="70" name="Imagen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6522751" cy="3928103"/>
                    </a:xfrm>
                    <a:prstGeom prst="rect">
                      <a:avLst/>
                    </a:prstGeom>
                    <a:noFill/>
                    <a:ln>
                      <a:noFill/>
                    </a:ln>
                  </pic:spPr>
                </pic:pic>
              </a:graphicData>
            </a:graphic>
          </wp:inline>
        </w:drawing>
      </w:r>
    </w:p>
    <w:p w:rsidR="00AE5B31" w:rsidRDefault="00AE5B31" w:rsidP="00AE5B31">
      <w:pPr>
        <w:ind w:left="1260"/>
        <w:rPr>
          <w:sz w:val="18"/>
          <w:szCs w:val="24"/>
        </w:rPr>
      </w:pPr>
      <w:r w:rsidRPr="00B058CF">
        <w:rPr>
          <w:sz w:val="18"/>
          <w:szCs w:val="24"/>
        </w:rPr>
        <w:t>Fuente: Elaboración propia</w:t>
      </w:r>
      <w:r>
        <w:rPr>
          <w:sz w:val="18"/>
          <w:szCs w:val="24"/>
        </w:rPr>
        <w:t>.</w:t>
      </w:r>
    </w:p>
    <w:p w:rsidR="00AE5B31" w:rsidRDefault="00AE5B31" w:rsidP="00AE5B31">
      <w:pPr>
        <w:ind w:left="1260"/>
        <w:rPr>
          <w:sz w:val="18"/>
          <w:szCs w:val="24"/>
        </w:rPr>
      </w:pPr>
    </w:p>
    <w:p w:rsidR="00AE5B31" w:rsidRDefault="00AE5B31" w:rsidP="00AE5B31">
      <w:pPr>
        <w:ind w:left="1260"/>
      </w:pPr>
    </w:p>
    <w:p w:rsidR="00AE5B31" w:rsidRPr="007A21E4" w:rsidRDefault="00AE5B31" w:rsidP="00AE5B31">
      <w:pPr>
        <w:sectPr w:rsidR="00AE5B31" w:rsidRPr="007A21E4" w:rsidSect="00A6559C">
          <w:pgSz w:w="15842" w:h="12242" w:orient="landscape" w:code="1"/>
          <w:pgMar w:top="1298" w:right="1440" w:bottom="1797" w:left="1440" w:header="731" w:footer="1134" w:gutter="0"/>
          <w:pgNumType w:fmt="numberInDash"/>
          <w:cols w:space="720"/>
          <w:docGrid w:linePitch="326"/>
        </w:sectPr>
      </w:pPr>
    </w:p>
    <w:p w:rsidR="00AE5B31" w:rsidRPr="00C36498" w:rsidRDefault="00AE5B31" w:rsidP="00AE5B31">
      <w:pPr>
        <w:pStyle w:val="Heading1"/>
        <w:numPr>
          <w:ilvl w:val="0"/>
          <w:numId w:val="25"/>
        </w:numPr>
        <w:tabs>
          <w:tab w:val="left" w:pos="270"/>
        </w:tabs>
        <w:ind w:left="0" w:firstLine="0"/>
        <w:jc w:val="both"/>
        <w:rPr>
          <w:rFonts w:ascii="Times New Roman" w:hAnsi="Times New Roman"/>
        </w:rPr>
      </w:pPr>
      <w:bookmarkStart w:id="24" w:name="_Toc428992900"/>
      <w:r w:rsidRPr="00C36498">
        <w:rPr>
          <w:rFonts w:ascii="Times New Roman" w:hAnsi="Times New Roman"/>
        </w:rPr>
        <w:lastRenderedPageBreak/>
        <w:t>Resumen del Análisis de Viabilidad Económica</w:t>
      </w:r>
      <w:bookmarkEnd w:id="24"/>
    </w:p>
    <w:p w:rsidR="00AE5B31" w:rsidRPr="00E24977" w:rsidRDefault="00AE5B31" w:rsidP="00AE5B31">
      <w:pPr>
        <w:widowControl w:val="0"/>
        <w:adjustRightInd w:val="0"/>
        <w:ind w:left="709"/>
        <w:jc w:val="both"/>
        <w:textAlignment w:val="baseline"/>
        <w:rPr>
          <w:lang w:val="es-ES_tradnl"/>
        </w:rPr>
      </w:pPr>
    </w:p>
    <w:p w:rsidR="00AE5B31" w:rsidRDefault="00AE5B31" w:rsidP="00AE5B31">
      <w:pPr>
        <w:widowControl w:val="0"/>
        <w:adjustRightInd w:val="0"/>
        <w:jc w:val="both"/>
        <w:textAlignment w:val="baseline"/>
        <w:rPr>
          <w:lang w:val="es-ES_tradnl"/>
        </w:rPr>
      </w:pPr>
      <w:r>
        <w:rPr>
          <w:lang w:val="es-ES_tradnl"/>
        </w:rPr>
        <w:t>Las pruebas de estrés convencionales así como el análisis e Monte Carlo , muestra resultados de rentabilidad económica no satisfactorios para el Caso Base (inversión inicial de US$</w:t>
      </w:r>
      <w:r w:rsidRPr="001E2F0C">
        <w:rPr>
          <w:lang w:val="es-ES_tradnl"/>
        </w:rPr>
        <w:t>US$1,565,636</w:t>
      </w:r>
      <w:r>
        <w:rPr>
          <w:lang w:val="es-ES_tradnl"/>
        </w:rPr>
        <w:t>).  La simulación permitió determinar además que la rentabilidad económica es más sensible a cambios en el costo inicial (en este caso evaluado hasta un 10% de sobrecoste) que a variaciones en la demanda proyectada.  En este sentido, se desarrolló un Caso Alternativo, con una menor inversión (</w:t>
      </w:r>
      <w:r w:rsidRPr="001E2F0C">
        <w:rPr>
          <w:lang w:val="es-ES_tradnl"/>
        </w:rPr>
        <w:t>US$1,252,509</w:t>
      </w:r>
      <w:r>
        <w:rPr>
          <w:lang w:val="es-ES_tradnl"/>
        </w:rPr>
        <w:t>), el cual arrojó en las pruebas de estrés resultados positivos, con una TIRE superior al 12.0%.</w:t>
      </w:r>
    </w:p>
    <w:p w:rsidR="00AE5B31" w:rsidRPr="0006088F" w:rsidRDefault="00AE5B31" w:rsidP="00AE5B31">
      <w:pPr>
        <w:widowControl w:val="0"/>
        <w:adjustRightInd w:val="0"/>
        <w:ind w:left="709"/>
        <w:jc w:val="both"/>
        <w:textAlignment w:val="baseline"/>
        <w:rPr>
          <w:lang w:val="es-ES_tradnl"/>
        </w:rPr>
      </w:pPr>
    </w:p>
    <w:p w:rsidR="00AE5B31" w:rsidRDefault="00AE5B31" w:rsidP="00AE5B31">
      <w:pPr>
        <w:widowControl w:val="0"/>
        <w:adjustRightInd w:val="0"/>
        <w:jc w:val="both"/>
        <w:textAlignment w:val="baseline"/>
        <w:rPr>
          <w:szCs w:val="24"/>
          <w:lang w:val="es-ES_tradnl"/>
        </w:rPr>
      </w:pPr>
      <w:r>
        <w:rPr>
          <w:szCs w:val="24"/>
          <w:lang w:val="es-ES_tradnl"/>
        </w:rPr>
        <w:t>En este sentido, el análisis de sensibilidad permite determinar que el rango de inversión podría situarse alrededor de US$1,200,000.  Es importante determinar a futuro cuál sería el alcance de una inversión de esta naturaleza con el fin de determinar cuál sería su verdadero impacto sobre el ahorro en tiempos para personas y carga.  De este modo, sería posible tener certeza sobre la viabilidad económica de la modernización del Paso Fronterizo.</w:t>
      </w:r>
    </w:p>
    <w:p w:rsidR="00AE5B31" w:rsidRDefault="00AE5B31" w:rsidP="00AE5B31">
      <w:pPr>
        <w:widowControl w:val="0"/>
        <w:adjustRightInd w:val="0"/>
        <w:jc w:val="both"/>
        <w:textAlignment w:val="baseline"/>
        <w:rPr>
          <w:szCs w:val="24"/>
          <w:lang w:val="es-ES_tradnl"/>
        </w:rPr>
      </w:pPr>
    </w:p>
    <w:p w:rsidR="00AE5B31" w:rsidRPr="00E42FBC" w:rsidRDefault="00AE5B31" w:rsidP="00AE5B31">
      <w:pPr>
        <w:widowControl w:val="0"/>
        <w:adjustRightInd w:val="0"/>
        <w:jc w:val="both"/>
        <w:textAlignment w:val="baseline"/>
        <w:rPr>
          <w:szCs w:val="24"/>
          <w:lang w:val="es-ES_tradnl"/>
        </w:rPr>
      </w:pPr>
    </w:p>
    <w:p w:rsidR="00AE5B31" w:rsidRPr="0006088F" w:rsidRDefault="00AE5B31" w:rsidP="00AE5B31">
      <w:r w:rsidRPr="0006088F">
        <w:br w:type="page"/>
      </w:r>
    </w:p>
    <w:p w:rsidR="00AE5B31" w:rsidRPr="00C36498" w:rsidRDefault="00AE5B31" w:rsidP="00AE5B31">
      <w:pPr>
        <w:pStyle w:val="Heading1"/>
        <w:numPr>
          <w:ilvl w:val="0"/>
          <w:numId w:val="25"/>
        </w:numPr>
        <w:tabs>
          <w:tab w:val="left" w:pos="270"/>
        </w:tabs>
        <w:ind w:left="0" w:firstLine="0"/>
        <w:jc w:val="both"/>
        <w:rPr>
          <w:rFonts w:ascii="Times New Roman" w:hAnsi="Times New Roman"/>
        </w:rPr>
      </w:pPr>
      <w:bookmarkStart w:id="25" w:name="_Toc428992901"/>
      <w:r w:rsidRPr="00C36498">
        <w:rPr>
          <w:rFonts w:ascii="Times New Roman" w:hAnsi="Times New Roman"/>
        </w:rPr>
        <w:lastRenderedPageBreak/>
        <w:t>Conclusiones</w:t>
      </w:r>
      <w:bookmarkEnd w:id="25"/>
    </w:p>
    <w:p w:rsidR="00AE5B31" w:rsidRPr="0006088F" w:rsidRDefault="00AE5B31" w:rsidP="00AE5B31"/>
    <w:p w:rsidR="00AE5B31" w:rsidRPr="0006088F" w:rsidRDefault="00AE5B31" w:rsidP="00AE5B31">
      <w:pPr>
        <w:widowControl w:val="0"/>
        <w:adjustRightInd w:val="0"/>
        <w:jc w:val="both"/>
        <w:textAlignment w:val="baseline"/>
      </w:pPr>
      <w:r>
        <w:t>El Análisis de Viabilidad Económica permite afirmar que el Proyecto de Modernización del Paso Fronterizo de Guabito es económicamente rentable para un proyecto de inversión con un costos de ciclo de vida (inversión inicial, mantenimiento y operación) equivalente a un 20% de lo planteado en la propuesta de modernización planteada en estudios anteriores</w:t>
      </w:r>
      <w:r>
        <w:rPr>
          <w:rStyle w:val="FootnoteReference"/>
        </w:rPr>
        <w:footnoteReference w:id="26"/>
      </w:r>
      <w:r>
        <w:t>.</w:t>
      </w:r>
    </w:p>
    <w:p w:rsidR="00AE5B31" w:rsidRPr="0006088F" w:rsidRDefault="00AE5B31" w:rsidP="00AE5B31">
      <w:pPr>
        <w:widowControl w:val="0"/>
        <w:adjustRightInd w:val="0"/>
        <w:ind w:left="709"/>
        <w:jc w:val="both"/>
        <w:textAlignment w:val="baseline"/>
      </w:pPr>
    </w:p>
    <w:p w:rsidR="00AE5B31" w:rsidRPr="007A251B" w:rsidRDefault="00AE5B31" w:rsidP="00AE5B31">
      <w:pPr>
        <w:widowControl w:val="0"/>
        <w:adjustRightInd w:val="0"/>
        <w:jc w:val="both"/>
        <w:textAlignment w:val="baseline"/>
      </w:pPr>
      <w:r>
        <w:rPr>
          <w:szCs w:val="24"/>
        </w:rPr>
        <w:t xml:space="preserve">En este sentido, aún en situaciones de elevado estrés (caída de hasta un 15% en la demanda proyectada y/o incremento de hasta un 10% en el costo inicial), se demostró que el </w:t>
      </w:r>
      <w:r w:rsidRPr="007A251B">
        <w:rPr>
          <w:szCs w:val="24"/>
        </w:rPr>
        <w:t>VANE, TIRE, B/C y VANE/Inversión</w:t>
      </w:r>
      <w:r>
        <w:rPr>
          <w:szCs w:val="24"/>
        </w:rPr>
        <w:t>muestran un desempeño satisfactorio, siendo este último indicar el más cercano al punto de equilibrio.</w:t>
      </w:r>
    </w:p>
    <w:p w:rsidR="00AE5B31" w:rsidRPr="00EA3EEF" w:rsidRDefault="00AE5B31" w:rsidP="00AE5B31">
      <w:pPr>
        <w:pStyle w:val="ListParagraph"/>
        <w:rPr>
          <w:lang w:val="es-ES_tradnl"/>
        </w:rPr>
      </w:pPr>
    </w:p>
    <w:p w:rsidR="00AE5B31" w:rsidRPr="00B10E20" w:rsidRDefault="00AE5B31" w:rsidP="00AE5B31">
      <w:pPr>
        <w:widowControl w:val="0"/>
        <w:adjustRightInd w:val="0"/>
        <w:jc w:val="both"/>
        <w:textAlignment w:val="baseline"/>
      </w:pPr>
      <w:r>
        <w:t xml:space="preserve">Es necesario recordar que algunos </w:t>
      </w:r>
      <w:r w:rsidRPr="00AE2C31">
        <w:rPr>
          <w:szCs w:val="24"/>
        </w:rPr>
        <w:t>beneficios</w:t>
      </w:r>
      <w:r>
        <w:rPr>
          <w:szCs w:val="24"/>
        </w:rPr>
        <w:t xml:space="preserve"> potenciales</w:t>
      </w:r>
      <w:r w:rsidRPr="00AE2C31">
        <w:rPr>
          <w:szCs w:val="24"/>
        </w:rPr>
        <w:t xml:space="preserve"> de</w:t>
      </w:r>
      <w:r>
        <w:rPr>
          <w:szCs w:val="24"/>
        </w:rPr>
        <w:t>lP</w:t>
      </w:r>
      <w:r w:rsidRPr="00AE2C31">
        <w:rPr>
          <w:szCs w:val="24"/>
        </w:rPr>
        <w:t>royecto</w:t>
      </w:r>
      <w:r>
        <w:rPr>
          <w:szCs w:val="24"/>
        </w:rPr>
        <w:t xml:space="preserve"> de Modernización de Guabito</w:t>
      </w:r>
      <w:r w:rsidRPr="00AE2C31">
        <w:rPr>
          <w:szCs w:val="24"/>
        </w:rPr>
        <w:t>no fueron cuantificados. Por ejemplo, la capacidad de cubrir</w:t>
      </w:r>
      <w:r>
        <w:rPr>
          <w:szCs w:val="24"/>
        </w:rPr>
        <w:t xml:space="preserve"> el</w:t>
      </w:r>
      <w:r w:rsidRPr="00AE2C31">
        <w:rPr>
          <w:szCs w:val="24"/>
        </w:rPr>
        <w:t xml:space="preserve"> control de los actuales pasajeros y vehí</w:t>
      </w:r>
      <w:r>
        <w:rPr>
          <w:szCs w:val="24"/>
        </w:rPr>
        <w:t>culos que evaden los controles y las mejoras cualitativas en los servicios brindados a los usuarios. Asimismo, es necesario que se determine el alcance de una inversión de esta naturaleza con el fin de determinar su impacto sobre el ahorro en tiempos y por ende el resultado definitivo en términos de evaluación económica.</w:t>
      </w:r>
    </w:p>
    <w:p w:rsidR="00AE5B31" w:rsidRDefault="00AE5B31" w:rsidP="00AE5B31">
      <w:pPr>
        <w:pStyle w:val="ListParagraph"/>
      </w:pPr>
    </w:p>
    <w:p w:rsidR="00AE5B31" w:rsidRDefault="00AE5B31" w:rsidP="00AE5B31">
      <w:pPr>
        <w:pStyle w:val="ListParagraph"/>
      </w:pPr>
    </w:p>
    <w:p w:rsidR="00AE5B31" w:rsidRDefault="00AE5B31" w:rsidP="00AE5B31">
      <w:pPr>
        <w:pStyle w:val="ListParagraph"/>
      </w:pPr>
    </w:p>
    <w:p w:rsidR="00AE5B31" w:rsidRDefault="00AE5B31" w:rsidP="00AE5B31">
      <w:pPr>
        <w:pStyle w:val="ListParagraph"/>
      </w:pPr>
    </w:p>
    <w:p w:rsidR="00AE5B31" w:rsidRDefault="00AE5B31" w:rsidP="00AE5B31">
      <w:pPr>
        <w:pStyle w:val="ListParagraph"/>
      </w:pPr>
    </w:p>
    <w:p w:rsidR="00AE5B31" w:rsidRDefault="00AE5B31" w:rsidP="00AE5B31">
      <w:pPr>
        <w:pStyle w:val="ListParagraph"/>
      </w:pPr>
    </w:p>
    <w:p w:rsidR="00AE5B31" w:rsidRDefault="00AE5B31" w:rsidP="00AE5B31">
      <w:pPr>
        <w:pStyle w:val="ListParagraph"/>
      </w:pPr>
    </w:p>
    <w:p w:rsidR="00AE5B31" w:rsidRDefault="00AE5B31" w:rsidP="00AE5B31">
      <w:pPr>
        <w:pStyle w:val="ListParagraph"/>
      </w:pPr>
    </w:p>
    <w:p w:rsidR="00AE5B31" w:rsidRDefault="00AE5B31" w:rsidP="00AE5B31">
      <w:pPr>
        <w:pStyle w:val="ListParagraph"/>
      </w:pPr>
    </w:p>
    <w:p w:rsidR="00AE5B31" w:rsidRDefault="00AE5B31" w:rsidP="00AE5B31">
      <w:pPr>
        <w:pStyle w:val="ListParagraph"/>
      </w:pPr>
    </w:p>
    <w:p w:rsidR="00AE5B31" w:rsidRDefault="00AE5B31" w:rsidP="00AE5B31">
      <w:pPr>
        <w:pStyle w:val="ListParagraph"/>
      </w:pPr>
    </w:p>
    <w:p w:rsidR="00AE5B31" w:rsidRDefault="00AE5B31" w:rsidP="00AE5B31">
      <w:pPr>
        <w:pStyle w:val="ListParagraph"/>
      </w:pPr>
    </w:p>
    <w:p w:rsidR="00AE5B31" w:rsidRDefault="00AE5B31" w:rsidP="00AE5B31">
      <w:pPr>
        <w:pStyle w:val="ListParagraph"/>
      </w:pPr>
    </w:p>
    <w:p w:rsidR="00AE5B31" w:rsidRDefault="00AE5B31" w:rsidP="00AE5B31">
      <w:pPr>
        <w:pStyle w:val="ListParagraph"/>
      </w:pPr>
    </w:p>
    <w:p w:rsidR="00AE5B31" w:rsidRDefault="00AE5B31" w:rsidP="00AE5B31">
      <w:pPr>
        <w:pStyle w:val="ListParagraph"/>
      </w:pPr>
    </w:p>
    <w:p w:rsidR="00AE5B31" w:rsidRDefault="00AE5B31" w:rsidP="00AE5B31">
      <w:pPr>
        <w:pStyle w:val="ListParagraph"/>
      </w:pPr>
    </w:p>
    <w:p w:rsidR="00AE5B31" w:rsidRDefault="00AE5B31" w:rsidP="00AE5B31">
      <w:pPr>
        <w:pStyle w:val="ListParagraph"/>
      </w:pPr>
    </w:p>
    <w:p w:rsidR="00AE5B31" w:rsidRDefault="00AE5B31" w:rsidP="00AE5B31">
      <w:pPr>
        <w:pStyle w:val="ListParagraph"/>
      </w:pPr>
    </w:p>
    <w:p w:rsidR="00AE5B31" w:rsidRDefault="00AE5B31" w:rsidP="00AE5B31">
      <w:pPr>
        <w:pStyle w:val="ListParagraph"/>
      </w:pPr>
    </w:p>
    <w:p w:rsidR="00AE5B31" w:rsidRDefault="00AE5B31" w:rsidP="00AE5B31">
      <w:pPr>
        <w:pStyle w:val="ListParagraph"/>
      </w:pPr>
    </w:p>
    <w:p w:rsidR="00AE5B31" w:rsidRDefault="00AE5B31" w:rsidP="00AE5B31">
      <w:pPr>
        <w:pStyle w:val="ListParagraph"/>
      </w:pPr>
    </w:p>
    <w:p w:rsidR="00AE5B31" w:rsidRDefault="00AE5B31" w:rsidP="00AE5B31">
      <w:pPr>
        <w:pStyle w:val="ListParagraph"/>
      </w:pPr>
    </w:p>
    <w:p w:rsidR="00B10E20" w:rsidRDefault="00B10E20" w:rsidP="00B10E20">
      <w:pPr>
        <w:widowControl w:val="0"/>
        <w:adjustRightInd w:val="0"/>
        <w:jc w:val="both"/>
        <w:textAlignment w:val="baseline"/>
      </w:pPr>
    </w:p>
    <w:p w:rsidR="00B10E20" w:rsidRDefault="00B10E20" w:rsidP="00B10E20">
      <w:pPr>
        <w:widowControl w:val="0"/>
        <w:adjustRightInd w:val="0"/>
        <w:jc w:val="both"/>
        <w:textAlignment w:val="baseline"/>
      </w:pPr>
    </w:p>
    <w:p w:rsidR="00B10E20" w:rsidRDefault="00B10E20" w:rsidP="00B10E20">
      <w:pPr>
        <w:widowControl w:val="0"/>
        <w:adjustRightInd w:val="0"/>
        <w:jc w:val="both"/>
        <w:textAlignment w:val="baseline"/>
      </w:pPr>
    </w:p>
    <w:sectPr w:rsidR="00B10E20" w:rsidSect="00FE6A09">
      <w:headerReference w:type="default" r:id="rId45"/>
      <w:pgSz w:w="12242" w:h="15842" w:code="1"/>
      <w:pgMar w:top="1134" w:right="1298" w:bottom="1134" w:left="1797" w:header="731" w:footer="1134"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6F0E" w:rsidRDefault="002D6F0E">
      <w:r>
        <w:separator/>
      </w:r>
    </w:p>
  </w:endnote>
  <w:endnote w:type="continuationSeparator" w:id="0">
    <w:p w:rsidR="002D6F0E" w:rsidRDefault="002D6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5B31" w:rsidRDefault="00AE5B31" w:rsidP="00ED17EB">
    <w:pPr>
      <w:pStyle w:val="Footer"/>
      <w:framePr w:wrap="around" w:vAnchor="text" w:hAnchor="margin" w:xAlign="center" w:y="1"/>
      <w:jc w:val="center"/>
    </w:pPr>
  </w:p>
  <w:p w:rsidR="00AE5B31" w:rsidRPr="00E12286" w:rsidRDefault="00AE5B31" w:rsidP="00F72940">
    <w:pPr>
      <w:pStyle w:val="Footer"/>
      <w:framePr w:wrap="around" w:vAnchor="text" w:hAnchor="margin" w:xAlign="center" w:y="1"/>
      <w:jc w:val="center"/>
      <w:rPr>
        <w:sz w:val="16"/>
        <w:szCs w:val="16"/>
      </w:rPr>
    </w:pPr>
    <w:r w:rsidRPr="004F5616">
      <w:rPr>
        <w:sz w:val="16"/>
        <w:szCs w:val="16"/>
      </w:rPr>
      <w:t>Viab</w:t>
    </w:r>
    <w:r>
      <w:rPr>
        <w:sz w:val="16"/>
        <w:szCs w:val="16"/>
      </w:rPr>
      <w:t xml:space="preserve">ilidad </w:t>
    </w:r>
    <w:r w:rsidRPr="004F5616">
      <w:rPr>
        <w:sz w:val="16"/>
        <w:szCs w:val="16"/>
      </w:rPr>
      <w:t>Ec</w:t>
    </w:r>
    <w:r>
      <w:rPr>
        <w:sz w:val="16"/>
        <w:szCs w:val="16"/>
      </w:rPr>
      <w:t>onómica del Paso de Frontera Terrestre Guabito (Panam</w:t>
    </w:r>
    <w:r>
      <w:rPr>
        <w:sz w:val="16"/>
        <w:szCs w:val="16"/>
        <w:lang w:val="es-CR"/>
      </w:rPr>
      <w:t>á</w:t>
    </w:r>
    <w:r>
      <w:rPr>
        <w:sz w:val="16"/>
        <w:szCs w:val="16"/>
      </w:rPr>
      <w:t>) – Agosto 2015.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5B31" w:rsidRDefault="00AE5B31" w:rsidP="00025C20">
    <w:pPr>
      <w:pStyle w:val="Footer"/>
      <w:framePr w:wrap="around" w:vAnchor="text" w:hAnchor="margin" w:xAlign="center" w:y="1"/>
      <w:jc w:val="center"/>
    </w:pPr>
  </w:p>
  <w:p w:rsidR="00AE5B31" w:rsidRPr="00E12286" w:rsidRDefault="00AE5B31" w:rsidP="00025C20">
    <w:pPr>
      <w:pStyle w:val="Footer"/>
      <w:framePr w:wrap="around" w:vAnchor="text" w:hAnchor="margin" w:xAlign="center" w:y="1"/>
      <w:jc w:val="center"/>
      <w:rPr>
        <w:sz w:val="16"/>
        <w:szCs w:val="16"/>
      </w:rPr>
    </w:pPr>
    <w:r w:rsidRPr="004F5616">
      <w:rPr>
        <w:sz w:val="16"/>
        <w:szCs w:val="16"/>
      </w:rPr>
      <w:t>Viab</w:t>
    </w:r>
    <w:r>
      <w:rPr>
        <w:sz w:val="16"/>
        <w:szCs w:val="16"/>
      </w:rPr>
      <w:t xml:space="preserve">ilidad </w:t>
    </w:r>
    <w:r w:rsidRPr="004F5616">
      <w:rPr>
        <w:sz w:val="16"/>
        <w:szCs w:val="16"/>
      </w:rPr>
      <w:t>Ec</w:t>
    </w:r>
    <w:r>
      <w:rPr>
        <w:sz w:val="16"/>
        <w:szCs w:val="16"/>
      </w:rPr>
      <w:t>onómica del Paso de Frontera Terrestre Guabito</w:t>
    </w:r>
    <w:r>
      <w:rPr>
        <w:sz w:val="16"/>
        <w:szCs w:val="16"/>
        <w:lang w:val="es-CR"/>
      </w:rPr>
      <w:t xml:space="preserve"> (Costa Rica)</w:t>
    </w:r>
    <w:r>
      <w:rPr>
        <w:sz w:val="16"/>
        <w:szCs w:val="16"/>
      </w:rPr>
      <w:t>Agosto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6F0E" w:rsidRDefault="002D6F0E">
      <w:r>
        <w:separator/>
      </w:r>
    </w:p>
  </w:footnote>
  <w:footnote w:type="continuationSeparator" w:id="0">
    <w:p w:rsidR="002D6F0E" w:rsidRDefault="002D6F0E">
      <w:r>
        <w:continuationSeparator/>
      </w:r>
    </w:p>
  </w:footnote>
  <w:footnote w:id="1">
    <w:p w:rsidR="00AE5B31" w:rsidRPr="008E4C3B" w:rsidRDefault="00AE5B31" w:rsidP="00AE5B31">
      <w:pPr>
        <w:pStyle w:val="FootnoteText"/>
      </w:pPr>
      <w:r>
        <w:rPr>
          <w:rStyle w:val="FootnoteReference"/>
        </w:rPr>
        <w:footnoteRef/>
      </w:r>
      <w:r>
        <w:t xml:space="preserve"> Datos del informe </w:t>
      </w:r>
      <w:r w:rsidRPr="008E4C3B">
        <w:rPr>
          <w:i/>
        </w:rPr>
        <w:t>“Elaboración de la línea base y estimación de ahorros para los procesos de carga y migración del paso de frontera Guabito, Cabecera de Panamá”.</w:t>
      </w:r>
    </w:p>
  </w:footnote>
  <w:footnote w:id="2">
    <w:p w:rsidR="00AE5B31" w:rsidRPr="005805AC" w:rsidRDefault="00AE5B31" w:rsidP="00AE5B31">
      <w:pPr>
        <w:pStyle w:val="FootnoteText"/>
        <w:jc w:val="both"/>
      </w:pPr>
      <w:r>
        <w:rPr>
          <w:rStyle w:val="FootnoteReference"/>
        </w:rPr>
        <w:footnoteRef/>
      </w:r>
      <w:r>
        <w:t xml:space="preserve"> Regresión lineal tomando como variable dependiente la cantidad de personas y como variable independiente o explicativa el período anual correspondiente.  </w:t>
      </w:r>
    </w:p>
  </w:footnote>
  <w:footnote w:id="3">
    <w:p w:rsidR="00AE5B31" w:rsidRPr="00EC5067" w:rsidRDefault="00AE5B31" w:rsidP="00AE5B31">
      <w:pPr>
        <w:pStyle w:val="FootnoteText"/>
        <w:jc w:val="both"/>
      </w:pPr>
      <w:r>
        <w:rPr>
          <w:rStyle w:val="FootnoteReference"/>
        </w:rPr>
        <w:footnoteRef/>
      </w:r>
      <w:r>
        <w:t xml:space="preserve"> El indicador R</w:t>
      </w:r>
      <w:r w:rsidRPr="008C6067">
        <w:rPr>
          <w:vertAlign w:val="superscript"/>
        </w:rPr>
        <w:t>2</w:t>
      </w:r>
      <w:r>
        <w:t xml:space="preserve"> (indicado en el texto como R2) indica el porcentaje de la variación en la variable dependiente que puede explicarse por la variable independiente.</w:t>
      </w:r>
    </w:p>
  </w:footnote>
  <w:footnote w:id="4">
    <w:p w:rsidR="00AE5B31" w:rsidRPr="00323742" w:rsidRDefault="00AE5B31" w:rsidP="00AE5B31">
      <w:pPr>
        <w:pStyle w:val="FootnoteText"/>
        <w:jc w:val="both"/>
      </w:pPr>
      <w:r>
        <w:rPr>
          <w:rStyle w:val="FootnoteReference"/>
        </w:rPr>
        <w:footnoteRef/>
      </w:r>
      <w:r>
        <w:t xml:space="preserve"> El establecimiento de 0.6 como límite, es un supuesto establecido luego de haber estudiado el comportamiento de las series correspondientes al presente análisis. </w:t>
      </w:r>
    </w:p>
  </w:footnote>
  <w:footnote w:id="5">
    <w:p w:rsidR="00AE5B31" w:rsidRPr="004D4804" w:rsidRDefault="00AE5B31" w:rsidP="00AE5B31">
      <w:pPr>
        <w:pStyle w:val="FootnoteText"/>
        <w:rPr>
          <w:lang w:val="es-CR"/>
        </w:rPr>
      </w:pPr>
      <w:r>
        <w:rPr>
          <w:rStyle w:val="FootnoteReference"/>
        </w:rPr>
        <w:footnoteRef/>
      </w:r>
      <w:r>
        <w:rPr>
          <w:lang w:val="es-CR"/>
        </w:rPr>
        <w:t>El Equipo Consultor detectó un promedio de 22 pasajeros por buseta y 3 por automóvil. Para efectos de la presente evaluación se utilizarán 30 y 4 pasajeros, respectivamente.</w:t>
      </w:r>
    </w:p>
  </w:footnote>
  <w:footnote w:id="6">
    <w:p w:rsidR="00AE5B31" w:rsidRDefault="00AE5B31" w:rsidP="00AE5B31">
      <w:pPr>
        <w:pStyle w:val="FootnoteText"/>
        <w:ind w:left="180" w:hanging="180"/>
        <w:jc w:val="both"/>
      </w:pPr>
      <w:r>
        <w:rPr>
          <w:rStyle w:val="FootnoteReference"/>
        </w:rPr>
        <w:footnoteRef/>
      </w:r>
      <w:r>
        <w:t xml:space="preserve"> Se adopta como período de análisis el comprendido entre 2015 y 2038, con objeto de incluir 2 a</w:t>
      </w:r>
      <w:r>
        <w:rPr>
          <w:lang w:val="es-CR"/>
        </w:rPr>
        <w:t>ños</w:t>
      </w:r>
      <w:r>
        <w:t xml:space="preserve"> de ejecución de obras de construcción comprendido entre 2016 y 2017 y veinte (20) años de uso (2018-2037). La proyección hacia 2038 permite </w:t>
      </w:r>
    </w:p>
  </w:footnote>
  <w:footnote w:id="7">
    <w:p w:rsidR="00AE5B31" w:rsidRPr="00421BFB" w:rsidRDefault="00AE5B31" w:rsidP="00AE5B31">
      <w:pPr>
        <w:pStyle w:val="FootnoteText"/>
      </w:pPr>
      <w:r>
        <w:rPr>
          <w:rStyle w:val="FootnoteReference"/>
        </w:rPr>
        <w:footnoteRef/>
      </w:r>
      <w:r>
        <w:t xml:space="preserve"> Estos datos suponen que un 10% del flujo comercial de Costa Rica hacia Panamá utiliza Guabito, porcentaje que se estima en 20% en el sentido Panamá-Costa Rica.</w:t>
      </w:r>
    </w:p>
  </w:footnote>
  <w:footnote w:id="8">
    <w:p w:rsidR="00AE5B31" w:rsidRPr="000E65E3" w:rsidRDefault="00AE5B31" w:rsidP="00AE5B31">
      <w:pPr>
        <w:pStyle w:val="FootnoteText"/>
        <w:rPr>
          <w:lang w:val="es-CR"/>
        </w:rPr>
      </w:pPr>
      <w:r>
        <w:rPr>
          <w:rStyle w:val="FootnoteReference"/>
        </w:rPr>
        <w:footnoteRef/>
      </w:r>
      <w:r>
        <w:t xml:space="preserve"> Incluyendo un peque</w:t>
      </w:r>
      <w:r>
        <w:rPr>
          <w:lang w:val="es-CR"/>
        </w:rPr>
        <w:t>ño volumen de carga correspondiente a reexportaciones panameñas.</w:t>
      </w:r>
    </w:p>
  </w:footnote>
  <w:footnote w:id="9">
    <w:p w:rsidR="00AE5B31" w:rsidRPr="005805AC" w:rsidRDefault="00AE5B31" w:rsidP="00AE5B31">
      <w:pPr>
        <w:pStyle w:val="FootnoteText"/>
        <w:jc w:val="both"/>
      </w:pPr>
      <w:r>
        <w:rPr>
          <w:rStyle w:val="FootnoteReference"/>
        </w:rPr>
        <w:footnoteRef/>
      </w:r>
      <w:r>
        <w:t xml:space="preserve"> Regresión lineal tomando como variable dependiente el volumen comerciado (en toneladas) y como variable independiente o explicativa el período anual correspondiente.  </w:t>
      </w:r>
    </w:p>
  </w:footnote>
  <w:footnote w:id="10">
    <w:p w:rsidR="00AE5B31" w:rsidRPr="000776E4" w:rsidRDefault="00AE5B31" w:rsidP="00AE5B31">
      <w:pPr>
        <w:pStyle w:val="FootnoteText"/>
      </w:pPr>
      <w:r>
        <w:rPr>
          <w:rStyle w:val="FootnoteReference"/>
        </w:rPr>
        <w:footnoteRef/>
      </w:r>
      <w:r>
        <w:t xml:space="preserve"> Corresponden a carga dirigida a Costa Rica pero que realiza el proceso en una aduana distinta.</w:t>
      </w:r>
    </w:p>
  </w:footnote>
  <w:footnote w:id="11">
    <w:p w:rsidR="00AE5B31" w:rsidRPr="0040711B" w:rsidRDefault="00AE5B31" w:rsidP="00AE5B31">
      <w:pPr>
        <w:pStyle w:val="FootnoteText"/>
        <w:ind w:left="180" w:hanging="180"/>
        <w:jc w:val="both"/>
      </w:pPr>
      <w:r w:rsidRPr="0040711B">
        <w:rPr>
          <w:rStyle w:val="FootnoteReference"/>
        </w:rPr>
        <w:footnoteRef/>
      </w:r>
      <w:r w:rsidRPr="0040711B">
        <w:t>Se adopta la definición más reconocida para la relación Beneficio/Costo, consistente en el cociente del Valor Actual de Beneficios (operación y tiempo) y el Valor Actual de Costos (inversión y conservación), es decir VA(Beneficios)/VA(Costos).</w:t>
      </w:r>
    </w:p>
  </w:footnote>
  <w:footnote w:id="12">
    <w:p w:rsidR="00AE5B31" w:rsidRPr="0040711B" w:rsidRDefault="00AE5B31" w:rsidP="00AE5B31">
      <w:pPr>
        <w:pStyle w:val="FootnoteText"/>
        <w:ind w:left="180" w:hanging="180"/>
        <w:jc w:val="both"/>
      </w:pPr>
      <w:r w:rsidRPr="0040711B">
        <w:rPr>
          <w:rStyle w:val="FootnoteReference"/>
        </w:rPr>
        <w:footnoteRef/>
      </w:r>
      <w:r w:rsidRPr="0040711B">
        <w:t>Si bien la relación Beneficio/Costo es de uso tradicional, el ratio VANE/Inversión es un indicador más útil para comparar y priorizar inversiones, puesto que incluye directamente el monto de la inversión (el objeto del financiamiento en los proyectos del Banco).</w:t>
      </w:r>
    </w:p>
  </w:footnote>
  <w:footnote w:id="13">
    <w:p w:rsidR="00AE5B31" w:rsidRPr="008B5D84" w:rsidRDefault="00AE5B31" w:rsidP="00AE5B31">
      <w:pPr>
        <w:pStyle w:val="FootnoteText"/>
        <w:tabs>
          <w:tab w:val="left" w:pos="142"/>
        </w:tabs>
        <w:ind w:left="284" w:hanging="284"/>
        <w:jc w:val="both"/>
      </w:pPr>
      <w:r>
        <w:rPr>
          <w:rStyle w:val="FootnoteReference"/>
        </w:rPr>
        <w:footnoteRef/>
      </w:r>
      <w:r>
        <w:tab/>
        <w:t>Es decir la reducción de la demanda puede ser en un porcentaje igual a cualquier número entre 0% y -10%. Misma lógica aplica para el análisis de los sobre-costos.</w:t>
      </w:r>
    </w:p>
  </w:footnote>
  <w:footnote w:id="14">
    <w:p w:rsidR="00AE5B31" w:rsidRPr="00FA5A4B" w:rsidRDefault="00AE5B31" w:rsidP="00AE5B31">
      <w:pPr>
        <w:pStyle w:val="FootnoteText"/>
        <w:jc w:val="both"/>
        <w:rPr>
          <w:lang w:val="es-CR"/>
        </w:rPr>
      </w:pPr>
      <w:r>
        <w:rPr>
          <w:rStyle w:val="FootnoteReference"/>
        </w:rPr>
        <w:footnoteRef/>
      </w:r>
      <w:r w:rsidRPr="00FA5A4B">
        <w:t xml:space="preserve">Específicamente, existe incertidumbre sobre el sitio exacto donde se construirá a futuro el nuevo puente sobre el Río </w:t>
      </w:r>
      <w:r>
        <w:t>Guabito</w:t>
      </w:r>
      <w:r w:rsidRPr="00FA5A4B">
        <w:t xml:space="preserve"> (sustituto del puente Bailey) y no se han definido del lado costarricense medidas de proyección del cauce. </w:t>
      </w:r>
    </w:p>
  </w:footnote>
  <w:footnote w:id="15">
    <w:p w:rsidR="00AE5B31" w:rsidRPr="00812859" w:rsidRDefault="00AE5B31" w:rsidP="00AE5B31">
      <w:pPr>
        <w:pStyle w:val="FootnoteText"/>
        <w:jc w:val="both"/>
      </w:pPr>
      <w:r>
        <w:rPr>
          <w:rStyle w:val="FootnoteReference"/>
        </w:rPr>
        <w:footnoteRef/>
      </w:r>
      <w:r>
        <w:t xml:space="preserve"> Se supone una planilla actual de 11 personas.</w:t>
      </w:r>
    </w:p>
  </w:footnote>
  <w:footnote w:id="16">
    <w:p w:rsidR="00AE5B31" w:rsidRPr="00345AEF" w:rsidRDefault="00AE5B31" w:rsidP="00AE5B31">
      <w:pPr>
        <w:pStyle w:val="FootnoteText"/>
        <w:jc w:val="both"/>
      </w:pPr>
      <w:r>
        <w:rPr>
          <w:rStyle w:val="FootnoteReference"/>
        </w:rPr>
        <w:footnoteRef/>
      </w:r>
      <w:r>
        <w:t xml:space="preserve"> Versión 2. Julio 2013. Monto de inversión propuesto US$6,262,546.</w:t>
      </w:r>
    </w:p>
  </w:footnote>
  <w:footnote w:id="17">
    <w:p w:rsidR="00AE5B31" w:rsidRPr="00910299" w:rsidRDefault="00AE5B31" w:rsidP="00AE5B31">
      <w:pPr>
        <w:pStyle w:val="FootnoteText"/>
        <w:rPr>
          <w:lang w:val="es-CR"/>
        </w:rPr>
      </w:pPr>
      <w:r>
        <w:rPr>
          <w:rStyle w:val="FootnoteReference"/>
        </w:rPr>
        <w:footnoteRef/>
      </w:r>
      <w:r>
        <w:rPr>
          <w:lang w:val="es-CR"/>
        </w:rPr>
        <w:t>Mismo porcentaje se estima para costos de operación y mantenimiento.</w:t>
      </w:r>
    </w:p>
  </w:footnote>
  <w:footnote w:id="18">
    <w:p w:rsidR="00AE5B31" w:rsidRPr="005D59A7" w:rsidRDefault="00AE5B31" w:rsidP="00AE5B31">
      <w:pPr>
        <w:pStyle w:val="FootnoteText"/>
        <w:rPr>
          <w:lang w:val="es-CR"/>
        </w:rPr>
      </w:pPr>
      <w:r>
        <w:rPr>
          <w:rStyle w:val="FootnoteReference"/>
        </w:rPr>
        <w:footnoteRef/>
      </w:r>
      <w:r>
        <w:rPr>
          <w:lang w:val="es-CR"/>
        </w:rPr>
        <w:t>Mantener la refrigeración requiere del consumo de al menos 1 galón de diésel por hora (3.78 litros).</w:t>
      </w:r>
    </w:p>
  </w:footnote>
  <w:footnote w:id="19">
    <w:p w:rsidR="00AE5B31" w:rsidRPr="009A2438" w:rsidRDefault="00AE5B31" w:rsidP="00AE5B31">
      <w:pPr>
        <w:pStyle w:val="FootnoteText"/>
      </w:pPr>
      <w:r>
        <w:rPr>
          <w:rStyle w:val="FootnoteReference"/>
        </w:rPr>
        <w:footnoteRef/>
      </w:r>
      <w:r>
        <w:t xml:space="preserve"> Precio del litro de Diésel Genset de acuerdo a cifras de la Secretar</w:t>
      </w:r>
      <w:r>
        <w:rPr>
          <w:lang w:val="es-CR"/>
        </w:rPr>
        <w:t>ía Nacional de Energía de Panamá.</w:t>
      </w:r>
    </w:p>
  </w:footnote>
  <w:footnote w:id="20">
    <w:p w:rsidR="00AE5B31" w:rsidRPr="005D59A7" w:rsidRDefault="00AE5B31" w:rsidP="00AE5B31">
      <w:pPr>
        <w:pStyle w:val="FootnoteText"/>
        <w:jc w:val="both"/>
      </w:pPr>
      <w:r>
        <w:rPr>
          <w:rStyle w:val="FootnoteReference"/>
        </w:rPr>
        <w:footnoteRef/>
      </w:r>
      <w:r>
        <w:t xml:space="preserve"> Con base en estimaciones del Equipo Consultor se determinó que el 90% de los camiones cargados y en tránsito en ambos sentidos corresponden a equipos refrigerados.</w:t>
      </w:r>
    </w:p>
  </w:footnote>
  <w:footnote w:id="21">
    <w:p w:rsidR="00AE5B31" w:rsidRPr="000A4A31" w:rsidRDefault="00AE5B31" w:rsidP="00AE5B31">
      <w:pPr>
        <w:pStyle w:val="FootnoteText"/>
        <w:rPr>
          <w:lang w:val="en-US"/>
        </w:rPr>
      </w:pPr>
      <w:r>
        <w:rPr>
          <w:rStyle w:val="FootnoteReference"/>
        </w:rPr>
        <w:footnoteRef/>
      </w:r>
      <w:r>
        <w:rPr>
          <w:lang w:val="en-US"/>
        </w:rPr>
        <w:t>Department for Environment, Food &amp; Rural Affairs. United Kingdom.</w:t>
      </w:r>
    </w:p>
  </w:footnote>
  <w:footnote w:id="22">
    <w:p w:rsidR="00AE5B31" w:rsidRPr="00E645B5" w:rsidRDefault="00AE5B31" w:rsidP="00AE5B31">
      <w:pPr>
        <w:pStyle w:val="FootnoteText"/>
        <w:jc w:val="both"/>
        <w:rPr>
          <w:lang w:val="en-US"/>
        </w:rPr>
      </w:pPr>
      <w:r>
        <w:rPr>
          <w:rStyle w:val="FootnoteReference"/>
        </w:rPr>
        <w:footnoteRef/>
      </w:r>
      <w:r w:rsidRPr="00E645B5">
        <w:rPr>
          <w:lang w:val="en-US"/>
        </w:rPr>
        <w:t xml:space="preserve"> Australia Carbon Pricing Mechanism (Clean Energy Act 2011).</w:t>
      </w:r>
    </w:p>
  </w:footnote>
  <w:footnote w:id="23">
    <w:p w:rsidR="00AE5B31" w:rsidRPr="008B5D84" w:rsidRDefault="00AE5B31" w:rsidP="00AE5B31">
      <w:pPr>
        <w:pStyle w:val="FootnoteText"/>
        <w:ind w:left="142" w:hanging="142"/>
      </w:pPr>
      <w:r>
        <w:rPr>
          <w:rStyle w:val="FootnoteReference"/>
        </w:rPr>
        <w:footnoteRef/>
      </w:r>
      <w:r>
        <w:t xml:space="preserve"> Es decir la reducción de la demanda puede ser en un porcentaje igual a cualquier número entre 0% y -10%. Misma lógica aplica para el análisis de los sobre-costos.</w:t>
      </w:r>
    </w:p>
  </w:footnote>
  <w:footnote w:id="24">
    <w:p w:rsidR="00AE5B31" w:rsidRPr="003216FE" w:rsidRDefault="00AE5B31" w:rsidP="00AE5B31">
      <w:pPr>
        <w:pStyle w:val="FootnoteText"/>
        <w:rPr>
          <w:lang w:val="es-CR"/>
        </w:rPr>
      </w:pPr>
      <w:r>
        <w:rPr>
          <w:rStyle w:val="FootnoteReference"/>
        </w:rPr>
        <w:footnoteRef/>
      </w:r>
      <w:r>
        <w:rPr>
          <w:lang w:val="es-CR"/>
        </w:rPr>
        <w:t>Utilizando Oracle Crystal Ball.</w:t>
      </w:r>
    </w:p>
  </w:footnote>
  <w:footnote w:id="25">
    <w:p w:rsidR="00AE5B31" w:rsidRPr="003216FE" w:rsidRDefault="00AE5B31" w:rsidP="00AE5B31">
      <w:pPr>
        <w:pStyle w:val="FootnoteText"/>
        <w:rPr>
          <w:lang w:val="es-CR"/>
        </w:rPr>
      </w:pPr>
      <w:r>
        <w:rPr>
          <w:rStyle w:val="FootnoteReference"/>
        </w:rPr>
        <w:footnoteRef/>
      </w:r>
      <w:r>
        <w:rPr>
          <w:lang w:val="es-CR"/>
        </w:rPr>
        <w:t>La distribución de probabilidad uniforme permite valorar potenciales escenarios futuros sin que medie un determinado sesgo hacia un lado u otro.</w:t>
      </w:r>
    </w:p>
  </w:footnote>
  <w:footnote w:id="26">
    <w:p w:rsidR="00AE5B31" w:rsidRPr="0007556B" w:rsidRDefault="00AE5B31" w:rsidP="00AE5B31">
      <w:pPr>
        <w:pStyle w:val="FootnoteText"/>
        <w:rPr>
          <w:lang w:val="es-CR"/>
        </w:rPr>
      </w:pPr>
      <w:r>
        <w:rPr>
          <w:rStyle w:val="FootnoteReference"/>
        </w:rPr>
        <w:footnoteRef/>
      </w:r>
      <w:r>
        <w:rPr>
          <w:lang w:val="es-CR"/>
        </w:rPr>
        <w:t>Propuesta anterior planteaba una inversión anual de US$6,262,546 versus US$1,252,509 aplicado como Caso Base en la presente Evaluación Económica.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0646038"/>
      <w:docPartObj>
        <w:docPartGallery w:val="Page Numbers (Top of Page)"/>
        <w:docPartUnique/>
      </w:docPartObj>
    </w:sdtPr>
    <w:sdtEndPr/>
    <w:sdtContent>
      <w:p w:rsidR="00AE5B31" w:rsidRDefault="00AE5B31">
        <w:pPr>
          <w:pStyle w:val="Header"/>
          <w:jc w:val="right"/>
        </w:pPr>
        <w:r>
          <w:fldChar w:fldCharType="begin"/>
        </w:r>
        <w:r>
          <w:instrText>PAGE   \* MERGEFORMAT</w:instrText>
        </w:r>
        <w:r>
          <w:fldChar w:fldCharType="separate"/>
        </w:r>
        <w:r w:rsidR="00EA4351" w:rsidRPr="00EA4351">
          <w:rPr>
            <w:noProof/>
            <w:lang w:val="es-ES"/>
          </w:rPr>
          <w:t>-</w:t>
        </w:r>
        <w:r w:rsidR="00EA4351">
          <w:rPr>
            <w:noProof/>
          </w:rPr>
          <w:t xml:space="preserve"> 6 -</w:t>
        </w:r>
        <w:r>
          <w:fldChar w:fldCharType="end"/>
        </w:r>
      </w:p>
    </w:sdtContent>
  </w:sdt>
  <w:p w:rsidR="00AE5B31" w:rsidRDefault="00AE5B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8788725"/>
      <w:docPartObj>
        <w:docPartGallery w:val="Page Numbers (Top of Page)"/>
        <w:docPartUnique/>
      </w:docPartObj>
    </w:sdtPr>
    <w:sdtEndPr/>
    <w:sdtContent>
      <w:p w:rsidR="00AE5B31" w:rsidRDefault="00AE5B31" w:rsidP="00FE6A09">
        <w:pPr>
          <w:pStyle w:val="Header"/>
          <w:tabs>
            <w:tab w:val="left" w:pos="14490"/>
          </w:tabs>
          <w:ind w:right="784"/>
          <w:jc w:val="right"/>
        </w:pPr>
        <w:r>
          <w:fldChar w:fldCharType="begin"/>
        </w:r>
        <w:r>
          <w:instrText>PAGE   \* MERGEFORMAT</w:instrText>
        </w:r>
        <w:r>
          <w:fldChar w:fldCharType="separate"/>
        </w:r>
        <w:r w:rsidR="00EA4351" w:rsidRPr="00EA4351">
          <w:rPr>
            <w:noProof/>
            <w:lang w:val="es-ES"/>
          </w:rPr>
          <w:t>-</w:t>
        </w:r>
        <w:r w:rsidR="00EA4351">
          <w:rPr>
            <w:noProof/>
          </w:rPr>
          <w:t xml:space="preserve"> 19 -</w:t>
        </w:r>
        <w:r>
          <w:fldChar w:fldCharType="end"/>
        </w:r>
      </w:p>
    </w:sdtContent>
  </w:sdt>
  <w:p w:rsidR="00AE5B31" w:rsidRDefault="00AE5B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AAF" w:rsidRDefault="00B515C3">
    <w:pPr>
      <w:pStyle w:val="Header"/>
      <w:jc w:val="right"/>
    </w:pPr>
    <w:r>
      <w:fldChar w:fldCharType="begin"/>
    </w:r>
    <w:r w:rsidR="008E2AAF">
      <w:instrText>PAGE   \* MERGEFORMAT</w:instrText>
    </w:r>
    <w:r>
      <w:fldChar w:fldCharType="separate"/>
    </w:r>
    <w:r w:rsidR="00EA4351" w:rsidRPr="00EA4351">
      <w:rPr>
        <w:noProof/>
        <w:lang w:val="es-ES"/>
      </w:rPr>
      <w:t>-</w:t>
    </w:r>
    <w:r w:rsidR="00EA4351">
      <w:rPr>
        <w:noProof/>
      </w:rPr>
      <w:t xml:space="preserve"> 48 -</w:t>
    </w:r>
    <w:r>
      <w:fldChar w:fldCharType="end"/>
    </w:r>
  </w:p>
  <w:p w:rsidR="008E2AAF" w:rsidRPr="009C3144" w:rsidRDefault="008E2AAF" w:rsidP="009C314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800954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DAB7FC9"/>
    <w:multiLevelType w:val="multilevel"/>
    <w:tmpl w:val="0656918C"/>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720"/>
        </w:tabs>
        <w:ind w:left="720" w:hanging="720"/>
      </w:pPr>
      <w:rPr>
        <w:rFonts w:hint="default"/>
        <w:b w:val="0"/>
        <w:i w:val="0"/>
        <w:color w:val="000000"/>
        <w:sz w:val="24"/>
        <w:szCs w:val="24"/>
      </w:rPr>
    </w:lvl>
    <w:lvl w:ilvl="2">
      <w:start w:val="1"/>
      <w:numFmt w:val="lowerLetter"/>
      <w:lvlText w:val="(%3)"/>
      <w:lvlJc w:val="left"/>
      <w:pPr>
        <w:tabs>
          <w:tab w:val="num" w:pos="648"/>
        </w:tabs>
        <w:ind w:left="648" w:hanging="360"/>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 w15:restartNumberingAfterBreak="0">
    <w:nsid w:val="105E1285"/>
    <w:multiLevelType w:val="hybridMultilevel"/>
    <w:tmpl w:val="F272B72A"/>
    <w:lvl w:ilvl="0" w:tplc="0FF21F74">
      <w:start w:val="1"/>
      <w:numFmt w:val="low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3" w15:restartNumberingAfterBreak="0">
    <w:nsid w:val="125D309A"/>
    <w:multiLevelType w:val="hybridMultilevel"/>
    <w:tmpl w:val="8B36FA80"/>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2C07B9F"/>
    <w:multiLevelType w:val="multilevel"/>
    <w:tmpl w:val="6F604570"/>
    <w:lvl w:ilvl="0">
      <w:start w:val="1"/>
      <w:numFmt w:val="decimal"/>
      <w:lvlText w:val="%1."/>
      <w:lvlJc w:val="left"/>
      <w:pPr>
        <w:tabs>
          <w:tab w:val="num" w:pos="705"/>
        </w:tabs>
        <w:ind w:left="705" w:hanging="705"/>
      </w:pPr>
      <w:rPr>
        <w:rFonts w:hint="default"/>
        <w:sz w:val="24"/>
        <w:szCs w:val="24"/>
      </w:rPr>
    </w:lvl>
    <w:lvl w:ilvl="1">
      <w:start w:val="1"/>
      <w:numFmt w:val="decimal"/>
      <w:isLgl/>
      <w:lvlText w:val="%1.%2"/>
      <w:lvlJc w:val="left"/>
      <w:pPr>
        <w:tabs>
          <w:tab w:val="num" w:pos="360"/>
        </w:tabs>
        <w:ind w:left="360" w:hanging="360"/>
      </w:pPr>
      <w:rPr>
        <w:rFonts w:ascii="Times New Roman" w:hAnsi="Times New Roman" w:cs="Times New Roman" w:hint="default"/>
        <w:b w:val="0"/>
        <w:color w:val="auto"/>
        <w:sz w:val="24"/>
        <w:szCs w:val="24"/>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162833CA"/>
    <w:multiLevelType w:val="hybridMultilevel"/>
    <w:tmpl w:val="D4265F9C"/>
    <w:lvl w:ilvl="0" w:tplc="118C98C8">
      <w:start w:val="1"/>
      <w:numFmt w:val="lowerLetter"/>
      <w:lvlText w:val="(%1)"/>
      <w:lvlJc w:val="left"/>
      <w:pPr>
        <w:tabs>
          <w:tab w:val="num" w:pos="1068"/>
        </w:tabs>
        <w:ind w:left="1068" w:hanging="360"/>
      </w:pPr>
      <w:rPr>
        <w:rFonts w:hint="default"/>
      </w:rPr>
    </w:lvl>
    <w:lvl w:ilvl="1" w:tplc="080A0019" w:tentative="1">
      <w:start w:val="1"/>
      <w:numFmt w:val="lowerLetter"/>
      <w:lvlText w:val="%2."/>
      <w:lvlJc w:val="left"/>
      <w:pPr>
        <w:tabs>
          <w:tab w:val="num" w:pos="1788"/>
        </w:tabs>
        <w:ind w:left="1788" w:hanging="360"/>
      </w:pPr>
    </w:lvl>
    <w:lvl w:ilvl="2" w:tplc="080A001B" w:tentative="1">
      <w:start w:val="1"/>
      <w:numFmt w:val="lowerRoman"/>
      <w:lvlText w:val="%3."/>
      <w:lvlJc w:val="right"/>
      <w:pPr>
        <w:tabs>
          <w:tab w:val="num" w:pos="2508"/>
        </w:tabs>
        <w:ind w:left="2508" w:hanging="180"/>
      </w:pPr>
    </w:lvl>
    <w:lvl w:ilvl="3" w:tplc="080A000F" w:tentative="1">
      <w:start w:val="1"/>
      <w:numFmt w:val="decimal"/>
      <w:lvlText w:val="%4."/>
      <w:lvlJc w:val="left"/>
      <w:pPr>
        <w:tabs>
          <w:tab w:val="num" w:pos="3228"/>
        </w:tabs>
        <w:ind w:left="3228" w:hanging="360"/>
      </w:pPr>
    </w:lvl>
    <w:lvl w:ilvl="4" w:tplc="080A0019" w:tentative="1">
      <w:start w:val="1"/>
      <w:numFmt w:val="lowerLetter"/>
      <w:lvlText w:val="%5."/>
      <w:lvlJc w:val="left"/>
      <w:pPr>
        <w:tabs>
          <w:tab w:val="num" w:pos="3948"/>
        </w:tabs>
        <w:ind w:left="3948" w:hanging="360"/>
      </w:pPr>
    </w:lvl>
    <w:lvl w:ilvl="5" w:tplc="080A001B" w:tentative="1">
      <w:start w:val="1"/>
      <w:numFmt w:val="lowerRoman"/>
      <w:lvlText w:val="%6."/>
      <w:lvlJc w:val="right"/>
      <w:pPr>
        <w:tabs>
          <w:tab w:val="num" w:pos="4668"/>
        </w:tabs>
        <w:ind w:left="4668" w:hanging="180"/>
      </w:pPr>
    </w:lvl>
    <w:lvl w:ilvl="6" w:tplc="080A000F" w:tentative="1">
      <w:start w:val="1"/>
      <w:numFmt w:val="decimal"/>
      <w:lvlText w:val="%7."/>
      <w:lvlJc w:val="left"/>
      <w:pPr>
        <w:tabs>
          <w:tab w:val="num" w:pos="5388"/>
        </w:tabs>
        <w:ind w:left="5388" w:hanging="360"/>
      </w:pPr>
    </w:lvl>
    <w:lvl w:ilvl="7" w:tplc="080A0019" w:tentative="1">
      <w:start w:val="1"/>
      <w:numFmt w:val="lowerLetter"/>
      <w:lvlText w:val="%8."/>
      <w:lvlJc w:val="left"/>
      <w:pPr>
        <w:tabs>
          <w:tab w:val="num" w:pos="6108"/>
        </w:tabs>
        <w:ind w:left="6108" w:hanging="360"/>
      </w:pPr>
    </w:lvl>
    <w:lvl w:ilvl="8" w:tplc="080A001B" w:tentative="1">
      <w:start w:val="1"/>
      <w:numFmt w:val="lowerRoman"/>
      <w:lvlText w:val="%9."/>
      <w:lvlJc w:val="right"/>
      <w:pPr>
        <w:tabs>
          <w:tab w:val="num" w:pos="6828"/>
        </w:tabs>
        <w:ind w:left="6828" w:hanging="180"/>
      </w:pPr>
    </w:lvl>
  </w:abstractNum>
  <w:abstractNum w:abstractNumId="6" w15:restartNumberingAfterBreak="0">
    <w:nsid w:val="19AB7565"/>
    <w:multiLevelType w:val="hybridMultilevel"/>
    <w:tmpl w:val="A522A90C"/>
    <w:lvl w:ilvl="0" w:tplc="33E42A50">
      <w:start w:val="1"/>
      <w:numFmt w:val="lowerLetter"/>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7" w15:restartNumberingAfterBreak="0">
    <w:nsid w:val="1BB5186E"/>
    <w:multiLevelType w:val="hybridMultilevel"/>
    <w:tmpl w:val="D9089748"/>
    <w:lvl w:ilvl="0" w:tplc="E15AC24E">
      <w:start w:val="1"/>
      <w:numFmt w:val="low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8" w15:restartNumberingAfterBreak="0">
    <w:nsid w:val="1DFD325B"/>
    <w:multiLevelType w:val="hybridMultilevel"/>
    <w:tmpl w:val="6CC0A170"/>
    <w:lvl w:ilvl="0" w:tplc="8D3E2EDE">
      <w:start w:val="1"/>
      <w:numFmt w:val="lowerLetter"/>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9" w15:restartNumberingAfterBreak="0">
    <w:nsid w:val="21741A53"/>
    <w:multiLevelType w:val="hybridMultilevel"/>
    <w:tmpl w:val="3144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252CBD"/>
    <w:multiLevelType w:val="hybridMultilevel"/>
    <w:tmpl w:val="48DA3F1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DD60DF8"/>
    <w:multiLevelType w:val="hybridMultilevel"/>
    <w:tmpl w:val="22E27D8A"/>
    <w:lvl w:ilvl="0" w:tplc="380A0015">
      <w:start w:val="1"/>
      <w:numFmt w:val="upp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2" w15:restartNumberingAfterBreak="0">
    <w:nsid w:val="42A62DD2"/>
    <w:multiLevelType w:val="hybridMultilevel"/>
    <w:tmpl w:val="2D742AB8"/>
    <w:lvl w:ilvl="0" w:tplc="63CA9CAE">
      <w:start w:val="1"/>
      <w:numFmt w:val="lowerLetter"/>
      <w:lvlText w:val="(%1)"/>
      <w:lvlJc w:val="left"/>
      <w:pPr>
        <w:tabs>
          <w:tab w:val="num" w:pos="1068"/>
        </w:tabs>
        <w:ind w:left="1068" w:hanging="360"/>
      </w:pPr>
      <w:rPr>
        <w:rFonts w:hint="default"/>
      </w:rPr>
    </w:lvl>
    <w:lvl w:ilvl="1" w:tplc="080A0019" w:tentative="1">
      <w:start w:val="1"/>
      <w:numFmt w:val="lowerLetter"/>
      <w:lvlText w:val="%2."/>
      <w:lvlJc w:val="left"/>
      <w:pPr>
        <w:tabs>
          <w:tab w:val="num" w:pos="1788"/>
        </w:tabs>
        <w:ind w:left="1788" w:hanging="360"/>
      </w:pPr>
    </w:lvl>
    <w:lvl w:ilvl="2" w:tplc="080A001B" w:tentative="1">
      <w:start w:val="1"/>
      <w:numFmt w:val="lowerRoman"/>
      <w:lvlText w:val="%3."/>
      <w:lvlJc w:val="right"/>
      <w:pPr>
        <w:tabs>
          <w:tab w:val="num" w:pos="2508"/>
        </w:tabs>
        <w:ind w:left="2508" w:hanging="180"/>
      </w:pPr>
    </w:lvl>
    <w:lvl w:ilvl="3" w:tplc="080A000F" w:tentative="1">
      <w:start w:val="1"/>
      <w:numFmt w:val="decimal"/>
      <w:lvlText w:val="%4."/>
      <w:lvlJc w:val="left"/>
      <w:pPr>
        <w:tabs>
          <w:tab w:val="num" w:pos="3228"/>
        </w:tabs>
        <w:ind w:left="3228" w:hanging="360"/>
      </w:pPr>
    </w:lvl>
    <w:lvl w:ilvl="4" w:tplc="080A0019" w:tentative="1">
      <w:start w:val="1"/>
      <w:numFmt w:val="lowerLetter"/>
      <w:lvlText w:val="%5."/>
      <w:lvlJc w:val="left"/>
      <w:pPr>
        <w:tabs>
          <w:tab w:val="num" w:pos="3948"/>
        </w:tabs>
        <w:ind w:left="3948" w:hanging="360"/>
      </w:pPr>
    </w:lvl>
    <w:lvl w:ilvl="5" w:tplc="080A001B" w:tentative="1">
      <w:start w:val="1"/>
      <w:numFmt w:val="lowerRoman"/>
      <w:lvlText w:val="%6."/>
      <w:lvlJc w:val="right"/>
      <w:pPr>
        <w:tabs>
          <w:tab w:val="num" w:pos="4668"/>
        </w:tabs>
        <w:ind w:left="4668" w:hanging="180"/>
      </w:pPr>
    </w:lvl>
    <w:lvl w:ilvl="6" w:tplc="080A000F" w:tentative="1">
      <w:start w:val="1"/>
      <w:numFmt w:val="decimal"/>
      <w:lvlText w:val="%7."/>
      <w:lvlJc w:val="left"/>
      <w:pPr>
        <w:tabs>
          <w:tab w:val="num" w:pos="5388"/>
        </w:tabs>
        <w:ind w:left="5388" w:hanging="360"/>
      </w:pPr>
    </w:lvl>
    <w:lvl w:ilvl="7" w:tplc="080A0019" w:tentative="1">
      <w:start w:val="1"/>
      <w:numFmt w:val="lowerLetter"/>
      <w:lvlText w:val="%8."/>
      <w:lvlJc w:val="left"/>
      <w:pPr>
        <w:tabs>
          <w:tab w:val="num" w:pos="6108"/>
        </w:tabs>
        <w:ind w:left="6108" w:hanging="360"/>
      </w:pPr>
    </w:lvl>
    <w:lvl w:ilvl="8" w:tplc="080A001B" w:tentative="1">
      <w:start w:val="1"/>
      <w:numFmt w:val="lowerRoman"/>
      <w:lvlText w:val="%9."/>
      <w:lvlJc w:val="right"/>
      <w:pPr>
        <w:tabs>
          <w:tab w:val="num" w:pos="6828"/>
        </w:tabs>
        <w:ind w:left="6828" w:hanging="180"/>
      </w:pPr>
    </w:lvl>
  </w:abstractNum>
  <w:abstractNum w:abstractNumId="13" w15:restartNumberingAfterBreak="0">
    <w:nsid w:val="43223234"/>
    <w:multiLevelType w:val="hybridMultilevel"/>
    <w:tmpl w:val="E988B16A"/>
    <w:lvl w:ilvl="0" w:tplc="04090001">
      <w:start w:val="1"/>
      <w:numFmt w:val="bullet"/>
      <w:lvlText w:val=""/>
      <w:lvlJc w:val="left"/>
      <w:pPr>
        <w:ind w:left="720" w:hanging="360"/>
      </w:pPr>
      <w:rPr>
        <w:rFonts w:ascii="Symbol" w:hAnsi="Symbol" w:hint="default"/>
      </w:rPr>
    </w:lvl>
    <w:lvl w:ilvl="1" w:tplc="000B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D924B0"/>
    <w:multiLevelType w:val="hybridMultilevel"/>
    <w:tmpl w:val="5DEA6288"/>
    <w:lvl w:ilvl="0" w:tplc="BC4091D6">
      <w:start w:val="1"/>
      <w:numFmt w:val="lowerLetter"/>
      <w:lvlText w:val="(%1)"/>
      <w:lvlJc w:val="left"/>
      <w:pPr>
        <w:tabs>
          <w:tab w:val="num" w:pos="1069"/>
        </w:tabs>
        <w:ind w:left="1069" w:hanging="360"/>
      </w:pPr>
      <w:rPr>
        <w:rFonts w:hint="default"/>
      </w:r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15" w15:restartNumberingAfterBreak="0">
    <w:nsid w:val="49AB7014"/>
    <w:multiLevelType w:val="hybridMultilevel"/>
    <w:tmpl w:val="EE9C85C0"/>
    <w:lvl w:ilvl="0" w:tplc="903E2B86">
      <w:start w:val="1"/>
      <w:numFmt w:val="decimal"/>
      <w:lvlText w:val="%1."/>
      <w:lvlJc w:val="left"/>
      <w:pPr>
        <w:ind w:left="720" w:hanging="360"/>
      </w:pPr>
      <w:rPr>
        <w:rFonts w:ascii="Times New Roman" w:hAnsi="Times New Roman" w:cs="Times New Roman"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095BB8"/>
    <w:multiLevelType w:val="multilevel"/>
    <w:tmpl w:val="4CC6AA8C"/>
    <w:lvl w:ilvl="0">
      <w:start w:val="1"/>
      <w:numFmt w:val="decimal"/>
      <w:lvlText w:val="%1."/>
      <w:lvlJc w:val="left"/>
      <w:pPr>
        <w:ind w:left="720" w:hanging="360"/>
      </w:pPr>
      <w:rPr>
        <w:rFonts w:hint="default"/>
        <w:sz w:val="24"/>
        <w:szCs w:val="24"/>
      </w:rPr>
    </w:lvl>
    <w:lvl w:ilvl="1">
      <w:start w:val="1"/>
      <w:numFmt w:val="decimal"/>
      <w:isLgl/>
      <w:lvlText w:val="%1.%2"/>
      <w:lvlJc w:val="left"/>
      <w:pPr>
        <w:ind w:left="1068" w:hanging="708"/>
      </w:pPr>
      <w:rPr>
        <w:rFonts w:ascii="Times New Roman" w:hAnsi="Times New Roman" w:cs="Times New Roman" w:hint="default"/>
        <w:b w:val="0"/>
        <w:sz w:val="24"/>
        <w:szCs w:val="24"/>
      </w:rPr>
    </w:lvl>
    <w:lvl w:ilvl="2">
      <w:start w:val="1"/>
      <w:numFmt w:val="decimal"/>
      <w:isLgl/>
      <w:lvlText w:val="%1.%2.%3"/>
      <w:lvlJc w:val="left"/>
      <w:pPr>
        <w:ind w:left="143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B8313F2"/>
    <w:multiLevelType w:val="hybridMultilevel"/>
    <w:tmpl w:val="E68C0436"/>
    <w:lvl w:ilvl="0" w:tplc="53764B9A">
      <w:start w:val="1"/>
      <w:numFmt w:val="lowerLetter"/>
      <w:lvlText w:val="(%1)"/>
      <w:lvlJc w:val="left"/>
      <w:pPr>
        <w:tabs>
          <w:tab w:val="num" w:pos="1068"/>
        </w:tabs>
        <w:ind w:left="1068" w:hanging="360"/>
      </w:pPr>
      <w:rPr>
        <w:rFonts w:hint="default"/>
      </w:rPr>
    </w:lvl>
    <w:lvl w:ilvl="1" w:tplc="080A0019" w:tentative="1">
      <w:start w:val="1"/>
      <w:numFmt w:val="lowerLetter"/>
      <w:lvlText w:val="%2."/>
      <w:lvlJc w:val="left"/>
      <w:pPr>
        <w:tabs>
          <w:tab w:val="num" w:pos="1788"/>
        </w:tabs>
        <w:ind w:left="1788" w:hanging="360"/>
      </w:pPr>
    </w:lvl>
    <w:lvl w:ilvl="2" w:tplc="080A001B" w:tentative="1">
      <w:start w:val="1"/>
      <w:numFmt w:val="lowerRoman"/>
      <w:lvlText w:val="%3."/>
      <w:lvlJc w:val="right"/>
      <w:pPr>
        <w:tabs>
          <w:tab w:val="num" w:pos="2508"/>
        </w:tabs>
        <w:ind w:left="2508" w:hanging="180"/>
      </w:pPr>
    </w:lvl>
    <w:lvl w:ilvl="3" w:tplc="080A000F" w:tentative="1">
      <w:start w:val="1"/>
      <w:numFmt w:val="decimal"/>
      <w:lvlText w:val="%4."/>
      <w:lvlJc w:val="left"/>
      <w:pPr>
        <w:tabs>
          <w:tab w:val="num" w:pos="3228"/>
        </w:tabs>
        <w:ind w:left="3228" w:hanging="360"/>
      </w:pPr>
    </w:lvl>
    <w:lvl w:ilvl="4" w:tplc="080A0019" w:tentative="1">
      <w:start w:val="1"/>
      <w:numFmt w:val="lowerLetter"/>
      <w:lvlText w:val="%5."/>
      <w:lvlJc w:val="left"/>
      <w:pPr>
        <w:tabs>
          <w:tab w:val="num" w:pos="3948"/>
        </w:tabs>
        <w:ind w:left="3948" w:hanging="360"/>
      </w:pPr>
    </w:lvl>
    <w:lvl w:ilvl="5" w:tplc="080A001B" w:tentative="1">
      <w:start w:val="1"/>
      <w:numFmt w:val="lowerRoman"/>
      <w:lvlText w:val="%6."/>
      <w:lvlJc w:val="right"/>
      <w:pPr>
        <w:tabs>
          <w:tab w:val="num" w:pos="4668"/>
        </w:tabs>
        <w:ind w:left="4668" w:hanging="180"/>
      </w:pPr>
    </w:lvl>
    <w:lvl w:ilvl="6" w:tplc="080A000F" w:tentative="1">
      <w:start w:val="1"/>
      <w:numFmt w:val="decimal"/>
      <w:lvlText w:val="%7."/>
      <w:lvlJc w:val="left"/>
      <w:pPr>
        <w:tabs>
          <w:tab w:val="num" w:pos="5388"/>
        </w:tabs>
        <w:ind w:left="5388" w:hanging="360"/>
      </w:pPr>
    </w:lvl>
    <w:lvl w:ilvl="7" w:tplc="080A0019" w:tentative="1">
      <w:start w:val="1"/>
      <w:numFmt w:val="lowerLetter"/>
      <w:lvlText w:val="%8."/>
      <w:lvlJc w:val="left"/>
      <w:pPr>
        <w:tabs>
          <w:tab w:val="num" w:pos="6108"/>
        </w:tabs>
        <w:ind w:left="6108" w:hanging="360"/>
      </w:pPr>
    </w:lvl>
    <w:lvl w:ilvl="8" w:tplc="080A001B" w:tentative="1">
      <w:start w:val="1"/>
      <w:numFmt w:val="lowerRoman"/>
      <w:lvlText w:val="%9."/>
      <w:lvlJc w:val="right"/>
      <w:pPr>
        <w:tabs>
          <w:tab w:val="num" w:pos="6828"/>
        </w:tabs>
        <w:ind w:left="6828" w:hanging="180"/>
      </w:pPr>
    </w:lvl>
  </w:abstractNum>
  <w:abstractNum w:abstractNumId="18" w15:restartNumberingAfterBreak="0">
    <w:nsid w:val="4D3C2D42"/>
    <w:multiLevelType w:val="hybridMultilevel"/>
    <w:tmpl w:val="EF16DA80"/>
    <w:lvl w:ilvl="0" w:tplc="01FC8306">
      <w:start w:val="1"/>
      <w:numFmt w:val="lowerLetter"/>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19" w15:restartNumberingAfterBreak="0">
    <w:nsid w:val="4D725FAD"/>
    <w:multiLevelType w:val="hybridMultilevel"/>
    <w:tmpl w:val="517C60F8"/>
    <w:lvl w:ilvl="0" w:tplc="FA8A0824">
      <w:start w:val="1"/>
      <w:numFmt w:val="bullet"/>
      <w:lvlText w:val=""/>
      <w:lvlJc w:val="left"/>
      <w:pPr>
        <w:ind w:left="720" w:hanging="360"/>
      </w:pPr>
      <w:rPr>
        <w:rFonts w:ascii="Wingdings 3" w:hAnsi="Wingdings 3" w:hint="default"/>
      </w:rPr>
    </w:lvl>
    <w:lvl w:ilvl="1" w:tplc="5BEE2CB2"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5BBE42D1"/>
    <w:multiLevelType w:val="hybridMultilevel"/>
    <w:tmpl w:val="82EAED06"/>
    <w:lvl w:ilvl="0" w:tplc="988255B6">
      <w:start w:val="1"/>
      <w:numFmt w:val="lowerLetter"/>
      <w:lvlText w:val="(%1)"/>
      <w:lvlJc w:val="left"/>
      <w:pPr>
        <w:tabs>
          <w:tab w:val="num" w:pos="1069"/>
        </w:tabs>
        <w:ind w:left="1069" w:hanging="360"/>
      </w:pPr>
      <w:rPr>
        <w:rFonts w:hint="default"/>
      </w:r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21" w15:restartNumberingAfterBreak="0">
    <w:nsid w:val="6AA93266"/>
    <w:multiLevelType w:val="hybridMultilevel"/>
    <w:tmpl w:val="582A98D0"/>
    <w:lvl w:ilvl="0" w:tplc="5B149F80">
      <w:start w:val="1"/>
      <w:numFmt w:val="low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22" w15:restartNumberingAfterBreak="0">
    <w:nsid w:val="762A7CBE"/>
    <w:multiLevelType w:val="multilevel"/>
    <w:tmpl w:val="7E6A0DF6"/>
    <w:lvl w:ilvl="0">
      <w:start w:val="1"/>
      <w:numFmt w:val="decimal"/>
      <w:lvlText w:val="%1."/>
      <w:lvlJc w:val="left"/>
      <w:pPr>
        <w:tabs>
          <w:tab w:val="num" w:pos="705"/>
        </w:tabs>
        <w:ind w:left="705" w:hanging="705"/>
      </w:pPr>
      <w:rPr>
        <w:rFonts w:hint="default"/>
        <w:sz w:val="24"/>
        <w:szCs w:val="24"/>
      </w:rPr>
    </w:lvl>
    <w:lvl w:ilvl="1">
      <w:start w:val="1"/>
      <w:numFmt w:val="decimal"/>
      <w:isLgl/>
      <w:lvlText w:val="%1.%2"/>
      <w:lvlJc w:val="left"/>
      <w:pPr>
        <w:tabs>
          <w:tab w:val="num" w:pos="360"/>
        </w:tabs>
        <w:ind w:left="360" w:hanging="360"/>
      </w:pPr>
      <w:rPr>
        <w:rFonts w:ascii="Times New Roman" w:hAnsi="Times New Roman" w:cs="Times New Roman" w:hint="default"/>
        <w:b w:val="0"/>
        <w:sz w:val="24"/>
        <w:szCs w:val="24"/>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3" w15:restartNumberingAfterBreak="0">
    <w:nsid w:val="793E04C8"/>
    <w:multiLevelType w:val="hybridMultilevel"/>
    <w:tmpl w:val="EC1C8BD6"/>
    <w:lvl w:ilvl="0" w:tplc="0C0A0015">
      <w:start w:val="1"/>
      <w:numFmt w:val="upp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797A05FB"/>
    <w:multiLevelType w:val="multilevel"/>
    <w:tmpl w:val="4BA42D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12"/>
  </w:num>
  <w:num w:numId="4">
    <w:abstractNumId w:val="17"/>
  </w:num>
  <w:num w:numId="5">
    <w:abstractNumId w:val="14"/>
  </w:num>
  <w:num w:numId="6">
    <w:abstractNumId w:val="20"/>
  </w:num>
  <w:num w:numId="7">
    <w:abstractNumId w:val="5"/>
  </w:num>
  <w:num w:numId="8">
    <w:abstractNumId w:val="0"/>
  </w:num>
  <w:num w:numId="9">
    <w:abstractNumId w:val="9"/>
  </w:num>
  <w:num w:numId="10">
    <w:abstractNumId w:val="18"/>
  </w:num>
  <w:num w:numId="11">
    <w:abstractNumId w:val="11"/>
  </w:num>
  <w:num w:numId="12">
    <w:abstractNumId w:val="16"/>
  </w:num>
  <w:num w:numId="13">
    <w:abstractNumId w:val="6"/>
  </w:num>
  <w:num w:numId="14">
    <w:abstractNumId w:val="8"/>
  </w:num>
  <w:num w:numId="15">
    <w:abstractNumId w:val="22"/>
  </w:num>
  <w:num w:numId="16">
    <w:abstractNumId w:val="21"/>
  </w:num>
  <w:num w:numId="17">
    <w:abstractNumId w:val="24"/>
  </w:num>
  <w:num w:numId="18">
    <w:abstractNumId w:val="2"/>
  </w:num>
  <w:num w:numId="19">
    <w:abstractNumId w:val="10"/>
  </w:num>
  <w:num w:numId="20">
    <w:abstractNumId w:val="7"/>
  </w:num>
  <w:num w:numId="21">
    <w:abstractNumId w:val="3"/>
  </w:num>
  <w:num w:numId="22">
    <w:abstractNumId w:val="1"/>
  </w:num>
  <w:num w:numId="23">
    <w:abstractNumId w:val="23"/>
  </w:num>
  <w:num w:numId="24">
    <w:abstractNumId w:val="19"/>
  </w:num>
  <w:num w:numId="25">
    <w:abstractNumId w:val="15"/>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D9D"/>
    <w:rsid w:val="000013D5"/>
    <w:rsid w:val="00004BB0"/>
    <w:rsid w:val="00004E48"/>
    <w:rsid w:val="000066C2"/>
    <w:rsid w:val="000074D5"/>
    <w:rsid w:val="000076EC"/>
    <w:rsid w:val="00010060"/>
    <w:rsid w:val="00010845"/>
    <w:rsid w:val="00010E29"/>
    <w:rsid w:val="0001159C"/>
    <w:rsid w:val="00011D8F"/>
    <w:rsid w:val="0001331E"/>
    <w:rsid w:val="00015A85"/>
    <w:rsid w:val="0001661C"/>
    <w:rsid w:val="00017BD5"/>
    <w:rsid w:val="00020460"/>
    <w:rsid w:val="00021326"/>
    <w:rsid w:val="0002287C"/>
    <w:rsid w:val="0002450A"/>
    <w:rsid w:val="00024BBB"/>
    <w:rsid w:val="00025123"/>
    <w:rsid w:val="00025C20"/>
    <w:rsid w:val="00025F87"/>
    <w:rsid w:val="0002729D"/>
    <w:rsid w:val="000276AF"/>
    <w:rsid w:val="00027A69"/>
    <w:rsid w:val="00027E1E"/>
    <w:rsid w:val="00030F26"/>
    <w:rsid w:val="000314EC"/>
    <w:rsid w:val="0003154C"/>
    <w:rsid w:val="00031B7B"/>
    <w:rsid w:val="00033278"/>
    <w:rsid w:val="00034441"/>
    <w:rsid w:val="00034825"/>
    <w:rsid w:val="00035EB4"/>
    <w:rsid w:val="0003646F"/>
    <w:rsid w:val="0003695C"/>
    <w:rsid w:val="00036FEF"/>
    <w:rsid w:val="00037770"/>
    <w:rsid w:val="0003778E"/>
    <w:rsid w:val="000403B5"/>
    <w:rsid w:val="0004404B"/>
    <w:rsid w:val="00044327"/>
    <w:rsid w:val="000454FF"/>
    <w:rsid w:val="00045D33"/>
    <w:rsid w:val="00045EBF"/>
    <w:rsid w:val="00046225"/>
    <w:rsid w:val="00046610"/>
    <w:rsid w:val="00046A62"/>
    <w:rsid w:val="000529E4"/>
    <w:rsid w:val="00052AF2"/>
    <w:rsid w:val="00055853"/>
    <w:rsid w:val="0006088F"/>
    <w:rsid w:val="000610BF"/>
    <w:rsid w:val="0006140E"/>
    <w:rsid w:val="00061C8A"/>
    <w:rsid w:val="00061FA9"/>
    <w:rsid w:val="00064C1A"/>
    <w:rsid w:val="00066F64"/>
    <w:rsid w:val="000741C1"/>
    <w:rsid w:val="00074A5B"/>
    <w:rsid w:val="0007556B"/>
    <w:rsid w:val="000759F9"/>
    <w:rsid w:val="00075A35"/>
    <w:rsid w:val="000776E4"/>
    <w:rsid w:val="000813E5"/>
    <w:rsid w:val="00081976"/>
    <w:rsid w:val="00082FC3"/>
    <w:rsid w:val="0008320B"/>
    <w:rsid w:val="00083CAD"/>
    <w:rsid w:val="000843EB"/>
    <w:rsid w:val="00084A4E"/>
    <w:rsid w:val="00084C20"/>
    <w:rsid w:val="00086D29"/>
    <w:rsid w:val="0008734A"/>
    <w:rsid w:val="00090609"/>
    <w:rsid w:val="000909C9"/>
    <w:rsid w:val="00091D1D"/>
    <w:rsid w:val="0009227A"/>
    <w:rsid w:val="000927DB"/>
    <w:rsid w:val="000933A2"/>
    <w:rsid w:val="00095163"/>
    <w:rsid w:val="000A0343"/>
    <w:rsid w:val="000A3543"/>
    <w:rsid w:val="000A3DEA"/>
    <w:rsid w:val="000A4A14"/>
    <w:rsid w:val="000A5F60"/>
    <w:rsid w:val="000A677B"/>
    <w:rsid w:val="000A68E0"/>
    <w:rsid w:val="000A77E4"/>
    <w:rsid w:val="000A7A8A"/>
    <w:rsid w:val="000B08D4"/>
    <w:rsid w:val="000B133A"/>
    <w:rsid w:val="000B14C8"/>
    <w:rsid w:val="000B2B26"/>
    <w:rsid w:val="000B3089"/>
    <w:rsid w:val="000B39D5"/>
    <w:rsid w:val="000B459F"/>
    <w:rsid w:val="000B47B2"/>
    <w:rsid w:val="000B640F"/>
    <w:rsid w:val="000B748E"/>
    <w:rsid w:val="000C0623"/>
    <w:rsid w:val="000C17A2"/>
    <w:rsid w:val="000C240A"/>
    <w:rsid w:val="000C2DDB"/>
    <w:rsid w:val="000C3AC2"/>
    <w:rsid w:val="000C4141"/>
    <w:rsid w:val="000C44D1"/>
    <w:rsid w:val="000C4E99"/>
    <w:rsid w:val="000C5CF1"/>
    <w:rsid w:val="000C62FA"/>
    <w:rsid w:val="000C725C"/>
    <w:rsid w:val="000D027B"/>
    <w:rsid w:val="000D057A"/>
    <w:rsid w:val="000D1A1E"/>
    <w:rsid w:val="000D6973"/>
    <w:rsid w:val="000D6A0A"/>
    <w:rsid w:val="000D6EA4"/>
    <w:rsid w:val="000D7061"/>
    <w:rsid w:val="000D7391"/>
    <w:rsid w:val="000E0F87"/>
    <w:rsid w:val="000E3A9C"/>
    <w:rsid w:val="000E40F9"/>
    <w:rsid w:val="000E51EF"/>
    <w:rsid w:val="000E5869"/>
    <w:rsid w:val="000E5A9C"/>
    <w:rsid w:val="000E65E3"/>
    <w:rsid w:val="000E70B6"/>
    <w:rsid w:val="000E7A9E"/>
    <w:rsid w:val="000F082D"/>
    <w:rsid w:val="000F0C37"/>
    <w:rsid w:val="000F1B26"/>
    <w:rsid w:val="000F24A7"/>
    <w:rsid w:val="000F376C"/>
    <w:rsid w:val="000F4023"/>
    <w:rsid w:val="000F5769"/>
    <w:rsid w:val="000F7F38"/>
    <w:rsid w:val="00100868"/>
    <w:rsid w:val="0010165A"/>
    <w:rsid w:val="0010224E"/>
    <w:rsid w:val="00102998"/>
    <w:rsid w:val="00102E7F"/>
    <w:rsid w:val="0010308A"/>
    <w:rsid w:val="00104623"/>
    <w:rsid w:val="001047A7"/>
    <w:rsid w:val="0010577B"/>
    <w:rsid w:val="0010600A"/>
    <w:rsid w:val="00106F8D"/>
    <w:rsid w:val="00110205"/>
    <w:rsid w:val="0011070C"/>
    <w:rsid w:val="00111A95"/>
    <w:rsid w:val="0011205B"/>
    <w:rsid w:val="00112513"/>
    <w:rsid w:val="00115EBF"/>
    <w:rsid w:val="0011718B"/>
    <w:rsid w:val="0011797F"/>
    <w:rsid w:val="00117E45"/>
    <w:rsid w:val="00121863"/>
    <w:rsid w:val="00122932"/>
    <w:rsid w:val="001230C9"/>
    <w:rsid w:val="00123EAC"/>
    <w:rsid w:val="001251D0"/>
    <w:rsid w:val="0012644B"/>
    <w:rsid w:val="001276D0"/>
    <w:rsid w:val="001315FF"/>
    <w:rsid w:val="00132487"/>
    <w:rsid w:val="001324DF"/>
    <w:rsid w:val="001325D1"/>
    <w:rsid w:val="00133CDE"/>
    <w:rsid w:val="00134704"/>
    <w:rsid w:val="00134777"/>
    <w:rsid w:val="00135251"/>
    <w:rsid w:val="00135D58"/>
    <w:rsid w:val="00136C53"/>
    <w:rsid w:val="001377A0"/>
    <w:rsid w:val="001407A3"/>
    <w:rsid w:val="00140DDF"/>
    <w:rsid w:val="00143303"/>
    <w:rsid w:val="001435E0"/>
    <w:rsid w:val="0014499F"/>
    <w:rsid w:val="00145F28"/>
    <w:rsid w:val="00146CAA"/>
    <w:rsid w:val="00150F72"/>
    <w:rsid w:val="001514B3"/>
    <w:rsid w:val="00151F12"/>
    <w:rsid w:val="00155383"/>
    <w:rsid w:val="00155F13"/>
    <w:rsid w:val="001576AB"/>
    <w:rsid w:val="00161A7E"/>
    <w:rsid w:val="00163EDF"/>
    <w:rsid w:val="00164470"/>
    <w:rsid w:val="001667D4"/>
    <w:rsid w:val="001668F1"/>
    <w:rsid w:val="0017149F"/>
    <w:rsid w:val="00173734"/>
    <w:rsid w:val="0017381F"/>
    <w:rsid w:val="00173F5D"/>
    <w:rsid w:val="00175714"/>
    <w:rsid w:val="00176ABA"/>
    <w:rsid w:val="00177F27"/>
    <w:rsid w:val="00182F21"/>
    <w:rsid w:val="0018315E"/>
    <w:rsid w:val="00183EAA"/>
    <w:rsid w:val="001840B4"/>
    <w:rsid w:val="001850BC"/>
    <w:rsid w:val="00185302"/>
    <w:rsid w:val="001853C9"/>
    <w:rsid w:val="00186139"/>
    <w:rsid w:val="00192759"/>
    <w:rsid w:val="00192B15"/>
    <w:rsid w:val="001945E9"/>
    <w:rsid w:val="0019618A"/>
    <w:rsid w:val="0019772D"/>
    <w:rsid w:val="001A0387"/>
    <w:rsid w:val="001A03AA"/>
    <w:rsid w:val="001A0525"/>
    <w:rsid w:val="001A0EFE"/>
    <w:rsid w:val="001A1E8F"/>
    <w:rsid w:val="001A2601"/>
    <w:rsid w:val="001A29BF"/>
    <w:rsid w:val="001A5363"/>
    <w:rsid w:val="001A6605"/>
    <w:rsid w:val="001B1B4F"/>
    <w:rsid w:val="001B1C13"/>
    <w:rsid w:val="001B1CD2"/>
    <w:rsid w:val="001B1CF2"/>
    <w:rsid w:val="001B2FCE"/>
    <w:rsid w:val="001B310C"/>
    <w:rsid w:val="001B34A5"/>
    <w:rsid w:val="001B406B"/>
    <w:rsid w:val="001B408B"/>
    <w:rsid w:val="001B50A6"/>
    <w:rsid w:val="001B5298"/>
    <w:rsid w:val="001B5719"/>
    <w:rsid w:val="001B643E"/>
    <w:rsid w:val="001B6847"/>
    <w:rsid w:val="001B6E9D"/>
    <w:rsid w:val="001B7F4A"/>
    <w:rsid w:val="001C18C4"/>
    <w:rsid w:val="001C1AB4"/>
    <w:rsid w:val="001C5F1A"/>
    <w:rsid w:val="001C6D5F"/>
    <w:rsid w:val="001C6F79"/>
    <w:rsid w:val="001C75E6"/>
    <w:rsid w:val="001C7E5E"/>
    <w:rsid w:val="001D1DBE"/>
    <w:rsid w:val="001D1E05"/>
    <w:rsid w:val="001D1F39"/>
    <w:rsid w:val="001D3869"/>
    <w:rsid w:val="001D566B"/>
    <w:rsid w:val="001D7EFE"/>
    <w:rsid w:val="001E099A"/>
    <w:rsid w:val="001E0E17"/>
    <w:rsid w:val="001E1941"/>
    <w:rsid w:val="001E2F0C"/>
    <w:rsid w:val="001E4C1B"/>
    <w:rsid w:val="001E4C3B"/>
    <w:rsid w:val="001E5767"/>
    <w:rsid w:val="001E71C0"/>
    <w:rsid w:val="001F1965"/>
    <w:rsid w:val="001F3A3C"/>
    <w:rsid w:val="001F48C0"/>
    <w:rsid w:val="001F4BE7"/>
    <w:rsid w:val="001F58DA"/>
    <w:rsid w:val="001F5C13"/>
    <w:rsid w:val="001F66D7"/>
    <w:rsid w:val="001F6B57"/>
    <w:rsid w:val="0020221E"/>
    <w:rsid w:val="00203795"/>
    <w:rsid w:val="0020563B"/>
    <w:rsid w:val="0020597A"/>
    <w:rsid w:val="002065D1"/>
    <w:rsid w:val="002072FD"/>
    <w:rsid w:val="00207664"/>
    <w:rsid w:val="002105FE"/>
    <w:rsid w:val="00210778"/>
    <w:rsid w:val="00210D40"/>
    <w:rsid w:val="0021123F"/>
    <w:rsid w:val="002122AF"/>
    <w:rsid w:val="002141BB"/>
    <w:rsid w:val="002145B2"/>
    <w:rsid w:val="00214678"/>
    <w:rsid w:val="00215198"/>
    <w:rsid w:val="0021591B"/>
    <w:rsid w:val="00215C03"/>
    <w:rsid w:val="00220C05"/>
    <w:rsid w:val="00221B00"/>
    <w:rsid w:val="00221B5C"/>
    <w:rsid w:val="002236AF"/>
    <w:rsid w:val="00223852"/>
    <w:rsid w:val="00223A65"/>
    <w:rsid w:val="00223F7F"/>
    <w:rsid w:val="002240D7"/>
    <w:rsid w:val="002260FB"/>
    <w:rsid w:val="00226DF2"/>
    <w:rsid w:val="00227489"/>
    <w:rsid w:val="0022750B"/>
    <w:rsid w:val="00227F0F"/>
    <w:rsid w:val="00231270"/>
    <w:rsid w:val="00232C77"/>
    <w:rsid w:val="00232C7C"/>
    <w:rsid w:val="002330DC"/>
    <w:rsid w:val="00233384"/>
    <w:rsid w:val="002335B2"/>
    <w:rsid w:val="0023374B"/>
    <w:rsid w:val="002346B0"/>
    <w:rsid w:val="0023597C"/>
    <w:rsid w:val="00237A40"/>
    <w:rsid w:val="00241A1F"/>
    <w:rsid w:val="00241B24"/>
    <w:rsid w:val="00243202"/>
    <w:rsid w:val="002434B7"/>
    <w:rsid w:val="00244C99"/>
    <w:rsid w:val="002465ED"/>
    <w:rsid w:val="0024721B"/>
    <w:rsid w:val="0024755C"/>
    <w:rsid w:val="00247B97"/>
    <w:rsid w:val="00247F41"/>
    <w:rsid w:val="00250D30"/>
    <w:rsid w:val="00253086"/>
    <w:rsid w:val="00253C2C"/>
    <w:rsid w:val="0025447C"/>
    <w:rsid w:val="002544CC"/>
    <w:rsid w:val="00255A56"/>
    <w:rsid w:val="0025768E"/>
    <w:rsid w:val="00260A92"/>
    <w:rsid w:val="00264420"/>
    <w:rsid w:val="0026563B"/>
    <w:rsid w:val="00265988"/>
    <w:rsid w:val="00265FF5"/>
    <w:rsid w:val="00266341"/>
    <w:rsid w:val="002711F7"/>
    <w:rsid w:val="00273C4D"/>
    <w:rsid w:val="002743B4"/>
    <w:rsid w:val="002765B0"/>
    <w:rsid w:val="0027671D"/>
    <w:rsid w:val="002817A8"/>
    <w:rsid w:val="00281851"/>
    <w:rsid w:val="00282780"/>
    <w:rsid w:val="00283981"/>
    <w:rsid w:val="00284FA9"/>
    <w:rsid w:val="00285103"/>
    <w:rsid w:val="00287770"/>
    <w:rsid w:val="00287B53"/>
    <w:rsid w:val="00287CCD"/>
    <w:rsid w:val="00287EA0"/>
    <w:rsid w:val="00290FD6"/>
    <w:rsid w:val="00291C08"/>
    <w:rsid w:val="0029325D"/>
    <w:rsid w:val="00293324"/>
    <w:rsid w:val="00296D26"/>
    <w:rsid w:val="00297064"/>
    <w:rsid w:val="0029787F"/>
    <w:rsid w:val="002A0A9E"/>
    <w:rsid w:val="002A1910"/>
    <w:rsid w:val="002A1C43"/>
    <w:rsid w:val="002A2EED"/>
    <w:rsid w:val="002A3EAD"/>
    <w:rsid w:val="002A41C7"/>
    <w:rsid w:val="002A5583"/>
    <w:rsid w:val="002A62F3"/>
    <w:rsid w:val="002A64CB"/>
    <w:rsid w:val="002A70EA"/>
    <w:rsid w:val="002A74B9"/>
    <w:rsid w:val="002A7E92"/>
    <w:rsid w:val="002A7F11"/>
    <w:rsid w:val="002B1F05"/>
    <w:rsid w:val="002B23B8"/>
    <w:rsid w:val="002B2565"/>
    <w:rsid w:val="002B262D"/>
    <w:rsid w:val="002B266F"/>
    <w:rsid w:val="002B53AD"/>
    <w:rsid w:val="002B64C3"/>
    <w:rsid w:val="002B6FAB"/>
    <w:rsid w:val="002C126B"/>
    <w:rsid w:val="002C14C0"/>
    <w:rsid w:val="002C3423"/>
    <w:rsid w:val="002C359A"/>
    <w:rsid w:val="002C433C"/>
    <w:rsid w:val="002C4946"/>
    <w:rsid w:val="002C64E2"/>
    <w:rsid w:val="002C6645"/>
    <w:rsid w:val="002C6D85"/>
    <w:rsid w:val="002C7110"/>
    <w:rsid w:val="002C7CAD"/>
    <w:rsid w:val="002D080B"/>
    <w:rsid w:val="002D1229"/>
    <w:rsid w:val="002D3DC9"/>
    <w:rsid w:val="002D4841"/>
    <w:rsid w:val="002D68E6"/>
    <w:rsid w:val="002D6F0E"/>
    <w:rsid w:val="002D7268"/>
    <w:rsid w:val="002E125B"/>
    <w:rsid w:val="002E3264"/>
    <w:rsid w:val="002E3E5D"/>
    <w:rsid w:val="002E577C"/>
    <w:rsid w:val="002E5BC2"/>
    <w:rsid w:val="002E5F18"/>
    <w:rsid w:val="002E79C0"/>
    <w:rsid w:val="002F0B63"/>
    <w:rsid w:val="002F1D02"/>
    <w:rsid w:val="002F2731"/>
    <w:rsid w:val="002F2B65"/>
    <w:rsid w:val="002F2CD7"/>
    <w:rsid w:val="002F2E1F"/>
    <w:rsid w:val="002F54EC"/>
    <w:rsid w:val="002F5A03"/>
    <w:rsid w:val="002F5A40"/>
    <w:rsid w:val="002F758F"/>
    <w:rsid w:val="002F7DAC"/>
    <w:rsid w:val="0030075C"/>
    <w:rsid w:val="003026AC"/>
    <w:rsid w:val="00303C03"/>
    <w:rsid w:val="00304E0D"/>
    <w:rsid w:val="00310C3F"/>
    <w:rsid w:val="00311AAD"/>
    <w:rsid w:val="00312472"/>
    <w:rsid w:val="0031299E"/>
    <w:rsid w:val="00312B26"/>
    <w:rsid w:val="0031337D"/>
    <w:rsid w:val="003141A1"/>
    <w:rsid w:val="003145BE"/>
    <w:rsid w:val="00314906"/>
    <w:rsid w:val="0031572B"/>
    <w:rsid w:val="00315776"/>
    <w:rsid w:val="003161BD"/>
    <w:rsid w:val="003168E3"/>
    <w:rsid w:val="003204D5"/>
    <w:rsid w:val="00321560"/>
    <w:rsid w:val="003216FE"/>
    <w:rsid w:val="00322CC9"/>
    <w:rsid w:val="0032337F"/>
    <w:rsid w:val="00323742"/>
    <w:rsid w:val="003238BA"/>
    <w:rsid w:val="00324200"/>
    <w:rsid w:val="003263D3"/>
    <w:rsid w:val="00327D26"/>
    <w:rsid w:val="003313B1"/>
    <w:rsid w:val="003313FF"/>
    <w:rsid w:val="00331A46"/>
    <w:rsid w:val="00332E12"/>
    <w:rsid w:val="00333393"/>
    <w:rsid w:val="00333E1A"/>
    <w:rsid w:val="003407CB"/>
    <w:rsid w:val="00342055"/>
    <w:rsid w:val="00342573"/>
    <w:rsid w:val="003433FE"/>
    <w:rsid w:val="00344C8F"/>
    <w:rsid w:val="00345541"/>
    <w:rsid w:val="00345AEF"/>
    <w:rsid w:val="00346DBC"/>
    <w:rsid w:val="003475BD"/>
    <w:rsid w:val="00347D8B"/>
    <w:rsid w:val="00350C43"/>
    <w:rsid w:val="003513F6"/>
    <w:rsid w:val="00351D10"/>
    <w:rsid w:val="00352F00"/>
    <w:rsid w:val="003555C3"/>
    <w:rsid w:val="003556A4"/>
    <w:rsid w:val="003571A0"/>
    <w:rsid w:val="00357B1D"/>
    <w:rsid w:val="00361E47"/>
    <w:rsid w:val="00361F34"/>
    <w:rsid w:val="0036426D"/>
    <w:rsid w:val="003643D9"/>
    <w:rsid w:val="00364DE7"/>
    <w:rsid w:val="0037134C"/>
    <w:rsid w:val="003724F3"/>
    <w:rsid w:val="003725F3"/>
    <w:rsid w:val="003769F5"/>
    <w:rsid w:val="0037772D"/>
    <w:rsid w:val="00377AA8"/>
    <w:rsid w:val="00377D61"/>
    <w:rsid w:val="003807C9"/>
    <w:rsid w:val="00381BE3"/>
    <w:rsid w:val="00383F57"/>
    <w:rsid w:val="00384998"/>
    <w:rsid w:val="00385044"/>
    <w:rsid w:val="0038575C"/>
    <w:rsid w:val="00385A24"/>
    <w:rsid w:val="00385D83"/>
    <w:rsid w:val="003879F0"/>
    <w:rsid w:val="00390DD3"/>
    <w:rsid w:val="003924BB"/>
    <w:rsid w:val="00392B01"/>
    <w:rsid w:val="00393325"/>
    <w:rsid w:val="00394BAD"/>
    <w:rsid w:val="003956A4"/>
    <w:rsid w:val="00395F84"/>
    <w:rsid w:val="003A13B9"/>
    <w:rsid w:val="003A1A32"/>
    <w:rsid w:val="003A4A23"/>
    <w:rsid w:val="003A5B78"/>
    <w:rsid w:val="003A7C72"/>
    <w:rsid w:val="003B0BF3"/>
    <w:rsid w:val="003B0DBD"/>
    <w:rsid w:val="003B1EE9"/>
    <w:rsid w:val="003B4A81"/>
    <w:rsid w:val="003B584B"/>
    <w:rsid w:val="003B7464"/>
    <w:rsid w:val="003C1076"/>
    <w:rsid w:val="003C26CA"/>
    <w:rsid w:val="003C3C64"/>
    <w:rsid w:val="003C6D1B"/>
    <w:rsid w:val="003C78C3"/>
    <w:rsid w:val="003C7B75"/>
    <w:rsid w:val="003C7C04"/>
    <w:rsid w:val="003D0481"/>
    <w:rsid w:val="003D1371"/>
    <w:rsid w:val="003D1377"/>
    <w:rsid w:val="003D13AE"/>
    <w:rsid w:val="003D17D9"/>
    <w:rsid w:val="003D1987"/>
    <w:rsid w:val="003D1E82"/>
    <w:rsid w:val="003D2C8C"/>
    <w:rsid w:val="003D2EC8"/>
    <w:rsid w:val="003D4267"/>
    <w:rsid w:val="003D50AB"/>
    <w:rsid w:val="003D59C9"/>
    <w:rsid w:val="003D64AD"/>
    <w:rsid w:val="003D7291"/>
    <w:rsid w:val="003E018E"/>
    <w:rsid w:val="003E2568"/>
    <w:rsid w:val="003E2E44"/>
    <w:rsid w:val="003E3327"/>
    <w:rsid w:val="003E3672"/>
    <w:rsid w:val="003E3D49"/>
    <w:rsid w:val="003E4283"/>
    <w:rsid w:val="003E490A"/>
    <w:rsid w:val="003E5BFD"/>
    <w:rsid w:val="003E6AFC"/>
    <w:rsid w:val="003F1060"/>
    <w:rsid w:val="003F1E71"/>
    <w:rsid w:val="003F2CD1"/>
    <w:rsid w:val="003F306A"/>
    <w:rsid w:val="003F5B23"/>
    <w:rsid w:val="003F5FD1"/>
    <w:rsid w:val="004012CD"/>
    <w:rsid w:val="00401591"/>
    <w:rsid w:val="00401E23"/>
    <w:rsid w:val="00402EC4"/>
    <w:rsid w:val="00403061"/>
    <w:rsid w:val="00403A96"/>
    <w:rsid w:val="00404691"/>
    <w:rsid w:val="0040611B"/>
    <w:rsid w:val="00406E63"/>
    <w:rsid w:val="0040711B"/>
    <w:rsid w:val="00407470"/>
    <w:rsid w:val="00407B13"/>
    <w:rsid w:val="00410940"/>
    <w:rsid w:val="00410BD3"/>
    <w:rsid w:val="00410E56"/>
    <w:rsid w:val="00411242"/>
    <w:rsid w:val="00411377"/>
    <w:rsid w:val="00412461"/>
    <w:rsid w:val="0041415D"/>
    <w:rsid w:val="004147FC"/>
    <w:rsid w:val="00414860"/>
    <w:rsid w:val="00414D08"/>
    <w:rsid w:val="00415507"/>
    <w:rsid w:val="00415544"/>
    <w:rsid w:val="004155ED"/>
    <w:rsid w:val="00415751"/>
    <w:rsid w:val="00415DB0"/>
    <w:rsid w:val="004163AB"/>
    <w:rsid w:val="0041691E"/>
    <w:rsid w:val="00417BDC"/>
    <w:rsid w:val="00421775"/>
    <w:rsid w:val="00421BFB"/>
    <w:rsid w:val="00423BC3"/>
    <w:rsid w:val="0042418D"/>
    <w:rsid w:val="004243A7"/>
    <w:rsid w:val="00425A0D"/>
    <w:rsid w:val="00425D11"/>
    <w:rsid w:val="00430FE6"/>
    <w:rsid w:val="00432627"/>
    <w:rsid w:val="0043265B"/>
    <w:rsid w:val="004327E8"/>
    <w:rsid w:val="00433291"/>
    <w:rsid w:val="00433EB2"/>
    <w:rsid w:val="004343A9"/>
    <w:rsid w:val="00434BD6"/>
    <w:rsid w:val="0043512F"/>
    <w:rsid w:val="00437A0B"/>
    <w:rsid w:val="00440E62"/>
    <w:rsid w:val="004411BE"/>
    <w:rsid w:val="00441471"/>
    <w:rsid w:val="004417D1"/>
    <w:rsid w:val="004423B6"/>
    <w:rsid w:val="00442A79"/>
    <w:rsid w:val="00443D92"/>
    <w:rsid w:val="00444801"/>
    <w:rsid w:val="00444B32"/>
    <w:rsid w:val="00444E9E"/>
    <w:rsid w:val="004459E4"/>
    <w:rsid w:val="00446E31"/>
    <w:rsid w:val="00450135"/>
    <w:rsid w:val="0045067C"/>
    <w:rsid w:val="0045067F"/>
    <w:rsid w:val="004509CE"/>
    <w:rsid w:val="00451FED"/>
    <w:rsid w:val="0045347E"/>
    <w:rsid w:val="004543CD"/>
    <w:rsid w:val="004544F9"/>
    <w:rsid w:val="00454619"/>
    <w:rsid w:val="0045506A"/>
    <w:rsid w:val="00456796"/>
    <w:rsid w:val="00457307"/>
    <w:rsid w:val="00457E82"/>
    <w:rsid w:val="0046086D"/>
    <w:rsid w:val="00464E13"/>
    <w:rsid w:val="00467578"/>
    <w:rsid w:val="00467C97"/>
    <w:rsid w:val="00470541"/>
    <w:rsid w:val="004715D8"/>
    <w:rsid w:val="00471653"/>
    <w:rsid w:val="00471947"/>
    <w:rsid w:val="004719E3"/>
    <w:rsid w:val="00471A59"/>
    <w:rsid w:val="004723B2"/>
    <w:rsid w:val="00472FAE"/>
    <w:rsid w:val="00476332"/>
    <w:rsid w:val="00476FF0"/>
    <w:rsid w:val="0048101E"/>
    <w:rsid w:val="00482E1D"/>
    <w:rsid w:val="0048520B"/>
    <w:rsid w:val="0048602B"/>
    <w:rsid w:val="00486A9E"/>
    <w:rsid w:val="00486D91"/>
    <w:rsid w:val="0048733D"/>
    <w:rsid w:val="00487940"/>
    <w:rsid w:val="00487EC5"/>
    <w:rsid w:val="00490464"/>
    <w:rsid w:val="00490866"/>
    <w:rsid w:val="00490E25"/>
    <w:rsid w:val="00493244"/>
    <w:rsid w:val="0049353F"/>
    <w:rsid w:val="00497A1B"/>
    <w:rsid w:val="004A22EB"/>
    <w:rsid w:val="004A45CF"/>
    <w:rsid w:val="004A66F6"/>
    <w:rsid w:val="004B01EB"/>
    <w:rsid w:val="004B0295"/>
    <w:rsid w:val="004B034B"/>
    <w:rsid w:val="004B0642"/>
    <w:rsid w:val="004B1E6B"/>
    <w:rsid w:val="004B3AD2"/>
    <w:rsid w:val="004B3E7A"/>
    <w:rsid w:val="004B3FD2"/>
    <w:rsid w:val="004B4790"/>
    <w:rsid w:val="004B47E1"/>
    <w:rsid w:val="004B49DA"/>
    <w:rsid w:val="004B4F3F"/>
    <w:rsid w:val="004B6824"/>
    <w:rsid w:val="004B685E"/>
    <w:rsid w:val="004B697D"/>
    <w:rsid w:val="004B795A"/>
    <w:rsid w:val="004B7D05"/>
    <w:rsid w:val="004C23D8"/>
    <w:rsid w:val="004C5F4B"/>
    <w:rsid w:val="004C62A5"/>
    <w:rsid w:val="004C79C4"/>
    <w:rsid w:val="004C7B0A"/>
    <w:rsid w:val="004D37F5"/>
    <w:rsid w:val="004D3A22"/>
    <w:rsid w:val="004D40A7"/>
    <w:rsid w:val="004D4804"/>
    <w:rsid w:val="004D5697"/>
    <w:rsid w:val="004D5EBC"/>
    <w:rsid w:val="004D735B"/>
    <w:rsid w:val="004D7A0B"/>
    <w:rsid w:val="004E197C"/>
    <w:rsid w:val="004E2171"/>
    <w:rsid w:val="004E219A"/>
    <w:rsid w:val="004E2482"/>
    <w:rsid w:val="004E2803"/>
    <w:rsid w:val="004E31A3"/>
    <w:rsid w:val="004E4397"/>
    <w:rsid w:val="004E689C"/>
    <w:rsid w:val="004E7386"/>
    <w:rsid w:val="004E793D"/>
    <w:rsid w:val="004F0D38"/>
    <w:rsid w:val="004F1C8B"/>
    <w:rsid w:val="004F1D9A"/>
    <w:rsid w:val="004F1E72"/>
    <w:rsid w:val="004F294B"/>
    <w:rsid w:val="004F2B3F"/>
    <w:rsid w:val="004F2B42"/>
    <w:rsid w:val="004F43D1"/>
    <w:rsid w:val="004F5616"/>
    <w:rsid w:val="004F5744"/>
    <w:rsid w:val="004F5C0F"/>
    <w:rsid w:val="005010EE"/>
    <w:rsid w:val="005057B9"/>
    <w:rsid w:val="0051267B"/>
    <w:rsid w:val="00512D8B"/>
    <w:rsid w:val="005135BF"/>
    <w:rsid w:val="0051389F"/>
    <w:rsid w:val="00515755"/>
    <w:rsid w:val="00523300"/>
    <w:rsid w:val="0052425D"/>
    <w:rsid w:val="005250F0"/>
    <w:rsid w:val="00525929"/>
    <w:rsid w:val="0052646F"/>
    <w:rsid w:val="005266B2"/>
    <w:rsid w:val="00526F10"/>
    <w:rsid w:val="005303D2"/>
    <w:rsid w:val="005319FE"/>
    <w:rsid w:val="00531D16"/>
    <w:rsid w:val="00533E6E"/>
    <w:rsid w:val="00535C40"/>
    <w:rsid w:val="00536D36"/>
    <w:rsid w:val="005372E9"/>
    <w:rsid w:val="005376EF"/>
    <w:rsid w:val="00537986"/>
    <w:rsid w:val="00541DA2"/>
    <w:rsid w:val="00541E93"/>
    <w:rsid w:val="0054288E"/>
    <w:rsid w:val="00544882"/>
    <w:rsid w:val="00545063"/>
    <w:rsid w:val="00545DAB"/>
    <w:rsid w:val="0054639E"/>
    <w:rsid w:val="0054654C"/>
    <w:rsid w:val="00546625"/>
    <w:rsid w:val="00546F2A"/>
    <w:rsid w:val="00546FA7"/>
    <w:rsid w:val="0054772E"/>
    <w:rsid w:val="00547B1C"/>
    <w:rsid w:val="00550F2D"/>
    <w:rsid w:val="00551D3E"/>
    <w:rsid w:val="00551E20"/>
    <w:rsid w:val="00551E47"/>
    <w:rsid w:val="00551FF1"/>
    <w:rsid w:val="0055221C"/>
    <w:rsid w:val="00552A63"/>
    <w:rsid w:val="005541F3"/>
    <w:rsid w:val="005549C6"/>
    <w:rsid w:val="00554A95"/>
    <w:rsid w:val="00555166"/>
    <w:rsid w:val="00555F07"/>
    <w:rsid w:val="005560E4"/>
    <w:rsid w:val="00556893"/>
    <w:rsid w:val="00556BDB"/>
    <w:rsid w:val="00556D69"/>
    <w:rsid w:val="00557053"/>
    <w:rsid w:val="00560246"/>
    <w:rsid w:val="0056071E"/>
    <w:rsid w:val="00562520"/>
    <w:rsid w:val="00565723"/>
    <w:rsid w:val="005659DD"/>
    <w:rsid w:val="0057160A"/>
    <w:rsid w:val="00572046"/>
    <w:rsid w:val="00573E03"/>
    <w:rsid w:val="005745B7"/>
    <w:rsid w:val="00574D3D"/>
    <w:rsid w:val="0057670C"/>
    <w:rsid w:val="005805AC"/>
    <w:rsid w:val="00580E67"/>
    <w:rsid w:val="005819D8"/>
    <w:rsid w:val="00583114"/>
    <w:rsid w:val="0058363E"/>
    <w:rsid w:val="00585A8D"/>
    <w:rsid w:val="00586ABC"/>
    <w:rsid w:val="00587680"/>
    <w:rsid w:val="0059078D"/>
    <w:rsid w:val="0059095C"/>
    <w:rsid w:val="00590D7F"/>
    <w:rsid w:val="0059102C"/>
    <w:rsid w:val="00591848"/>
    <w:rsid w:val="005918D8"/>
    <w:rsid w:val="00591987"/>
    <w:rsid w:val="00595365"/>
    <w:rsid w:val="00595A49"/>
    <w:rsid w:val="00595CFA"/>
    <w:rsid w:val="00597A4B"/>
    <w:rsid w:val="005A12C8"/>
    <w:rsid w:val="005A1C50"/>
    <w:rsid w:val="005A2021"/>
    <w:rsid w:val="005A2B32"/>
    <w:rsid w:val="005A2BA8"/>
    <w:rsid w:val="005A33DA"/>
    <w:rsid w:val="005A36E7"/>
    <w:rsid w:val="005A7702"/>
    <w:rsid w:val="005A7A82"/>
    <w:rsid w:val="005B3999"/>
    <w:rsid w:val="005B6358"/>
    <w:rsid w:val="005B64CD"/>
    <w:rsid w:val="005B77D9"/>
    <w:rsid w:val="005C00E5"/>
    <w:rsid w:val="005C2094"/>
    <w:rsid w:val="005C27FA"/>
    <w:rsid w:val="005C3FF0"/>
    <w:rsid w:val="005C55D7"/>
    <w:rsid w:val="005C5B89"/>
    <w:rsid w:val="005C5F57"/>
    <w:rsid w:val="005C6308"/>
    <w:rsid w:val="005C7CE1"/>
    <w:rsid w:val="005D133D"/>
    <w:rsid w:val="005D1801"/>
    <w:rsid w:val="005D23EB"/>
    <w:rsid w:val="005D3259"/>
    <w:rsid w:val="005D3BEA"/>
    <w:rsid w:val="005D3C77"/>
    <w:rsid w:val="005D598A"/>
    <w:rsid w:val="005D59A7"/>
    <w:rsid w:val="005D5AD4"/>
    <w:rsid w:val="005D5DA2"/>
    <w:rsid w:val="005D5DB9"/>
    <w:rsid w:val="005D6F06"/>
    <w:rsid w:val="005D6F0D"/>
    <w:rsid w:val="005D70E6"/>
    <w:rsid w:val="005E06B0"/>
    <w:rsid w:val="005E348E"/>
    <w:rsid w:val="005E3A0D"/>
    <w:rsid w:val="005E5993"/>
    <w:rsid w:val="005E59F8"/>
    <w:rsid w:val="005E6242"/>
    <w:rsid w:val="005E76F3"/>
    <w:rsid w:val="005E7EA1"/>
    <w:rsid w:val="005F1694"/>
    <w:rsid w:val="005F2E79"/>
    <w:rsid w:val="005F2F21"/>
    <w:rsid w:val="005F404C"/>
    <w:rsid w:val="005F6518"/>
    <w:rsid w:val="005F73BE"/>
    <w:rsid w:val="0060029E"/>
    <w:rsid w:val="006023F7"/>
    <w:rsid w:val="00602B1A"/>
    <w:rsid w:val="00603D62"/>
    <w:rsid w:val="00603E35"/>
    <w:rsid w:val="00604332"/>
    <w:rsid w:val="006048BB"/>
    <w:rsid w:val="006049F0"/>
    <w:rsid w:val="0060526F"/>
    <w:rsid w:val="00606202"/>
    <w:rsid w:val="00607B2F"/>
    <w:rsid w:val="0061139F"/>
    <w:rsid w:val="00611CD6"/>
    <w:rsid w:val="00612378"/>
    <w:rsid w:val="00613657"/>
    <w:rsid w:val="006137FD"/>
    <w:rsid w:val="006157BC"/>
    <w:rsid w:val="00616480"/>
    <w:rsid w:val="00617109"/>
    <w:rsid w:val="00621ECC"/>
    <w:rsid w:val="00623FB4"/>
    <w:rsid w:val="0062422E"/>
    <w:rsid w:val="006243C7"/>
    <w:rsid w:val="00625B53"/>
    <w:rsid w:val="006275A5"/>
    <w:rsid w:val="00627856"/>
    <w:rsid w:val="00627FAD"/>
    <w:rsid w:val="006320E8"/>
    <w:rsid w:val="006350B5"/>
    <w:rsid w:val="00635A83"/>
    <w:rsid w:val="00635DB8"/>
    <w:rsid w:val="00637B03"/>
    <w:rsid w:val="006407B5"/>
    <w:rsid w:val="006422DC"/>
    <w:rsid w:val="00643E32"/>
    <w:rsid w:val="0064630B"/>
    <w:rsid w:val="00646461"/>
    <w:rsid w:val="00646A8A"/>
    <w:rsid w:val="00646C4E"/>
    <w:rsid w:val="006479CC"/>
    <w:rsid w:val="00651FC3"/>
    <w:rsid w:val="00652D0E"/>
    <w:rsid w:val="00652FC5"/>
    <w:rsid w:val="00653130"/>
    <w:rsid w:val="00655F00"/>
    <w:rsid w:val="0066108F"/>
    <w:rsid w:val="00661E2F"/>
    <w:rsid w:val="0066533D"/>
    <w:rsid w:val="006669CA"/>
    <w:rsid w:val="006675FD"/>
    <w:rsid w:val="00667C74"/>
    <w:rsid w:val="0067148D"/>
    <w:rsid w:val="00672412"/>
    <w:rsid w:val="006752D1"/>
    <w:rsid w:val="00676049"/>
    <w:rsid w:val="00676361"/>
    <w:rsid w:val="006767F5"/>
    <w:rsid w:val="00676F5A"/>
    <w:rsid w:val="00677652"/>
    <w:rsid w:val="006802F0"/>
    <w:rsid w:val="00680B1E"/>
    <w:rsid w:val="00680EC8"/>
    <w:rsid w:val="00681D5B"/>
    <w:rsid w:val="006823B6"/>
    <w:rsid w:val="00685909"/>
    <w:rsid w:val="00686038"/>
    <w:rsid w:val="0068658A"/>
    <w:rsid w:val="00690276"/>
    <w:rsid w:val="006905E9"/>
    <w:rsid w:val="006922A9"/>
    <w:rsid w:val="00696838"/>
    <w:rsid w:val="006A0C04"/>
    <w:rsid w:val="006A1C19"/>
    <w:rsid w:val="006A3BB7"/>
    <w:rsid w:val="006A3CF0"/>
    <w:rsid w:val="006A3EFC"/>
    <w:rsid w:val="006A5608"/>
    <w:rsid w:val="006A5FA7"/>
    <w:rsid w:val="006A6004"/>
    <w:rsid w:val="006A6562"/>
    <w:rsid w:val="006B0176"/>
    <w:rsid w:val="006B0D00"/>
    <w:rsid w:val="006B371C"/>
    <w:rsid w:val="006B3BF6"/>
    <w:rsid w:val="006B4DF7"/>
    <w:rsid w:val="006B5426"/>
    <w:rsid w:val="006B602F"/>
    <w:rsid w:val="006B7CFA"/>
    <w:rsid w:val="006B7D7D"/>
    <w:rsid w:val="006C06D5"/>
    <w:rsid w:val="006C153C"/>
    <w:rsid w:val="006C1AEC"/>
    <w:rsid w:val="006C2278"/>
    <w:rsid w:val="006C255F"/>
    <w:rsid w:val="006C3F99"/>
    <w:rsid w:val="006C5687"/>
    <w:rsid w:val="006C5C47"/>
    <w:rsid w:val="006C6546"/>
    <w:rsid w:val="006C7A96"/>
    <w:rsid w:val="006D1A9C"/>
    <w:rsid w:val="006D2A66"/>
    <w:rsid w:val="006D2B8D"/>
    <w:rsid w:val="006D30EA"/>
    <w:rsid w:val="006D38E4"/>
    <w:rsid w:val="006D4016"/>
    <w:rsid w:val="006D42E9"/>
    <w:rsid w:val="006D4367"/>
    <w:rsid w:val="006D48E9"/>
    <w:rsid w:val="006D4EA9"/>
    <w:rsid w:val="006D534C"/>
    <w:rsid w:val="006D59B9"/>
    <w:rsid w:val="006D6524"/>
    <w:rsid w:val="006D666D"/>
    <w:rsid w:val="006D6918"/>
    <w:rsid w:val="006E124E"/>
    <w:rsid w:val="006E23D2"/>
    <w:rsid w:val="006E2C21"/>
    <w:rsid w:val="006E33AC"/>
    <w:rsid w:val="006E445B"/>
    <w:rsid w:val="006E6F9D"/>
    <w:rsid w:val="006E739C"/>
    <w:rsid w:val="006F0C51"/>
    <w:rsid w:val="006F36E3"/>
    <w:rsid w:val="006F3979"/>
    <w:rsid w:val="006F44EA"/>
    <w:rsid w:val="006F4693"/>
    <w:rsid w:val="006F5906"/>
    <w:rsid w:val="006F77FD"/>
    <w:rsid w:val="006F7CB0"/>
    <w:rsid w:val="006F7CE4"/>
    <w:rsid w:val="00700327"/>
    <w:rsid w:val="00700B90"/>
    <w:rsid w:val="00702228"/>
    <w:rsid w:val="0070265F"/>
    <w:rsid w:val="0070356B"/>
    <w:rsid w:val="00704C77"/>
    <w:rsid w:val="00705865"/>
    <w:rsid w:val="00710190"/>
    <w:rsid w:val="00712106"/>
    <w:rsid w:val="0071214C"/>
    <w:rsid w:val="0071262C"/>
    <w:rsid w:val="0071350C"/>
    <w:rsid w:val="0071441C"/>
    <w:rsid w:val="0071513D"/>
    <w:rsid w:val="00715684"/>
    <w:rsid w:val="00715875"/>
    <w:rsid w:val="00716612"/>
    <w:rsid w:val="00722999"/>
    <w:rsid w:val="007258E4"/>
    <w:rsid w:val="0072594A"/>
    <w:rsid w:val="0072754F"/>
    <w:rsid w:val="00727EE1"/>
    <w:rsid w:val="00732177"/>
    <w:rsid w:val="00733180"/>
    <w:rsid w:val="007358A7"/>
    <w:rsid w:val="00735F15"/>
    <w:rsid w:val="00737600"/>
    <w:rsid w:val="007409EE"/>
    <w:rsid w:val="00740DD9"/>
    <w:rsid w:val="00740E04"/>
    <w:rsid w:val="00742278"/>
    <w:rsid w:val="00742498"/>
    <w:rsid w:val="00745045"/>
    <w:rsid w:val="007468E5"/>
    <w:rsid w:val="00746EF8"/>
    <w:rsid w:val="007471C2"/>
    <w:rsid w:val="00750299"/>
    <w:rsid w:val="00751147"/>
    <w:rsid w:val="007521CF"/>
    <w:rsid w:val="007533D6"/>
    <w:rsid w:val="00753E05"/>
    <w:rsid w:val="00754DDC"/>
    <w:rsid w:val="0075506C"/>
    <w:rsid w:val="007553B4"/>
    <w:rsid w:val="00755707"/>
    <w:rsid w:val="0075599F"/>
    <w:rsid w:val="00757223"/>
    <w:rsid w:val="00757453"/>
    <w:rsid w:val="0075798B"/>
    <w:rsid w:val="00757A2C"/>
    <w:rsid w:val="007601AE"/>
    <w:rsid w:val="00760C65"/>
    <w:rsid w:val="00761F90"/>
    <w:rsid w:val="00762016"/>
    <w:rsid w:val="00765BE1"/>
    <w:rsid w:val="00766261"/>
    <w:rsid w:val="0077121D"/>
    <w:rsid w:val="007738BC"/>
    <w:rsid w:val="00773BD8"/>
    <w:rsid w:val="0077508F"/>
    <w:rsid w:val="00775BEE"/>
    <w:rsid w:val="0077624A"/>
    <w:rsid w:val="00777A10"/>
    <w:rsid w:val="00777D3E"/>
    <w:rsid w:val="00780413"/>
    <w:rsid w:val="00780467"/>
    <w:rsid w:val="00780973"/>
    <w:rsid w:val="00780D29"/>
    <w:rsid w:val="00781243"/>
    <w:rsid w:val="00781921"/>
    <w:rsid w:val="00781A65"/>
    <w:rsid w:val="00783001"/>
    <w:rsid w:val="00783C46"/>
    <w:rsid w:val="00783ED3"/>
    <w:rsid w:val="00785F9A"/>
    <w:rsid w:val="007869A0"/>
    <w:rsid w:val="00786E27"/>
    <w:rsid w:val="00787AB5"/>
    <w:rsid w:val="00790026"/>
    <w:rsid w:val="0079012E"/>
    <w:rsid w:val="00790CFA"/>
    <w:rsid w:val="007920D5"/>
    <w:rsid w:val="00793061"/>
    <w:rsid w:val="007939A9"/>
    <w:rsid w:val="007939D1"/>
    <w:rsid w:val="00796CC0"/>
    <w:rsid w:val="00796DED"/>
    <w:rsid w:val="00797047"/>
    <w:rsid w:val="00797C36"/>
    <w:rsid w:val="007A1428"/>
    <w:rsid w:val="007A21E4"/>
    <w:rsid w:val="007A251B"/>
    <w:rsid w:val="007A29D7"/>
    <w:rsid w:val="007A3238"/>
    <w:rsid w:val="007A4CEC"/>
    <w:rsid w:val="007A635F"/>
    <w:rsid w:val="007B0E88"/>
    <w:rsid w:val="007B3DEE"/>
    <w:rsid w:val="007B57F9"/>
    <w:rsid w:val="007B7EE0"/>
    <w:rsid w:val="007C160B"/>
    <w:rsid w:val="007C18BC"/>
    <w:rsid w:val="007C1F03"/>
    <w:rsid w:val="007C1F0C"/>
    <w:rsid w:val="007C6E6C"/>
    <w:rsid w:val="007C7E7A"/>
    <w:rsid w:val="007D0357"/>
    <w:rsid w:val="007D5059"/>
    <w:rsid w:val="007D531B"/>
    <w:rsid w:val="007D5B50"/>
    <w:rsid w:val="007D715B"/>
    <w:rsid w:val="007E3112"/>
    <w:rsid w:val="007E4D70"/>
    <w:rsid w:val="007E511D"/>
    <w:rsid w:val="007E5765"/>
    <w:rsid w:val="007E5AE9"/>
    <w:rsid w:val="007E6004"/>
    <w:rsid w:val="007E6C58"/>
    <w:rsid w:val="007E789E"/>
    <w:rsid w:val="007F0CC2"/>
    <w:rsid w:val="007F2E5B"/>
    <w:rsid w:val="007F39D4"/>
    <w:rsid w:val="007F5527"/>
    <w:rsid w:val="007F5A4C"/>
    <w:rsid w:val="007F5AB5"/>
    <w:rsid w:val="008000EE"/>
    <w:rsid w:val="008019C8"/>
    <w:rsid w:val="00802761"/>
    <w:rsid w:val="00803441"/>
    <w:rsid w:val="00804585"/>
    <w:rsid w:val="00804B1C"/>
    <w:rsid w:val="00805319"/>
    <w:rsid w:val="00807039"/>
    <w:rsid w:val="008074BA"/>
    <w:rsid w:val="00807545"/>
    <w:rsid w:val="00807B98"/>
    <w:rsid w:val="00812859"/>
    <w:rsid w:val="008128D8"/>
    <w:rsid w:val="0081320D"/>
    <w:rsid w:val="008137AC"/>
    <w:rsid w:val="00813D5E"/>
    <w:rsid w:val="00817185"/>
    <w:rsid w:val="008174D3"/>
    <w:rsid w:val="008176E6"/>
    <w:rsid w:val="008200A9"/>
    <w:rsid w:val="00821489"/>
    <w:rsid w:val="008214BA"/>
    <w:rsid w:val="00821A97"/>
    <w:rsid w:val="00821B00"/>
    <w:rsid w:val="0082264A"/>
    <w:rsid w:val="00822DC4"/>
    <w:rsid w:val="00825214"/>
    <w:rsid w:val="00827B34"/>
    <w:rsid w:val="00827D02"/>
    <w:rsid w:val="008314A3"/>
    <w:rsid w:val="00832474"/>
    <w:rsid w:val="00833AE3"/>
    <w:rsid w:val="00833D2E"/>
    <w:rsid w:val="008358AC"/>
    <w:rsid w:val="00835A9B"/>
    <w:rsid w:val="00835FF8"/>
    <w:rsid w:val="008366B0"/>
    <w:rsid w:val="00837143"/>
    <w:rsid w:val="00841110"/>
    <w:rsid w:val="00841196"/>
    <w:rsid w:val="008428BC"/>
    <w:rsid w:val="00844033"/>
    <w:rsid w:val="008446F2"/>
    <w:rsid w:val="00844ABE"/>
    <w:rsid w:val="0084502B"/>
    <w:rsid w:val="0084512D"/>
    <w:rsid w:val="00850CC5"/>
    <w:rsid w:val="00851939"/>
    <w:rsid w:val="00851B0C"/>
    <w:rsid w:val="00851B81"/>
    <w:rsid w:val="00851F94"/>
    <w:rsid w:val="00852F9A"/>
    <w:rsid w:val="008535A0"/>
    <w:rsid w:val="00853BC4"/>
    <w:rsid w:val="00854B1C"/>
    <w:rsid w:val="00854E83"/>
    <w:rsid w:val="008558BF"/>
    <w:rsid w:val="00855DE0"/>
    <w:rsid w:val="00856199"/>
    <w:rsid w:val="00856A55"/>
    <w:rsid w:val="00856C00"/>
    <w:rsid w:val="00862086"/>
    <w:rsid w:val="0086368A"/>
    <w:rsid w:val="00864224"/>
    <w:rsid w:val="00865ACA"/>
    <w:rsid w:val="00865D01"/>
    <w:rsid w:val="00866CAD"/>
    <w:rsid w:val="00871195"/>
    <w:rsid w:val="0087206C"/>
    <w:rsid w:val="008727DB"/>
    <w:rsid w:val="00873C2B"/>
    <w:rsid w:val="008757B8"/>
    <w:rsid w:val="008759FC"/>
    <w:rsid w:val="0087635B"/>
    <w:rsid w:val="00876CE5"/>
    <w:rsid w:val="0087728F"/>
    <w:rsid w:val="008777B1"/>
    <w:rsid w:val="00880103"/>
    <w:rsid w:val="008809AF"/>
    <w:rsid w:val="00880B81"/>
    <w:rsid w:val="00880C1F"/>
    <w:rsid w:val="00881193"/>
    <w:rsid w:val="0088178B"/>
    <w:rsid w:val="00882360"/>
    <w:rsid w:val="00882FEF"/>
    <w:rsid w:val="0088348C"/>
    <w:rsid w:val="00883718"/>
    <w:rsid w:val="00883B0B"/>
    <w:rsid w:val="00883E31"/>
    <w:rsid w:val="00887731"/>
    <w:rsid w:val="008934EE"/>
    <w:rsid w:val="00893548"/>
    <w:rsid w:val="0089565C"/>
    <w:rsid w:val="008957BE"/>
    <w:rsid w:val="00896306"/>
    <w:rsid w:val="0089695E"/>
    <w:rsid w:val="008A1C07"/>
    <w:rsid w:val="008A2718"/>
    <w:rsid w:val="008A2C0B"/>
    <w:rsid w:val="008A48FA"/>
    <w:rsid w:val="008A49E7"/>
    <w:rsid w:val="008A4D7A"/>
    <w:rsid w:val="008A56E9"/>
    <w:rsid w:val="008A5B09"/>
    <w:rsid w:val="008A6527"/>
    <w:rsid w:val="008A65F9"/>
    <w:rsid w:val="008A7C2E"/>
    <w:rsid w:val="008B1214"/>
    <w:rsid w:val="008B1378"/>
    <w:rsid w:val="008B3621"/>
    <w:rsid w:val="008B3B80"/>
    <w:rsid w:val="008B4885"/>
    <w:rsid w:val="008B5A9C"/>
    <w:rsid w:val="008B6177"/>
    <w:rsid w:val="008B7A03"/>
    <w:rsid w:val="008C00F4"/>
    <w:rsid w:val="008C020C"/>
    <w:rsid w:val="008C0430"/>
    <w:rsid w:val="008C09D9"/>
    <w:rsid w:val="008C1C68"/>
    <w:rsid w:val="008C3A32"/>
    <w:rsid w:val="008C4EA4"/>
    <w:rsid w:val="008C5B7D"/>
    <w:rsid w:val="008C6067"/>
    <w:rsid w:val="008C6660"/>
    <w:rsid w:val="008C747E"/>
    <w:rsid w:val="008C7733"/>
    <w:rsid w:val="008C7879"/>
    <w:rsid w:val="008D0222"/>
    <w:rsid w:val="008D10D5"/>
    <w:rsid w:val="008D1562"/>
    <w:rsid w:val="008D2224"/>
    <w:rsid w:val="008D2D1D"/>
    <w:rsid w:val="008D3CF3"/>
    <w:rsid w:val="008D5969"/>
    <w:rsid w:val="008E0911"/>
    <w:rsid w:val="008E0B76"/>
    <w:rsid w:val="008E251F"/>
    <w:rsid w:val="008E2AAF"/>
    <w:rsid w:val="008E3016"/>
    <w:rsid w:val="008E3620"/>
    <w:rsid w:val="008E4C3B"/>
    <w:rsid w:val="008E50A2"/>
    <w:rsid w:val="008E55D4"/>
    <w:rsid w:val="008E5DFE"/>
    <w:rsid w:val="008E6090"/>
    <w:rsid w:val="008E73E5"/>
    <w:rsid w:val="008F0468"/>
    <w:rsid w:val="008F05D8"/>
    <w:rsid w:val="008F19EC"/>
    <w:rsid w:val="008F24CB"/>
    <w:rsid w:val="008F31A0"/>
    <w:rsid w:val="008F4D42"/>
    <w:rsid w:val="008F583C"/>
    <w:rsid w:val="008F677F"/>
    <w:rsid w:val="00900C6E"/>
    <w:rsid w:val="00902D95"/>
    <w:rsid w:val="00903AF4"/>
    <w:rsid w:val="009042D1"/>
    <w:rsid w:val="00910299"/>
    <w:rsid w:val="00910C15"/>
    <w:rsid w:val="00911E03"/>
    <w:rsid w:val="00911F16"/>
    <w:rsid w:val="009143B5"/>
    <w:rsid w:val="00914888"/>
    <w:rsid w:val="00915B35"/>
    <w:rsid w:val="0091633A"/>
    <w:rsid w:val="00916686"/>
    <w:rsid w:val="00916884"/>
    <w:rsid w:val="00916F3C"/>
    <w:rsid w:val="00917058"/>
    <w:rsid w:val="0091747E"/>
    <w:rsid w:val="00917707"/>
    <w:rsid w:val="009215FC"/>
    <w:rsid w:val="009215FE"/>
    <w:rsid w:val="00921EB3"/>
    <w:rsid w:val="00922AF9"/>
    <w:rsid w:val="009276B5"/>
    <w:rsid w:val="009276DE"/>
    <w:rsid w:val="00927A8C"/>
    <w:rsid w:val="00927EC3"/>
    <w:rsid w:val="0093029F"/>
    <w:rsid w:val="00930325"/>
    <w:rsid w:val="00931B91"/>
    <w:rsid w:val="00933284"/>
    <w:rsid w:val="00935049"/>
    <w:rsid w:val="00935C8D"/>
    <w:rsid w:val="00936214"/>
    <w:rsid w:val="00936356"/>
    <w:rsid w:val="00936C6B"/>
    <w:rsid w:val="0094074B"/>
    <w:rsid w:val="00941F21"/>
    <w:rsid w:val="009428F4"/>
    <w:rsid w:val="00943E57"/>
    <w:rsid w:val="00944086"/>
    <w:rsid w:val="009443DF"/>
    <w:rsid w:val="00944DC7"/>
    <w:rsid w:val="00951C19"/>
    <w:rsid w:val="009528DB"/>
    <w:rsid w:val="00952FEC"/>
    <w:rsid w:val="009531DA"/>
    <w:rsid w:val="00953658"/>
    <w:rsid w:val="009541D6"/>
    <w:rsid w:val="00954E9C"/>
    <w:rsid w:val="00955CEC"/>
    <w:rsid w:val="00956498"/>
    <w:rsid w:val="009573A2"/>
    <w:rsid w:val="00957850"/>
    <w:rsid w:val="00957D61"/>
    <w:rsid w:val="009600BA"/>
    <w:rsid w:val="009611E5"/>
    <w:rsid w:val="009646E9"/>
    <w:rsid w:val="00965068"/>
    <w:rsid w:val="0096533F"/>
    <w:rsid w:val="00967C19"/>
    <w:rsid w:val="00970A5E"/>
    <w:rsid w:val="00973347"/>
    <w:rsid w:val="00974B25"/>
    <w:rsid w:val="00975296"/>
    <w:rsid w:val="009753B3"/>
    <w:rsid w:val="009757F8"/>
    <w:rsid w:val="0097632D"/>
    <w:rsid w:val="009764BE"/>
    <w:rsid w:val="009768DA"/>
    <w:rsid w:val="0097690E"/>
    <w:rsid w:val="009776E0"/>
    <w:rsid w:val="009777E8"/>
    <w:rsid w:val="00977D6F"/>
    <w:rsid w:val="00977ECE"/>
    <w:rsid w:val="00980EB0"/>
    <w:rsid w:val="00982661"/>
    <w:rsid w:val="009830EE"/>
    <w:rsid w:val="00983F0A"/>
    <w:rsid w:val="00985A4F"/>
    <w:rsid w:val="0098676E"/>
    <w:rsid w:val="009870BA"/>
    <w:rsid w:val="0099050B"/>
    <w:rsid w:val="00990E75"/>
    <w:rsid w:val="0099246A"/>
    <w:rsid w:val="00995CC4"/>
    <w:rsid w:val="009964A8"/>
    <w:rsid w:val="009965D9"/>
    <w:rsid w:val="00996713"/>
    <w:rsid w:val="00996B67"/>
    <w:rsid w:val="00997D30"/>
    <w:rsid w:val="009A2438"/>
    <w:rsid w:val="009A2515"/>
    <w:rsid w:val="009A2D51"/>
    <w:rsid w:val="009A2EE3"/>
    <w:rsid w:val="009A57A9"/>
    <w:rsid w:val="009A5C21"/>
    <w:rsid w:val="009A794A"/>
    <w:rsid w:val="009B1968"/>
    <w:rsid w:val="009B19FC"/>
    <w:rsid w:val="009B2260"/>
    <w:rsid w:val="009B2569"/>
    <w:rsid w:val="009B2A32"/>
    <w:rsid w:val="009B2C66"/>
    <w:rsid w:val="009B3298"/>
    <w:rsid w:val="009B51FA"/>
    <w:rsid w:val="009B52F5"/>
    <w:rsid w:val="009B648A"/>
    <w:rsid w:val="009B6AD1"/>
    <w:rsid w:val="009B6CD2"/>
    <w:rsid w:val="009B713A"/>
    <w:rsid w:val="009B767E"/>
    <w:rsid w:val="009C3144"/>
    <w:rsid w:val="009C3F30"/>
    <w:rsid w:val="009C4659"/>
    <w:rsid w:val="009C49B6"/>
    <w:rsid w:val="009C5CB6"/>
    <w:rsid w:val="009D11CA"/>
    <w:rsid w:val="009D72EB"/>
    <w:rsid w:val="009D737C"/>
    <w:rsid w:val="009E0064"/>
    <w:rsid w:val="009E1EA9"/>
    <w:rsid w:val="009E202A"/>
    <w:rsid w:val="009E361A"/>
    <w:rsid w:val="009E7DDC"/>
    <w:rsid w:val="009F096B"/>
    <w:rsid w:val="009F19E1"/>
    <w:rsid w:val="009F1BF8"/>
    <w:rsid w:val="009F2BC8"/>
    <w:rsid w:val="009F3B11"/>
    <w:rsid w:val="009F4CE2"/>
    <w:rsid w:val="009F4E2F"/>
    <w:rsid w:val="009F51FB"/>
    <w:rsid w:val="009F5C8E"/>
    <w:rsid w:val="009F5DCD"/>
    <w:rsid w:val="00A0018E"/>
    <w:rsid w:val="00A0161C"/>
    <w:rsid w:val="00A017F1"/>
    <w:rsid w:val="00A01A86"/>
    <w:rsid w:val="00A026B1"/>
    <w:rsid w:val="00A04E53"/>
    <w:rsid w:val="00A054A5"/>
    <w:rsid w:val="00A05968"/>
    <w:rsid w:val="00A0611F"/>
    <w:rsid w:val="00A062CE"/>
    <w:rsid w:val="00A06A49"/>
    <w:rsid w:val="00A1084A"/>
    <w:rsid w:val="00A1141B"/>
    <w:rsid w:val="00A11987"/>
    <w:rsid w:val="00A1298E"/>
    <w:rsid w:val="00A137E1"/>
    <w:rsid w:val="00A13F0F"/>
    <w:rsid w:val="00A1471B"/>
    <w:rsid w:val="00A1590E"/>
    <w:rsid w:val="00A15B31"/>
    <w:rsid w:val="00A20C25"/>
    <w:rsid w:val="00A20DA4"/>
    <w:rsid w:val="00A21955"/>
    <w:rsid w:val="00A22D0F"/>
    <w:rsid w:val="00A259F6"/>
    <w:rsid w:val="00A25CDA"/>
    <w:rsid w:val="00A26344"/>
    <w:rsid w:val="00A265E0"/>
    <w:rsid w:val="00A2677A"/>
    <w:rsid w:val="00A32809"/>
    <w:rsid w:val="00A32955"/>
    <w:rsid w:val="00A32F5B"/>
    <w:rsid w:val="00A33B69"/>
    <w:rsid w:val="00A34146"/>
    <w:rsid w:val="00A3467B"/>
    <w:rsid w:val="00A349F7"/>
    <w:rsid w:val="00A34F30"/>
    <w:rsid w:val="00A37120"/>
    <w:rsid w:val="00A3755F"/>
    <w:rsid w:val="00A3788E"/>
    <w:rsid w:val="00A37E46"/>
    <w:rsid w:val="00A429B2"/>
    <w:rsid w:val="00A42B95"/>
    <w:rsid w:val="00A45492"/>
    <w:rsid w:val="00A513DB"/>
    <w:rsid w:val="00A51445"/>
    <w:rsid w:val="00A51859"/>
    <w:rsid w:val="00A534FB"/>
    <w:rsid w:val="00A536A5"/>
    <w:rsid w:val="00A546BE"/>
    <w:rsid w:val="00A54FA5"/>
    <w:rsid w:val="00A57142"/>
    <w:rsid w:val="00A6035E"/>
    <w:rsid w:val="00A60A45"/>
    <w:rsid w:val="00A60DB1"/>
    <w:rsid w:val="00A61561"/>
    <w:rsid w:val="00A61BA1"/>
    <w:rsid w:val="00A6559C"/>
    <w:rsid w:val="00A67858"/>
    <w:rsid w:val="00A700ED"/>
    <w:rsid w:val="00A707D0"/>
    <w:rsid w:val="00A707FB"/>
    <w:rsid w:val="00A71176"/>
    <w:rsid w:val="00A717A4"/>
    <w:rsid w:val="00A71CD3"/>
    <w:rsid w:val="00A744C5"/>
    <w:rsid w:val="00A76F3A"/>
    <w:rsid w:val="00A77275"/>
    <w:rsid w:val="00A77BCE"/>
    <w:rsid w:val="00A77F12"/>
    <w:rsid w:val="00A801C7"/>
    <w:rsid w:val="00A8081C"/>
    <w:rsid w:val="00A80B64"/>
    <w:rsid w:val="00A81498"/>
    <w:rsid w:val="00A81E47"/>
    <w:rsid w:val="00A83C97"/>
    <w:rsid w:val="00A84055"/>
    <w:rsid w:val="00A851D1"/>
    <w:rsid w:val="00A8558B"/>
    <w:rsid w:val="00A868D6"/>
    <w:rsid w:val="00A87C94"/>
    <w:rsid w:val="00A907E2"/>
    <w:rsid w:val="00A920C3"/>
    <w:rsid w:val="00A92A41"/>
    <w:rsid w:val="00A94796"/>
    <w:rsid w:val="00A96C0E"/>
    <w:rsid w:val="00AA1FC0"/>
    <w:rsid w:val="00AA265D"/>
    <w:rsid w:val="00AA347F"/>
    <w:rsid w:val="00AA3614"/>
    <w:rsid w:val="00AA4237"/>
    <w:rsid w:val="00AA71EF"/>
    <w:rsid w:val="00AB0EB1"/>
    <w:rsid w:val="00AB1BB9"/>
    <w:rsid w:val="00AB21D6"/>
    <w:rsid w:val="00AB266D"/>
    <w:rsid w:val="00AB2689"/>
    <w:rsid w:val="00AB3064"/>
    <w:rsid w:val="00AB3524"/>
    <w:rsid w:val="00AB3DF4"/>
    <w:rsid w:val="00AB40CF"/>
    <w:rsid w:val="00AB46A4"/>
    <w:rsid w:val="00AB5F88"/>
    <w:rsid w:val="00AB72CD"/>
    <w:rsid w:val="00AC11C2"/>
    <w:rsid w:val="00AC13D5"/>
    <w:rsid w:val="00AC1FC8"/>
    <w:rsid w:val="00AC2607"/>
    <w:rsid w:val="00AC2A0E"/>
    <w:rsid w:val="00AC382B"/>
    <w:rsid w:val="00AC49B1"/>
    <w:rsid w:val="00AC5217"/>
    <w:rsid w:val="00AC56D5"/>
    <w:rsid w:val="00AC66F0"/>
    <w:rsid w:val="00AC72CD"/>
    <w:rsid w:val="00AC74F1"/>
    <w:rsid w:val="00AD1859"/>
    <w:rsid w:val="00AD1CB0"/>
    <w:rsid w:val="00AD226A"/>
    <w:rsid w:val="00AD2E0D"/>
    <w:rsid w:val="00AD3B81"/>
    <w:rsid w:val="00AD5893"/>
    <w:rsid w:val="00AD6DB6"/>
    <w:rsid w:val="00AD7DA8"/>
    <w:rsid w:val="00AE0503"/>
    <w:rsid w:val="00AE184C"/>
    <w:rsid w:val="00AE1A12"/>
    <w:rsid w:val="00AE208C"/>
    <w:rsid w:val="00AE2453"/>
    <w:rsid w:val="00AE2C31"/>
    <w:rsid w:val="00AE4DF5"/>
    <w:rsid w:val="00AE5B31"/>
    <w:rsid w:val="00AE6447"/>
    <w:rsid w:val="00AE7576"/>
    <w:rsid w:val="00AE7DB6"/>
    <w:rsid w:val="00AE7EB5"/>
    <w:rsid w:val="00AF09E3"/>
    <w:rsid w:val="00AF2CE4"/>
    <w:rsid w:val="00AF3CE8"/>
    <w:rsid w:val="00AF3E76"/>
    <w:rsid w:val="00AF4E66"/>
    <w:rsid w:val="00AF619A"/>
    <w:rsid w:val="00AF6D24"/>
    <w:rsid w:val="00B003BD"/>
    <w:rsid w:val="00B01E98"/>
    <w:rsid w:val="00B01FFB"/>
    <w:rsid w:val="00B031CE"/>
    <w:rsid w:val="00B048CE"/>
    <w:rsid w:val="00B04BB2"/>
    <w:rsid w:val="00B04E39"/>
    <w:rsid w:val="00B058CF"/>
    <w:rsid w:val="00B05931"/>
    <w:rsid w:val="00B06DCD"/>
    <w:rsid w:val="00B07758"/>
    <w:rsid w:val="00B07D95"/>
    <w:rsid w:val="00B10259"/>
    <w:rsid w:val="00B10683"/>
    <w:rsid w:val="00B10E20"/>
    <w:rsid w:val="00B118EC"/>
    <w:rsid w:val="00B13123"/>
    <w:rsid w:val="00B13393"/>
    <w:rsid w:val="00B14461"/>
    <w:rsid w:val="00B14581"/>
    <w:rsid w:val="00B146F3"/>
    <w:rsid w:val="00B14C21"/>
    <w:rsid w:val="00B14FFE"/>
    <w:rsid w:val="00B1771F"/>
    <w:rsid w:val="00B20706"/>
    <w:rsid w:val="00B228D3"/>
    <w:rsid w:val="00B268A3"/>
    <w:rsid w:val="00B27469"/>
    <w:rsid w:val="00B27815"/>
    <w:rsid w:val="00B27B66"/>
    <w:rsid w:val="00B30023"/>
    <w:rsid w:val="00B303B0"/>
    <w:rsid w:val="00B339E0"/>
    <w:rsid w:val="00B33D98"/>
    <w:rsid w:val="00B33FB9"/>
    <w:rsid w:val="00B36462"/>
    <w:rsid w:val="00B37BFC"/>
    <w:rsid w:val="00B40C03"/>
    <w:rsid w:val="00B4564B"/>
    <w:rsid w:val="00B45C4C"/>
    <w:rsid w:val="00B465DC"/>
    <w:rsid w:val="00B467F7"/>
    <w:rsid w:val="00B46E15"/>
    <w:rsid w:val="00B4750B"/>
    <w:rsid w:val="00B478BC"/>
    <w:rsid w:val="00B515C3"/>
    <w:rsid w:val="00B523F8"/>
    <w:rsid w:val="00B52567"/>
    <w:rsid w:val="00B535AB"/>
    <w:rsid w:val="00B54424"/>
    <w:rsid w:val="00B559CC"/>
    <w:rsid w:val="00B559DE"/>
    <w:rsid w:val="00B5670D"/>
    <w:rsid w:val="00B57875"/>
    <w:rsid w:val="00B57A5E"/>
    <w:rsid w:val="00B602D7"/>
    <w:rsid w:val="00B60973"/>
    <w:rsid w:val="00B60B5F"/>
    <w:rsid w:val="00B612E5"/>
    <w:rsid w:val="00B61D73"/>
    <w:rsid w:val="00B645FF"/>
    <w:rsid w:val="00B64EE2"/>
    <w:rsid w:val="00B655E7"/>
    <w:rsid w:val="00B65E71"/>
    <w:rsid w:val="00B66B0E"/>
    <w:rsid w:val="00B70F2C"/>
    <w:rsid w:val="00B72418"/>
    <w:rsid w:val="00B72A9C"/>
    <w:rsid w:val="00B739EA"/>
    <w:rsid w:val="00B75F97"/>
    <w:rsid w:val="00B76BBB"/>
    <w:rsid w:val="00B76DFD"/>
    <w:rsid w:val="00B770E2"/>
    <w:rsid w:val="00B77A08"/>
    <w:rsid w:val="00B80388"/>
    <w:rsid w:val="00B80A00"/>
    <w:rsid w:val="00B814D6"/>
    <w:rsid w:val="00B81EE7"/>
    <w:rsid w:val="00B82211"/>
    <w:rsid w:val="00B829C1"/>
    <w:rsid w:val="00B834A0"/>
    <w:rsid w:val="00B83E79"/>
    <w:rsid w:val="00B84490"/>
    <w:rsid w:val="00B847B8"/>
    <w:rsid w:val="00B86DA4"/>
    <w:rsid w:val="00B86F8D"/>
    <w:rsid w:val="00B920B3"/>
    <w:rsid w:val="00B92243"/>
    <w:rsid w:val="00B92AC2"/>
    <w:rsid w:val="00B93063"/>
    <w:rsid w:val="00B9414E"/>
    <w:rsid w:val="00B94BC1"/>
    <w:rsid w:val="00B96A3E"/>
    <w:rsid w:val="00BA035E"/>
    <w:rsid w:val="00BA0563"/>
    <w:rsid w:val="00BA352A"/>
    <w:rsid w:val="00BA4AF4"/>
    <w:rsid w:val="00BA4EBD"/>
    <w:rsid w:val="00BA5BDC"/>
    <w:rsid w:val="00BA7054"/>
    <w:rsid w:val="00BA7115"/>
    <w:rsid w:val="00BA7923"/>
    <w:rsid w:val="00BA7C93"/>
    <w:rsid w:val="00BB0660"/>
    <w:rsid w:val="00BB3A17"/>
    <w:rsid w:val="00BB3F1B"/>
    <w:rsid w:val="00BB3F3B"/>
    <w:rsid w:val="00BB411F"/>
    <w:rsid w:val="00BB4F94"/>
    <w:rsid w:val="00BB7117"/>
    <w:rsid w:val="00BB7A99"/>
    <w:rsid w:val="00BC0812"/>
    <w:rsid w:val="00BC2C13"/>
    <w:rsid w:val="00BC4BB0"/>
    <w:rsid w:val="00BC5B51"/>
    <w:rsid w:val="00BC5DDE"/>
    <w:rsid w:val="00BD0329"/>
    <w:rsid w:val="00BD1D8B"/>
    <w:rsid w:val="00BD42D9"/>
    <w:rsid w:val="00BD48BA"/>
    <w:rsid w:val="00BD52CD"/>
    <w:rsid w:val="00BD5339"/>
    <w:rsid w:val="00BD5E29"/>
    <w:rsid w:val="00BD600C"/>
    <w:rsid w:val="00BD705A"/>
    <w:rsid w:val="00BE04FA"/>
    <w:rsid w:val="00BE15E2"/>
    <w:rsid w:val="00BE1AD2"/>
    <w:rsid w:val="00BE292E"/>
    <w:rsid w:val="00BE3D44"/>
    <w:rsid w:val="00BE4111"/>
    <w:rsid w:val="00BE4753"/>
    <w:rsid w:val="00BE4C55"/>
    <w:rsid w:val="00BE5F5D"/>
    <w:rsid w:val="00BE6664"/>
    <w:rsid w:val="00BE6E61"/>
    <w:rsid w:val="00BE70AA"/>
    <w:rsid w:val="00BE7667"/>
    <w:rsid w:val="00BF097F"/>
    <w:rsid w:val="00BF0E90"/>
    <w:rsid w:val="00BF31E7"/>
    <w:rsid w:val="00BF44A8"/>
    <w:rsid w:val="00BF477F"/>
    <w:rsid w:val="00BF581B"/>
    <w:rsid w:val="00BF6201"/>
    <w:rsid w:val="00BF65FE"/>
    <w:rsid w:val="00BF7B61"/>
    <w:rsid w:val="00C004AE"/>
    <w:rsid w:val="00C018E0"/>
    <w:rsid w:val="00C02805"/>
    <w:rsid w:val="00C028E5"/>
    <w:rsid w:val="00C02D9D"/>
    <w:rsid w:val="00C031BA"/>
    <w:rsid w:val="00C034E4"/>
    <w:rsid w:val="00C04A06"/>
    <w:rsid w:val="00C055AF"/>
    <w:rsid w:val="00C057C3"/>
    <w:rsid w:val="00C05D4E"/>
    <w:rsid w:val="00C0703A"/>
    <w:rsid w:val="00C07EE2"/>
    <w:rsid w:val="00C122C3"/>
    <w:rsid w:val="00C12D96"/>
    <w:rsid w:val="00C137AE"/>
    <w:rsid w:val="00C14048"/>
    <w:rsid w:val="00C1461C"/>
    <w:rsid w:val="00C15381"/>
    <w:rsid w:val="00C1580A"/>
    <w:rsid w:val="00C15CA3"/>
    <w:rsid w:val="00C17C2D"/>
    <w:rsid w:val="00C205A1"/>
    <w:rsid w:val="00C208B0"/>
    <w:rsid w:val="00C20F96"/>
    <w:rsid w:val="00C21302"/>
    <w:rsid w:val="00C22302"/>
    <w:rsid w:val="00C230E6"/>
    <w:rsid w:val="00C24161"/>
    <w:rsid w:val="00C24652"/>
    <w:rsid w:val="00C24944"/>
    <w:rsid w:val="00C264A6"/>
    <w:rsid w:val="00C26AF2"/>
    <w:rsid w:val="00C27654"/>
    <w:rsid w:val="00C302D0"/>
    <w:rsid w:val="00C30DED"/>
    <w:rsid w:val="00C31677"/>
    <w:rsid w:val="00C345BA"/>
    <w:rsid w:val="00C34D19"/>
    <w:rsid w:val="00C36498"/>
    <w:rsid w:val="00C373A4"/>
    <w:rsid w:val="00C375F9"/>
    <w:rsid w:val="00C37EEC"/>
    <w:rsid w:val="00C41649"/>
    <w:rsid w:val="00C43331"/>
    <w:rsid w:val="00C471F5"/>
    <w:rsid w:val="00C47500"/>
    <w:rsid w:val="00C475DA"/>
    <w:rsid w:val="00C47896"/>
    <w:rsid w:val="00C509B7"/>
    <w:rsid w:val="00C50C80"/>
    <w:rsid w:val="00C52DE2"/>
    <w:rsid w:val="00C52ECF"/>
    <w:rsid w:val="00C54C1E"/>
    <w:rsid w:val="00C56873"/>
    <w:rsid w:val="00C56C6C"/>
    <w:rsid w:val="00C56D91"/>
    <w:rsid w:val="00C603FE"/>
    <w:rsid w:val="00C60CBB"/>
    <w:rsid w:val="00C60FDA"/>
    <w:rsid w:val="00C633DE"/>
    <w:rsid w:val="00C64919"/>
    <w:rsid w:val="00C650F8"/>
    <w:rsid w:val="00C659A7"/>
    <w:rsid w:val="00C65F05"/>
    <w:rsid w:val="00C6632D"/>
    <w:rsid w:val="00C715D4"/>
    <w:rsid w:val="00C71F4B"/>
    <w:rsid w:val="00C73429"/>
    <w:rsid w:val="00C7367B"/>
    <w:rsid w:val="00C73A82"/>
    <w:rsid w:val="00C7435D"/>
    <w:rsid w:val="00C744DA"/>
    <w:rsid w:val="00C76307"/>
    <w:rsid w:val="00C765E3"/>
    <w:rsid w:val="00C76C2F"/>
    <w:rsid w:val="00C77D65"/>
    <w:rsid w:val="00C8009F"/>
    <w:rsid w:val="00C8030B"/>
    <w:rsid w:val="00C8181B"/>
    <w:rsid w:val="00C81D6E"/>
    <w:rsid w:val="00C81F33"/>
    <w:rsid w:val="00C8369A"/>
    <w:rsid w:val="00C83B27"/>
    <w:rsid w:val="00C83DA9"/>
    <w:rsid w:val="00C84805"/>
    <w:rsid w:val="00C849DF"/>
    <w:rsid w:val="00C863B8"/>
    <w:rsid w:val="00C867BA"/>
    <w:rsid w:val="00C86E6F"/>
    <w:rsid w:val="00C87D00"/>
    <w:rsid w:val="00C9040C"/>
    <w:rsid w:val="00C91166"/>
    <w:rsid w:val="00C929D0"/>
    <w:rsid w:val="00C92D1F"/>
    <w:rsid w:val="00C92F1B"/>
    <w:rsid w:val="00C930C7"/>
    <w:rsid w:val="00C9342B"/>
    <w:rsid w:val="00C93816"/>
    <w:rsid w:val="00C970EF"/>
    <w:rsid w:val="00C97C08"/>
    <w:rsid w:val="00CA1254"/>
    <w:rsid w:val="00CA1CE8"/>
    <w:rsid w:val="00CA1F01"/>
    <w:rsid w:val="00CA2B57"/>
    <w:rsid w:val="00CA345D"/>
    <w:rsid w:val="00CA4005"/>
    <w:rsid w:val="00CA457A"/>
    <w:rsid w:val="00CA4CB6"/>
    <w:rsid w:val="00CA5E27"/>
    <w:rsid w:val="00CA61BE"/>
    <w:rsid w:val="00CA640E"/>
    <w:rsid w:val="00CA65EE"/>
    <w:rsid w:val="00CA6A75"/>
    <w:rsid w:val="00CB0245"/>
    <w:rsid w:val="00CB2D52"/>
    <w:rsid w:val="00CB2E2E"/>
    <w:rsid w:val="00CB3FAC"/>
    <w:rsid w:val="00CB5737"/>
    <w:rsid w:val="00CC0897"/>
    <w:rsid w:val="00CC1D58"/>
    <w:rsid w:val="00CC2CF4"/>
    <w:rsid w:val="00CC3E67"/>
    <w:rsid w:val="00CC5090"/>
    <w:rsid w:val="00CC7488"/>
    <w:rsid w:val="00CC7724"/>
    <w:rsid w:val="00CD03B6"/>
    <w:rsid w:val="00CD2399"/>
    <w:rsid w:val="00CD31CB"/>
    <w:rsid w:val="00CD3608"/>
    <w:rsid w:val="00CD4F63"/>
    <w:rsid w:val="00CD74B1"/>
    <w:rsid w:val="00CE0080"/>
    <w:rsid w:val="00CE05D0"/>
    <w:rsid w:val="00CE1A19"/>
    <w:rsid w:val="00CE1C9D"/>
    <w:rsid w:val="00CE2045"/>
    <w:rsid w:val="00CE2FA2"/>
    <w:rsid w:val="00CE3DD7"/>
    <w:rsid w:val="00CE4BA2"/>
    <w:rsid w:val="00CE4BF6"/>
    <w:rsid w:val="00CE63B0"/>
    <w:rsid w:val="00CE6D62"/>
    <w:rsid w:val="00CE71C3"/>
    <w:rsid w:val="00CE7226"/>
    <w:rsid w:val="00CF0385"/>
    <w:rsid w:val="00CF2230"/>
    <w:rsid w:val="00CF2913"/>
    <w:rsid w:val="00CF2FBD"/>
    <w:rsid w:val="00CF3D89"/>
    <w:rsid w:val="00CF47F7"/>
    <w:rsid w:val="00CF4F4B"/>
    <w:rsid w:val="00CF5967"/>
    <w:rsid w:val="00CF5B8D"/>
    <w:rsid w:val="00CF70D1"/>
    <w:rsid w:val="00CF768E"/>
    <w:rsid w:val="00D01139"/>
    <w:rsid w:val="00D031EB"/>
    <w:rsid w:val="00D036BF"/>
    <w:rsid w:val="00D03CA3"/>
    <w:rsid w:val="00D0427E"/>
    <w:rsid w:val="00D04914"/>
    <w:rsid w:val="00D04A78"/>
    <w:rsid w:val="00D06032"/>
    <w:rsid w:val="00D07498"/>
    <w:rsid w:val="00D106CC"/>
    <w:rsid w:val="00D11137"/>
    <w:rsid w:val="00D13183"/>
    <w:rsid w:val="00D15AAE"/>
    <w:rsid w:val="00D15E6E"/>
    <w:rsid w:val="00D16EE2"/>
    <w:rsid w:val="00D20236"/>
    <w:rsid w:val="00D20512"/>
    <w:rsid w:val="00D22A45"/>
    <w:rsid w:val="00D23F5E"/>
    <w:rsid w:val="00D244F9"/>
    <w:rsid w:val="00D25305"/>
    <w:rsid w:val="00D25830"/>
    <w:rsid w:val="00D25D40"/>
    <w:rsid w:val="00D26A9A"/>
    <w:rsid w:val="00D274FF"/>
    <w:rsid w:val="00D27E0D"/>
    <w:rsid w:val="00D309BE"/>
    <w:rsid w:val="00D31106"/>
    <w:rsid w:val="00D31C24"/>
    <w:rsid w:val="00D338D0"/>
    <w:rsid w:val="00D341DD"/>
    <w:rsid w:val="00D35D45"/>
    <w:rsid w:val="00D35E70"/>
    <w:rsid w:val="00D37F74"/>
    <w:rsid w:val="00D40881"/>
    <w:rsid w:val="00D4135F"/>
    <w:rsid w:val="00D4266E"/>
    <w:rsid w:val="00D42D4E"/>
    <w:rsid w:val="00D43610"/>
    <w:rsid w:val="00D438A4"/>
    <w:rsid w:val="00D463AC"/>
    <w:rsid w:val="00D46967"/>
    <w:rsid w:val="00D47D23"/>
    <w:rsid w:val="00D50354"/>
    <w:rsid w:val="00D513B4"/>
    <w:rsid w:val="00D5150C"/>
    <w:rsid w:val="00D54363"/>
    <w:rsid w:val="00D54898"/>
    <w:rsid w:val="00D55CF5"/>
    <w:rsid w:val="00D55E07"/>
    <w:rsid w:val="00D57F6C"/>
    <w:rsid w:val="00D610ED"/>
    <w:rsid w:val="00D6117A"/>
    <w:rsid w:val="00D618E8"/>
    <w:rsid w:val="00D62B72"/>
    <w:rsid w:val="00D62E37"/>
    <w:rsid w:val="00D63AE1"/>
    <w:rsid w:val="00D64510"/>
    <w:rsid w:val="00D66388"/>
    <w:rsid w:val="00D66527"/>
    <w:rsid w:val="00D66C4F"/>
    <w:rsid w:val="00D66EA1"/>
    <w:rsid w:val="00D66F7A"/>
    <w:rsid w:val="00D67320"/>
    <w:rsid w:val="00D7031A"/>
    <w:rsid w:val="00D70B1E"/>
    <w:rsid w:val="00D71264"/>
    <w:rsid w:val="00D72019"/>
    <w:rsid w:val="00D72199"/>
    <w:rsid w:val="00D73225"/>
    <w:rsid w:val="00D73E46"/>
    <w:rsid w:val="00D74402"/>
    <w:rsid w:val="00D74881"/>
    <w:rsid w:val="00D75D4C"/>
    <w:rsid w:val="00D76265"/>
    <w:rsid w:val="00D764D1"/>
    <w:rsid w:val="00D766B1"/>
    <w:rsid w:val="00D76760"/>
    <w:rsid w:val="00D77D3D"/>
    <w:rsid w:val="00D827CB"/>
    <w:rsid w:val="00D82CCE"/>
    <w:rsid w:val="00D82E70"/>
    <w:rsid w:val="00D831EA"/>
    <w:rsid w:val="00D85283"/>
    <w:rsid w:val="00D864F5"/>
    <w:rsid w:val="00D8654D"/>
    <w:rsid w:val="00D868DD"/>
    <w:rsid w:val="00D8696E"/>
    <w:rsid w:val="00D90329"/>
    <w:rsid w:val="00D917A5"/>
    <w:rsid w:val="00D919D0"/>
    <w:rsid w:val="00D92678"/>
    <w:rsid w:val="00D93237"/>
    <w:rsid w:val="00D93BB1"/>
    <w:rsid w:val="00D95021"/>
    <w:rsid w:val="00D95955"/>
    <w:rsid w:val="00D96C78"/>
    <w:rsid w:val="00DA1697"/>
    <w:rsid w:val="00DA17A8"/>
    <w:rsid w:val="00DA1FF1"/>
    <w:rsid w:val="00DA2795"/>
    <w:rsid w:val="00DA40D7"/>
    <w:rsid w:val="00DA449F"/>
    <w:rsid w:val="00DA4531"/>
    <w:rsid w:val="00DA60B5"/>
    <w:rsid w:val="00DA68D9"/>
    <w:rsid w:val="00DA6C9E"/>
    <w:rsid w:val="00DA7E5F"/>
    <w:rsid w:val="00DB0344"/>
    <w:rsid w:val="00DB15F1"/>
    <w:rsid w:val="00DB4A46"/>
    <w:rsid w:val="00DB54D7"/>
    <w:rsid w:val="00DC06B4"/>
    <w:rsid w:val="00DC10AC"/>
    <w:rsid w:val="00DC140F"/>
    <w:rsid w:val="00DC166F"/>
    <w:rsid w:val="00DC1C3D"/>
    <w:rsid w:val="00DC27FD"/>
    <w:rsid w:val="00DC3D3A"/>
    <w:rsid w:val="00DC41E3"/>
    <w:rsid w:val="00DC4749"/>
    <w:rsid w:val="00DC4D41"/>
    <w:rsid w:val="00DC6A4A"/>
    <w:rsid w:val="00DC6CB6"/>
    <w:rsid w:val="00DD0684"/>
    <w:rsid w:val="00DD3BD6"/>
    <w:rsid w:val="00DD3BFD"/>
    <w:rsid w:val="00DD4B8F"/>
    <w:rsid w:val="00DD6C22"/>
    <w:rsid w:val="00DE0386"/>
    <w:rsid w:val="00DE0399"/>
    <w:rsid w:val="00DE1BDF"/>
    <w:rsid w:val="00DE1DED"/>
    <w:rsid w:val="00DE26A8"/>
    <w:rsid w:val="00DE6389"/>
    <w:rsid w:val="00DF042E"/>
    <w:rsid w:val="00DF0D98"/>
    <w:rsid w:val="00DF0F09"/>
    <w:rsid w:val="00DF1AD5"/>
    <w:rsid w:val="00DF23B3"/>
    <w:rsid w:val="00DF2E22"/>
    <w:rsid w:val="00DF3AB6"/>
    <w:rsid w:val="00DF47AB"/>
    <w:rsid w:val="00DF51B1"/>
    <w:rsid w:val="00DF605D"/>
    <w:rsid w:val="00DF61B1"/>
    <w:rsid w:val="00DF69AE"/>
    <w:rsid w:val="00DF77DE"/>
    <w:rsid w:val="00DF7B47"/>
    <w:rsid w:val="00E0024D"/>
    <w:rsid w:val="00E012A9"/>
    <w:rsid w:val="00E029A4"/>
    <w:rsid w:val="00E02BE3"/>
    <w:rsid w:val="00E036D1"/>
    <w:rsid w:val="00E0400A"/>
    <w:rsid w:val="00E0403E"/>
    <w:rsid w:val="00E044FE"/>
    <w:rsid w:val="00E04700"/>
    <w:rsid w:val="00E052A6"/>
    <w:rsid w:val="00E056B7"/>
    <w:rsid w:val="00E0606A"/>
    <w:rsid w:val="00E066B4"/>
    <w:rsid w:val="00E06C93"/>
    <w:rsid w:val="00E07F18"/>
    <w:rsid w:val="00E10312"/>
    <w:rsid w:val="00E10D55"/>
    <w:rsid w:val="00E12286"/>
    <w:rsid w:val="00E134C7"/>
    <w:rsid w:val="00E147A0"/>
    <w:rsid w:val="00E1569A"/>
    <w:rsid w:val="00E20612"/>
    <w:rsid w:val="00E21123"/>
    <w:rsid w:val="00E220DF"/>
    <w:rsid w:val="00E2243A"/>
    <w:rsid w:val="00E230C5"/>
    <w:rsid w:val="00E24378"/>
    <w:rsid w:val="00E24977"/>
    <w:rsid w:val="00E268A2"/>
    <w:rsid w:val="00E26FF8"/>
    <w:rsid w:val="00E30AAF"/>
    <w:rsid w:val="00E31A81"/>
    <w:rsid w:val="00E31E14"/>
    <w:rsid w:val="00E32091"/>
    <w:rsid w:val="00E330AA"/>
    <w:rsid w:val="00E330AC"/>
    <w:rsid w:val="00E33ADD"/>
    <w:rsid w:val="00E33BE0"/>
    <w:rsid w:val="00E34E95"/>
    <w:rsid w:val="00E36B79"/>
    <w:rsid w:val="00E36D7E"/>
    <w:rsid w:val="00E3728B"/>
    <w:rsid w:val="00E37504"/>
    <w:rsid w:val="00E37AB2"/>
    <w:rsid w:val="00E37D9B"/>
    <w:rsid w:val="00E4028F"/>
    <w:rsid w:val="00E419C2"/>
    <w:rsid w:val="00E427CE"/>
    <w:rsid w:val="00E42FBC"/>
    <w:rsid w:val="00E430BD"/>
    <w:rsid w:val="00E44FB1"/>
    <w:rsid w:val="00E46B1D"/>
    <w:rsid w:val="00E46E3F"/>
    <w:rsid w:val="00E47155"/>
    <w:rsid w:val="00E50403"/>
    <w:rsid w:val="00E50B5D"/>
    <w:rsid w:val="00E51A16"/>
    <w:rsid w:val="00E51EDC"/>
    <w:rsid w:val="00E5341E"/>
    <w:rsid w:val="00E5414B"/>
    <w:rsid w:val="00E54215"/>
    <w:rsid w:val="00E5690C"/>
    <w:rsid w:val="00E5770A"/>
    <w:rsid w:val="00E602F4"/>
    <w:rsid w:val="00E6053D"/>
    <w:rsid w:val="00E6172E"/>
    <w:rsid w:val="00E61D41"/>
    <w:rsid w:val="00E61D7A"/>
    <w:rsid w:val="00E626E6"/>
    <w:rsid w:val="00E645B5"/>
    <w:rsid w:val="00E65D5E"/>
    <w:rsid w:val="00E67966"/>
    <w:rsid w:val="00E67EDA"/>
    <w:rsid w:val="00E70AE7"/>
    <w:rsid w:val="00E71CF3"/>
    <w:rsid w:val="00E71F6A"/>
    <w:rsid w:val="00E734F8"/>
    <w:rsid w:val="00E7548C"/>
    <w:rsid w:val="00E76D62"/>
    <w:rsid w:val="00E775FA"/>
    <w:rsid w:val="00E808C6"/>
    <w:rsid w:val="00E81943"/>
    <w:rsid w:val="00E82585"/>
    <w:rsid w:val="00E85674"/>
    <w:rsid w:val="00E86496"/>
    <w:rsid w:val="00E86620"/>
    <w:rsid w:val="00E86E6C"/>
    <w:rsid w:val="00E874A8"/>
    <w:rsid w:val="00E87C85"/>
    <w:rsid w:val="00E91E5F"/>
    <w:rsid w:val="00E92409"/>
    <w:rsid w:val="00E93639"/>
    <w:rsid w:val="00E942FF"/>
    <w:rsid w:val="00E944B8"/>
    <w:rsid w:val="00E96125"/>
    <w:rsid w:val="00E964FB"/>
    <w:rsid w:val="00E96FD0"/>
    <w:rsid w:val="00E9732C"/>
    <w:rsid w:val="00EA04BF"/>
    <w:rsid w:val="00EA1014"/>
    <w:rsid w:val="00EA16F1"/>
    <w:rsid w:val="00EA19EC"/>
    <w:rsid w:val="00EA2323"/>
    <w:rsid w:val="00EA29ED"/>
    <w:rsid w:val="00EA3748"/>
    <w:rsid w:val="00EA3EEF"/>
    <w:rsid w:val="00EA4351"/>
    <w:rsid w:val="00EA5015"/>
    <w:rsid w:val="00EA5BFD"/>
    <w:rsid w:val="00EA5FB2"/>
    <w:rsid w:val="00EA69B3"/>
    <w:rsid w:val="00EA6D9D"/>
    <w:rsid w:val="00EA7941"/>
    <w:rsid w:val="00EB181D"/>
    <w:rsid w:val="00EB2CB4"/>
    <w:rsid w:val="00EB2D2C"/>
    <w:rsid w:val="00EB3763"/>
    <w:rsid w:val="00EB3F96"/>
    <w:rsid w:val="00EB5C46"/>
    <w:rsid w:val="00EB5C51"/>
    <w:rsid w:val="00EB5D63"/>
    <w:rsid w:val="00EB6272"/>
    <w:rsid w:val="00EB6BDC"/>
    <w:rsid w:val="00EB7564"/>
    <w:rsid w:val="00EC0756"/>
    <w:rsid w:val="00EC10F9"/>
    <w:rsid w:val="00EC1D2F"/>
    <w:rsid w:val="00EC1D86"/>
    <w:rsid w:val="00EC2447"/>
    <w:rsid w:val="00EC342C"/>
    <w:rsid w:val="00EC38C3"/>
    <w:rsid w:val="00EC5067"/>
    <w:rsid w:val="00EC65F5"/>
    <w:rsid w:val="00EC6953"/>
    <w:rsid w:val="00EC6AB7"/>
    <w:rsid w:val="00ED05F6"/>
    <w:rsid w:val="00ED16FD"/>
    <w:rsid w:val="00ED17EB"/>
    <w:rsid w:val="00ED1B5E"/>
    <w:rsid w:val="00ED1E11"/>
    <w:rsid w:val="00ED2392"/>
    <w:rsid w:val="00ED2E9E"/>
    <w:rsid w:val="00ED3B05"/>
    <w:rsid w:val="00ED3FDC"/>
    <w:rsid w:val="00ED48F0"/>
    <w:rsid w:val="00ED555A"/>
    <w:rsid w:val="00ED55A2"/>
    <w:rsid w:val="00ED605A"/>
    <w:rsid w:val="00ED630D"/>
    <w:rsid w:val="00ED6B20"/>
    <w:rsid w:val="00ED6CF5"/>
    <w:rsid w:val="00ED6DF8"/>
    <w:rsid w:val="00ED7A4C"/>
    <w:rsid w:val="00EE23F2"/>
    <w:rsid w:val="00EE36B9"/>
    <w:rsid w:val="00EE3B48"/>
    <w:rsid w:val="00EE3F46"/>
    <w:rsid w:val="00EE497F"/>
    <w:rsid w:val="00EE64F7"/>
    <w:rsid w:val="00EE66FA"/>
    <w:rsid w:val="00EE78C5"/>
    <w:rsid w:val="00EE7FB6"/>
    <w:rsid w:val="00EF0D4C"/>
    <w:rsid w:val="00EF157F"/>
    <w:rsid w:val="00EF1866"/>
    <w:rsid w:val="00EF1B32"/>
    <w:rsid w:val="00EF1CA9"/>
    <w:rsid w:val="00EF2D40"/>
    <w:rsid w:val="00EF3141"/>
    <w:rsid w:val="00EF406D"/>
    <w:rsid w:val="00EF4724"/>
    <w:rsid w:val="00EF4768"/>
    <w:rsid w:val="00EF4DD4"/>
    <w:rsid w:val="00EF576A"/>
    <w:rsid w:val="00EF587B"/>
    <w:rsid w:val="00EF68DB"/>
    <w:rsid w:val="00EF753C"/>
    <w:rsid w:val="00F006DC"/>
    <w:rsid w:val="00F00E54"/>
    <w:rsid w:val="00F028D3"/>
    <w:rsid w:val="00F03DB7"/>
    <w:rsid w:val="00F04613"/>
    <w:rsid w:val="00F04A13"/>
    <w:rsid w:val="00F04D1A"/>
    <w:rsid w:val="00F064F3"/>
    <w:rsid w:val="00F06B22"/>
    <w:rsid w:val="00F074DB"/>
    <w:rsid w:val="00F10708"/>
    <w:rsid w:val="00F1087C"/>
    <w:rsid w:val="00F12116"/>
    <w:rsid w:val="00F1343E"/>
    <w:rsid w:val="00F14931"/>
    <w:rsid w:val="00F171A5"/>
    <w:rsid w:val="00F2129A"/>
    <w:rsid w:val="00F23097"/>
    <w:rsid w:val="00F23329"/>
    <w:rsid w:val="00F23D85"/>
    <w:rsid w:val="00F24D93"/>
    <w:rsid w:val="00F2510C"/>
    <w:rsid w:val="00F274E2"/>
    <w:rsid w:val="00F30879"/>
    <w:rsid w:val="00F30DA4"/>
    <w:rsid w:val="00F31F2D"/>
    <w:rsid w:val="00F31FB5"/>
    <w:rsid w:val="00F32174"/>
    <w:rsid w:val="00F324A7"/>
    <w:rsid w:val="00F32762"/>
    <w:rsid w:val="00F33B0C"/>
    <w:rsid w:val="00F346BD"/>
    <w:rsid w:val="00F35557"/>
    <w:rsid w:val="00F35C8F"/>
    <w:rsid w:val="00F35EF1"/>
    <w:rsid w:val="00F40112"/>
    <w:rsid w:val="00F40988"/>
    <w:rsid w:val="00F41306"/>
    <w:rsid w:val="00F42619"/>
    <w:rsid w:val="00F42ABF"/>
    <w:rsid w:val="00F43A1C"/>
    <w:rsid w:val="00F44197"/>
    <w:rsid w:val="00F454EA"/>
    <w:rsid w:val="00F456B9"/>
    <w:rsid w:val="00F47D40"/>
    <w:rsid w:val="00F5053C"/>
    <w:rsid w:val="00F51932"/>
    <w:rsid w:val="00F543F8"/>
    <w:rsid w:val="00F547B8"/>
    <w:rsid w:val="00F551B7"/>
    <w:rsid w:val="00F5534D"/>
    <w:rsid w:val="00F55E66"/>
    <w:rsid w:val="00F567B2"/>
    <w:rsid w:val="00F572ED"/>
    <w:rsid w:val="00F57525"/>
    <w:rsid w:val="00F57C6E"/>
    <w:rsid w:val="00F63BBC"/>
    <w:rsid w:val="00F63D97"/>
    <w:rsid w:val="00F6634E"/>
    <w:rsid w:val="00F67C1B"/>
    <w:rsid w:val="00F704CD"/>
    <w:rsid w:val="00F709D2"/>
    <w:rsid w:val="00F70AF1"/>
    <w:rsid w:val="00F71809"/>
    <w:rsid w:val="00F72940"/>
    <w:rsid w:val="00F7336C"/>
    <w:rsid w:val="00F7446B"/>
    <w:rsid w:val="00F755A5"/>
    <w:rsid w:val="00F81669"/>
    <w:rsid w:val="00F82859"/>
    <w:rsid w:val="00F82CB1"/>
    <w:rsid w:val="00F848CE"/>
    <w:rsid w:val="00F8678E"/>
    <w:rsid w:val="00F87505"/>
    <w:rsid w:val="00F9030C"/>
    <w:rsid w:val="00F90AB0"/>
    <w:rsid w:val="00F90B2C"/>
    <w:rsid w:val="00F91CC3"/>
    <w:rsid w:val="00F9274F"/>
    <w:rsid w:val="00F92B7C"/>
    <w:rsid w:val="00F92D7C"/>
    <w:rsid w:val="00F939AB"/>
    <w:rsid w:val="00F93E28"/>
    <w:rsid w:val="00F95EA1"/>
    <w:rsid w:val="00F975D4"/>
    <w:rsid w:val="00F9778D"/>
    <w:rsid w:val="00F97DF6"/>
    <w:rsid w:val="00FA2A8D"/>
    <w:rsid w:val="00FA2AC4"/>
    <w:rsid w:val="00FA37B5"/>
    <w:rsid w:val="00FA38E4"/>
    <w:rsid w:val="00FA3AEF"/>
    <w:rsid w:val="00FA3BF2"/>
    <w:rsid w:val="00FA3DE1"/>
    <w:rsid w:val="00FA507F"/>
    <w:rsid w:val="00FA5630"/>
    <w:rsid w:val="00FA5A4B"/>
    <w:rsid w:val="00FA61C1"/>
    <w:rsid w:val="00FB112A"/>
    <w:rsid w:val="00FB2896"/>
    <w:rsid w:val="00FB2A67"/>
    <w:rsid w:val="00FB2BCE"/>
    <w:rsid w:val="00FB2E65"/>
    <w:rsid w:val="00FB376E"/>
    <w:rsid w:val="00FB4102"/>
    <w:rsid w:val="00FB5377"/>
    <w:rsid w:val="00FB55F2"/>
    <w:rsid w:val="00FB63D9"/>
    <w:rsid w:val="00FB64B0"/>
    <w:rsid w:val="00FB6A90"/>
    <w:rsid w:val="00FB7AA4"/>
    <w:rsid w:val="00FC10A4"/>
    <w:rsid w:val="00FC2621"/>
    <w:rsid w:val="00FC2A0C"/>
    <w:rsid w:val="00FC44D5"/>
    <w:rsid w:val="00FC4AB8"/>
    <w:rsid w:val="00FC526C"/>
    <w:rsid w:val="00FC5916"/>
    <w:rsid w:val="00FC5A4B"/>
    <w:rsid w:val="00FC64F8"/>
    <w:rsid w:val="00FD005F"/>
    <w:rsid w:val="00FD011D"/>
    <w:rsid w:val="00FD2944"/>
    <w:rsid w:val="00FD3989"/>
    <w:rsid w:val="00FD3B84"/>
    <w:rsid w:val="00FD559D"/>
    <w:rsid w:val="00FD7EDF"/>
    <w:rsid w:val="00FE14EE"/>
    <w:rsid w:val="00FE1C7C"/>
    <w:rsid w:val="00FE2DD0"/>
    <w:rsid w:val="00FE65E1"/>
    <w:rsid w:val="00FE6619"/>
    <w:rsid w:val="00FE6701"/>
    <w:rsid w:val="00FE6A09"/>
    <w:rsid w:val="00FF0AC8"/>
    <w:rsid w:val="00FF19E9"/>
    <w:rsid w:val="00FF20DE"/>
    <w:rsid w:val="00FF2472"/>
    <w:rsid w:val="00FF373F"/>
    <w:rsid w:val="00FF6B2C"/>
    <w:rsid w:val="00FF6B76"/>
    <w:rsid w:val="00FF6DEA"/>
    <w:rsid w:val="00FF7D06"/>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1659B8E-9E5B-4961-B3B1-BC26195D4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UY" w:eastAsia="es-UY"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3CDE"/>
    <w:rPr>
      <w:sz w:val="24"/>
      <w:lang w:eastAsia="en-US"/>
    </w:rPr>
  </w:style>
  <w:style w:type="paragraph" w:styleId="Heading1">
    <w:name w:val="heading 1"/>
    <w:aliases w:val="Capítulo"/>
    <w:basedOn w:val="Normal"/>
    <w:next w:val="Normal"/>
    <w:link w:val="Heading1Char"/>
    <w:qFormat/>
    <w:rsid w:val="00A57142"/>
    <w:pPr>
      <w:keepNext/>
      <w:tabs>
        <w:tab w:val="num" w:pos="360"/>
      </w:tabs>
      <w:spacing w:before="240" w:after="60"/>
      <w:outlineLvl w:val="0"/>
    </w:pPr>
    <w:rPr>
      <w:rFonts w:ascii="Arial" w:hAnsi="Arial"/>
      <w:b/>
      <w:kern w:val="28"/>
      <w:sz w:val="28"/>
      <w:lang w:val="es-ES_tradnl"/>
    </w:rPr>
  </w:style>
  <w:style w:type="paragraph" w:styleId="Heading2">
    <w:name w:val="heading 2"/>
    <w:basedOn w:val="Normal"/>
    <w:next w:val="Normal"/>
    <w:link w:val="Heading2Char"/>
    <w:qFormat/>
    <w:rsid w:val="00A57142"/>
    <w:pPr>
      <w:keepNext/>
      <w:tabs>
        <w:tab w:val="num" w:pos="1080"/>
      </w:tabs>
      <w:spacing w:before="240" w:after="60"/>
      <w:ind w:left="720"/>
      <w:outlineLvl w:val="1"/>
    </w:pPr>
    <w:rPr>
      <w:rFonts w:ascii="Arial" w:hAnsi="Arial"/>
      <w:b/>
      <w:i/>
      <w:lang w:val="es-ES_tradnl"/>
    </w:rPr>
  </w:style>
  <w:style w:type="paragraph" w:styleId="Heading3">
    <w:name w:val="heading 3"/>
    <w:basedOn w:val="Normal"/>
    <w:link w:val="Heading3Char"/>
    <w:qFormat/>
    <w:rsid w:val="005745B7"/>
    <w:pPr>
      <w:spacing w:before="100" w:beforeAutospacing="1" w:after="100" w:afterAutospacing="1"/>
      <w:outlineLvl w:val="2"/>
    </w:pPr>
    <w:rPr>
      <w:b/>
      <w:bCs/>
      <w:sz w:val="27"/>
      <w:szCs w:val="27"/>
      <w:lang w:val="es-ES" w:eastAsia="es-ES"/>
    </w:rPr>
  </w:style>
  <w:style w:type="paragraph" w:styleId="Heading4">
    <w:name w:val="heading 4"/>
    <w:basedOn w:val="Normal"/>
    <w:next w:val="Normal"/>
    <w:link w:val="Heading4Char"/>
    <w:qFormat/>
    <w:rsid w:val="00A57142"/>
    <w:pPr>
      <w:keepNext/>
      <w:tabs>
        <w:tab w:val="num" w:pos="2520"/>
      </w:tabs>
      <w:spacing w:before="240" w:after="60"/>
      <w:ind w:left="2160"/>
      <w:outlineLvl w:val="3"/>
    </w:pPr>
    <w:rPr>
      <w:rFonts w:ascii="Arial" w:hAnsi="Arial"/>
      <w:b/>
      <w:lang w:val="es-ES_tradnl"/>
    </w:rPr>
  </w:style>
  <w:style w:type="paragraph" w:styleId="Heading5">
    <w:name w:val="heading 5"/>
    <w:basedOn w:val="Normal"/>
    <w:next w:val="Normal"/>
    <w:link w:val="Heading5Char"/>
    <w:qFormat/>
    <w:rsid w:val="00A57142"/>
    <w:pPr>
      <w:tabs>
        <w:tab w:val="num" w:pos="3240"/>
      </w:tabs>
      <w:spacing w:before="240" w:after="60"/>
      <w:ind w:left="2880"/>
      <w:outlineLvl w:val="4"/>
    </w:pPr>
    <w:rPr>
      <w:sz w:val="22"/>
      <w:lang w:val="es-ES_tradnl"/>
    </w:rPr>
  </w:style>
  <w:style w:type="paragraph" w:styleId="Heading6">
    <w:name w:val="heading 6"/>
    <w:basedOn w:val="Normal"/>
    <w:next w:val="Normal"/>
    <w:link w:val="Heading6Char"/>
    <w:qFormat/>
    <w:rsid w:val="00A57142"/>
    <w:pPr>
      <w:tabs>
        <w:tab w:val="num" w:pos="3960"/>
      </w:tabs>
      <w:spacing w:before="240" w:after="60"/>
      <w:ind w:left="3600"/>
      <w:outlineLvl w:val="5"/>
    </w:pPr>
    <w:rPr>
      <w:i/>
      <w:sz w:val="22"/>
      <w:lang w:val="es-ES_tradnl"/>
    </w:rPr>
  </w:style>
  <w:style w:type="paragraph" w:styleId="Heading7">
    <w:name w:val="heading 7"/>
    <w:basedOn w:val="Normal"/>
    <w:next w:val="Normal"/>
    <w:link w:val="Heading7Char"/>
    <w:qFormat/>
    <w:rsid w:val="00A57142"/>
    <w:pPr>
      <w:tabs>
        <w:tab w:val="num" w:pos="4680"/>
      </w:tabs>
      <w:spacing w:before="240" w:after="60"/>
      <w:ind w:left="4320"/>
      <w:outlineLvl w:val="6"/>
    </w:pPr>
    <w:rPr>
      <w:rFonts w:ascii="Arial" w:hAnsi="Arial"/>
      <w:lang w:val="es-ES_tradnl"/>
    </w:rPr>
  </w:style>
  <w:style w:type="paragraph" w:styleId="Heading8">
    <w:name w:val="heading 8"/>
    <w:basedOn w:val="Normal"/>
    <w:next w:val="Normal"/>
    <w:link w:val="Heading8Char"/>
    <w:qFormat/>
    <w:rsid w:val="00A57142"/>
    <w:pPr>
      <w:tabs>
        <w:tab w:val="num" w:pos="5400"/>
      </w:tabs>
      <w:spacing w:before="240" w:after="60"/>
      <w:ind w:left="5040"/>
      <w:outlineLvl w:val="7"/>
    </w:pPr>
    <w:rPr>
      <w:rFonts w:ascii="Arial" w:hAnsi="Arial"/>
      <w:i/>
      <w:lang w:val="es-ES_tradnl"/>
    </w:rPr>
  </w:style>
  <w:style w:type="paragraph" w:styleId="Heading9">
    <w:name w:val="heading 9"/>
    <w:basedOn w:val="Normal"/>
    <w:next w:val="Normal"/>
    <w:link w:val="Heading9Char"/>
    <w:qFormat/>
    <w:rsid w:val="00A57142"/>
    <w:pPr>
      <w:tabs>
        <w:tab w:val="num" w:pos="6120"/>
      </w:tabs>
      <w:spacing w:before="240" w:after="60"/>
      <w:ind w:left="57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33CDE"/>
    <w:pPr>
      <w:tabs>
        <w:tab w:val="left" w:pos="3060"/>
      </w:tabs>
      <w:jc w:val="center"/>
    </w:pPr>
  </w:style>
  <w:style w:type="paragraph" w:customStyle="1" w:styleId="Chapter">
    <w:name w:val="Chapter"/>
    <w:basedOn w:val="Normal"/>
    <w:next w:val="Normal"/>
    <w:uiPriority w:val="99"/>
    <w:rsid w:val="00133CDE"/>
    <w:pPr>
      <w:numPr>
        <w:numId w:val="1"/>
      </w:numPr>
      <w:tabs>
        <w:tab w:val="left" w:pos="1440"/>
      </w:tabs>
      <w:spacing w:after="240"/>
      <w:jc w:val="center"/>
    </w:pPr>
    <w:rPr>
      <w:b/>
      <w:smallCaps/>
      <w:lang w:val="es-ES"/>
    </w:rPr>
  </w:style>
  <w:style w:type="paragraph" w:styleId="Footer">
    <w:name w:val="footer"/>
    <w:basedOn w:val="Normal"/>
    <w:link w:val="FooterChar"/>
    <w:uiPriority w:val="99"/>
    <w:rsid w:val="00133CDE"/>
    <w:pPr>
      <w:tabs>
        <w:tab w:val="center" w:pos="4320"/>
        <w:tab w:val="right" w:pos="8640"/>
      </w:tabs>
    </w:pPr>
  </w:style>
  <w:style w:type="paragraph" w:styleId="FootnoteText">
    <w:name w:val="footnote text"/>
    <w:aliases w:val="footnote,fn,Texto de rodapé,nota_rodapé,nota de rodapé Car Car,nota de rodapé Car Car Car Car Car Car Car Car Car Car Car,Texto nota pie IIRSA,single space,FOOTNOTES,footnote text,Footnote Text Char Char,ft,Footnote,foottextfra,F"/>
    <w:basedOn w:val="Normal"/>
    <w:link w:val="FootnoteTextChar"/>
    <w:uiPriority w:val="99"/>
    <w:rsid w:val="00133CDE"/>
    <w:rPr>
      <w:sz w:val="20"/>
    </w:rPr>
  </w:style>
  <w:style w:type="paragraph" w:styleId="Header">
    <w:name w:val="header"/>
    <w:basedOn w:val="Normal"/>
    <w:link w:val="HeaderChar"/>
    <w:uiPriority w:val="99"/>
    <w:rsid w:val="00133CDE"/>
    <w:pPr>
      <w:tabs>
        <w:tab w:val="center" w:pos="4320"/>
        <w:tab w:val="right" w:pos="8640"/>
      </w:tabs>
    </w:pPr>
  </w:style>
  <w:style w:type="paragraph" w:customStyle="1" w:styleId="Newpage">
    <w:name w:val="Newpage"/>
    <w:basedOn w:val="Chapter"/>
    <w:rsid w:val="00133CDE"/>
    <w:pPr>
      <w:numPr>
        <w:numId w:val="0"/>
      </w:numPr>
      <w:tabs>
        <w:tab w:val="clear" w:pos="1440"/>
        <w:tab w:val="left" w:pos="3060"/>
      </w:tabs>
      <w:spacing w:after="0"/>
    </w:pPr>
  </w:style>
  <w:style w:type="character" w:styleId="PageNumber">
    <w:name w:val="page number"/>
    <w:basedOn w:val="DefaultParagraphFont"/>
    <w:rsid w:val="00133CDE"/>
  </w:style>
  <w:style w:type="paragraph" w:customStyle="1" w:styleId="Paragraph">
    <w:name w:val="Paragraph"/>
    <w:aliases w:val="paragraph,p,PARAGRAPH,PG,pa,at"/>
    <w:basedOn w:val="BodyTextIndent"/>
    <w:link w:val="ParagraphChar"/>
    <w:uiPriority w:val="99"/>
    <w:rsid w:val="00133CDE"/>
    <w:pPr>
      <w:numPr>
        <w:ilvl w:val="1"/>
        <w:numId w:val="1"/>
      </w:numPr>
      <w:spacing w:before="120"/>
      <w:jc w:val="both"/>
      <w:outlineLvl w:val="1"/>
    </w:pPr>
    <w:rPr>
      <w:lang w:val="es-ES"/>
    </w:rPr>
  </w:style>
  <w:style w:type="paragraph" w:customStyle="1" w:styleId="SubSubPar">
    <w:name w:val="SubSubPar"/>
    <w:basedOn w:val="Normal"/>
    <w:uiPriority w:val="99"/>
    <w:rsid w:val="00133CDE"/>
    <w:pPr>
      <w:numPr>
        <w:ilvl w:val="3"/>
        <w:numId w:val="1"/>
      </w:numPr>
      <w:tabs>
        <w:tab w:val="left" w:pos="0"/>
      </w:tabs>
      <w:spacing w:before="120" w:after="120"/>
      <w:jc w:val="both"/>
      <w:outlineLvl w:val="2"/>
    </w:pPr>
    <w:rPr>
      <w:lang w:val="es-ES_tradnl"/>
    </w:rPr>
  </w:style>
  <w:style w:type="paragraph" w:styleId="Title">
    <w:name w:val="Title"/>
    <w:basedOn w:val="Normal"/>
    <w:link w:val="TitleChar"/>
    <w:qFormat/>
    <w:rsid w:val="00133CDE"/>
    <w:pPr>
      <w:tabs>
        <w:tab w:val="left" w:pos="1440"/>
        <w:tab w:val="left" w:pos="3060"/>
      </w:tabs>
      <w:jc w:val="center"/>
      <w:outlineLvl w:val="0"/>
    </w:pPr>
  </w:style>
  <w:style w:type="character" w:styleId="FootnoteReference">
    <w:name w:val="footnote reference"/>
    <w:aliases w:val="FC,ftref"/>
    <w:basedOn w:val="DefaultParagraphFont"/>
    <w:uiPriority w:val="99"/>
    <w:rsid w:val="00133CDE"/>
    <w:rPr>
      <w:vertAlign w:val="superscript"/>
    </w:rPr>
  </w:style>
  <w:style w:type="paragraph" w:styleId="NormalWeb">
    <w:name w:val="Normal (Web)"/>
    <w:basedOn w:val="Normal"/>
    <w:rsid w:val="00133CDE"/>
    <w:pPr>
      <w:spacing w:before="100" w:beforeAutospacing="1" w:after="100" w:afterAutospacing="1"/>
    </w:pPr>
    <w:rPr>
      <w:rFonts w:ascii="Arial Unicode MS" w:eastAsia="Arial Unicode MS" w:hAnsi="Arial Unicode MS" w:cs="Arial Unicode MS"/>
      <w:color w:val="000000"/>
      <w:szCs w:val="24"/>
      <w:lang w:val="en-US"/>
    </w:rPr>
  </w:style>
  <w:style w:type="paragraph" w:styleId="BodyTextIndent">
    <w:name w:val="Body Text Indent"/>
    <w:basedOn w:val="Normal"/>
    <w:rsid w:val="00133CDE"/>
    <w:pPr>
      <w:spacing w:after="120"/>
      <w:ind w:left="283"/>
    </w:pPr>
  </w:style>
  <w:style w:type="paragraph" w:styleId="ListParagraph">
    <w:name w:val="List Paragraph"/>
    <w:basedOn w:val="Normal"/>
    <w:uiPriority w:val="34"/>
    <w:qFormat/>
    <w:rsid w:val="00D76760"/>
    <w:pPr>
      <w:ind w:left="708"/>
    </w:pPr>
  </w:style>
  <w:style w:type="paragraph" w:styleId="ListBullet">
    <w:name w:val="List Bullet"/>
    <w:basedOn w:val="Normal"/>
    <w:uiPriority w:val="99"/>
    <w:unhideWhenUsed/>
    <w:rsid w:val="007E5765"/>
    <w:pPr>
      <w:numPr>
        <w:numId w:val="8"/>
      </w:numPr>
      <w:contextualSpacing/>
    </w:pPr>
  </w:style>
  <w:style w:type="character" w:customStyle="1" w:styleId="FootnoteTextChar">
    <w:name w:val="Footnote Text Char"/>
    <w:aliases w:val="footnote Char,fn Char,Texto de rodapé Char,nota_rodapé Char,nota de rodapé Car Car Char,nota de rodapé Car Car Car Car Car Car Car Car Car Car Car Char,Texto nota pie IIRSA Char,single space Char,FOOTNOTES Char,footnote text Char"/>
    <w:basedOn w:val="DefaultParagraphFont"/>
    <w:link w:val="FootnoteText"/>
    <w:uiPriority w:val="99"/>
    <w:rsid w:val="00ED2E9E"/>
    <w:rPr>
      <w:lang w:val="es-UY" w:eastAsia="en-US"/>
    </w:rPr>
  </w:style>
  <w:style w:type="character" w:customStyle="1" w:styleId="TitleChar">
    <w:name w:val="Title Char"/>
    <w:link w:val="Title"/>
    <w:rsid w:val="0019618A"/>
    <w:rPr>
      <w:sz w:val="24"/>
      <w:lang w:eastAsia="en-US"/>
    </w:rPr>
  </w:style>
  <w:style w:type="character" w:customStyle="1" w:styleId="BodyTextChar">
    <w:name w:val="Body Text Char"/>
    <w:link w:val="BodyText"/>
    <w:rsid w:val="0019618A"/>
    <w:rPr>
      <w:sz w:val="24"/>
      <w:lang w:eastAsia="en-US"/>
    </w:rPr>
  </w:style>
  <w:style w:type="paragraph" w:styleId="BalloonText">
    <w:name w:val="Balloon Text"/>
    <w:basedOn w:val="Normal"/>
    <w:link w:val="BalloonTextChar"/>
    <w:uiPriority w:val="99"/>
    <w:semiHidden/>
    <w:unhideWhenUsed/>
    <w:rsid w:val="00457E82"/>
    <w:rPr>
      <w:rFonts w:ascii="Tahoma" w:hAnsi="Tahoma" w:cs="Tahoma"/>
      <w:sz w:val="16"/>
      <w:szCs w:val="16"/>
    </w:rPr>
  </w:style>
  <w:style w:type="character" w:customStyle="1" w:styleId="BalloonTextChar">
    <w:name w:val="Balloon Text Char"/>
    <w:basedOn w:val="DefaultParagraphFont"/>
    <w:link w:val="BalloonText"/>
    <w:uiPriority w:val="99"/>
    <w:semiHidden/>
    <w:rsid w:val="00457E82"/>
    <w:rPr>
      <w:rFonts w:ascii="Tahoma" w:hAnsi="Tahoma" w:cs="Tahoma"/>
      <w:sz w:val="16"/>
      <w:szCs w:val="16"/>
      <w:lang w:eastAsia="en-US"/>
    </w:rPr>
  </w:style>
  <w:style w:type="character" w:customStyle="1" w:styleId="FooterChar">
    <w:name w:val="Footer Char"/>
    <w:basedOn w:val="DefaultParagraphFont"/>
    <w:link w:val="Footer"/>
    <w:uiPriority w:val="99"/>
    <w:rsid w:val="00C659A7"/>
    <w:rPr>
      <w:sz w:val="24"/>
      <w:lang w:eastAsia="en-US"/>
    </w:rPr>
  </w:style>
  <w:style w:type="character" w:styleId="CommentReference">
    <w:name w:val="annotation reference"/>
    <w:basedOn w:val="DefaultParagraphFont"/>
    <w:uiPriority w:val="99"/>
    <w:semiHidden/>
    <w:unhideWhenUsed/>
    <w:rsid w:val="001A29BF"/>
    <w:rPr>
      <w:sz w:val="16"/>
      <w:szCs w:val="16"/>
    </w:rPr>
  </w:style>
  <w:style w:type="paragraph" w:styleId="CommentText">
    <w:name w:val="annotation text"/>
    <w:basedOn w:val="Normal"/>
    <w:link w:val="CommentTextChar"/>
    <w:uiPriority w:val="99"/>
    <w:semiHidden/>
    <w:unhideWhenUsed/>
    <w:rsid w:val="001A29BF"/>
    <w:rPr>
      <w:sz w:val="20"/>
    </w:rPr>
  </w:style>
  <w:style w:type="character" w:customStyle="1" w:styleId="CommentTextChar">
    <w:name w:val="Comment Text Char"/>
    <w:basedOn w:val="DefaultParagraphFont"/>
    <w:link w:val="CommentText"/>
    <w:uiPriority w:val="99"/>
    <w:semiHidden/>
    <w:rsid w:val="001A29BF"/>
    <w:rPr>
      <w:lang w:eastAsia="en-US"/>
    </w:rPr>
  </w:style>
  <w:style w:type="paragraph" w:styleId="CommentSubject">
    <w:name w:val="annotation subject"/>
    <w:basedOn w:val="CommentText"/>
    <w:next w:val="CommentText"/>
    <w:link w:val="CommentSubjectChar"/>
    <w:uiPriority w:val="99"/>
    <w:semiHidden/>
    <w:unhideWhenUsed/>
    <w:rsid w:val="001A29BF"/>
    <w:rPr>
      <w:b/>
      <w:bCs/>
    </w:rPr>
  </w:style>
  <w:style w:type="character" w:customStyle="1" w:styleId="CommentSubjectChar">
    <w:name w:val="Comment Subject Char"/>
    <w:basedOn w:val="CommentTextChar"/>
    <w:link w:val="CommentSubject"/>
    <w:uiPriority w:val="99"/>
    <w:semiHidden/>
    <w:rsid w:val="001A29BF"/>
    <w:rPr>
      <w:b/>
      <w:bCs/>
      <w:lang w:eastAsia="en-US"/>
    </w:rPr>
  </w:style>
  <w:style w:type="character" w:styleId="Emphasis">
    <w:name w:val="Emphasis"/>
    <w:basedOn w:val="DefaultParagraphFont"/>
    <w:uiPriority w:val="20"/>
    <w:qFormat/>
    <w:rsid w:val="005C3FF0"/>
    <w:rPr>
      <w:b/>
      <w:bCs/>
      <w:i w:val="0"/>
      <w:iCs w:val="0"/>
    </w:rPr>
  </w:style>
  <w:style w:type="character" w:customStyle="1" w:styleId="st">
    <w:name w:val="st"/>
    <w:basedOn w:val="DefaultParagraphFont"/>
    <w:rsid w:val="005C3FF0"/>
  </w:style>
  <w:style w:type="character" w:customStyle="1" w:styleId="hps">
    <w:name w:val="hps"/>
    <w:basedOn w:val="DefaultParagraphFont"/>
    <w:rsid w:val="00982661"/>
  </w:style>
  <w:style w:type="character" w:customStyle="1" w:styleId="atn">
    <w:name w:val="atn"/>
    <w:basedOn w:val="DefaultParagraphFont"/>
    <w:rsid w:val="00982661"/>
  </w:style>
  <w:style w:type="character" w:customStyle="1" w:styleId="Heading3Char">
    <w:name w:val="Heading 3 Char"/>
    <w:basedOn w:val="DefaultParagraphFont"/>
    <w:link w:val="Heading3"/>
    <w:uiPriority w:val="9"/>
    <w:rsid w:val="005745B7"/>
    <w:rPr>
      <w:b/>
      <w:bCs/>
      <w:sz w:val="27"/>
      <w:szCs w:val="27"/>
      <w:lang w:val="es-ES" w:eastAsia="es-ES"/>
    </w:rPr>
  </w:style>
  <w:style w:type="character" w:styleId="Hyperlink">
    <w:name w:val="Hyperlink"/>
    <w:basedOn w:val="DefaultParagraphFont"/>
    <w:uiPriority w:val="99"/>
    <w:unhideWhenUsed/>
    <w:rsid w:val="005745B7"/>
    <w:rPr>
      <w:rFonts w:ascii="Arial" w:hAnsi="Arial" w:cs="Arial" w:hint="default"/>
      <w:strike w:val="0"/>
      <w:dstrike w:val="0"/>
      <w:color w:val="1122CC"/>
      <w:u w:val="none"/>
      <w:effect w:val="none"/>
    </w:rPr>
  </w:style>
  <w:style w:type="paragraph" w:customStyle="1" w:styleId="Default">
    <w:name w:val="Default"/>
    <w:rsid w:val="00EE497F"/>
    <w:pPr>
      <w:autoSpaceDE w:val="0"/>
      <w:autoSpaceDN w:val="0"/>
      <w:adjustRightInd w:val="0"/>
    </w:pPr>
    <w:rPr>
      <w:color w:val="000000"/>
      <w:sz w:val="24"/>
      <w:szCs w:val="24"/>
      <w:lang w:val="es-ES"/>
    </w:rPr>
  </w:style>
  <w:style w:type="paragraph" w:styleId="BodyTextIndent2">
    <w:name w:val="Body Text Indent 2"/>
    <w:basedOn w:val="Normal"/>
    <w:link w:val="BodyTextIndent2Char"/>
    <w:uiPriority w:val="99"/>
    <w:semiHidden/>
    <w:unhideWhenUsed/>
    <w:rsid w:val="00324200"/>
    <w:pPr>
      <w:spacing w:after="120" w:line="480" w:lineRule="auto"/>
      <w:ind w:left="283"/>
    </w:pPr>
  </w:style>
  <w:style w:type="character" w:customStyle="1" w:styleId="BodyTextIndent2Char">
    <w:name w:val="Body Text Indent 2 Char"/>
    <w:basedOn w:val="DefaultParagraphFont"/>
    <w:link w:val="BodyTextIndent2"/>
    <w:uiPriority w:val="99"/>
    <w:semiHidden/>
    <w:rsid w:val="00324200"/>
    <w:rPr>
      <w:sz w:val="24"/>
      <w:lang w:eastAsia="en-US"/>
    </w:rPr>
  </w:style>
  <w:style w:type="paragraph" w:customStyle="1" w:styleId="subpar">
    <w:name w:val="subpar"/>
    <w:basedOn w:val="BodyTextIndent3"/>
    <w:uiPriority w:val="99"/>
    <w:rsid w:val="00B86DA4"/>
  </w:style>
  <w:style w:type="character" w:customStyle="1" w:styleId="ParagraphChar">
    <w:name w:val="Paragraph Char"/>
    <w:link w:val="Paragraph"/>
    <w:uiPriority w:val="99"/>
    <w:locked/>
    <w:rsid w:val="00B86DA4"/>
    <w:rPr>
      <w:sz w:val="24"/>
      <w:lang w:val="es-ES" w:eastAsia="en-US"/>
    </w:rPr>
  </w:style>
  <w:style w:type="paragraph" w:styleId="BodyTextIndent3">
    <w:name w:val="Body Text Indent 3"/>
    <w:basedOn w:val="Normal"/>
    <w:link w:val="BodyTextIndent3Char"/>
    <w:uiPriority w:val="99"/>
    <w:semiHidden/>
    <w:unhideWhenUsed/>
    <w:rsid w:val="00B86DA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86DA4"/>
    <w:rPr>
      <w:sz w:val="16"/>
      <w:szCs w:val="16"/>
      <w:lang w:eastAsia="en-US"/>
    </w:rPr>
  </w:style>
  <w:style w:type="character" w:customStyle="1" w:styleId="Heading1Char">
    <w:name w:val="Heading 1 Char"/>
    <w:aliases w:val="Capítulo Char"/>
    <w:basedOn w:val="DefaultParagraphFont"/>
    <w:link w:val="Heading1"/>
    <w:rsid w:val="00A57142"/>
    <w:rPr>
      <w:rFonts w:ascii="Arial" w:hAnsi="Arial"/>
      <w:b/>
      <w:kern w:val="28"/>
      <w:sz w:val="28"/>
      <w:lang w:val="es-ES_tradnl" w:eastAsia="en-US"/>
    </w:rPr>
  </w:style>
  <w:style w:type="character" w:customStyle="1" w:styleId="Heading2Char">
    <w:name w:val="Heading 2 Char"/>
    <w:basedOn w:val="DefaultParagraphFont"/>
    <w:link w:val="Heading2"/>
    <w:rsid w:val="00A57142"/>
    <w:rPr>
      <w:rFonts w:ascii="Arial" w:hAnsi="Arial"/>
      <w:b/>
      <w:i/>
      <w:sz w:val="24"/>
      <w:lang w:val="es-ES_tradnl" w:eastAsia="en-US"/>
    </w:rPr>
  </w:style>
  <w:style w:type="character" w:customStyle="1" w:styleId="Heading4Char">
    <w:name w:val="Heading 4 Char"/>
    <w:basedOn w:val="DefaultParagraphFont"/>
    <w:link w:val="Heading4"/>
    <w:rsid w:val="00A57142"/>
    <w:rPr>
      <w:rFonts w:ascii="Arial" w:hAnsi="Arial"/>
      <w:b/>
      <w:sz w:val="24"/>
      <w:lang w:val="es-ES_tradnl" w:eastAsia="en-US"/>
    </w:rPr>
  </w:style>
  <w:style w:type="character" w:customStyle="1" w:styleId="Heading5Char">
    <w:name w:val="Heading 5 Char"/>
    <w:basedOn w:val="DefaultParagraphFont"/>
    <w:link w:val="Heading5"/>
    <w:rsid w:val="00A57142"/>
    <w:rPr>
      <w:sz w:val="22"/>
      <w:lang w:val="es-ES_tradnl" w:eastAsia="en-US"/>
    </w:rPr>
  </w:style>
  <w:style w:type="character" w:customStyle="1" w:styleId="Heading6Char">
    <w:name w:val="Heading 6 Char"/>
    <w:basedOn w:val="DefaultParagraphFont"/>
    <w:link w:val="Heading6"/>
    <w:rsid w:val="00A57142"/>
    <w:rPr>
      <w:i/>
      <w:sz w:val="22"/>
      <w:lang w:val="es-ES_tradnl" w:eastAsia="en-US"/>
    </w:rPr>
  </w:style>
  <w:style w:type="character" w:customStyle="1" w:styleId="Heading7Char">
    <w:name w:val="Heading 7 Char"/>
    <w:basedOn w:val="DefaultParagraphFont"/>
    <w:link w:val="Heading7"/>
    <w:rsid w:val="00A57142"/>
    <w:rPr>
      <w:rFonts w:ascii="Arial" w:hAnsi="Arial"/>
      <w:sz w:val="24"/>
      <w:lang w:val="es-ES_tradnl" w:eastAsia="en-US"/>
    </w:rPr>
  </w:style>
  <w:style w:type="character" w:customStyle="1" w:styleId="Heading8Char">
    <w:name w:val="Heading 8 Char"/>
    <w:basedOn w:val="DefaultParagraphFont"/>
    <w:link w:val="Heading8"/>
    <w:rsid w:val="00A57142"/>
    <w:rPr>
      <w:rFonts w:ascii="Arial" w:hAnsi="Arial"/>
      <w:i/>
      <w:sz w:val="24"/>
      <w:lang w:val="es-ES_tradnl" w:eastAsia="en-US"/>
    </w:rPr>
  </w:style>
  <w:style w:type="character" w:customStyle="1" w:styleId="Heading9Char">
    <w:name w:val="Heading 9 Char"/>
    <w:basedOn w:val="DefaultParagraphFont"/>
    <w:link w:val="Heading9"/>
    <w:rsid w:val="00A57142"/>
    <w:rPr>
      <w:rFonts w:ascii="Arial" w:hAnsi="Arial"/>
      <w:b/>
      <w:i/>
      <w:sz w:val="18"/>
      <w:lang w:val="es-ES_tradnl" w:eastAsia="en-US"/>
    </w:rPr>
  </w:style>
  <w:style w:type="table" w:styleId="TableGrid">
    <w:name w:val="Table Grid"/>
    <w:basedOn w:val="TableNormal"/>
    <w:rsid w:val="00A57142"/>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Nivel2Izquierda0cmSangrafrancesa12cm">
    <w:name w:val="Estilo Nivel 2 + Izquierda:  0 cm Sangría francesa:  12 cm"/>
    <w:basedOn w:val="Normal"/>
    <w:rsid w:val="0020563B"/>
    <w:pPr>
      <w:tabs>
        <w:tab w:val="num" w:pos="705"/>
      </w:tabs>
      <w:ind w:left="705" w:hanging="705"/>
    </w:pPr>
    <w:rPr>
      <w:rFonts w:ascii="Arial" w:hAnsi="Arial"/>
      <w:b/>
      <w:bCs/>
      <w:szCs w:val="22"/>
      <w:u w:val="single"/>
      <w:lang w:val="es-MX" w:bidi="en-US"/>
    </w:rPr>
  </w:style>
  <w:style w:type="paragraph" w:customStyle="1" w:styleId="Prrafodelista1">
    <w:name w:val="Párrafo de lista1"/>
    <w:basedOn w:val="Normal"/>
    <w:rsid w:val="00D244F9"/>
    <w:pPr>
      <w:ind w:left="720"/>
      <w:contextualSpacing/>
    </w:pPr>
    <w:rPr>
      <w:rFonts w:ascii="Arial" w:hAnsi="Arial"/>
      <w:sz w:val="22"/>
      <w:szCs w:val="22"/>
      <w:lang w:val="es-GT"/>
    </w:rPr>
  </w:style>
  <w:style w:type="paragraph" w:styleId="TOCHeading">
    <w:name w:val="TOC Heading"/>
    <w:basedOn w:val="Heading1"/>
    <w:next w:val="Normal"/>
    <w:uiPriority w:val="39"/>
    <w:unhideWhenUsed/>
    <w:qFormat/>
    <w:rsid w:val="001D3869"/>
    <w:pPr>
      <w:keepLines/>
      <w:tabs>
        <w:tab w:val="clear" w:pos="360"/>
      </w:tabs>
      <w:spacing w:after="0" w:line="259" w:lineRule="auto"/>
      <w:outlineLvl w:val="9"/>
    </w:pPr>
    <w:rPr>
      <w:rFonts w:asciiTheme="majorHAnsi" w:eastAsiaTheme="majorEastAsia" w:hAnsiTheme="majorHAnsi" w:cstheme="majorBidi"/>
      <w:b w:val="0"/>
      <w:color w:val="365F91" w:themeColor="accent1" w:themeShade="BF"/>
      <w:kern w:val="0"/>
      <w:sz w:val="32"/>
      <w:szCs w:val="32"/>
      <w:lang w:val="en-US"/>
    </w:rPr>
  </w:style>
  <w:style w:type="paragraph" w:styleId="TOC1">
    <w:name w:val="toc 1"/>
    <w:basedOn w:val="Normal"/>
    <w:next w:val="Normal"/>
    <w:autoRedefine/>
    <w:uiPriority w:val="39"/>
    <w:unhideWhenUsed/>
    <w:rsid w:val="001D3869"/>
    <w:pPr>
      <w:spacing w:after="100"/>
    </w:pPr>
  </w:style>
  <w:style w:type="paragraph" w:styleId="TOC2">
    <w:name w:val="toc 2"/>
    <w:basedOn w:val="Normal"/>
    <w:next w:val="Normal"/>
    <w:autoRedefine/>
    <w:uiPriority w:val="39"/>
    <w:unhideWhenUsed/>
    <w:rsid w:val="006B0D00"/>
    <w:pPr>
      <w:spacing w:after="100" w:line="259" w:lineRule="auto"/>
      <w:ind w:left="220"/>
    </w:pPr>
    <w:rPr>
      <w:rFonts w:asciiTheme="minorHAnsi" w:eastAsiaTheme="minorEastAsia" w:hAnsiTheme="minorHAnsi"/>
      <w:sz w:val="22"/>
      <w:szCs w:val="22"/>
      <w:lang w:val="en-US"/>
    </w:rPr>
  </w:style>
  <w:style w:type="paragraph" w:styleId="TOC3">
    <w:name w:val="toc 3"/>
    <w:basedOn w:val="Normal"/>
    <w:next w:val="Normal"/>
    <w:autoRedefine/>
    <w:uiPriority w:val="39"/>
    <w:unhideWhenUsed/>
    <w:rsid w:val="006B0D00"/>
    <w:pPr>
      <w:spacing w:after="100" w:line="259" w:lineRule="auto"/>
      <w:ind w:left="440"/>
    </w:pPr>
    <w:rPr>
      <w:rFonts w:asciiTheme="minorHAnsi" w:eastAsiaTheme="minorEastAsia" w:hAnsiTheme="minorHAnsi"/>
      <w:sz w:val="22"/>
      <w:szCs w:val="22"/>
      <w:lang w:val="en-US"/>
    </w:rPr>
  </w:style>
  <w:style w:type="character" w:customStyle="1" w:styleId="HeaderChar">
    <w:name w:val="Header Char"/>
    <w:basedOn w:val="DefaultParagraphFont"/>
    <w:link w:val="Header"/>
    <w:uiPriority w:val="99"/>
    <w:rsid w:val="00025C20"/>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89712">
      <w:bodyDiv w:val="1"/>
      <w:marLeft w:val="0"/>
      <w:marRight w:val="0"/>
      <w:marTop w:val="0"/>
      <w:marBottom w:val="0"/>
      <w:divBdr>
        <w:top w:val="none" w:sz="0" w:space="0" w:color="auto"/>
        <w:left w:val="none" w:sz="0" w:space="0" w:color="auto"/>
        <w:bottom w:val="none" w:sz="0" w:space="0" w:color="auto"/>
        <w:right w:val="none" w:sz="0" w:space="0" w:color="auto"/>
      </w:divBdr>
    </w:div>
    <w:div w:id="143818351">
      <w:bodyDiv w:val="1"/>
      <w:marLeft w:val="0"/>
      <w:marRight w:val="0"/>
      <w:marTop w:val="0"/>
      <w:marBottom w:val="0"/>
      <w:divBdr>
        <w:top w:val="none" w:sz="0" w:space="0" w:color="auto"/>
        <w:left w:val="none" w:sz="0" w:space="0" w:color="auto"/>
        <w:bottom w:val="none" w:sz="0" w:space="0" w:color="auto"/>
        <w:right w:val="none" w:sz="0" w:space="0" w:color="auto"/>
      </w:divBdr>
    </w:div>
    <w:div w:id="248932520">
      <w:bodyDiv w:val="1"/>
      <w:marLeft w:val="0"/>
      <w:marRight w:val="0"/>
      <w:marTop w:val="0"/>
      <w:marBottom w:val="0"/>
      <w:divBdr>
        <w:top w:val="none" w:sz="0" w:space="0" w:color="auto"/>
        <w:left w:val="none" w:sz="0" w:space="0" w:color="auto"/>
        <w:bottom w:val="none" w:sz="0" w:space="0" w:color="auto"/>
        <w:right w:val="none" w:sz="0" w:space="0" w:color="auto"/>
      </w:divBdr>
      <w:divsChild>
        <w:div w:id="2103184545">
          <w:marLeft w:val="0"/>
          <w:marRight w:val="0"/>
          <w:marTop w:val="0"/>
          <w:marBottom w:val="0"/>
          <w:divBdr>
            <w:top w:val="none" w:sz="0" w:space="0" w:color="auto"/>
            <w:left w:val="none" w:sz="0" w:space="0" w:color="auto"/>
            <w:bottom w:val="none" w:sz="0" w:space="0" w:color="auto"/>
            <w:right w:val="none" w:sz="0" w:space="0" w:color="auto"/>
          </w:divBdr>
          <w:divsChild>
            <w:div w:id="1661881773">
              <w:marLeft w:val="0"/>
              <w:marRight w:val="0"/>
              <w:marTop w:val="0"/>
              <w:marBottom w:val="0"/>
              <w:divBdr>
                <w:top w:val="none" w:sz="0" w:space="0" w:color="auto"/>
                <w:left w:val="none" w:sz="0" w:space="0" w:color="auto"/>
                <w:bottom w:val="none" w:sz="0" w:space="0" w:color="auto"/>
                <w:right w:val="none" w:sz="0" w:space="0" w:color="auto"/>
              </w:divBdr>
              <w:divsChild>
                <w:div w:id="723796999">
                  <w:marLeft w:val="0"/>
                  <w:marRight w:val="0"/>
                  <w:marTop w:val="0"/>
                  <w:marBottom w:val="0"/>
                  <w:divBdr>
                    <w:top w:val="none" w:sz="0" w:space="0" w:color="auto"/>
                    <w:left w:val="none" w:sz="0" w:space="0" w:color="auto"/>
                    <w:bottom w:val="none" w:sz="0" w:space="0" w:color="auto"/>
                    <w:right w:val="none" w:sz="0" w:space="0" w:color="auto"/>
                  </w:divBdr>
                  <w:divsChild>
                    <w:div w:id="1891721948">
                      <w:marLeft w:val="0"/>
                      <w:marRight w:val="0"/>
                      <w:marTop w:val="0"/>
                      <w:marBottom w:val="0"/>
                      <w:divBdr>
                        <w:top w:val="none" w:sz="0" w:space="0" w:color="auto"/>
                        <w:left w:val="none" w:sz="0" w:space="0" w:color="auto"/>
                        <w:bottom w:val="none" w:sz="0" w:space="0" w:color="auto"/>
                        <w:right w:val="none" w:sz="0" w:space="0" w:color="auto"/>
                      </w:divBdr>
                      <w:divsChild>
                        <w:div w:id="1675762803">
                          <w:marLeft w:val="0"/>
                          <w:marRight w:val="0"/>
                          <w:marTop w:val="0"/>
                          <w:marBottom w:val="0"/>
                          <w:divBdr>
                            <w:top w:val="none" w:sz="0" w:space="0" w:color="auto"/>
                            <w:left w:val="none" w:sz="0" w:space="0" w:color="auto"/>
                            <w:bottom w:val="none" w:sz="0" w:space="0" w:color="auto"/>
                            <w:right w:val="none" w:sz="0" w:space="0" w:color="auto"/>
                          </w:divBdr>
                          <w:divsChild>
                            <w:div w:id="1514686114">
                              <w:marLeft w:val="0"/>
                              <w:marRight w:val="0"/>
                              <w:marTop w:val="0"/>
                              <w:marBottom w:val="0"/>
                              <w:divBdr>
                                <w:top w:val="none" w:sz="0" w:space="0" w:color="auto"/>
                                <w:left w:val="none" w:sz="0" w:space="0" w:color="auto"/>
                                <w:bottom w:val="none" w:sz="0" w:space="0" w:color="auto"/>
                                <w:right w:val="none" w:sz="0" w:space="0" w:color="auto"/>
                              </w:divBdr>
                              <w:divsChild>
                                <w:div w:id="1035229613">
                                  <w:marLeft w:val="0"/>
                                  <w:marRight w:val="0"/>
                                  <w:marTop w:val="0"/>
                                  <w:marBottom w:val="0"/>
                                  <w:divBdr>
                                    <w:top w:val="none" w:sz="0" w:space="0" w:color="auto"/>
                                    <w:left w:val="none" w:sz="0" w:space="0" w:color="auto"/>
                                    <w:bottom w:val="none" w:sz="0" w:space="0" w:color="auto"/>
                                    <w:right w:val="none" w:sz="0" w:space="0" w:color="auto"/>
                                  </w:divBdr>
                                  <w:divsChild>
                                    <w:div w:id="2123725517">
                                      <w:marLeft w:val="0"/>
                                      <w:marRight w:val="0"/>
                                      <w:marTop w:val="0"/>
                                      <w:marBottom w:val="0"/>
                                      <w:divBdr>
                                        <w:top w:val="none" w:sz="0" w:space="0" w:color="auto"/>
                                        <w:left w:val="none" w:sz="0" w:space="0" w:color="auto"/>
                                        <w:bottom w:val="none" w:sz="0" w:space="0" w:color="auto"/>
                                        <w:right w:val="none" w:sz="0" w:space="0" w:color="auto"/>
                                      </w:divBdr>
                                      <w:divsChild>
                                        <w:div w:id="1445080864">
                                          <w:marLeft w:val="0"/>
                                          <w:marRight w:val="0"/>
                                          <w:marTop w:val="0"/>
                                          <w:marBottom w:val="0"/>
                                          <w:divBdr>
                                            <w:top w:val="none" w:sz="0" w:space="0" w:color="auto"/>
                                            <w:left w:val="none" w:sz="0" w:space="0" w:color="auto"/>
                                            <w:bottom w:val="none" w:sz="0" w:space="0" w:color="auto"/>
                                            <w:right w:val="none" w:sz="0" w:space="0" w:color="auto"/>
                                          </w:divBdr>
                                          <w:divsChild>
                                            <w:div w:id="1037511512">
                                              <w:marLeft w:val="0"/>
                                              <w:marRight w:val="0"/>
                                              <w:marTop w:val="0"/>
                                              <w:marBottom w:val="0"/>
                                              <w:divBdr>
                                                <w:top w:val="none" w:sz="0" w:space="0" w:color="auto"/>
                                                <w:left w:val="none" w:sz="0" w:space="0" w:color="auto"/>
                                                <w:bottom w:val="none" w:sz="0" w:space="0" w:color="auto"/>
                                                <w:right w:val="none" w:sz="0" w:space="0" w:color="auto"/>
                                              </w:divBdr>
                                              <w:divsChild>
                                                <w:div w:id="48143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33071689">
      <w:bodyDiv w:val="1"/>
      <w:marLeft w:val="0"/>
      <w:marRight w:val="0"/>
      <w:marTop w:val="0"/>
      <w:marBottom w:val="0"/>
      <w:divBdr>
        <w:top w:val="none" w:sz="0" w:space="0" w:color="auto"/>
        <w:left w:val="none" w:sz="0" w:space="0" w:color="auto"/>
        <w:bottom w:val="none" w:sz="0" w:space="0" w:color="auto"/>
        <w:right w:val="none" w:sz="0" w:space="0" w:color="auto"/>
      </w:divBdr>
    </w:div>
    <w:div w:id="535311516">
      <w:bodyDiv w:val="1"/>
      <w:marLeft w:val="0"/>
      <w:marRight w:val="0"/>
      <w:marTop w:val="0"/>
      <w:marBottom w:val="0"/>
      <w:divBdr>
        <w:top w:val="none" w:sz="0" w:space="0" w:color="auto"/>
        <w:left w:val="none" w:sz="0" w:space="0" w:color="auto"/>
        <w:bottom w:val="none" w:sz="0" w:space="0" w:color="auto"/>
        <w:right w:val="none" w:sz="0" w:space="0" w:color="auto"/>
      </w:divBdr>
    </w:div>
    <w:div w:id="550460998">
      <w:bodyDiv w:val="1"/>
      <w:marLeft w:val="0"/>
      <w:marRight w:val="0"/>
      <w:marTop w:val="0"/>
      <w:marBottom w:val="0"/>
      <w:divBdr>
        <w:top w:val="none" w:sz="0" w:space="0" w:color="auto"/>
        <w:left w:val="none" w:sz="0" w:space="0" w:color="auto"/>
        <w:bottom w:val="none" w:sz="0" w:space="0" w:color="auto"/>
        <w:right w:val="none" w:sz="0" w:space="0" w:color="auto"/>
      </w:divBdr>
    </w:div>
    <w:div w:id="687293880">
      <w:bodyDiv w:val="1"/>
      <w:marLeft w:val="0"/>
      <w:marRight w:val="0"/>
      <w:marTop w:val="0"/>
      <w:marBottom w:val="0"/>
      <w:divBdr>
        <w:top w:val="none" w:sz="0" w:space="0" w:color="auto"/>
        <w:left w:val="none" w:sz="0" w:space="0" w:color="auto"/>
        <w:bottom w:val="none" w:sz="0" w:space="0" w:color="auto"/>
        <w:right w:val="none" w:sz="0" w:space="0" w:color="auto"/>
      </w:divBdr>
    </w:div>
    <w:div w:id="702052578">
      <w:bodyDiv w:val="1"/>
      <w:marLeft w:val="0"/>
      <w:marRight w:val="0"/>
      <w:marTop w:val="0"/>
      <w:marBottom w:val="0"/>
      <w:divBdr>
        <w:top w:val="none" w:sz="0" w:space="0" w:color="auto"/>
        <w:left w:val="none" w:sz="0" w:space="0" w:color="auto"/>
        <w:bottom w:val="none" w:sz="0" w:space="0" w:color="auto"/>
        <w:right w:val="none" w:sz="0" w:space="0" w:color="auto"/>
      </w:divBdr>
    </w:div>
    <w:div w:id="754013565">
      <w:bodyDiv w:val="1"/>
      <w:marLeft w:val="0"/>
      <w:marRight w:val="0"/>
      <w:marTop w:val="0"/>
      <w:marBottom w:val="0"/>
      <w:divBdr>
        <w:top w:val="none" w:sz="0" w:space="0" w:color="auto"/>
        <w:left w:val="none" w:sz="0" w:space="0" w:color="auto"/>
        <w:bottom w:val="none" w:sz="0" w:space="0" w:color="auto"/>
        <w:right w:val="none" w:sz="0" w:space="0" w:color="auto"/>
      </w:divBdr>
    </w:div>
    <w:div w:id="795872465">
      <w:bodyDiv w:val="1"/>
      <w:marLeft w:val="0"/>
      <w:marRight w:val="0"/>
      <w:marTop w:val="0"/>
      <w:marBottom w:val="0"/>
      <w:divBdr>
        <w:top w:val="none" w:sz="0" w:space="0" w:color="auto"/>
        <w:left w:val="none" w:sz="0" w:space="0" w:color="auto"/>
        <w:bottom w:val="none" w:sz="0" w:space="0" w:color="auto"/>
        <w:right w:val="none" w:sz="0" w:space="0" w:color="auto"/>
      </w:divBdr>
    </w:div>
    <w:div w:id="899678809">
      <w:bodyDiv w:val="1"/>
      <w:marLeft w:val="0"/>
      <w:marRight w:val="0"/>
      <w:marTop w:val="0"/>
      <w:marBottom w:val="0"/>
      <w:divBdr>
        <w:top w:val="none" w:sz="0" w:space="0" w:color="auto"/>
        <w:left w:val="none" w:sz="0" w:space="0" w:color="auto"/>
        <w:bottom w:val="none" w:sz="0" w:space="0" w:color="auto"/>
        <w:right w:val="none" w:sz="0" w:space="0" w:color="auto"/>
      </w:divBdr>
    </w:div>
    <w:div w:id="951791218">
      <w:bodyDiv w:val="1"/>
      <w:marLeft w:val="0"/>
      <w:marRight w:val="0"/>
      <w:marTop w:val="0"/>
      <w:marBottom w:val="0"/>
      <w:divBdr>
        <w:top w:val="none" w:sz="0" w:space="0" w:color="auto"/>
        <w:left w:val="none" w:sz="0" w:space="0" w:color="auto"/>
        <w:bottom w:val="none" w:sz="0" w:space="0" w:color="auto"/>
        <w:right w:val="none" w:sz="0" w:space="0" w:color="auto"/>
      </w:divBdr>
    </w:div>
    <w:div w:id="1035083640">
      <w:bodyDiv w:val="1"/>
      <w:marLeft w:val="0"/>
      <w:marRight w:val="0"/>
      <w:marTop w:val="0"/>
      <w:marBottom w:val="0"/>
      <w:divBdr>
        <w:top w:val="none" w:sz="0" w:space="0" w:color="auto"/>
        <w:left w:val="none" w:sz="0" w:space="0" w:color="auto"/>
        <w:bottom w:val="none" w:sz="0" w:space="0" w:color="auto"/>
        <w:right w:val="none" w:sz="0" w:space="0" w:color="auto"/>
      </w:divBdr>
    </w:div>
    <w:div w:id="1060903855">
      <w:bodyDiv w:val="1"/>
      <w:marLeft w:val="0"/>
      <w:marRight w:val="0"/>
      <w:marTop w:val="0"/>
      <w:marBottom w:val="0"/>
      <w:divBdr>
        <w:top w:val="none" w:sz="0" w:space="0" w:color="auto"/>
        <w:left w:val="none" w:sz="0" w:space="0" w:color="auto"/>
        <w:bottom w:val="none" w:sz="0" w:space="0" w:color="auto"/>
        <w:right w:val="none" w:sz="0" w:space="0" w:color="auto"/>
      </w:divBdr>
    </w:div>
    <w:div w:id="1069310624">
      <w:bodyDiv w:val="1"/>
      <w:marLeft w:val="0"/>
      <w:marRight w:val="0"/>
      <w:marTop w:val="0"/>
      <w:marBottom w:val="0"/>
      <w:divBdr>
        <w:top w:val="none" w:sz="0" w:space="0" w:color="auto"/>
        <w:left w:val="none" w:sz="0" w:space="0" w:color="auto"/>
        <w:bottom w:val="none" w:sz="0" w:space="0" w:color="auto"/>
        <w:right w:val="none" w:sz="0" w:space="0" w:color="auto"/>
      </w:divBdr>
    </w:div>
    <w:div w:id="1099713746">
      <w:bodyDiv w:val="1"/>
      <w:marLeft w:val="0"/>
      <w:marRight w:val="0"/>
      <w:marTop w:val="0"/>
      <w:marBottom w:val="0"/>
      <w:divBdr>
        <w:top w:val="none" w:sz="0" w:space="0" w:color="auto"/>
        <w:left w:val="none" w:sz="0" w:space="0" w:color="auto"/>
        <w:bottom w:val="none" w:sz="0" w:space="0" w:color="auto"/>
        <w:right w:val="none" w:sz="0" w:space="0" w:color="auto"/>
      </w:divBdr>
    </w:div>
    <w:div w:id="1121416317">
      <w:bodyDiv w:val="1"/>
      <w:marLeft w:val="0"/>
      <w:marRight w:val="0"/>
      <w:marTop w:val="0"/>
      <w:marBottom w:val="0"/>
      <w:divBdr>
        <w:top w:val="none" w:sz="0" w:space="0" w:color="auto"/>
        <w:left w:val="none" w:sz="0" w:space="0" w:color="auto"/>
        <w:bottom w:val="none" w:sz="0" w:space="0" w:color="auto"/>
        <w:right w:val="none" w:sz="0" w:space="0" w:color="auto"/>
      </w:divBdr>
    </w:div>
    <w:div w:id="1219780986">
      <w:bodyDiv w:val="1"/>
      <w:marLeft w:val="0"/>
      <w:marRight w:val="0"/>
      <w:marTop w:val="0"/>
      <w:marBottom w:val="0"/>
      <w:divBdr>
        <w:top w:val="none" w:sz="0" w:space="0" w:color="auto"/>
        <w:left w:val="none" w:sz="0" w:space="0" w:color="auto"/>
        <w:bottom w:val="none" w:sz="0" w:space="0" w:color="auto"/>
        <w:right w:val="none" w:sz="0" w:space="0" w:color="auto"/>
      </w:divBdr>
    </w:div>
    <w:div w:id="1249122358">
      <w:bodyDiv w:val="1"/>
      <w:marLeft w:val="0"/>
      <w:marRight w:val="0"/>
      <w:marTop w:val="0"/>
      <w:marBottom w:val="0"/>
      <w:divBdr>
        <w:top w:val="none" w:sz="0" w:space="0" w:color="auto"/>
        <w:left w:val="none" w:sz="0" w:space="0" w:color="auto"/>
        <w:bottom w:val="none" w:sz="0" w:space="0" w:color="auto"/>
        <w:right w:val="none" w:sz="0" w:space="0" w:color="auto"/>
      </w:divBdr>
    </w:div>
    <w:div w:id="1259602292">
      <w:bodyDiv w:val="1"/>
      <w:marLeft w:val="0"/>
      <w:marRight w:val="0"/>
      <w:marTop w:val="0"/>
      <w:marBottom w:val="0"/>
      <w:divBdr>
        <w:top w:val="none" w:sz="0" w:space="0" w:color="auto"/>
        <w:left w:val="none" w:sz="0" w:space="0" w:color="auto"/>
        <w:bottom w:val="none" w:sz="0" w:space="0" w:color="auto"/>
        <w:right w:val="none" w:sz="0" w:space="0" w:color="auto"/>
      </w:divBdr>
    </w:div>
    <w:div w:id="1277522305">
      <w:bodyDiv w:val="1"/>
      <w:marLeft w:val="0"/>
      <w:marRight w:val="0"/>
      <w:marTop w:val="0"/>
      <w:marBottom w:val="0"/>
      <w:divBdr>
        <w:top w:val="none" w:sz="0" w:space="0" w:color="auto"/>
        <w:left w:val="none" w:sz="0" w:space="0" w:color="auto"/>
        <w:bottom w:val="none" w:sz="0" w:space="0" w:color="auto"/>
        <w:right w:val="none" w:sz="0" w:space="0" w:color="auto"/>
      </w:divBdr>
    </w:div>
    <w:div w:id="1509632395">
      <w:bodyDiv w:val="1"/>
      <w:marLeft w:val="0"/>
      <w:marRight w:val="0"/>
      <w:marTop w:val="0"/>
      <w:marBottom w:val="0"/>
      <w:divBdr>
        <w:top w:val="none" w:sz="0" w:space="0" w:color="auto"/>
        <w:left w:val="none" w:sz="0" w:space="0" w:color="auto"/>
        <w:bottom w:val="none" w:sz="0" w:space="0" w:color="auto"/>
        <w:right w:val="none" w:sz="0" w:space="0" w:color="auto"/>
      </w:divBdr>
    </w:div>
    <w:div w:id="1513762092">
      <w:bodyDiv w:val="1"/>
      <w:marLeft w:val="0"/>
      <w:marRight w:val="0"/>
      <w:marTop w:val="0"/>
      <w:marBottom w:val="0"/>
      <w:divBdr>
        <w:top w:val="none" w:sz="0" w:space="0" w:color="auto"/>
        <w:left w:val="none" w:sz="0" w:space="0" w:color="auto"/>
        <w:bottom w:val="none" w:sz="0" w:space="0" w:color="auto"/>
        <w:right w:val="none" w:sz="0" w:space="0" w:color="auto"/>
      </w:divBdr>
    </w:div>
    <w:div w:id="1735809513">
      <w:bodyDiv w:val="1"/>
      <w:marLeft w:val="0"/>
      <w:marRight w:val="0"/>
      <w:marTop w:val="0"/>
      <w:marBottom w:val="0"/>
      <w:divBdr>
        <w:top w:val="none" w:sz="0" w:space="0" w:color="auto"/>
        <w:left w:val="none" w:sz="0" w:space="0" w:color="auto"/>
        <w:bottom w:val="none" w:sz="0" w:space="0" w:color="auto"/>
        <w:right w:val="none" w:sz="0" w:space="0" w:color="auto"/>
      </w:divBdr>
    </w:div>
    <w:div w:id="1752972569">
      <w:bodyDiv w:val="1"/>
      <w:marLeft w:val="0"/>
      <w:marRight w:val="0"/>
      <w:marTop w:val="0"/>
      <w:marBottom w:val="0"/>
      <w:divBdr>
        <w:top w:val="none" w:sz="0" w:space="0" w:color="auto"/>
        <w:left w:val="none" w:sz="0" w:space="0" w:color="auto"/>
        <w:bottom w:val="none" w:sz="0" w:space="0" w:color="auto"/>
        <w:right w:val="none" w:sz="0" w:space="0" w:color="auto"/>
      </w:divBdr>
    </w:div>
    <w:div w:id="1806971147">
      <w:bodyDiv w:val="1"/>
      <w:marLeft w:val="0"/>
      <w:marRight w:val="0"/>
      <w:marTop w:val="0"/>
      <w:marBottom w:val="0"/>
      <w:divBdr>
        <w:top w:val="none" w:sz="0" w:space="0" w:color="auto"/>
        <w:left w:val="none" w:sz="0" w:space="0" w:color="auto"/>
        <w:bottom w:val="none" w:sz="0" w:space="0" w:color="auto"/>
        <w:right w:val="none" w:sz="0" w:space="0" w:color="auto"/>
      </w:divBdr>
      <w:divsChild>
        <w:div w:id="959990151">
          <w:marLeft w:val="0"/>
          <w:marRight w:val="0"/>
          <w:marTop w:val="0"/>
          <w:marBottom w:val="0"/>
          <w:divBdr>
            <w:top w:val="none" w:sz="0" w:space="0" w:color="auto"/>
            <w:left w:val="none" w:sz="0" w:space="0" w:color="auto"/>
            <w:bottom w:val="none" w:sz="0" w:space="0" w:color="auto"/>
            <w:right w:val="none" w:sz="0" w:space="0" w:color="auto"/>
          </w:divBdr>
          <w:divsChild>
            <w:div w:id="1480416354">
              <w:marLeft w:val="0"/>
              <w:marRight w:val="0"/>
              <w:marTop w:val="0"/>
              <w:marBottom w:val="0"/>
              <w:divBdr>
                <w:top w:val="none" w:sz="0" w:space="0" w:color="auto"/>
                <w:left w:val="none" w:sz="0" w:space="0" w:color="auto"/>
                <w:bottom w:val="none" w:sz="0" w:space="0" w:color="auto"/>
                <w:right w:val="none" w:sz="0" w:space="0" w:color="auto"/>
              </w:divBdr>
              <w:divsChild>
                <w:div w:id="601569763">
                  <w:marLeft w:val="0"/>
                  <w:marRight w:val="0"/>
                  <w:marTop w:val="0"/>
                  <w:marBottom w:val="0"/>
                  <w:divBdr>
                    <w:top w:val="none" w:sz="0" w:space="0" w:color="auto"/>
                    <w:left w:val="none" w:sz="0" w:space="0" w:color="auto"/>
                    <w:bottom w:val="none" w:sz="0" w:space="0" w:color="auto"/>
                    <w:right w:val="none" w:sz="0" w:space="0" w:color="auto"/>
                  </w:divBdr>
                  <w:divsChild>
                    <w:div w:id="266817592">
                      <w:marLeft w:val="0"/>
                      <w:marRight w:val="0"/>
                      <w:marTop w:val="0"/>
                      <w:marBottom w:val="0"/>
                      <w:divBdr>
                        <w:top w:val="none" w:sz="0" w:space="0" w:color="auto"/>
                        <w:left w:val="none" w:sz="0" w:space="0" w:color="auto"/>
                        <w:bottom w:val="none" w:sz="0" w:space="0" w:color="auto"/>
                        <w:right w:val="none" w:sz="0" w:space="0" w:color="auto"/>
                      </w:divBdr>
                      <w:divsChild>
                        <w:div w:id="1616012686">
                          <w:marLeft w:val="0"/>
                          <w:marRight w:val="0"/>
                          <w:marTop w:val="0"/>
                          <w:marBottom w:val="0"/>
                          <w:divBdr>
                            <w:top w:val="none" w:sz="0" w:space="0" w:color="auto"/>
                            <w:left w:val="none" w:sz="0" w:space="0" w:color="auto"/>
                            <w:bottom w:val="none" w:sz="0" w:space="0" w:color="auto"/>
                            <w:right w:val="none" w:sz="0" w:space="0" w:color="auto"/>
                          </w:divBdr>
                          <w:divsChild>
                            <w:div w:id="526017976">
                              <w:marLeft w:val="0"/>
                              <w:marRight w:val="0"/>
                              <w:marTop w:val="0"/>
                              <w:marBottom w:val="0"/>
                              <w:divBdr>
                                <w:top w:val="none" w:sz="0" w:space="0" w:color="auto"/>
                                <w:left w:val="none" w:sz="0" w:space="0" w:color="auto"/>
                                <w:bottom w:val="none" w:sz="0" w:space="0" w:color="auto"/>
                                <w:right w:val="none" w:sz="0" w:space="0" w:color="auto"/>
                              </w:divBdr>
                              <w:divsChild>
                                <w:div w:id="1278558774">
                                  <w:marLeft w:val="0"/>
                                  <w:marRight w:val="0"/>
                                  <w:marTop w:val="0"/>
                                  <w:marBottom w:val="0"/>
                                  <w:divBdr>
                                    <w:top w:val="none" w:sz="0" w:space="0" w:color="auto"/>
                                    <w:left w:val="none" w:sz="0" w:space="0" w:color="auto"/>
                                    <w:bottom w:val="none" w:sz="0" w:space="0" w:color="auto"/>
                                    <w:right w:val="none" w:sz="0" w:space="0" w:color="auto"/>
                                  </w:divBdr>
                                  <w:divsChild>
                                    <w:div w:id="767309810">
                                      <w:marLeft w:val="0"/>
                                      <w:marRight w:val="0"/>
                                      <w:marTop w:val="0"/>
                                      <w:marBottom w:val="0"/>
                                      <w:divBdr>
                                        <w:top w:val="none" w:sz="0" w:space="0" w:color="auto"/>
                                        <w:left w:val="none" w:sz="0" w:space="0" w:color="auto"/>
                                        <w:bottom w:val="none" w:sz="0" w:space="0" w:color="auto"/>
                                        <w:right w:val="none" w:sz="0" w:space="0" w:color="auto"/>
                                      </w:divBdr>
                                      <w:divsChild>
                                        <w:div w:id="294256681">
                                          <w:marLeft w:val="0"/>
                                          <w:marRight w:val="0"/>
                                          <w:marTop w:val="0"/>
                                          <w:marBottom w:val="0"/>
                                          <w:divBdr>
                                            <w:top w:val="none" w:sz="0" w:space="0" w:color="auto"/>
                                            <w:left w:val="none" w:sz="0" w:space="0" w:color="auto"/>
                                            <w:bottom w:val="none" w:sz="0" w:space="0" w:color="auto"/>
                                            <w:right w:val="none" w:sz="0" w:space="0" w:color="auto"/>
                                          </w:divBdr>
                                          <w:divsChild>
                                            <w:div w:id="1510295868">
                                              <w:marLeft w:val="0"/>
                                              <w:marRight w:val="0"/>
                                              <w:marTop w:val="0"/>
                                              <w:marBottom w:val="0"/>
                                              <w:divBdr>
                                                <w:top w:val="none" w:sz="0" w:space="0" w:color="auto"/>
                                                <w:left w:val="none" w:sz="0" w:space="0" w:color="auto"/>
                                                <w:bottom w:val="none" w:sz="0" w:space="0" w:color="auto"/>
                                                <w:right w:val="none" w:sz="0" w:space="0" w:color="auto"/>
                                              </w:divBdr>
                                              <w:divsChild>
                                                <w:div w:id="10473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39884385">
      <w:bodyDiv w:val="1"/>
      <w:marLeft w:val="0"/>
      <w:marRight w:val="0"/>
      <w:marTop w:val="0"/>
      <w:marBottom w:val="0"/>
      <w:divBdr>
        <w:top w:val="none" w:sz="0" w:space="0" w:color="auto"/>
        <w:left w:val="none" w:sz="0" w:space="0" w:color="auto"/>
        <w:bottom w:val="none" w:sz="0" w:space="0" w:color="auto"/>
        <w:right w:val="none" w:sz="0" w:space="0" w:color="auto"/>
      </w:divBdr>
    </w:div>
    <w:div w:id="1897663029">
      <w:bodyDiv w:val="1"/>
      <w:marLeft w:val="0"/>
      <w:marRight w:val="0"/>
      <w:marTop w:val="0"/>
      <w:marBottom w:val="0"/>
      <w:divBdr>
        <w:top w:val="none" w:sz="0" w:space="0" w:color="auto"/>
        <w:left w:val="none" w:sz="0" w:space="0" w:color="auto"/>
        <w:bottom w:val="none" w:sz="0" w:space="0" w:color="auto"/>
        <w:right w:val="none" w:sz="0" w:space="0" w:color="auto"/>
      </w:divBdr>
    </w:div>
    <w:div w:id="1901750883">
      <w:bodyDiv w:val="1"/>
      <w:marLeft w:val="0"/>
      <w:marRight w:val="0"/>
      <w:marTop w:val="0"/>
      <w:marBottom w:val="0"/>
      <w:divBdr>
        <w:top w:val="none" w:sz="0" w:space="0" w:color="auto"/>
        <w:left w:val="none" w:sz="0" w:space="0" w:color="auto"/>
        <w:bottom w:val="none" w:sz="0" w:space="0" w:color="auto"/>
        <w:right w:val="none" w:sz="0" w:space="0" w:color="auto"/>
      </w:divBdr>
    </w:div>
    <w:div w:id="1917475514">
      <w:bodyDiv w:val="1"/>
      <w:marLeft w:val="0"/>
      <w:marRight w:val="0"/>
      <w:marTop w:val="0"/>
      <w:marBottom w:val="0"/>
      <w:divBdr>
        <w:top w:val="none" w:sz="0" w:space="0" w:color="auto"/>
        <w:left w:val="none" w:sz="0" w:space="0" w:color="auto"/>
        <w:bottom w:val="none" w:sz="0" w:space="0" w:color="auto"/>
        <w:right w:val="none" w:sz="0" w:space="0" w:color="auto"/>
      </w:divBdr>
    </w:div>
    <w:div w:id="1943106042">
      <w:bodyDiv w:val="1"/>
      <w:marLeft w:val="0"/>
      <w:marRight w:val="0"/>
      <w:marTop w:val="0"/>
      <w:marBottom w:val="0"/>
      <w:divBdr>
        <w:top w:val="none" w:sz="0" w:space="0" w:color="auto"/>
        <w:left w:val="none" w:sz="0" w:space="0" w:color="auto"/>
        <w:bottom w:val="none" w:sz="0" w:space="0" w:color="auto"/>
        <w:right w:val="none" w:sz="0" w:space="0" w:color="auto"/>
      </w:divBdr>
    </w:div>
    <w:div w:id="1943681534">
      <w:bodyDiv w:val="1"/>
      <w:marLeft w:val="0"/>
      <w:marRight w:val="0"/>
      <w:marTop w:val="0"/>
      <w:marBottom w:val="0"/>
      <w:divBdr>
        <w:top w:val="none" w:sz="0" w:space="0" w:color="auto"/>
        <w:left w:val="none" w:sz="0" w:space="0" w:color="auto"/>
        <w:bottom w:val="none" w:sz="0" w:space="0" w:color="auto"/>
        <w:right w:val="none" w:sz="0" w:space="0" w:color="auto"/>
      </w:divBdr>
    </w:div>
    <w:div w:id="1962833811">
      <w:bodyDiv w:val="1"/>
      <w:marLeft w:val="0"/>
      <w:marRight w:val="0"/>
      <w:marTop w:val="0"/>
      <w:marBottom w:val="0"/>
      <w:divBdr>
        <w:top w:val="none" w:sz="0" w:space="0" w:color="auto"/>
        <w:left w:val="none" w:sz="0" w:space="0" w:color="auto"/>
        <w:bottom w:val="none" w:sz="0" w:space="0" w:color="auto"/>
        <w:right w:val="none" w:sz="0" w:space="0" w:color="auto"/>
      </w:divBdr>
      <w:divsChild>
        <w:div w:id="2064597063">
          <w:marLeft w:val="0"/>
          <w:marRight w:val="0"/>
          <w:marTop w:val="0"/>
          <w:marBottom w:val="0"/>
          <w:divBdr>
            <w:top w:val="none" w:sz="0" w:space="0" w:color="auto"/>
            <w:left w:val="none" w:sz="0" w:space="0" w:color="auto"/>
            <w:bottom w:val="none" w:sz="0" w:space="0" w:color="auto"/>
            <w:right w:val="none" w:sz="0" w:space="0" w:color="auto"/>
          </w:divBdr>
          <w:divsChild>
            <w:div w:id="265119064">
              <w:blockQuote w:val="1"/>
              <w:marLeft w:val="96"/>
              <w:marRight w:val="0"/>
              <w:marTop w:val="0"/>
              <w:marBottom w:val="0"/>
              <w:divBdr>
                <w:top w:val="none" w:sz="0" w:space="0" w:color="auto"/>
                <w:left w:val="single" w:sz="4" w:space="6" w:color="CCCCCC"/>
                <w:bottom w:val="none" w:sz="0" w:space="0" w:color="auto"/>
                <w:right w:val="none" w:sz="0" w:space="0" w:color="auto"/>
              </w:divBdr>
              <w:divsChild>
                <w:div w:id="1326058220">
                  <w:marLeft w:val="0"/>
                  <w:marRight w:val="0"/>
                  <w:marTop w:val="0"/>
                  <w:marBottom w:val="0"/>
                  <w:divBdr>
                    <w:top w:val="none" w:sz="0" w:space="0" w:color="auto"/>
                    <w:left w:val="none" w:sz="0" w:space="0" w:color="auto"/>
                    <w:bottom w:val="none" w:sz="0" w:space="0" w:color="auto"/>
                    <w:right w:val="none" w:sz="0" w:space="0" w:color="auto"/>
                  </w:divBdr>
                  <w:divsChild>
                    <w:div w:id="1574898277">
                      <w:marLeft w:val="0"/>
                      <w:marRight w:val="0"/>
                      <w:marTop w:val="0"/>
                      <w:marBottom w:val="0"/>
                      <w:divBdr>
                        <w:top w:val="none" w:sz="0" w:space="0" w:color="auto"/>
                        <w:left w:val="none" w:sz="0" w:space="0" w:color="auto"/>
                        <w:bottom w:val="none" w:sz="0" w:space="0" w:color="auto"/>
                        <w:right w:val="none" w:sz="0" w:space="0" w:color="auto"/>
                      </w:divBdr>
                      <w:divsChild>
                        <w:div w:id="253713814">
                          <w:marLeft w:val="0"/>
                          <w:marRight w:val="0"/>
                          <w:marTop w:val="0"/>
                          <w:marBottom w:val="0"/>
                          <w:divBdr>
                            <w:top w:val="none" w:sz="0" w:space="0" w:color="auto"/>
                            <w:left w:val="none" w:sz="0" w:space="0" w:color="auto"/>
                            <w:bottom w:val="none" w:sz="0" w:space="0" w:color="auto"/>
                            <w:right w:val="none" w:sz="0" w:space="0" w:color="auto"/>
                          </w:divBdr>
                          <w:divsChild>
                            <w:div w:id="2064868653">
                              <w:marLeft w:val="0"/>
                              <w:marRight w:val="0"/>
                              <w:marTop w:val="0"/>
                              <w:marBottom w:val="0"/>
                              <w:divBdr>
                                <w:top w:val="none" w:sz="0" w:space="0" w:color="auto"/>
                                <w:left w:val="none" w:sz="0" w:space="0" w:color="auto"/>
                                <w:bottom w:val="none" w:sz="0" w:space="0" w:color="auto"/>
                                <w:right w:val="none" w:sz="0" w:space="0" w:color="auto"/>
                              </w:divBdr>
                              <w:divsChild>
                                <w:div w:id="1338995596">
                                  <w:marLeft w:val="0"/>
                                  <w:marRight w:val="0"/>
                                  <w:marTop w:val="0"/>
                                  <w:marBottom w:val="0"/>
                                  <w:divBdr>
                                    <w:top w:val="none" w:sz="0" w:space="0" w:color="auto"/>
                                    <w:left w:val="none" w:sz="0" w:space="0" w:color="auto"/>
                                    <w:bottom w:val="none" w:sz="0" w:space="0" w:color="auto"/>
                                    <w:right w:val="none" w:sz="0" w:space="0" w:color="auto"/>
                                  </w:divBdr>
                                  <w:divsChild>
                                    <w:div w:id="390079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9743672">
      <w:bodyDiv w:val="1"/>
      <w:marLeft w:val="0"/>
      <w:marRight w:val="0"/>
      <w:marTop w:val="0"/>
      <w:marBottom w:val="0"/>
      <w:divBdr>
        <w:top w:val="none" w:sz="0" w:space="0" w:color="auto"/>
        <w:left w:val="none" w:sz="0" w:space="0" w:color="auto"/>
        <w:bottom w:val="none" w:sz="0" w:space="0" w:color="auto"/>
        <w:right w:val="none" w:sz="0" w:space="0" w:color="auto"/>
      </w:divBdr>
    </w:div>
    <w:div w:id="2000380902">
      <w:bodyDiv w:val="1"/>
      <w:marLeft w:val="0"/>
      <w:marRight w:val="0"/>
      <w:marTop w:val="0"/>
      <w:marBottom w:val="0"/>
      <w:divBdr>
        <w:top w:val="none" w:sz="0" w:space="0" w:color="auto"/>
        <w:left w:val="none" w:sz="0" w:space="0" w:color="auto"/>
        <w:bottom w:val="none" w:sz="0" w:space="0" w:color="auto"/>
        <w:right w:val="none" w:sz="0" w:space="0" w:color="auto"/>
      </w:divBdr>
    </w:div>
    <w:div w:id="2091265942">
      <w:bodyDiv w:val="1"/>
      <w:marLeft w:val="0"/>
      <w:marRight w:val="0"/>
      <w:marTop w:val="0"/>
      <w:marBottom w:val="0"/>
      <w:divBdr>
        <w:top w:val="none" w:sz="0" w:space="0" w:color="auto"/>
        <w:left w:val="none" w:sz="0" w:space="0" w:color="auto"/>
        <w:bottom w:val="none" w:sz="0" w:space="0" w:color="auto"/>
        <w:right w:val="none" w:sz="0" w:space="0" w:color="auto"/>
      </w:divBdr>
    </w:div>
    <w:div w:id="2108234818">
      <w:bodyDiv w:val="1"/>
      <w:marLeft w:val="0"/>
      <w:marRight w:val="0"/>
      <w:marTop w:val="0"/>
      <w:marBottom w:val="0"/>
      <w:divBdr>
        <w:top w:val="none" w:sz="0" w:space="0" w:color="auto"/>
        <w:left w:val="none" w:sz="0" w:space="0" w:color="auto"/>
        <w:bottom w:val="none" w:sz="0" w:space="0" w:color="auto"/>
        <w:right w:val="none" w:sz="0" w:space="0" w:color="auto"/>
      </w:divBdr>
    </w:div>
    <w:div w:id="2112164585">
      <w:bodyDiv w:val="1"/>
      <w:marLeft w:val="0"/>
      <w:marRight w:val="0"/>
      <w:marTop w:val="0"/>
      <w:marBottom w:val="0"/>
      <w:divBdr>
        <w:top w:val="none" w:sz="0" w:space="0" w:color="auto"/>
        <w:left w:val="none" w:sz="0" w:space="0" w:color="auto"/>
        <w:bottom w:val="none" w:sz="0" w:space="0" w:color="auto"/>
        <w:right w:val="none" w:sz="0" w:space="0" w:color="auto"/>
      </w:divBdr>
      <w:divsChild>
        <w:div w:id="1679232925">
          <w:marLeft w:val="0"/>
          <w:marRight w:val="0"/>
          <w:marTop w:val="0"/>
          <w:marBottom w:val="0"/>
          <w:divBdr>
            <w:top w:val="none" w:sz="0" w:space="0" w:color="auto"/>
            <w:left w:val="none" w:sz="0" w:space="0" w:color="auto"/>
            <w:bottom w:val="none" w:sz="0" w:space="0" w:color="auto"/>
            <w:right w:val="none" w:sz="0" w:space="0" w:color="auto"/>
          </w:divBdr>
          <w:divsChild>
            <w:div w:id="373966779">
              <w:marLeft w:val="0"/>
              <w:marRight w:val="0"/>
              <w:marTop w:val="0"/>
              <w:marBottom w:val="0"/>
              <w:divBdr>
                <w:top w:val="none" w:sz="0" w:space="0" w:color="auto"/>
                <w:left w:val="none" w:sz="0" w:space="0" w:color="auto"/>
                <w:bottom w:val="none" w:sz="0" w:space="0" w:color="auto"/>
                <w:right w:val="none" w:sz="0" w:space="0" w:color="auto"/>
              </w:divBdr>
              <w:divsChild>
                <w:div w:id="1200778135">
                  <w:marLeft w:val="0"/>
                  <w:marRight w:val="0"/>
                  <w:marTop w:val="0"/>
                  <w:marBottom w:val="0"/>
                  <w:divBdr>
                    <w:top w:val="none" w:sz="0" w:space="0" w:color="auto"/>
                    <w:left w:val="none" w:sz="0" w:space="0" w:color="auto"/>
                    <w:bottom w:val="none" w:sz="0" w:space="0" w:color="auto"/>
                    <w:right w:val="none" w:sz="0" w:space="0" w:color="auto"/>
                  </w:divBdr>
                  <w:divsChild>
                    <w:div w:id="531721729">
                      <w:marLeft w:val="0"/>
                      <w:marRight w:val="0"/>
                      <w:marTop w:val="0"/>
                      <w:marBottom w:val="0"/>
                      <w:divBdr>
                        <w:top w:val="none" w:sz="0" w:space="0" w:color="auto"/>
                        <w:left w:val="none" w:sz="0" w:space="0" w:color="auto"/>
                        <w:bottom w:val="none" w:sz="0" w:space="0" w:color="auto"/>
                        <w:right w:val="none" w:sz="0" w:space="0" w:color="auto"/>
                      </w:divBdr>
                      <w:divsChild>
                        <w:div w:id="1740901050">
                          <w:marLeft w:val="0"/>
                          <w:marRight w:val="0"/>
                          <w:marTop w:val="0"/>
                          <w:marBottom w:val="0"/>
                          <w:divBdr>
                            <w:top w:val="none" w:sz="0" w:space="0" w:color="auto"/>
                            <w:left w:val="none" w:sz="0" w:space="0" w:color="auto"/>
                            <w:bottom w:val="none" w:sz="0" w:space="0" w:color="auto"/>
                            <w:right w:val="none" w:sz="0" w:space="0" w:color="auto"/>
                          </w:divBdr>
                          <w:divsChild>
                            <w:div w:id="176530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header" Target="header2.xml"/><Relationship Id="rId26" Type="http://schemas.openxmlformats.org/officeDocument/2006/relationships/image" Target="media/image15.emf"/><Relationship Id="rId39" Type="http://schemas.openxmlformats.org/officeDocument/2006/relationships/image" Target="media/image28.emf"/><Relationship Id="rId3" Type="http://schemas.openxmlformats.org/officeDocument/2006/relationships/styles" Target="styles.xml"/><Relationship Id="rId21" Type="http://schemas.openxmlformats.org/officeDocument/2006/relationships/image" Target="media/image10.emf"/><Relationship Id="rId34" Type="http://schemas.openxmlformats.org/officeDocument/2006/relationships/image" Target="media/image23.emf"/><Relationship Id="rId42" Type="http://schemas.openxmlformats.org/officeDocument/2006/relationships/image" Target="media/image31.emf"/><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image" Target="media/image14.png"/><Relationship Id="rId33" Type="http://schemas.openxmlformats.org/officeDocument/2006/relationships/image" Target="media/image22.emf"/><Relationship Id="rId38" Type="http://schemas.openxmlformats.org/officeDocument/2006/relationships/image" Target="media/image27.emf"/><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9.emf"/><Relationship Id="rId29" Type="http://schemas.openxmlformats.org/officeDocument/2006/relationships/image" Target="media/image18.emf"/><Relationship Id="rId41" Type="http://schemas.openxmlformats.org/officeDocument/2006/relationships/image" Target="media/image3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3.emf"/><Relationship Id="rId32" Type="http://schemas.openxmlformats.org/officeDocument/2006/relationships/image" Target="media/image21.emf"/><Relationship Id="rId37" Type="http://schemas.openxmlformats.org/officeDocument/2006/relationships/image" Target="media/image26.emf"/><Relationship Id="rId40" Type="http://schemas.openxmlformats.org/officeDocument/2006/relationships/image" Target="media/image29.emf"/><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image" Target="media/image12.emf"/><Relationship Id="rId28" Type="http://schemas.openxmlformats.org/officeDocument/2006/relationships/image" Target="media/image17.emf"/><Relationship Id="rId36" Type="http://schemas.openxmlformats.org/officeDocument/2006/relationships/image" Target="media/image25.emf"/><Relationship Id="rId10" Type="http://schemas.openxmlformats.org/officeDocument/2006/relationships/header" Target="header1.xml"/><Relationship Id="rId19" Type="http://schemas.openxmlformats.org/officeDocument/2006/relationships/footer" Target="footer2.xml"/><Relationship Id="rId31" Type="http://schemas.openxmlformats.org/officeDocument/2006/relationships/image" Target="media/image20.emf"/><Relationship Id="rId44" Type="http://schemas.openxmlformats.org/officeDocument/2006/relationships/image" Target="media/image3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5.png"/><Relationship Id="rId22" Type="http://schemas.openxmlformats.org/officeDocument/2006/relationships/image" Target="media/image11.emf"/><Relationship Id="rId27" Type="http://schemas.openxmlformats.org/officeDocument/2006/relationships/image" Target="media/image16.emf"/><Relationship Id="rId30" Type="http://schemas.openxmlformats.org/officeDocument/2006/relationships/image" Target="media/image19.emf"/><Relationship Id="rId35" Type="http://schemas.openxmlformats.org/officeDocument/2006/relationships/image" Target="media/image24.emf"/><Relationship Id="rId43" Type="http://schemas.openxmlformats.org/officeDocument/2006/relationships/image" Target="media/image3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0C8C5-81C1-4B69-8A37-2629DDC84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6629</Words>
  <Characters>37789</Characters>
  <Application>Microsoft Office Word</Application>
  <DocSecurity>0</DocSecurity>
  <Lines>314</Lines>
  <Paragraphs>88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HONDURAS</vt:lpstr>
      <vt:lpstr>HONDURAS</vt:lpstr>
    </vt:vector>
  </TitlesOfParts>
  <Company>Hewlett-Packard</Company>
  <LinksUpToDate>false</LinksUpToDate>
  <CharactersWithSpaces>44330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HONDURAS</dc:title>
  <dc:creator>R Suárez Nicolini</dc:creator>
  <cp:lastModifiedBy>Rospide, Maria De La Paz</cp:lastModifiedBy>
  <cp:revision>2</cp:revision>
  <cp:lastPrinted>2015-09-03T03:48:00Z</cp:lastPrinted>
  <dcterms:created xsi:type="dcterms:W3CDTF">2017-10-24T19:11:00Z</dcterms:created>
  <dcterms:modified xsi:type="dcterms:W3CDTF">2017-10-24T19:11:00Z</dcterms:modified>
</cp:coreProperties>
</file>