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B41222" w:rsidR="00EB3481" w:rsidP="005A1D18" w:rsidRDefault="00EB3481" w14:paraId="234C3564" w14:textId="77777777">
      <w:pPr>
        <w:spacing w:line="240" w:lineRule="auto"/>
        <w:jc w:val="center"/>
        <w:rPr>
          <w:rFonts w:ascii="Arial" w:hAnsi="Arial" w:cs="Arial"/>
          <w:b/>
          <w:smallCaps/>
          <w:sz w:val="24"/>
          <w:szCs w:val="24"/>
          <w:lang w:val="es-ES"/>
        </w:rPr>
      </w:pP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>MATRIZ COMPARATIVA</w:t>
      </w:r>
    </w:p>
    <w:p w:rsidR="004439CB" w:rsidP="004439CB" w:rsidRDefault="007B249E" w14:paraId="3DA90AF4" w14:textId="77777777">
      <w:pPr>
        <w:spacing w:line="240" w:lineRule="auto"/>
        <w:jc w:val="center"/>
        <w:rPr>
          <w:rFonts w:ascii="Arial" w:hAnsi="Arial" w:cs="Arial"/>
          <w:b/>
          <w:smallCaps/>
          <w:sz w:val="24"/>
          <w:szCs w:val="24"/>
          <w:lang w:val="es-ES"/>
        </w:rPr>
      </w:pP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 xml:space="preserve">Condiciones </w:t>
      </w:r>
      <w:r w:rsidR="00F11D01">
        <w:rPr>
          <w:rFonts w:ascii="Arial" w:hAnsi="Arial" w:cs="Arial"/>
          <w:b/>
          <w:smallCaps/>
          <w:sz w:val="24"/>
          <w:szCs w:val="24"/>
          <w:lang w:val="es-ES"/>
        </w:rPr>
        <w:t>definitivas de</w:t>
      </w: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 xml:space="preserve"> la </w:t>
      </w:r>
      <w:r w:rsidR="00E30E7C">
        <w:rPr>
          <w:rFonts w:ascii="Arial" w:hAnsi="Arial" w:cs="Arial"/>
          <w:b/>
          <w:smallCaps/>
          <w:sz w:val="24"/>
          <w:szCs w:val="24"/>
          <w:lang w:val="es-ES"/>
        </w:rPr>
        <w:t>tercera</w:t>
      </w:r>
      <w:r w:rsidR="00AD733B">
        <w:rPr>
          <w:rFonts w:ascii="Arial" w:hAnsi="Arial" w:cs="Arial"/>
          <w:b/>
          <w:smallCaps/>
          <w:sz w:val="24"/>
          <w:szCs w:val="24"/>
          <w:lang w:val="es-ES"/>
        </w:rPr>
        <w:t xml:space="preserve"> </w:t>
      </w: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 xml:space="preserve">operación vs. condiciones acordadas </w:t>
      </w:r>
      <w:r w:rsidR="00F11D01">
        <w:rPr>
          <w:rFonts w:ascii="Arial" w:hAnsi="Arial" w:cs="Arial"/>
          <w:b/>
          <w:smallCaps/>
          <w:sz w:val="24"/>
          <w:szCs w:val="24"/>
          <w:lang w:val="es-ES"/>
        </w:rPr>
        <w:t xml:space="preserve">para la </w:t>
      </w:r>
      <w:r w:rsidR="00E30E7C">
        <w:rPr>
          <w:rFonts w:ascii="Arial" w:hAnsi="Arial" w:cs="Arial"/>
          <w:b/>
          <w:smallCaps/>
          <w:sz w:val="24"/>
          <w:szCs w:val="24"/>
          <w:lang w:val="es-ES"/>
        </w:rPr>
        <w:t>tercera</w:t>
      </w:r>
      <w:r w:rsidR="00F11D01">
        <w:rPr>
          <w:rFonts w:ascii="Arial" w:hAnsi="Arial" w:cs="Arial"/>
          <w:b/>
          <w:smallCaps/>
          <w:sz w:val="24"/>
          <w:szCs w:val="24"/>
          <w:lang w:val="es-ES"/>
        </w:rPr>
        <w:t xml:space="preserve"> operación </w:t>
      </w: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 xml:space="preserve">en la propuesta de </w:t>
      </w:r>
      <w:r w:rsidRPr="00B41222" w:rsidR="001945FB">
        <w:rPr>
          <w:rFonts w:ascii="Arial" w:hAnsi="Arial" w:cs="Arial"/>
          <w:b/>
          <w:smallCaps/>
          <w:sz w:val="24"/>
          <w:szCs w:val="24"/>
          <w:lang w:val="es-ES"/>
        </w:rPr>
        <w:t>préstamo</w:t>
      </w: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 xml:space="preserve"> de la </w:t>
      </w:r>
      <w:r w:rsidR="00E30E7C">
        <w:rPr>
          <w:rFonts w:ascii="Arial" w:hAnsi="Arial" w:cs="Arial"/>
          <w:b/>
          <w:smallCaps/>
          <w:sz w:val="24"/>
          <w:szCs w:val="24"/>
          <w:lang w:val="es-ES"/>
        </w:rPr>
        <w:t>segunda</w:t>
      </w: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 xml:space="preserve"> operación del PB</w:t>
      </w:r>
      <w:r w:rsidRPr="00B41222" w:rsidR="00961D99">
        <w:rPr>
          <w:rFonts w:ascii="Arial" w:hAnsi="Arial" w:cs="Arial"/>
          <w:b/>
          <w:smallCaps/>
          <w:sz w:val="24"/>
          <w:szCs w:val="24"/>
          <w:lang w:val="es-ES"/>
        </w:rPr>
        <w:t>L</w:t>
      </w:r>
      <w:r w:rsidRPr="00B41222">
        <w:rPr>
          <w:rFonts w:ascii="Arial" w:hAnsi="Arial" w:cs="Arial"/>
          <w:b/>
          <w:smallCaps/>
          <w:sz w:val="24"/>
          <w:szCs w:val="24"/>
          <w:lang w:val="es-ES"/>
        </w:rPr>
        <w:t xml:space="preserve"> 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4045"/>
        <w:gridCol w:w="3258"/>
        <w:gridCol w:w="3075"/>
        <w:gridCol w:w="2572"/>
      </w:tblGrid>
      <w:tr w:rsidRPr="00087ABE" w:rsidR="00AC0432" w:rsidTr="5A20631A" w14:paraId="310A41EF" w14:textId="77777777">
        <w:trPr>
          <w:cantSplit/>
          <w:trHeight w:val="20"/>
          <w:tblHeader/>
        </w:trPr>
        <w:tc>
          <w:tcPr>
            <w:tcW w:w="4045" w:type="dxa"/>
            <w:shd w:val="clear" w:color="auto" w:fill="A6A6A6" w:themeFill="background1" w:themeFillShade="A6"/>
            <w:tcMar/>
            <w:vAlign w:val="center"/>
          </w:tcPr>
          <w:p w:rsidRPr="00087ABE" w:rsidR="004439CB" w:rsidDel="00556F4F" w:rsidP="00E30E7C" w:rsidRDefault="004439CB" w14:paraId="19161360" w14:textId="77777777">
            <w:pPr>
              <w:jc w:val="center"/>
              <w:rPr>
                <w:rFonts w:cs="Arial"/>
                <w:b/>
                <w:smallCaps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mallCaps/>
                <w:sz w:val="18"/>
                <w:szCs w:val="18"/>
                <w:lang w:val="es-ES"/>
              </w:rPr>
              <w:t>Componente y Resultado Buscado</w:t>
            </w:r>
          </w:p>
        </w:tc>
        <w:tc>
          <w:tcPr>
            <w:tcW w:w="3258" w:type="dxa"/>
            <w:shd w:val="clear" w:color="auto" w:fill="A6A6A6" w:themeFill="background1" w:themeFillShade="A6"/>
            <w:tcMar/>
            <w:vAlign w:val="center"/>
          </w:tcPr>
          <w:p w:rsidRPr="00087ABE" w:rsidR="004439CB" w:rsidP="00E30E7C" w:rsidRDefault="004439CB" w14:paraId="7EF21074" w14:textId="77777777">
            <w:pPr>
              <w:jc w:val="center"/>
              <w:rPr>
                <w:rFonts w:cs="Arial"/>
                <w:b/>
                <w:smallCaps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mallCaps/>
                <w:sz w:val="18"/>
                <w:szCs w:val="18"/>
                <w:lang w:val="es-ES"/>
              </w:rPr>
              <w:t xml:space="preserve">Desencadenantes para la </w:t>
            </w:r>
            <w:r w:rsidRPr="00087ABE" w:rsidR="00E30E7C">
              <w:rPr>
                <w:rFonts w:cs="Arial"/>
                <w:b/>
                <w:smallCaps/>
                <w:sz w:val="18"/>
                <w:szCs w:val="18"/>
                <w:lang w:val="es-ES"/>
              </w:rPr>
              <w:t>tercera</w:t>
            </w:r>
            <w:r w:rsidRPr="00087ABE">
              <w:rPr>
                <w:rFonts w:cs="Arial"/>
                <w:b/>
                <w:smallCaps/>
                <w:sz w:val="18"/>
                <w:szCs w:val="18"/>
                <w:lang w:val="es-ES"/>
              </w:rPr>
              <w:t xml:space="preserve"> operación establecidas en la Propuesta de Préstamo del </w:t>
            </w:r>
            <w:r w:rsidRPr="00087ABE" w:rsidR="00E30E7C">
              <w:rPr>
                <w:rFonts w:cs="Arial"/>
                <w:b/>
                <w:smallCaps/>
                <w:sz w:val="18"/>
                <w:szCs w:val="18"/>
                <w:lang w:val="es-ES"/>
              </w:rPr>
              <w:t>segundo</w:t>
            </w:r>
            <w:r w:rsidRPr="00087ABE">
              <w:rPr>
                <w:rFonts w:cs="Arial"/>
                <w:b/>
                <w:smallCaps/>
                <w:sz w:val="18"/>
                <w:szCs w:val="18"/>
                <w:lang w:val="es-ES"/>
              </w:rPr>
              <w:t xml:space="preserve"> PBL</w:t>
            </w:r>
          </w:p>
        </w:tc>
        <w:tc>
          <w:tcPr>
            <w:tcW w:w="3075" w:type="dxa"/>
            <w:shd w:val="clear" w:color="auto" w:fill="A6A6A6" w:themeFill="background1" w:themeFillShade="A6"/>
            <w:tcMar/>
            <w:vAlign w:val="center"/>
          </w:tcPr>
          <w:p w:rsidRPr="00087ABE" w:rsidR="004439CB" w:rsidDel="00B015D9" w:rsidP="00E30E7C" w:rsidRDefault="00993C3B" w14:paraId="276E3664" w14:textId="77777777">
            <w:pPr>
              <w:jc w:val="center"/>
              <w:rPr>
                <w:rFonts w:cs="Arial"/>
                <w:b/>
                <w:smallCaps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mallCaps/>
                <w:sz w:val="18"/>
                <w:szCs w:val="18"/>
                <w:lang w:val="es-ES"/>
              </w:rPr>
              <w:t>Condiciones revisadas y acordadas para la tercera operación</w:t>
            </w:r>
          </w:p>
        </w:tc>
        <w:tc>
          <w:tcPr>
            <w:tcW w:w="2572" w:type="dxa"/>
            <w:shd w:val="clear" w:color="auto" w:fill="A6A6A6" w:themeFill="background1" w:themeFillShade="A6"/>
            <w:tcMar/>
            <w:vAlign w:val="center"/>
          </w:tcPr>
          <w:p w:rsidRPr="00087ABE" w:rsidR="004439CB" w:rsidP="00E30E7C" w:rsidRDefault="00993C3B" w14:paraId="4A2964BB" w14:textId="77777777">
            <w:pPr>
              <w:jc w:val="center"/>
              <w:rPr>
                <w:rFonts w:cs="Arial"/>
                <w:b/>
                <w:smallCaps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mallCaps/>
                <w:sz w:val="18"/>
                <w:szCs w:val="18"/>
                <w:lang w:val="es-ES"/>
              </w:rPr>
              <w:t>Comentario</w:t>
            </w:r>
          </w:p>
        </w:tc>
      </w:tr>
      <w:tr w:rsidRPr="00087ABE" w:rsidR="00993C3B" w:rsidTr="5A20631A" w14:paraId="47C68EAC" w14:textId="77777777">
        <w:trPr>
          <w:cantSplit/>
          <w:trHeight w:val="20"/>
        </w:trPr>
        <w:tc>
          <w:tcPr>
            <w:tcW w:w="12950" w:type="dxa"/>
            <w:gridSpan w:val="4"/>
            <w:shd w:val="clear" w:color="auto" w:fill="BFBFBF" w:themeFill="background1" w:themeFillShade="BF"/>
            <w:tcMar/>
          </w:tcPr>
          <w:p w:rsidRPr="00087ABE" w:rsidR="00993C3B" w:rsidP="004439CB" w:rsidRDefault="00993C3B" w14:paraId="71904C28" w14:textId="77777777">
            <w:pPr>
              <w:ind w:left="34" w:hanging="34"/>
              <w:jc w:val="both"/>
              <w:rPr>
                <w:rFonts w:cs="Arial"/>
                <w:b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z w:val="18"/>
                <w:szCs w:val="18"/>
                <w:lang w:val="es-ES"/>
              </w:rPr>
              <w:t>Componente I. Estabilidad macroeconómica</w:t>
            </w:r>
          </w:p>
        </w:tc>
      </w:tr>
      <w:tr w:rsidRPr="00087ABE" w:rsidR="00AC0432" w:rsidTr="5A20631A" w14:paraId="1694DFDB" w14:textId="77777777">
        <w:trPr>
          <w:cantSplit/>
          <w:trHeight w:val="20"/>
        </w:trPr>
        <w:tc>
          <w:tcPr>
            <w:tcW w:w="4045" w:type="dxa"/>
            <w:tcMar/>
            <w:vAlign w:val="center"/>
          </w:tcPr>
          <w:p w:rsidRPr="00087ABE" w:rsidR="004439CB" w:rsidP="00434AE7" w:rsidRDefault="004439CB" w14:paraId="275C24F1" w14:textId="77777777">
            <w:pPr>
              <w:pStyle w:val="ListParagraph"/>
              <w:tabs>
                <w:tab w:val="left" w:pos="525"/>
              </w:tabs>
              <w:ind w:left="-15"/>
              <w:rPr>
                <w:rFonts w:cs="Arial"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sz w:val="18"/>
                <w:szCs w:val="18"/>
                <w:lang w:val="es-ES"/>
              </w:rPr>
              <w:t>1. Asegurar un contexto macroeconómico congruente con los objetivos del programa según establecido en la Matriz de Políticas y en la Carta de Política Sectorial (CPS).</w:t>
            </w:r>
          </w:p>
        </w:tc>
        <w:tc>
          <w:tcPr>
            <w:tcW w:w="3258" w:type="dxa"/>
            <w:tcMar/>
            <w:vAlign w:val="center"/>
          </w:tcPr>
          <w:p w:rsidRPr="00087ABE" w:rsidR="004439CB" w:rsidP="00E30E7C" w:rsidRDefault="00E30E7C" w14:paraId="1501FDD5" w14:textId="77777777">
            <w:pPr>
              <w:ind w:right="19"/>
              <w:rPr>
                <w:rFonts w:cs="Arial"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sz w:val="18"/>
                <w:szCs w:val="18"/>
                <w:lang w:val="es-ES"/>
              </w:rPr>
              <w:t>1.1 El marco macroeconómico del prestatario es estable y consistente con los objetivos del programa y la CPS.</w:t>
            </w:r>
          </w:p>
        </w:tc>
        <w:tc>
          <w:tcPr>
            <w:tcW w:w="3075" w:type="dxa"/>
            <w:tcMar/>
            <w:vAlign w:val="center"/>
          </w:tcPr>
          <w:p w:rsidRPr="00087ABE" w:rsidR="004439CB" w:rsidP="00434AE7" w:rsidRDefault="00E30E7C" w14:paraId="08738469" w14:textId="77777777">
            <w:pPr>
              <w:pStyle w:val="ListParagraph"/>
              <w:ind w:left="0" w:right="19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sz w:val="18"/>
                <w:szCs w:val="18"/>
                <w:lang w:val="es-ES"/>
              </w:rPr>
              <w:t>1.1 El marco macroeconómico del prestatario es estable y consistente con los objetivos del programa y la CPS.</w:t>
            </w:r>
          </w:p>
        </w:tc>
        <w:tc>
          <w:tcPr>
            <w:tcW w:w="2572" w:type="dxa"/>
            <w:tcMar/>
            <w:vAlign w:val="center"/>
          </w:tcPr>
          <w:p w:rsidRPr="00087ABE" w:rsidR="004439CB" w:rsidP="00E30E7C" w:rsidRDefault="00E30E7C" w14:paraId="52AB742E" w14:textId="77777777">
            <w:pPr>
              <w:pStyle w:val="ListParagraph"/>
              <w:ind w:left="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tr w:rsidRPr="002303DD" w:rsidR="00993C3B" w:rsidTr="5A20631A" w14:paraId="4248A284" w14:textId="77777777">
        <w:trPr>
          <w:cantSplit/>
          <w:trHeight w:val="300"/>
        </w:trPr>
        <w:tc>
          <w:tcPr>
            <w:tcW w:w="12950" w:type="dxa"/>
            <w:gridSpan w:val="4"/>
            <w:shd w:val="clear" w:color="auto" w:fill="BFBFBF" w:themeFill="background1" w:themeFillShade="BF"/>
            <w:tcMar/>
            <w:vAlign w:val="center"/>
            <w:tcPrChange w:author="Author">
              <w:tcPr>
                <w:gridSpan w:val="4"/>
                <w:shd w:val="clear" w:color="auto" w:fill="BFBFBF" w:themeFill="background1" w:themeFillShade="BF"/>
                <w:tcMar/>
                <w:vAlign w:val="center"/>
              </w:tcPr>
            </w:tcPrChange>
          </w:tcPr>
          <w:p w:rsidRPr="00087ABE" w:rsidR="00993C3B" w:rsidP="00434AE7" w:rsidRDefault="00993C3B" w14:paraId="685C918C" w14:textId="77777777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z w:val="18"/>
                <w:szCs w:val="18"/>
                <w:lang w:val="es-ES"/>
              </w:rPr>
              <w:t>Componente II. Reforma del marco normativo de logística de carga y de facilitación comercial</w:t>
            </w:r>
          </w:p>
        </w:tc>
      </w:tr>
      <w:tr w:rsidRPr="00087ABE" w:rsidR="00AC0432" w:rsidTr="5A20631A" w14:paraId="06A5CC5C" w14:textId="77777777">
        <w:trPr>
          <w:cantSplit/>
          <w:trHeight w:val="20"/>
        </w:trPr>
        <w:tc>
          <w:tcPr>
            <w:tcW w:w="4045" w:type="dxa"/>
            <w:vMerge w:val="restart"/>
            <w:tcMar/>
            <w:vAlign w:val="center"/>
          </w:tcPr>
          <w:p w:rsidRPr="00087ABE" w:rsidR="004439CB" w:rsidP="4CE399FD" w:rsidRDefault="004439CB" w14:paraId="778F890D" w14:textId="77777777" w14:noSpellErr="1">
            <w:pPr>
              <w:pStyle w:val="ListParagraph"/>
              <w:tabs>
                <w:tab w:val="left" w:pos="435"/>
              </w:tabs>
              <w:spacing w:afterAutospacing="on" w:line="240" w:lineRule="auto"/>
              <w:ind w:left="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4CE399FD" w:rsidR="2D14E415">
              <w:rPr>
                <w:rFonts w:cs="Arial"/>
                <w:sz w:val="18"/>
                <w:szCs w:val="18"/>
                <w:lang w:val="es-ES"/>
              </w:rPr>
              <w:t>2. Consolidar un marco normativo de logística que introduzca una visión de largo plazo y establezca los lineamientos del sector, incluyendo:</w:t>
            </w:r>
          </w:p>
          <w:p w:rsidRPr="00087ABE" w:rsidR="004439CB" w:rsidP="4CE399FD" w:rsidRDefault="004439CB" w14:paraId="5889B587" w14:textId="77777777" w14:noSpellErr="1">
            <w:pPr>
              <w:pStyle w:val="ListParagraph"/>
              <w:numPr>
                <w:ilvl w:val="0"/>
                <w:numId w:val="19"/>
              </w:numPr>
              <w:spacing w:afterAutospacing="on" w:line="240" w:lineRule="auto"/>
              <w:ind w:left="435" w:hanging="375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4CE399FD" w:rsidR="2D14E415">
              <w:rPr>
                <w:rFonts w:cs="Arial"/>
                <w:sz w:val="18"/>
                <w:szCs w:val="18"/>
                <w:lang w:val="es-ES"/>
              </w:rPr>
              <w:t>objetivos, programas y proyectos;</w:t>
            </w:r>
          </w:p>
          <w:p w:rsidRPr="00087ABE" w:rsidR="004439CB" w:rsidP="4CE399FD" w:rsidRDefault="004439CB" w14:paraId="3605D4FC" w14:textId="77777777" w14:noSpellErr="1">
            <w:pPr>
              <w:numPr>
                <w:ilvl w:val="0"/>
                <w:numId w:val="19"/>
              </w:numPr>
              <w:spacing w:afterAutospacing="on" w:line="240" w:lineRule="auto"/>
              <w:ind w:left="435"/>
              <w:rPr>
                <w:rFonts w:cs="Arial"/>
                <w:sz w:val="18"/>
                <w:szCs w:val="18"/>
                <w:lang w:val="es-ES"/>
              </w:rPr>
            </w:pPr>
            <w:r w:rsidRPr="4CE399FD" w:rsidR="2D14E415">
              <w:rPr>
                <w:rFonts w:cs="Arial"/>
                <w:sz w:val="18"/>
                <w:szCs w:val="18"/>
                <w:lang w:val="es-ES"/>
              </w:rPr>
              <w:t>visión de largo plazo, estrategia de intervención y sistema de monitoreo; y</w:t>
            </w:r>
          </w:p>
          <w:p w:rsidRPr="00087ABE" w:rsidR="004439CB" w:rsidP="4CE399FD" w:rsidRDefault="004439CB" w14:paraId="18C89254" w14:textId="77777777" w14:noSpellErr="1">
            <w:pPr>
              <w:numPr>
                <w:ilvl w:val="0"/>
                <w:numId w:val="19"/>
              </w:numPr>
              <w:spacing w:afterAutospacing="on" w:line="240" w:lineRule="auto"/>
              <w:ind w:left="435"/>
              <w:rPr>
                <w:rFonts w:cs="Arial"/>
                <w:b w:val="1"/>
                <w:bCs w:val="1"/>
                <w:sz w:val="18"/>
                <w:szCs w:val="18"/>
                <w:lang w:val="es-ES"/>
              </w:rPr>
            </w:pPr>
            <w:r w:rsidRPr="4CE399FD" w:rsidR="2D14E415">
              <w:rPr>
                <w:rFonts w:cs="Arial"/>
                <w:sz w:val="18"/>
                <w:szCs w:val="18"/>
                <w:lang w:val="es-ES"/>
              </w:rPr>
              <w:t>lineamientos de políticas, elementos fundamentales del sector de logística de carga y competencias institucionales.</w:t>
            </w:r>
          </w:p>
        </w:tc>
        <w:tc>
          <w:tcPr>
            <w:tcW w:w="3258" w:type="dxa"/>
            <w:tcMar/>
            <w:vAlign w:val="center"/>
          </w:tcPr>
          <w:p w:rsidRPr="00087ABE" w:rsidR="004439CB" w:rsidP="5FF30095" w:rsidRDefault="00087ABE" w14:paraId="61A25EA1" w14:textId="5E0D7532" w14:noSpellErr="1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2.1 Evaluación de los avances logrados en la implementación del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>PEG 2018-2022, incluyendo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>recomendaciones para 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>fortalecimiento de su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>implementación.</w:t>
            </w:r>
          </w:p>
        </w:tc>
        <w:tc>
          <w:tcPr>
            <w:tcW w:w="3075" w:type="dxa"/>
            <w:tcMar/>
            <w:vAlign w:val="center"/>
          </w:tcPr>
          <w:p w:rsidRPr="00087ABE" w:rsidR="004439CB" w:rsidP="5FF30095" w:rsidRDefault="00087ABE" w14:paraId="2D153695" w14:textId="77777777" w14:noSpellErr="1">
            <w:pPr>
              <w:pStyle w:val="ListParagraph"/>
              <w:spacing w:line="240" w:lineRule="auto"/>
              <w:ind w:left="0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2.1 Evaluación de los avances logrados en la implementación del PEG 2018-2022, incluyendo recomendaciones para el fortalecimiento de su implementación.</w:t>
            </w:r>
          </w:p>
        </w:tc>
        <w:tc>
          <w:tcPr>
            <w:tcW w:w="2572" w:type="dxa"/>
            <w:tcMar/>
            <w:vAlign w:val="center"/>
          </w:tcPr>
          <w:p w:rsidRPr="00087ABE" w:rsidR="004439CB" w:rsidP="5FF30095" w:rsidRDefault="00087ABE" w14:paraId="21DBC1C8" w14:textId="77777777" w14:noSpellErr="1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tr w:rsidRPr="00087ABE" w:rsidR="00AC0432" w:rsidTr="5A20631A" w14:paraId="44D55E75" w14:textId="77777777">
        <w:trPr>
          <w:cantSplit/>
          <w:trHeight w:val="20"/>
        </w:trPr>
        <w:tc>
          <w:tcPr>
            <w:tcW w:w="4045" w:type="dxa"/>
            <w:vMerge/>
            <w:tcMar/>
            <w:vAlign w:val="center"/>
          </w:tcPr>
          <w:p w:rsidRPr="00087ABE" w:rsidR="004439CB" w:rsidP="00434AE7" w:rsidRDefault="004439CB" w14:paraId="219D8977" w14:textId="77777777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3258" w:type="dxa"/>
            <w:tcMar/>
            <w:vAlign w:val="center"/>
          </w:tcPr>
          <w:p w:rsidRPr="00087ABE" w:rsidR="004439CB" w:rsidP="5FF30095" w:rsidRDefault="00087ABE" w14:paraId="33AF5BDE" w14:textId="77777777" w14:noSpellErr="1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5FF30095" w:rsidR="32DC8B1B">
              <w:rPr>
                <w:rFonts w:cs="Arial"/>
                <w:sz w:val="18"/>
                <w:szCs w:val="18"/>
              </w:rPr>
              <w:t>2.2.1 Evaluación y</w:t>
            </w:r>
            <w:r w:rsidRPr="5FF30095" w:rsidR="32DC8B1B">
              <w:rPr>
                <w:rFonts w:cs="Arial"/>
                <w:sz w:val="18"/>
                <w:szCs w:val="18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</w:rPr>
              <w:t>actualización del PAI</w:t>
            </w:r>
            <w:r w:rsidRPr="5FF30095" w:rsidR="32DC8B1B">
              <w:rPr>
                <w:rFonts w:cs="Arial"/>
                <w:sz w:val="18"/>
                <w:szCs w:val="18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</w:rPr>
              <w:t>a cinco años por el</w:t>
            </w:r>
            <w:r w:rsidRPr="5FF30095" w:rsidR="32DC8B1B">
              <w:rPr>
                <w:rFonts w:cs="Arial"/>
                <w:sz w:val="18"/>
                <w:szCs w:val="18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</w:rPr>
              <w:t>CNL.</w:t>
            </w:r>
          </w:p>
        </w:tc>
        <w:tc>
          <w:tcPr>
            <w:tcW w:w="3075" w:type="dxa"/>
            <w:tcMar/>
            <w:vAlign w:val="center"/>
          </w:tcPr>
          <w:p w:rsidRPr="00087ABE" w:rsidR="004439CB" w:rsidP="5FF30095" w:rsidRDefault="00087ABE" w14:paraId="696431FB" w14:textId="77777777" w14:noSpellErr="1">
            <w:pPr>
              <w:pStyle w:val="ListParagraph"/>
              <w:spacing w:line="240" w:lineRule="auto"/>
              <w:ind w:left="0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2.2.1 Evaluación y actualización del PAI a cinco años por el CNL.</w:t>
            </w:r>
          </w:p>
        </w:tc>
        <w:tc>
          <w:tcPr>
            <w:tcW w:w="2572" w:type="dxa"/>
            <w:tcMar/>
            <w:vAlign w:val="center"/>
          </w:tcPr>
          <w:p w:rsidRPr="00087ABE" w:rsidR="004439CB" w:rsidP="5FF30095" w:rsidRDefault="00087ABE" w14:paraId="43DE5E53" w14:textId="77777777" w14:noSpellErr="1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tr w:rsidRPr="00087ABE" w:rsidR="00AC0432" w:rsidTr="5A20631A" w14:paraId="445E030C" w14:textId="77777777">
        <w:trPr>
          <w:cantSplit/>
          <w:trHeight w:val="20"/>
        </w:trPr>
        <w:tc>
          <w:tcPr>
            <w:tcW w:w="4045" w:type="dxa"/>
            <w:vMerge/>
            <w:tcMar/>
            <w:vAlign w:val="center"/>
          </w:tcPr>
          <w:p w:rsidRPr="00087ABE" w:rsidR="004439CB" w:rsidP="00434AE7" w:rsidRDefault="004439CB" w14:paraId="48959335" w14:textId="77777777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3258" w:type="dxa"/>
            <w:tcMar/>
            <w:vAlign w:val="center"/>
          </w:tcPr>
          <w:p w:rsidRPr="00087ABE" w:rsidR="004439CB" w:rsidP="5FF30095" w:rsidRDefault="00087ABE" w14:paraId="2D3D36E4" w14:textId="77777777" w14:noSpellErr="1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2.2.2 Aprobación del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>proyecto de Ley de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>Logística por parte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32DC8B1B">
              <w:rPr>
                <w:rFonts w:cs="Arial"/>
                <w:sz w:val="18"/>
                <w:szCs w:val="18"/>
                <w:lang w:val="es-ES"/>
              </w:rPr>
              <w:t>del Ejecutivo.</w:t>
            </w:r>
          </w:p>
        </w:tc>
        <w:tc>
          <w:tcPr>
            <w:tcW w:w="3075" w:type="dxa"/>
            <w:shd w:val="clear" w:color="auto" w:fill="auto"/>
            <w:tcMar/>
            <w:vAlign w:val="center"/>
          </w:tcPr>
          <w:p w:rsidRPr="00087ABE" w:rsidR="004439CB" w:rsidP="5FF30095" w:rsidRDefault="00087ABE" w14:paraId="206F8C1E" w14:textId="77777777" w14:noSpellErr="1">
            <w:pPr>
              <w:pStyle w:val="ListParagraph"/>
              <w:spacing w:line="240" w:lineRule="auto"/>
              <w:ind w:left="0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2.2.2 Aprobación del proyecto de Ley de Logística por parte del Ejecutivo.</w:t>
            </w:r>
          </w:p>
        </w:tc>
        <w:tc>
          <w:tcPr>
            <w:tcW w:w="2572" w:type="dxa"/>
            <w:shd w:val="clear" w:color="auto" w:fill="auto"/>
            <w:tcMar/>
            <w:vAlign w:val="center"/>
          </w:tcPr>
          <w:p w:rsidRPr="00087ABE" w:rsidR="004439CB" w:rsidP="5FF30095" w:rsidRDefault="00087ABE" w14:paraId="725F12B8" w14:textId="77777777" w14:noSpellErr="1">
            <w:pPr>
              <w:pStyle w:val="ListParagraph"/>
              <w:spacing w:line="240" w:lineRule="auto"/>
              <w:ind w:left="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32DC8B1B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tr w:rsidRPr="00F30DA1" w:rsidR="00F30DA1" w:rsidTr="5A20631A" w14:paraId="4194275D" w14:textId="77777777">
        <w:trPr>
          <w:cantSplit/>
          <w:trHeight w:val="20"/>
        </w:trPr>
        <w:tc>
          <w:tcPr>
            <w:tcW w:w="4045" w:type="dxa"/>
            <w:vMerge w:val="restart"/>
            <w:tcMar/>
            <w:vAlign w:val="center"/>
          </w:tcPr>
          <w:p w:rsidRPr="00087ABE" w:rsidR="00F30DA1" w:rsidP="4CE399FD" w:rsidRDefault="00F30DA1" w14:paraId="65A7B3E8" w14:textId="77777777" w14:noSpellErr="1">
            <w:pPr>
              <w:pStyle w:val="ListParagraph"/>
              <w:tabs>
                <w:tab w:val="left" w:pos="525"/>
              </w:tabs>
              <w:spacing w:after="0" w:afterAutospacing="off" w:line="240" w:lineRule="auto"/>
              <w:ind w:left="-15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4CE399FD" w:rsidR="7DE17C2E">
              <w:rPr>
                <w:rFonts w:cs="Arial"/>
                <w:sz w:val="18"/>
                <w:szCs w:val="18"/>
                <w:lang w:val="es-ES"/>
              </w:rPr>
              <w:t xml:space="preserve">3. Modernizar el marco legal de transporte terrestre de carga, ampliando la consideración de aspectos vinculados con: </w:t>
            </w:r>
          </w:p>
          <w:p w:rsidRPr="00087ABE" w:rsidR="00F30DA1" w:rsidP="4CE399FD" w:rsidRDefault="00F30DA1" w14:paraId="6DADAF3C" w14:textId="77777777" w14:noSpellErr="1">
            <w:pPr>
              <w:pStyle w:val="ListParagraph"/>
              <w:numPr>
                <w:ilvl w:val="0"/>
                <w:numId w:val="33"/>
              </w:numPr>
              <w:spacing w:after="0" w:afterAutospacing="off" w:line="240" w:lineRule="auto"/>
              <w:ind w:left="435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4CE399FD" w:rsidR="7DE17C2E">
              <w:rPr>
                <w:rFonts w:cs="Arial"/>
                <w:sz w:val="18"/>
                <w:szCs w:val="18"/>
                <w:lang w:val="es-ES"/>
              </w:rPr>
              <w:t>seguridad en el transporte; y</w:t>
            </w:r>
          </w:p>
          <w:p w:rsidRPr="00087ABE" w:rsidR="00F30DA1" w:rsidP="4CE399FD" w:rsidRDefault="00F30DA1" w14:paraId="3B28767A" w14:textId="77777777" w14:noSpellErr="1">
            <w:pPr>
              <w:pStyle w:val="ListParagraph"/>
              <w:numPr>
                <w:ilvl w:val="0"/>
                <w:numId w:val="33"/>
              </w:numPr>
              <w:spacing w:after="0" w:afterAutospacing="off" w:line="240" w:lineRule="auto"/>
              <w:ind w:left="435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4CE399FD" w:rsidR="7DE17C2E">
              <w:rPr>
                <w:rFonts w:cs="Arial"/>
                <w:sz w:val="18"/>
                <w:szCs w:val="18"/>
                <w:lang w:val="es-ES"/>
              </w:rPr>
              <w:t>servicios del transporte de carga.</w:t>
            </w:r>
          </w:p>
          <w:p w:rsidRPr="00087ABE" w:rsidR="00F30DA1" w:rsidP="5FF30095" w:rsidRDefault="00F30DA1" w14:paraId="1A55EC88" w14:textId="77777777" w14:noSpellErr="1">
            <w:pPr>
              <w:pStyle w:val="ListParagraph"/>
              <w:spacing w:line="240" w:lineRule="auto"/>
              <w:ind w:left="435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3258" w:type="dxa"/>
            <w:tcMar/>
            <w:vAlign w:val="center"/>
          </w:tcPr>
          <w:p w:rsidRPr="00087ABE" w:rsidR="00F30DA1" w:rsidP="5FF30095" w:rsidRDefault="00F30DA1" w14:paraId="10FF92B7" w14:textId="69F3B1AE" w14:noSpellErr="1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3.1 Elaboración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un plan de acción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incorporando la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implementación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medidas vinculadas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con la seguridad del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transporte de carga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terrestre.</w:t>
            </w:r>
          </w:p>
        </w:tc>
        <w:tc>
          <w:tcPr>
            <w:tcW w:w="3075" w:type="dxa"/>
            <w:tcMar/>
            <w:vAlign w:val="center"/>
          </w:tcPr>
          <w:p w:rsidRPr="00087ABE" w:rsidR="00F30DA1" w:rsidP="5FF30095" w:rsidRDefault="00F30DA1" w14:paraId="37AC2F5A" w14:textId="77777777" w14:noSpellErr="1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3.1 Elaboración de un plan de acción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del CNSV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incorporando la implementación de medidas vinculadas con la seguridad del transporte de carga terrestre.</w:t>
            </w:r>
          </w:p>
        </w:tc>
        <w:tc>
          <w:tcPr>
            <w:tcW w:w="2572" w:type="dxa"/>
            <w:tcMar/>
            <w:vAlign w:val="center"/>
          </w:tcPr>
          <w:p w:rsidRPr="00087ABE" w:rsidR="00F30DA1" w:rsidP="5FF30095" w:rsidRDefault="00F30DA1" w14:paraId="63A1645D" w14:textId="212FF552" w14:noSpellErr="1">
            <w:pPr>
              <w:pStyle w:val="ListParagraph"/>
              <w:spacing w:line="240" w:lineRule="auto"/>
              <w:ind w:left="0"/>
              <w:contextualSpacing w:val="0"/>
              <w:rPr>
                <w:rFonts w:cs="Arial"/>
                <w:sz w:val="18"/>
                <w:szCs w:val="18"/>
                <w:lang w:val="es-AR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tr w:rsidRPr="00087ABE" w:rsidR="00F30DA1" w:rsidTr="5A20631A" w14:paraId="46890CB3" w14:textId="77777777">
        <w:tblPrEx>
          <w:tblW w:w="12950" w:type="dxa"/>
          <w:tblPrExChange w:author="Author" w:id="1">
            <w:tblPrEx>
              <w:tblW w:w="0" w:type="auto"/>
            </w:tblPrEx>
          </w:tblPrExChange>
        </w:tblPrEx>
        <w:trPr>
          <w:cantSplit/>
          <w:trHeight w:val="2250"/>
        </w:trPr>
        <w:tc>
          <w:tcPr>
            <w:tcW w:w="4045" w:type="dxa"/>
            <w:vMerge/>
            <w:tcMar/>
            <w:vAlign w:val="center"/>
          </w:tcPr>
          <w:p w:rsidRPr="00087ABE" w:rsidR="00F30DA1" w:rsidP="00F30DA1" w:rsidRDefault="00F30DA1" w14:paraId="6BB703FB" w14:textId="77777777">
            <w:pPr>
              <w:pStyle w:val="ListParagraph"/>
              <w:tabs>
                <w:tab w:val="left" w:pos="420"/>
              </w:tabs>
              <w:ind w:left="36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3258" w:type="dxa"/>
            <w:tcMar/>
            <w:vAlign w:val="center"/>
            <w:tcPrChange w:author="Author" w:id="4">
              <w:tcPr>
                <w:tcW w:w="3258" w:type="dxa"/>
                <w:vAlign w:val="center"/>
              </w:tcPr>
            </w:tcPrChange>
          </w:tcPr>
          <w:p w:rsidRPr="00EB7012" w:rsidR="00F30DA1" w:rsidP="5FF30095" w:rsidRDefault="00F30DA1" w14:paraId="6720B548" w14:textId="77777777" w14:noSpellErr="1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3.2 Aprobación del seguro del transporte terrestre de carga que incluye al menos:</w:t>
            </w:r>
          </w:p>
          <w:p w:rsidRPr="00087ABE" w:rsidR="00F30DA1" w:rsidP="5FF30095" w:rsidRDefault="00F30DA1" w14:paraId="4E314602" w14:textId="682D6923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(i) responsabilidad civil;</w:t>
            </w:r>
            <w:r w:rsidRPr="5FF30095" w:rsidR="4DB31B8B">
              <w:rPr>
                <w:rFonts w:cs="Arial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5FF30095" w:rsidR="7DE17C2E">
              <w:rPr>
                <w:rFonts w:cs="Arial"/>
                <w:sz w:val="18"/>
                <w:szCs w:val="18"/>
              </w:rPr>
              <w:t>ii</w:t>
            </w:r>
            <w:proofErr w:type="spellEnd"/>
            <w:r w:rsidRPr="5FF30095" w:rsidR="7DE17C2E">
              <w:rPr>
                <w:rFonts w:cs="Arial"/>
                <w:sz w:val="18"/>
                <w:szCs w:val="18"/>
              </w:rPr>
              <w:t xml:space="preserve">) cobertura a medios de transporte; </w:t>
            </w:r>
            <w:r w:rsidRPr="5FF30095" w:rsidR="0B93626D">
              <w:rPr>
                <w:rFonts w:cs="Arial"/>
                <w:sz w:val="18"/>
                <w:szCs w:val="18"/>
              </w:rPr>
              <w:t xml:space="preserve">y </w:t>
            </w:r>
            <w:r w:rsidRPr="5FF30095" w:rsidR="7DE17C2E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5FF30095" w:rsidR="7DE17C2E">
              <w:rPr>
                <w:rFonts w:cs="Arial"/>
                <w:sz w:val="18"/>
                <w:szCs w:val="18"/>
              </w:rPr>
              <w:t>iii</w:t>
            </w:r>
            <w:proofErr w:type="spellEnd"/>
            <w:r w:rsidRPr="5FF30095" w:rsidR="7DE17C2E">
              <w:rPr>
                <w:rFonts w:cs="Arial"/>
                <w:sz w:val="18"/>
                <w:szCs w:val="18"/>
              </w:rPr>
              <w:t>)</w:t>
            </w:r>
            <w:r w:rsidRPr="5FF30095" w:rsidR="5A7C8989">
              <w:rPr>
                <w:rFonts w:cs="Arial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cobertura a la carga.</w:t>
            </w:r>
          </w:p>
        </w:tc>
        <w:tc>
          <w:tcPr>
            <w:tcW w:w="3075" w:type="dxa"/>
            <w:tcMar/>
            <w:vAlign w:val="center"/>
            <w:tcPrChange w:author="Author" w:id="5">
              <w:tcPr>
                <w:tcW w:w="3075" w:type="dxa"/>
                <w:vAlign w:val="center"/>
              </w:tcPr>
            </w:tcPrChange>
          </w:tcPr>
          <w:p w:rsidRPr="00EB7012" w:rsidR="00F30DA1" w:rsidP="5FF30095" w:rsidRDefault="00F30DA1" w14:paraId="535790E5" w14:textId="7EF96406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 xml:space="preserve">3.2 Aprobación del </w:t>
            </w:r>
            <w:r w:rsidRPr="5FF30095" w:rsidR="6DB186DF">
              <w:rPr>
                <w:rFonts w:eastAsia="Arial" w:cs="Arial"/>
                <w:color w:val="000000" w:themeColor="text1" w:themeTint="FF" w:themeShade="FF"/>
                <w:sz w:val="18"/>
                <w:szCs w:val="18"/>
              </w:rPr>
              <w:t>reglamento de</w:t>
            </w:r>
            <w:r w:rsidRPr="5FF30095" w:rsidR="46DDDF94">
              <w:rPr>
                <w:rFonts w:eastAsia="Arial" w:cs="Arial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seguro del transporte terrestre de carga que incluye al menos:</w:t>
            </w:r>
          </w:p>
          <w:p w:rsidRPr="00EB7012" w:rsidR="00F30DA1" w:rsidP="5FF30095" w:rsidRDefault="00F30DA1" w14:paraId="615E76AF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(i)</w:t>
            </w:r>
            <w:r w:rsidRPr="5FF30095" w:rsidR="7DE17C2E">
              <w:rPr>
                <w:rFonts w:cs="Arial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responsabilidad civil;</w:t>
            </w:r>
          </w:p>
          <w:p w:rsidRPr="00EB7012" w:rsidR="00F30DA1" w:rsidP="5FF30095" w:rsidRDefault="00F30DA1" w14:paraId="7FFBFB13" w14:textId="77777777">
            <w:pPr>
              <w:spacing w:after="0" w:afterAutospacing="off"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5FF30095" w:rsidR="7DE17C2E">
              <w:rPr>
                <w:rFonts w:cs="Arial"/>
                <w:sz w:val="18"/>
                <w:szCs w:val="18"/>
              </w:rPr>
              <w:t>ii</w:t>
            </w:r>
            <w:proofErr w:type="spellEnd"/>
            <w:r w:rsidRPr="5FF30095" w:rsidR="7DE17C2E">
              <w:rPr>
                <w:rFonts w:cs="Arial"/>
                <w:sz w:val="18"/>
                <w:szCs w:val="18"/>
              </w:rPr>
              <w:t>)</w:t>
            </w:r>
            <w:r w:rsidRPr="5FF30095" w:rsidR="7DE17C2E">
              <w:rPr>
                <w:rFonts w:cs="Arial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cobertura a medios de transporte; y</w:t>
            </w:r>
          </w:p>
          <w:p w:rsidRPr="00087ABE" w:rsidR="00F30DA1" w:rsidP="5FF30095" w:rsidRDefault="00F30DA1" w14:paraId="00DC1080" w14:textId="77777777">
            <w:pPr>
              <w:spacing w:after="0" w:afterAutospacing="off"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5FF30095" w:rsidR="7DE17C2E">
              <w:rPr>
                <w:rFonts w:cs="Arial"/>
                <w:sz w:val="18"/>
                <w:szCs w:val="18"/>
              </w:rPr>
              <w:t>iii</w:t>
            </w:r>
            <w:proofErr w:type="spellEnd"/>
            <w:r w:rsidRPr="5FF30095" w:rsidR="7DE17C2E">
              <w:rPr>
                <w:rFonts w:cs="Arial"/>
                <w:sz w:val="18"/>
                <w:szCs w:val="18"/>
              </w:rPr>
              <w:t>) cobertura a la carga.</w:t>
            </w:r>
          </w:p>
        </w:tc>
        <w:tc>
          <w:tcPr>
            <w:tcW w:w="2572" w:type="dxa"/>
            <w:tcMar/>
            <w:vAlign w:val="center"/>
            <w:tcPrChange w:author="Author" w:id="7">
              <w:tcPr>
                <w:tcW w:w="2572" w:type="dxa"/>
                <w:vAlign w:val="center"/>
              </w:tcPr>
            </w:tcPrChange>
          </w:tcPr>
          <w:p w:rsidRPr="00087ABE" w:rsidR="00F30DA1" w:rsidP="5FF30095" w:rsidRDefault="00F30DA1" w14:paraId="1571B713" w14:textId="0B5680C8" w14:noSpellErr="1">
            <w:pPr>
              <w:tabs>
                <w:tab w:val="left" w:pos="886"/>
              </w:tabs>
              <w:spacing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Sin cambios.</w:t>
            </w:r>
            <w:r w:rsidRPr="5FF30095" w:rsidR="2240D054">
              <w:rPr>
                <w:rFonts w:cs="Arial"/>
                <w:sz w:val="18"/>
                <w:szCs w:val="18"/>
                <w:lang w:val="es-ES"/>
              </w:rPr>
              <w:t xml:space="preserve"> </w:t>
            </w:r>
          </w:p>
        </w:tc>
      </w:tr>
      <w:tr w:rsidRPr="002303DD" w:rsidR="00F30DA1" w:rsidTr="5A20631A" w14:paraId="44FED9D9" w14:textId="77777777">
        <w:tblPrEx>
          <w:tblW w:w="12950" w:type="dxa"/>
          <w:tblPrExChange w:author="Author" w:id="8">
            <w:tblPrEx>
              <w:tblW w:w="0" w:type="auto"/>
            </w:tblPrEx>
          </w:tblPrExChange>
        </w:tblPrEx>
        <w:trPr>
          <w:cantSplit/>
          <w:trHeight w:val="3630"/>
        </w:trPr>
        <w:tc>
          <w:tcPr>
            <w:tcW w:w="4045" w:type="dxa"/>
            <w:tcMar/>
            <w:vAlign w:val="center"/>
            <w:tcPrChange w:author="Author" w:id="10">
              <w:tcPr>
                <w:tcW w:w="4045" w:type="dxa"/>
                <w:vAlign w:val="center"/>
              </w:tcPr>
            </w:tcPrChange>
          </w:tcPr>
          <w:p w:rsidRPr="00087ABE" w:rsidR="00F30DA1" w:rsidP="5FF30095" w:rsidRDefault="00F30DA1" w14:paraId="12B9083C" w14:textId="7AA547AB">
            <w:pPr>
              <w:pStyle w:val="ListParagraph"/>
              <w:spacing w:line="240" w:lineRule="auto"/>
              <w:ind w:left="0"/>
              <w:rPr>
                <w:rFonts w:cs="Arial"/>
                <w:sz w:val="18"/>
                <w:szCs w:val="18"/>
                <w:lang w:val="es-ES"/>
              </w:rPr>
            </w:pPr>
            <w:bookmarkStart w:name="_Hlk511664389" w:id="11"/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4. Consolidar acuerdos normativos de los compromisos asumidos por Honduras en el marco de la Unión Aduanera (UA) Centroamericana, contribuyendo al posicionamiento del país como </w:t>
            </w:r>
            <w:proofErr w:type="spellStart"/>
            <w:r w:rsidRPr="5FF30095" w:rsidR="7DE17C2E">
              <w:rPr>
                <w:rFonts w:cs="Arial"/>
                <w:i w:val="1"/>
                <w:iCs w:val="1"/>
                <w:sz w:val="18"/>
                <w:szCs w:val="18"/>
                <w:lang w:val="es-ES"/>
              </w:rPr>
              <w:t>hub</w:t>
            </w:r>
            <w:proofErr w:type="spellEnd"/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regional.</w:t>
            </w:r>
            <w:bookmarkEnd w:id="11"/>
          </w:p>
        </w:tc>
        <w:tc>
          <w:tcPr>
            <w:tcW w:w="3258" w:type="dxa"/>
            <w:tcMar/>
            <w:vAlign w:val="center"/>
            <w:tcPrChange w:author="Author" w:id="12">
              <w:tcPr>
                <w:tcW w:w="3258" w:type="dxa"/>
                <w:vAlign w:val="center"/>
              </w:tcPr>
            </w:tcPrChange>
          </w:tcPr>
          <w:p w:rsidRPr="00EB7012" w:rsidR="00F30DA1" w:rsidP="5FF30095" w:rsidRDefault="00F30DA1" w14:paraId="5F7D8F75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4.1 Elaboración del</w:t>
            </w:r>
            <w:r w:rsidRPr="5FF30095" w:rsidR="7DE17C2E">
              <w:rPr>
                <w:rFonts w:cs="Arial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Reglamento</w:t>
            </w:r>
          </w:p>
          <w:p w:rsidRPr="00EB7012" w:rsidR="00F30DA1" w:rsidP="5FF30095" w:rsidRDefault="00F30DA1" w14:paraId="6EF5550A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Operativo de la Unión</w:t>
            </w:r>
            <w:r w:rsidRPr="5FF30095" w:rsidR="7DE17C2E">
              <w:rPr>
                <w:rFonts w:cs="Arial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Aduanera</w:t>
            </w:r>
          </w:p>
          <w:p w:rsidRPr="00087ABE" w:rsidR="00F30DA1" w:rsidP="5FF30095" w:rsidRDefault="00F30DA1" w14:paraId="54CC6328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>Guatemala</w:t>
            </w:r>
            <w:r w:rsidRPr="5FF30095" w:rsidR="7DE17C2E">
              <w:rPr>
                <w:rFonts w:cs="Arial"/>
                <w:sz w:val="18"/>
                <w:szCs w:val="18"/>
              </w:rPr>
              <w:t xml:space="preserve"> - </w:t>
            </w:r>
            <w:r w:rsidRPr="5FF30095" w:rsidR="7DE17C2E">
              <w:rPr>
                <w:rFonts w:cs="Arial"/>
                <w:sz w:val="18"/>
                <w:szCs w:val="18"/>
              </w:rPr>
              <w:t>Honduras</w:t>
            </w:r>
            <w:r w:rsidRPr="5FF30095" w:rsidR="7DE17C2E">
              <w:rPr>
                <w:rFonts w:cs="Arial"/>
                <w:sz w:val="18"/>
                <w:szCs w:val="18"/>
              </w:rPr>
              <w:t xml:space="preserve"> - </w:t>
            </w:r>
            <w:r w:rsidRPr="5FF30095" w:rsidR="7DE17C2E">
              <w:rPr>
                <w:rFonts w:cs="Arial"/>
                <w:sz w:val="18"/>
                <w:szCs w:val="18"/>
              </w:rPr>
              <w:t>El</w:t>
            </w:r>
            <w:r w:rsidRPr="5FF30095" w:rsidR="7DE17C2E">
              <w:rPr>
                <w:rFonts w:cs="Arial"/>
                <w:sz w:val="18"/>
                <w:szCs w:val="18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</w:rPr>
              <w:t>Salvador.</w:t>
            </w:r>
          </w:p>
        </w:tc>
        <w:tc>
          <w:tcPr>
            <w:tcW w:w="3075" w:type="dxa"/>
            <w:tcMar/>
            <w:vAlign w:val="center"/>
            <w:tcPrChange w:author="Author" w:id="13">
              <w:tcPr>
                <w:tcW w:w="3075" w:type="dxa"/>
                <w:vAlign w:val="center"/>
              </w:tcPr>
            </w:tcPrChange>
          </w:tcPr>
          <w:p w:rsidRPr="00087ABE" w:rsidR="00F30DA1" w:rsidP="5FF30095" w:rsidRDefault="00F30DA1" w14:paraId="4004DF8E" w14:textId="688B12BA" w14:noSpellErr="1">
            <w:pPr>
              <w:pStyle w:val="ListParagraph"/>
              <w:spacing w:line="240" w:lineRule="auto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</w:rPr>
              <w:t xml:space="preserve">4.1 </w:t>
            </w:r>
            <w:r w:rsidRPr="5FF30095" w:rsidR="5405DE2D">
              <w:rPr>
                <w:rFonts w:cs="Arial"/>
                <w:sz w:val="18"/>
                <w:szCs w:val="18"/>
              </w:rPr>
              <w:t>Ratific</w:t>
            </w:r>
            <w:r w:rsidRPr="5FF30095" w:rsidR="7DE17C2E">
              <w:rPr>
                <w:rFonts w:cs="Arial"/>
                <w:sz w:val="18"/>
                <w:szCs w:val="18"/>
              </w:rPr>
              <w:t>ación del Reglamento Operativo de la Unión Aduanera Guatemala</w:t>
            </w:r>
            <w:r w:rsidRPr="5FF30095" w:rsidR="05C70E80">
              <w:rPr>
                <w:rFonts w:cs="Arial"/>
                <w:sz w:val="18"/>
                <w:szCs w:val="18"/>
              </w:rPr>
              <w:t xml:space="preserve"> – </w:t>
            </w:r>
            <w:r w:rsidRPr="5FF30095" w:rsidR="7DE17C2E">
              <w:rPr>
                <w:rFonts w:cs="Arial"/>
                <w:sz w:val="18"/>
                <w:szCs w:val="18"/>
              </w:rPr>
              <w:t>Honduras</w:t>
            </w:r>
            <w:r w:rsidRPr="5FF30095" w:rsidR="05C70E80">
              <w:rPr>
                <w:rFonts w:cs="Arial"/>
                <w:sz w:val="18"/>
                <w:szCs w:val="18"/>
              </w:rPr>
              <w:t xml:space="preserve"> </w:t>
            </w:r>
            <w:r w:rsidRPr="5FF30095" w:rsidR="05C70E80">
              <w:rPr>
                <w:rFonts w:eastAsia="Arial" w:cs="Arial"/>
                <w:sz w:val="18"/>
                <w:szCs w:val="18"/>
                <w:lang w:val="es-ES"/>
              </w:rPr>
              <w:t>(adoptando las recomendaciones sobre bioseguridad).</w:t>
            </w:r>
          </w:p>
        </w:tc>
        <w:tc>
          <w:tcPr>
            <w:tcW w:w="2572" w:type="dxa"/>
            <w:tcMar/>
            <w:vAlign w:val="center"/>
            <w:tcPrChange w:author="Author" w:id="14">
              <w:tcPr>
                <w:tcW w:w="2572" w:type="dxa"/>
                <w:tcMar/>
                <w:vAlign w:val="center"/>
              </w:tcPr>
            </w:tcPrChange>
          </w:tcPr>
          <w:p w:rsidRPr="00087ABE" w:rsidR="00F30DA1" w:rsidP="5FF30095" w:rsidRDefault="5102D7AD" w14:paraId="3B8B14CB" w14:textId="54FAE13A" w14:noSpellErr="1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02152293">
              <w:rPr>
                <w:rFonts w:cs="Arial"/>
                <w:sz w:val="18"/>
                <w:szCs w:val="18"/>
                <w:lang w:val="es-ES"/>
              </w:rPr>
              <w:t xml:space="preserve">Se establece como </w:t>
            </w:r>
            <w:r w:rsidRPr="5FF30095" w:rsidR="4F841E46">
              <w:rPr>
                <w:rFonts w:cs="Arial"/>
                <w:sz w:val="18"/>
                <w:szCs w:val="18"/>
                <w:lang w:val="es-ES"/>
              </w:rPr>
              <w:t>C</w:t>
            </w:r>
            <w:r w:rsidRPr="5FF30095" w:rsidR="02152293">
              <w:rPr>
                <w:rFonts w:cs="Arial"/>
                <w:sz w:val="18"/>
                <w:szCs w:val="18"/>
                <w:lang w:val="es-ES"/>
              </w:rPr>
              <w:t xml:space="preserve">ondición </w:t>
            </w:r>
            <w:r w:rsidRPr="5FF30095" w:rsidR="7DA66CC4">
              <w:rPr>
                <w:rFonts w:cs="Arial"/>
                <w:sz w:val="18"/>
                <w:szCs w:val="18"/>
                <w:lang w:val="es-ES"/>
              </w:rPr>
              <w:t xml:space="preserve">de Política </w:t>
            </w:r>
            <w:r w:rsidRPr="5FF30095" w:rsidR="02152293">
              <w:rPr>
                <w:rFonts w:cs="Arial"/>
                <w:sz w:val="18"/>
                <w:szCs w:val="18"/>
                <w:lang w:val="es-ES"/>
              </w:rPr>
              <w:t>la ratificación del Reglamento Operativo actualizad</w:t>
            </w:r>
            <w:r w:rsidRPr="5FF30095" w:rsidR="3D5DF07E">
              <w:rPr>
                <w:rFonts w:cs="Arial"/>
                <w:sz w:val="18"/>
                <w:szCs w:val="18"/>
                <w:lang w:val="es-ES"/>
              </w:rPr>
              <w:t>o, y 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e elimin</w:t>
            </w:r>
            <w:r w:rsidRPr="5FF30095" w:rsidR="16993515">
              <w:rPr>
                <w:rFonts w:cs="Arial"/>
                <w:sz w:val="18"/>
                <w:szCs w:val="18"/>
                <w:lang w:val="es-ES"/>
              </w:rPr>
              <w:t>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668A16E0">
              <w:rPr>
                <w:rFonts w:cs="Arial"/>
                <w:sz w:val="18"/>
                <w:szCs w:val="18"/>
                <w:lang w:val="es-ES"/>
              </w:rPr>
              <w:t>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El Salvador de la </w:t>
            </w:r>
            <w:r w:rsidRPr="5FF30095" w:rsidR="38413A18">
              <w:rPr>
                <w:rFonts w:cs="Arial"/>
                <w:sz w:val="18"/>
                <w:szCs w:val="18"/>
                <w:lang w:val="es-ES"/>
              </w:rPr>
              <w:t>c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ondición</w:t>
            </w:r>
            <w:r w:rsidRPr="5FF30095" w:rsidR="1F590E65">
              <w:rPr>
                <w:rFonts w:cs="Arial"/>
                <w:sz w:val="18"/>
                <w:szCs w:val="18"/>
                <w:lang w:val="es-ES"/>
              </w:rPr>
              <w:t>,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dado que </w:t>
            </w:r>
            <w:r w:rsidRPr="5FF30095" w:rsidR="1F590E65">
              <w:rPr>
                <w:rFonts w:cs="Arial"/>
                <w:sz w:val="18"/>
                <w:szCs w:val="18"/>
                <w:lang w:val="es-ES"/>
              </w:rPr>
              <w:t>el nuevo Gobierno de ese país decidió poner en pausa el proceso de integrarse al Protocolo de Integración Profunda</w:t>
            </w:r>
            <w:r w:rsidRPr="5FF30095" w:rsidR="2C3D5DB5">
              <w:rPr>
                <w:rFonts w:cs="Arial"/>
                <w:sz w:val="18"/>
                <w:szCs w:val="18"/>
                <w:lang w:val="es-ES"/>
              </w:rPr>
              <w:t>. N</w:t>
            </w:r>
            <w:r w:rsidRPr="5FF30095" w:rsidR="1F590E65">
              <w:rPr>
                <w:rFonts w:cs="Arial"/>
                <w:sz w:val="18"/>
                <w:szCs w:val="18"/>
                <w:lang w:val="es-ES"/>
              </w:rPr>
              <w:t xml:space="preserve">o es posible tener un documento suscrito y aprobado por los </w:t>
            </w:r>
            <w:r w:rsidRPr="5FF30095" w:rsidR="40373ECB">
              <w:rPr>
                <w:rFonts w:cs="Arial"/>
                <w:sz w:val="18"/>
                <w:szCs w:val="18"/>
                <w:lang w:val="es-ES"/>
              </w:rPr>
              <w:t>tres</w:t>
            </w:r>
            <w:r w:rsidRPr="5FF30095" w:rsidR="1F590E65">
              <w:rPr>
                <w:rFonts w:cs="Arial"/>
                <w:sz w:val="18"/>
                <w:szCs w:val="18"/>
                <w:lang w:val="es-ES"/>
              </w:rPr>
              <w:t xml:space="preserve"> países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.</w:t>
            </w:r>
          </w:p>
          <w:p w:rsidRPr="00087ABE" w:rsidR="00F30DA1" w:rsidP="5FF30095" w:rsidRDefault="00F30DA1" w14:paraId="16012541" w14:textId="5EEECBCF">
            <w:pPr>
              <w:spacing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3E4D4831">
              <w:rPr>
                <w:rFonts w:cs="Arial"/>
                <w:sz w:val="18"/>
                <w:szCs w:val="18"/>
                <w:lang w:val="es-ES"/>
              </w:rPr>
              <w:t>Se incluye la adopción de medidas de bioseguridad.</w:t>
            </w:r>
          </w:p>
        </w:tc>
      </w:tr>
      <w:tr w:rsidRPr="002303DD" w:rsidR="00F30DA1" w:rsidTr="5A20631A" w14:paraId="6EC68BF5" w14:textId="77777777">
        <w:trPr>
          <w:cantSplit/>
          <w:trHeight w:val="20"/>
        </w:trPr>
        <w:tc>
          <w:tcPr>
            <w:tcW w:w="12950" w:type="dxa"/>
            <w:gridSpan w:val="4"/>
            <w:shd w:val="clear" w:color="auto" w:fill="BFBFBF" w:themeFill="background1" w:themeFillShade="BF"/>
            <w:tcMar/>
            <w:vAlign w:val="center"/>
          </w:tcPr>
          <w:p w:rsidRPr="00087ABE" w:rsidR="00F30DA1" w:rsidP="00F30DA1" w:rsidRDefault="00F30DA1" w14:paraId="7FF82C40" w14:textId="77777777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z w:val="18"/>
                <w:szCs w:val="18"/>
                <w:lang w:val="es-ES"/>
              </w:rPr>
              <w:t>Componente III. Consolidación del marco institucional de logística de carga y transporte</w:t>
            </w:r>
          </w:p>
        </w:tc>
      </w:tr>
      <w:tr w:rsidRPr="00087ABE" w:rsidR="00F30DA1" w:rsidTr="5A20631A" w14:paraId="368609AC" w14:textId="77777777">
        <w:trPr>
          <w:cantSplit/>
          <w:trHeight w:val="20"/>
        </w:trPr>
        <w:tc>
          <w:tcPr>
            <w:tcW w:w="4045" w:type="dxa"/>
            <w:vMerge w:val="restart"/>
            <w:tcMar/>
            <w:vAlign w:val="center"/>
          </w:tcPr>
          <w:p w:rsidRPr="00087ABE" w:rsidR="00F30DA1" w:rsidP="5FF30095" w:rsidRDefault="00F30DA1" w14:paraId="51F427D2" w14:textId="77777777" w14:noSpellErr="1">
            <w:pPr>
              <w:pStyle w:val="ListParagraph"/>
              <w:tabs>
                <w:tab w:val="left" w:pos="435"/>
              </w:tabs>
              <w:spacing w:after="0" w:afterAutospacing="off" w:line="240" w:lineRule="auto"/>
              <w:ind w:left="37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5. Fortalecer la institucionalidad del sector logístico a través de la creación de:</w:t>
            </w:r>
          </w:p>
          <w:p w:rsidRPr="00087ABE" w:rsidR="00F30DA1" w:rsidP="5FF30095" w:rsidRDefault="00F30DA1" w14:paraId="1EA879D5" w14:textId="77777777" w14:noSpellErr="1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</w:tabs>
              <w:spacing w:after="0" w:afterAutospacing="off" w:line="240" w:lineRule="auto"/>
              <w:ind w:left="435" w:hanging="27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una instancia de decisión de alto nivel, integrada por las instituciones clave vinculadas al sector de logística de carga;</w:t>
            </w:r>
          </w:p>
          <w:p w:rsidRPr="00087ABE" w:rsidR="00F30DA1" w:rsidP="5FF30095" w:rsidRDefault="00F30DA1" w14:paraId="4056B25A" w14:textId="77777777" w14:noSpellErr="1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</w:tabs>
              <w:spacing w:after="0" w:afterAutospacing="off" w:line="240" w:lineRule="auto"/>
              <w:ind w:left="435" w:hanging="27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una instancia de coordinación y ejecución; y </w:t>
            </w:r>
          </w:p>
          <w:p w:rsidRPr="00087ABE" w:rsidR="00F30DA1" w:rsidP="5FF30095" w:rsidRDefault="00F30DA1" w14:paraId="5904F598" w14:textId="77777777" w14:noSpellErr="1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</w:tabs>
              <w:spacing w:after="0" w:afterAutospacing="off" w:line="240" w:lineRule="auto"/>
              <w:ind w:left="435" w:hanging="27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mecanismos de monitoreo del impacto de las políticas y proyectos en el desempeño del sector de logística de carga.</w:t>
            </w:r>
          </w:p>
        </w:tc>
        <w:tc>
          <w:tcPr>
            <w:tcW w:w="3258" w:type="dxa"/>
            <w:tcMar/>
            <w:vAlign w:val="center"/>
          </w:tcPr>
          <w:p w:rsidRPr="00087ABE" w:rsidR="00F30DA1" w:rsidP="5FF30095" w:rsidRDefault="00F30DA1" w14:paraId="2E4EAC53" w14:textId="77777777" w14:noSpellErr="1">
            <w:pPr>
              <w:pStyle w:val="CommentText"/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5.1.1 Aprobación del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Informe de Gestión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Institucional del CNL,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incluyendo el avance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de las acciones del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PAI.</w:t>
            </w:r>
          </w:p>
        </w:tc>
        <w:tc>
          <w:tcPr>
            <w:tcW w:w="3075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087ABE" w:rsidR="00F30DA1" w:rsidP="5FF30095" w:rsidRDefault="00F30DA1" w14:paraId="1B35B968" w14:textId="77777777" w14:noSpellErr="1">
            <w:pPr>
              <w:pStyle w:val="CommentText"/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5.1.1 Aprobación del Informe de Gestión Institucional del CNL, incluyendo el avance de las acciones del PAI.</w:t>
            </w:r>
          </w:p>
        </w:tc>
        <w:tc>
          <w:tcPr>
            <w:tcW w:w="2572" w:type="dxa"/>
            <w:tcBorders>
              <w:bottom w:val="single" w:color="auto" w:sz="4" w:space="0"/>
            </w:tcBorders>
            <w:tcMar/>
            <w:vAlign w:val="center"/>
          </w:tcPr>
          <w:p w:rsidRPr="00087ABE" w:rsidR="00F30DA1" w:rsidP="5FF30095" w:rsidRDefault="00F30DA1" w14:paraId="771688AB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highlight w:val="green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tr w:rsidRPr="002303DD" w:rsidR="00F30DA1" w:rsidTr="5A20631A" w14:paraId="1ECA2988" w14:textId="77777777">
        <w:trPr>
          <w:cantSplit/>
          <w:trHeight w:val="20"/>
        </w:trPr>
        <w:tc>
          <w:tcPr>
            <w:tcW w:w="4045" w:type="dxa"/>
            <w:vMerge/>
            <w:tcMar/>
            <w:vAlign w:val="center"/>
          </w:tcPr>
          <w:p w:rsidRPr="00087ABE" w:rsidR="00F30DA1" w:rsidP="00F30DA1" w:rsidRDefault="00F30DA1" w14:paraId="4F2DE792" w14:textId="77777777">
            <w:pPr>
              <w:pStyle w:val="ListParagraph"/>
              <w:tabs>
                <w:tab w:val="left" w:pos="435"/>
              </w:tabs>
              <w:ind w:left="250" w:hanging="213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3258" w:type="dxa"/>
            <w:tcBorders>
              <w:bottom w:val="single" w:color="auto" w:sz="4" w:space="0"/>
            </w:tcBorders>
            <w:tcMar/>
            <w:vAlign w:val="center"/>
          </w:tcPr>
          <w:p w:rsidRPr="00087ABE" w:rsidR="00F30DA1" w:rsidP="5FF30095" w:rsidRDefault="00F30DA1" w14:paraId="2F19AEF2" w14:textId="77777777" w14:noSpellErr="1">
            <w:pPr>
              <w:pStyle w:val="CommentText"/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5.1.2 Aprobación del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Informe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Gestión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de la UTEL, que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incluya actas de las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actividades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coordinación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implementadas.</w:t>
            </w:r>
          </w:p>
        </w:tc>
        <w:tc>
          <w:tcPr>
            <w:tcW w:w="3075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087ABE" w:rsidR="00F30DA1" w:rsidP="5FF30095" w:rsidRDefault="00F30DA1" w14:paraId="07594AC4" w14:textId="52D9BC61">
            <w:pPr>
              <w:pStyle w:val="CommentText"/>
              <w:spacing w:after="0" w:afterAutospacing="off" w:line="240" w:lineRule="auto"/>
              <w:rPr>
                <w:noProof w:val="0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5.1.2 Aprobación del Informe de Gestión de la UTEL, que incluya actas de las actividades de coordinación</w:t>
            </w:r>
            <w:r w:rsidRPr="5FF30095" w:rsidR="2228F178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E6D03F3">
              <w:rPr>
                <w:rFonts w:ascii="Arial" w:hAnsi="Arial" w:eastAsia="Arial" w:cs="Arial"/>
                <w:noProof w:val="0"/>
                <w:sz w:val="18"/>
                <w:szCs w:val="18"/>
                <w:lang w:val="es-ES"/>
              </w:rPr>
              <w:t>implementadas (considerando medidas de eficiencia energética</w:t>
            </w:r>
            <w:r w:rsidRPr="5FF30095" w:rsidR="7E6D03F3">
              <w:rPr>
                <w:rFonts w:ascii="Arial" w:hAnsi="Arial" w:eastAsia="Arial" w:cs="Arial"/>
                <w:noProof w:val="0"/>
                <w:sz w:val="18"/>
                <w:szCs w:val="18"/>
                <w:lang w:val="es"/>
              </w:rPr>
              <w:t>, logros y retos asociados con la pandemia, la cooperación interinstitucional para acceso e inserción sociolaboral</w:t>
            </w:r>
            <w:r w:rsidRPr="5FF30095" w:rsidR="7E6D03F3">
              <w:rPr>
                <w:rFonts w:ascii="Arial" w:hAnsi="Arial" w:eastAsia="Arial" w:cs="Arial"/>
                <w:noProof w:val="0"/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5FF30095" w:rsidR="7E6D03F3">
              <w:rPr>
                <w:rFonts w:ascii="Arial" w:hAnsi="Arial" w:eastAsia="Arial" w:cs="Arial"/>
                <w:noProof w:val="0"/>
                <w:sz w:val="18"/>
                <w:szCs w:val="18"/>
                <w:lang w:val="es-ES"/>
              </w:rPr>
              <w:t>PcD</w:t>
            </w:r>
            <w:proofErr w:type="spellEnd"/>
            <w:r w:rsidRPr="5FF30095" w:rsidR="7E6D03F3">
              <w:rPr>
                <w:rFonts w:ascii="Arial" w:hAnsi="Arial" w:eastAsia="Arial" w:cs="Arial"/>
                <w:noProof w:val="0"/>
                <w:sz w:val="18"/>
                <w:szCs w:val="18"/>
                <w:lang w:val="es"/>
              </w:rPr>
              <w:t xml:space="preserve"> en el sistema logístico, y sobre tema de género</w:t>
            </w:r>
            <w:r w:rsidRPr="5FF30095" w:rsidR="7E6D03F3">
              <w:rPr>
                <w:rFonts w:ascii="Arial" w:hAnsi="Arial" w:eastAsia="Arial" w:cs="Arial"/>
                <w:noProof w:val="0"/>
                <w:sz w:val="18"/>
                <w:szCs w:val="18"/>
                <w:lang w:val="es-ES"/>
              </w:rPr>
              <w:t>).</w:t>
            </w:r>
          </w:p>
        </w:tc>
        <w:tc>
          <w:tcPr>
            <w:tcW w:w="2572" w:type="dxa"/>
            <w:tcBorders>
              <w:bottom w:val="single" w:color="auto" w:sz="4" w:space="0"/>
            </w:tcBorders>
            <w:tcMar/>
            <w:vAlign w:val="center"/>
          </w:tcPr>
          <w:p w:rsidRPr="00087ABE" w:rsidR="00F30DA1" w:rsidP="5FF30095" w:rsidRDefault="6F472772" w14:paraId="0795F44F" w14:textId="09336F5F" w14:noSpellErr="1">
            <w:pPr>
              <w:tabs>
                <w:tab w:val="left" w:pos="886"/>
              </w:tabs>
              <w:spacing w:after="0" w:afterAutospacing="off" w:line="240" w:lineRule="auto"/>
              <w:rPr>
                <w:rFonts w:eastAsia="Arial" w:cs="Arial"/>
                <w:sz w:val="18"/>
                <w:szCs w:val="18"/>
                <w:lang w:val="es-ES"/>
              </w:rPr>
            </w:pPr>
            <w:r w:rsidRPr="5FF30095" w:rsidR="20D86BB7">
              <w:rPr>
                <w:rFonts w:cs="Arial"/>
                <w:sz w:val="18"/>
                <w:szCs w:val="18"/>
                <w:lang w:val="es-ES"/>
              </w:rPr>
              <w:t xml:space="preserve">Sin cambios. </w:t>
            </w:r>
            <w:r w:rsidRPr="5FF30095" w:rsidR="373244B3">
              <w:rPr>
                <w:rFonts w:eastAsia="Arial" w:cs="Arial"/>
                <w:color w:val="000000" w:themeColor="text1" w:themeTint="FF" w:themeShade="FF"/>
                <w:sz w:val="18"/>
                <w:szCs w:val="18"/>
                <w:lang w:val="es-ES"/>
              </w:rPr>
              <w:t>Se precisa redacción</w:t>
            </w:r>
          </w:p>
        </w:tc>
      </w:tr>
      <w:tr w:rsidRPr="002303DD" w:rsidR="00F30DA1" w:rsidTr="5A20631A" w14:paraId="662F61FC" w14:textId="77777777">
        <w:trPr>
          <w:cantSplit/>
          <w:trHeight w:val="20"/>
        </w:trPr>
        <w:tc>
          <w:tcPr>
            <w:tcW w:w="12950" w:type="dxa"/>
            <w:gridSpan w:val="4"/>
            <w:shd w:val="clear" w:color="auto" w:fill="BFBFBF" w:themeFill="background1" w:themeFillShade="BF"/>
            <w:tcMar/>
            <w:vAlign w:val="center"/>
          </w:tcPr>
          <w:p w:rsidRPr="00087ABE" w:rsidR="00F30DA1" w:rsidP="00F30DA1" w:rsidRDefault="00F30DA1" w14:paraId="4CA80E0A" w14:textId="77777777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z w:val="18"/>
                <w:szCs w:val="18"/>
                <w:lang w:val="es-ES"/>
              </w:rPr>
              <w:t>Componente IV. Establecimiento y modernización de procesos de planificación integral, servicios de transporte y logística de carga y facilitación comercial</w:t>
            </w:r>
          </w:p>
        </w:tc>
      </w:tr>
      <w:tr w:rsidRPr="002303DD" w:rsidR="00F30DA1" w:rsidTr="5A20631A" w14:paraId="1523F390" w14:textId="77777777">
        <w:trPr>
          <w:cantSplit/>
          <w:trHeight w:val="20"/>
        </w:trPr>
        <w:tc>
          <w:tcPr>
            <w:tcW w:w="12950" w:type="dxa"/>
            <w:gridSpan w:val="4"/>
            <w:shd w:val="clear" w:color="auto" w:fill="BFBFBF" w:themeFill="background1" w:themeFillShade="BF"/>
            <w:tcMar/>
            <w:vAlign w:val="center"/>
          </w:tcPr>
          <w:p w:rsidRPr="00087ABE" w:rsidR="00F30DA1" w:rsidP="00F30DA1" w:rsidRDefault="00F30DA1" w14:paraId="42CEDDE8" w14:textId="77777777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bookmarkStart w:name="_Hlk519174417" w:id="19"/>
            <w:r w:rsidRPr="00087ABE">
              <w:rPr>
                <w:rFonts w:cs="Arial"/>
                <w:b/>
                <w:sz w:val="18"/>
                <w:szCs w:val="18"/>
                <w:lang w:val="es-ES"/>
              </w:rPr>
              <w:t>Subcomponente IV.1. Establecimiento de procesos de planificación integral y mejora de servicios de transporte y logística de carga</w:t>
            </w:r>
          </w:p>
        </w:tc>
      </w:tr>
      <w:tr w:rsidRPr="00087ABE" w:rsidR="00F30DA1" w:rsidTr="5A20631A" w14:paraId="35BAD2EA" w14:textId="77777777">
        <w:trPr>
          <w:cantSplit/>
          <w:trHeight w:val="20"/>
        </w:trPr>
        <w:tc>
          <w:tcPr>
            <w:tcW w:w="4045" w:type="dxa"/>
            <w:tcMar/>
            <w:vAlign w:val="center"/>
          </w:tcPr>
          <w:p w:rsidRPr="00087ABE" w:rsidR="00F30DA1" w:rsidP="5FF30095" w:rsidRDefault="00F30DA1" w14:paraId="1F438C78" w14:textId="2E5552AD" w14:noSpellErr="1">
            <w:pPr>
              <w:pStyle w:val="CommentText"/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bookmarkStart w:name="_Hlk519256166" w:id="20"/>
            <w:bookmarkEnd w:id="19"/>
            <w:r w:rsidRPr="5FF30095" w:rsidR="7DE17C2E">
              <w:rPr>
                <w:rFonts w:cs="Arial"/>
                <w:sz w:val="18"/>
                <w:szCs w:val="18"/>
                <w:lang w:val="es-ES"/>
              </w:rPr>
              <w:t>6. Mejora de la planificación integral en el sector mediante la elaboración de planes maestros subnacionales enfocados en los conglomerados logísticos prioritarios y la integración armónica al sistema logístico urbano.</w:t>
            </w:r>
          </w:p>
        </w:tc>
        <w:tc>
          <w:tcPr>
            <w:tcW w:w="3258" w:type="dxa"/>
            <w:tcMar/>
            <w:vAlign w:val="center"/>
          </w:tcPr>
          <w:p w:rsidRPr="00172AF9" w:rsidR="00F30DA1" w:rsidP="5FF30095" w:rsidRDefault="00F30DA1" w14:paraId="7D70910F" w14:textId="77777777" w14:noSpellErr="1">
            <w:pPr>
              <w:pStyle w:val="CommentText"/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6.1 Aprobación del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PMCLN por parte del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CNL.</w:t>
            </w:r>
          </w:p>
        </w:tc>
        <w:tc>
          <w:tcPr>
            <w:tcW w:w="3075" w:type="dxa"/>
            <w:tcMar/>
            <w:vAlign w:val="center"/>
          </w:tcPr>
          <w:p w:rsidRPr="00087ABE" w:rsidR="00F30DA1" w:rsidP="5FF30095" w:rsidRDefault="00F30DA1" w14:paraId="6279F8DD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6.1 Aprobación del PMCLN por parte del CNL.</w:t>
            </w:r>
          </w:p>
        </w:tc>
        <w:tc>
          <w:tcPr>
            <w:tcW w:w="2572" w:type="dxa"/>
            <w:tcMar/>
            <w:vAlign w:val="center"/>
          </w:tcPr>
          <w:p w:rsidRPr="00087ABE" w:rsidR="00F30DA1" w:rsidP="5FF30095" w:rsidRDefault="00F30DA1" w14:paraId="7C4D1F68" w14:textId="77777777" w14:noSpellErr="1">
            <w:pPr>
              <w:pStyle w:val="ListParagraph"/>
              <w:spacing w:after="0" w:afterAutospacing="off" w:line="240" w:lineRule="auto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tr w:rsidRPr="00087ABE" w:rsidR="00F30DA1" w:rsidTr="5A20631A" w14:paraId="7B6D87C3" w14:textId="77777777">
        <w:trPr>
          <w:cantSplit/>
          <w:trHeight w:val="20"/>
        </w:trPr>
        <w:tc>
          <w:tcPr>
            <w:tcW w:w="4045" w:type="dxa"/>
            <w:vMerge w:val="restart"/>
            <w:tcMar/>
            <w:vAlign w:val="center"/>
          </w:tcPr>
          <w:p w:rsidRPr="00087ABE" w:rsidR="00F30DA1" w:rsidP="5FF30095" w:rsidRDefault="00F30DA1" w14:paraId="5B3A37D8" w14:textId="77777777" w14:noSpellErr="1">
            <w:pPr>
              <w:pStyle w:val="ListParagraph"/>
              <w:tabs>
                <w:tab w:val="left" w:pos="615"/>
              </w:tabs>
              <w:spacing w:after="0" w:afterAutospacing="off" w:line="240" w:lineRule="auto"/>
              <w:ind w:left="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bookmarkStart w:name="_Hlk24039626" w:id="21"/>
            <w:bookmarkEnd w:id="20"/>
            <w:r w:rsidRPr="5FF30095" w:rsidR="7DE17C2E">
              <w:rPr>
                <w:rFonts w:cs="Arial"/>
                <w:sz w:val="18"/>
                <w:szCs w:val="18"/>
                <w:lang w:val="es-ES"/>
              </w:rPr>
              <w:t>7. Mejora de los servicios de transporte -incorporando una visión de género y diversidad- en lo relacionado al transporte automotor terrestre de carga, lo que incluye aspectos vinculados con:</w:t>
            </w:r>
          </w:p>
          <w:p w:rsidRPr="00087ABE" w:rsidR="00F30DA1" w:rsidP="5FF30095" w:rsidRDefault="00F30DA1" w14:paraId="637D3554" w14:textId="77777777" w14:noSpellErr="1">
            <w:pPr>
              <w:pStyle w:val="ListParagraph"/>
              <w:numPr>
                <w:ilvl w:val="1"/>
                <w:numId w:val="34"/>
              </w:numPr>
              <w:tabs>
                <w:tab w:val="left" w:pos="180"/>
              </w:tabs>
              <w:spacing w:after="0" w:afterAutospacing="off" w:line="240" w:lineRule="auto"/>
              <w:ind w:left="61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modernización de la flota de vehículos; y</w:t>
            </w:r>
          </w:p>
          <w:p w:rsidRPr="00087ABE" w:rsidR="00F30DA1" w:rsidP="5FF30095" w:rsidRDefault="00F30DA1" w14:paraId="5573CBE1" w14:textId="77777777" w14:noSpellErr="1">
            <w:pPr>
              <w:pStyle w:val="ListParagraph"/>
              <w:numPr>
                <w:ilvl w:val="1"/>
                <w:numId w:val="34"/>
              </w:numPr>
              <w:tabs>
                <w:tab w:val="left" w:pos="180"/>
              </w:tabs>
              <w:spacing w:after="0" w:afterAutospacing="off" w:line="240" w:lineRule="auto"/>
              <w:ind w:left="61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capacitación de pilotos.</w:t>
            </w:r>
          </w:p>
        </w:tc>
        <w:tc>
          <w:tcPr>
            <w:tcW w:w="3258" w:type="dxa"/>
            <w:tcMar/>
            <w:vAlign w:val="center"/>
          </w:tcPr>
          <w:p w:rsidRPr="00087ABE" w:rsidR="00F30DA1" w:rsidP="5FF30095" w:rsidRDefault="00F30DA1" w14:paraId="566153F3" w14:textId="3D246CBF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7.1 Aprobación del plan de modernización de la flota de transporte y logística de carga considerando </w:t>
            </w:r>
            <w:r w:rsidRPr="5FF30095" w:rsidR="688D9AA1">
              <w:rPr>
                <w:rFonts w:cs="Arial"/>
                <w:sz w:val="18"/>
                <w:szCs w:val="18"/>
                <w:lang w:val="es-ES"/>
              </w:rPr>
              <w:t xml:space="preserve">criterios de eficiencia energética e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incentivos financieros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de acuerdo 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la Ley de Transporte Terrestre.</w:t>
            </w:r>
          </w:p>
        </w:tc>
        <w:tc>
          <w:tcPr>
            <w:tcW w:w="3075" w:type="dxa"/>
            <w:tcMar/>
            <w:vAlign w:val="center"/>
          </w:tcPr>
          <w:p w:rsidRPr="00172AF9" w:rsidR="00F30DA1" w:rsidP="5FF30095" w:rsidRDefault="00F30DA1" w14:paraId="6EDE699E" w14:textId="5E3C946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7.1 Aprobación del plan de modernización de la flota de transporte y logística de carga considerando </w:t>
            </w:r>
            <w:r w:rsidRPr="5FF30095" w:rsidR="033D0E72">
              <w:rPr>
                <w:rFonts w:cs="Arial"/>
                <w:sz w:val="18"/>
                <w:szCs w:val="18"/>
                <w:lang w:val="es-ES"/>
              </w:rPr>
              <w:t xml:space="preserve">criterios de eficiencia energética e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incentivos financieros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de acuerdo 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la Ley de Transporte Terrestre.</w:t>
            </w:r>
          </w:p>
        </w:tc>
        <w:tc>
          <w:tcPr>
            <w:tcW w:w="2572" w:type="dxa"/>
            <w:tcMar/>
            <w:vAlign w:val="center"/>
          </w:tcPr>
          <w:p w:rsidRPr="00087ABE" w:rsidR="00F30DA1" w:rsidP="5FF30095" w:rsidRDefault="00F30DA1" w14:paraId="6586B228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bookmarkEnd w:id="21"/>
      <w:tr w:rsidRPr="002303DD" w:rsidR="00F30DA1" w:rsidTr="5A20631A" w14:paraId="58DC5879" w14:textId="77777777">
        <w:trPr>
          <w:cantSplit/>
          <w:trHeight w:val="1035"/>
        </w:trPr>
        <w:tc>
          <w:tcPr>
            <w:tcW w:w="4045" w:type="dxa"/>
            <w:vMerge/>
            <w:tcMar/>
            <w:vAlign w:val="center"/>
          </w:tcPr>
          <w:p w:rsidRPr="00087ABE" w:rsidR="00F30DA1" w:rsidP="00F30DA1" w:rsidRDefault="00F30DA1" w14:paraId="33FE3EE0" w14:textId="77777777">
            <w:pPr>
              <w:tabs>
                <w:tab w:val="left" w:pos="345"/>
              </w:tabs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3258" w:type="dxa"/>
            <w:tcMar/>
            <w:vAlign w:val="center"/>
          </w:tcPr>
          <w:p w:rsidRPr="00172AF9" w:rsidR="00F30DA1" w:rsidP="5FF30095" w:rsidRDefault="00F30DA1" w14:paraId="3BBED4BE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7.2 Plan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sostenibilidad técnica</w:t>
            </w:r>
          </w:p>
          <w:p w:rsidRPr="00172AF9" w:rsidR="00F30DA1" w:rsidP="5FF30095" w:rsidRDefault="00F30DA1" w14:paraId="22F44DCC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y financiera de la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ENTT que incluye</w:t>
            </w:r>
          </w:p>
          <w:p w:rsidRPr="00087ABE" w:rsidR="00F30DA1" w:rsidP="5FF30095" w:rsidRDefault="00F30DA1" w14:paraId="11595D9C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asignación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presupuestal anual; y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funcionalidad de las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escuelas privadas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formación de pilotos.</w:t>
            </w:r>
          </w:p>
        </w:tc>
        <w:tc>
          <w:tcPr>
            <w:tcW w:w="3075" w:type="dxa"/>
            <w:tcMar/>
            <w:vAlign w:val="center"/>
          </w:tcPr>
          <w:p w:rsidRPr="00087ABE" w:rsidR="00F30DA1" w:rsidP="5FF30095" w:rsidRDefault="00F30DA1" w14:paraId="2C68DCA0" w14:textId="57D8BD18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7.2 </w:t>
            </w:r>
            <w:r w:rsidRPr="5FF30095" w:rsidR="661ED3CE">
              <w:rPr>
                <w:rFonts w:eastAsia="Arial" w:cs="Arial"/>
                <w:color w:val="000000" w:themeColor="text1" w:themeTint="FF" w:themeShade="FF"/>
                <w:sz w:val="18"/>
                <w:szCs w:val="18"/>
                <w:lang w:val="es-ES"/>
              </w:rPr>
              <w:t>Aprobación del</w:t>
            </w:r>
            <w:r w:rsidRPr="5FF30095" w:rsidR="661ED3CE">
              <w:rPr>
                <w:rFonts w:eastAsia="Arial" w:cs="Arial"/>
                <w:sz w:val="18"/>
                <w:szCs w:val="18"/>
                <w:lang w:val="es-ES"/>
              </w:rPr>
              <w:t xml:space="preserve"> </w:t>
            </w:r>
            <w:r w:rsidRPr="5FF30095" w:rsidR="0B778F4A">
              <w:rPr>
                <w:rFonts w:cs="Arial"/>
                <w:sz w:val="18"/>
                <w:szCs w:val="18"/>
                <w:lang w:val="es-ES"/>
              </w:rPr>
              <w:t>p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lan de sostenibilidad técnica y financiera de la ENTT que incluye asignación presupuestal anual; y funcionalidad de las escuelas privadas de formación de pilotos</w:t>
            </w:r>
            <w:r w:rsidRPr="5FF30095" w:rsidR="13FDDFF2">
              <w:rPr>
                <w:rFonts w:eastAsia="Arial" w:cs="Arial"/>
                <w:sz w:val="18"/>
                <w:szCs w:val="18"/>
                <w:lang w:val="es"/>
              </w:rPr>
              <w:t>, incluyendo el programa de incentivos para la capacitación de mujeres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2572" w:type="dxa"/>
            <w:tcMar/>
            <w:vAlign w:val="center"/>
          </w:tcPr>
          <w:p w:rsidRPr="00087ABE" w:rsidR="00F30DA1" w:rsidP="5FF30095" w:rsidRDefault="00F30DA1" w14:paraId="4DE4AD62" w14:textId="3032FF9F" w14:noSpellErr="1">
            <w:pPr>
              <w:spacing w:after="0" w:afterAutospacing="off" w:line="240" w:lineRule="auto"/>
              <w:rPr>
                <w:rFonts w:eastAsia="Arial"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Sin cambios.</w:t>
            </w:r>
            <w:r w:rsidRPr="5FF30095" w:rsidR="7268F007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268F007">
              <w:rPr>
                <w:rFonts w:eastAsia="Arial" w:cs="Arial"/>
                <w:color w:val="000000" w:themeColor="text1" w:themeTint="FF" w:themeShade="FF"/>
                <w:sz w:val="18"/>
                <w:szCs w:val="18"/>
                <w:lang w:val="es-ES"/>
              </w:rPr>
              <w:t>Se precisa redacción</w:t>
            </w:r>
          </w:p>
        </w:tc>
      </w:tr>
      <w:tr w:rsidRPr="002303DD" w:rsidR="00F30DA1" w:rsidTr="5A20631A" w14:paraId="2C454124" w14:textId="77777777">
        <w:trPr>
          <w:cantSplit/>
          <w:trHeight w:val="20"/>
        </w:trPr>
        <w:tc>
          <w:tcPr>
            <w:tcW w:w="12950" w:type="dxa"/>
            <w:gridSpan w:val="4"/>
            <w:shd w:val="clear" w:color="auto" w:fill="BFBFBF" w:themeFill="background1" w:themeFillShade="BF"/>
            <w:tcMar/>
            <w:vAlign w:val="center"/>
          </w:tcPr>
          <w:p w:rsidRPr="00087ABE" w:rsidR="00F30DA1" w:rsidP="00F30DA1" w:rsidRDefault="00F30DA1" w14:paraId="183B0BED" w14:textId="77777777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 w:rsidRPr="00087ABE">
              <w:rPr>
                <w:rFonts w:cs="Arial"/>
                <w:b/>
                <w:sz w:val="18"/>
                <w:szCs w:val="18"/>
                <w:lang w:val="es-ES"/>
              </w:rPr>
              <w:t>Subcomponente IV.2. Modernización de los procesos de facilitación comercial</w:t>
            </w:r>
          </w:p>
        </w:tc>
      </w:tr>
      <w:tr w:rsidRPr="002303DD" w:rsidR="00F30DA1" w:rsidTr="5A20631A" w14:paraId="6D65C524" w14:textId="77777777">
        <w:trPr>
          <w:cantSplit/>
          <w:trHeight w:val="20"/>
        </w:trPr>
        <w:tc>
          <w:tcPr>
            <w:tcW w:w="4045" w:type="dxa"/>
            <w:vMerge w:val="restart"/>
            <w:tcMar/>
            <w:vAlign w:val="center"/>
          </w:tcPr>
          <w:p w:rsidRPr="00087ABE" w:rsidR="00F30DA1" w:rsidP="5FF30095" w:rsidRDefault="00F30DA1" w14:paraId="77E0C4D6" w14:textId="77777777" w14:noSpellErr="1">
            <w:pPr>
              <w:pStyle w:val="ListParagraph"/>
              <w:tabs>
                <w:tab w:val="left" w:pos="1245"/>
              </w:tabs>
              <w:spacing w:after="0" w:afterAutospacing="off" w:line="240" w:lineRule="auto"/>
              <w:ind w:left="160" w:hanging="160"/>
              <w:contextualSpacing w:val="0"/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8. Implementar el marco operativo y los sistemas tecnológicos a nivel nacional que permitan la implementación de los compromisos asumidos por Honduras en los acuerdos internacionales de facilitación de comercio incluyendo:</w:t>
            </w:r>
          </w:p>
          <w:p w:rsidRPr="00087ABE" w:rsidR="00F30DA1" w:rsidP="5FF30095" w:rsidRDefault="00F30DA1" w14:paraId="04EC3FE1" w14:textId="77777777" w14:noSpellErr="1">
            <w:pPr>
              <w:numPr>
                <w:ilvl w:val="0"/>
                <w:numId w:val="32"/>
              </w:numPr>
              <w:spacing w:after="0" w:afterAutospacing="off" w:line="240" w:lineRule="auto"/>
              <w:ind w:left="255" w:hanging="27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el Convenio para Facilitar el Tráfico Marítimo Internacional (FAL 65) de la Organización Marítima Internacional (OMI); y</w:t>
            </w:r>
          </w:p>
          <w:p w:rsidRPr="00087ABE" w:rsidR="00F30DA1" w:rsidP="5FF30095" w:rsidRDefault="00F30DA1" w14:paraId="765B5135" w14:textId="63041C77">
            <w:pPr>
              <w:pStyle w:val="Normal"/>
              <w:numPr>
                <w:ilvl w:val="0"/>
                <w:numId w:val="32"/>
              </w:numPr>
              <w:spacing w:after="0" w:afterAutospacing="off" w:line="240" w:lineRule="auto"/>
              <w:ind w:left="255" w:hanging="270"/>
              <w:rPr>
                <w:rFonts w:cs="Arial"/>
                <w:b w:val="1"/>
                <w:bCs w:val="1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el Acuerdo sobre Facilitación del Comercio de la Organización Mundial del Comercio (OMC) – Paquete de Bali.</w:t>
            </w:r>
          </w:p>
        </w:tc>
        <w:tc>
          <w:tcPr>
            <w:tcW w:w="3258" w:type="dxa"/>
            <w:tcMar/>
            <w:vAlign w:val="center"/>
          </w:tcPr>
          <w:p w:rsidRPr="00087ABE" w:rsidR="00F30DA1" w:rsidP="5FF30095" w:rsidRDefault="00F30DA1" w14:paraId="2847607B" w14:textId="77777777" w14:noSpellErr="1">
            <w:pPr>
              <w:spacing w:after="0" w:afterAutospacing="off" w:line="240" w:lineRule="auto"/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8.1 Aprobación del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marco normativo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para el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funcionamiento del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PGICE.</w:t>
            </w:r>
          </w:p>
        </w:tc>
        <w:tc>
          <w:tcPr>
            <w:tcW w:w="3075" w:type="dxa"/>
            <w:tcMar/>
            <w:vAlign w:val="center"/>
          </w:tcPr>
          <w:p w:rsidRPr="00087ABE" w:rsidR="00F30DA1" w:rsidP="5FF30095" w:rsidRDefault="00F30DA1" w14:paraId="554D1CD5" w14:textId="40B45802" w14:noSpellErr="1">
            <w:pPr>
              <w:pStyle w:val="ListParagraph"/>
              <w:spacing w:after="0" w:afterAutospacing="off" w:line="240" w:lineRule="auto"/>
              <w:ind w:left="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8.1 </w:t>
            </w:r>
            <w:r w:rsidRPr="5FF30095" w:rsidR="3631B016">
              <w:rPr>
                <w:rFonts w:cs="Arial"/>
                <w:sz w:val="18"/>
                <w:szCs w:val="18"/>
                <w:lang w:val="es-ES"/>
              </w:rPr>
              <w:t>Aprobación del diseño funcional y operativo del PGICE.</w:t>
            </w:r>
          </w:p>
        </w:tc>
        <w:tc>
          <w:tcPr>
            <w:tcW w:w="2572" w:type="dxa"/>
            <w:tcMar/>
            <w:vAlign w:val="center"/>
          </w:tcPr>
          <w:p w:rsidRPr="00087ABE" w:rsidR="00F30DA1" w:rsidP="5FF30095" w:rsidRDefault="00E3418A" w14:paraId="0A580288" w14:textId="3B7B034F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highlight w:val="green"/>
              </w:rPr>
            </w:pPr>
            <w:r w:rsidRPr="5FF30095" w:rsidR="53CCE433">
              <w:rPr>
                <w:rFonts w:cs="Arial"/>
                <w:sz w:val="18"/>
                <w:szCs w:val="18"/>
              </w:rPr>
              <w:t xml:space="preserve">Se logro un acuerdo </w:t>
            </w:r>
            <w:r w:rsidRPr="5FF30095" w:rsidR="05279C0B">
              <w:rPr>
                <w:rFonts w:cs="Arial"/>
                <w:sz w:val="18"/>
                <w:szCs w:val="18"/>
              </w:rPr>
              <w:t>inter</w:t>
            </w:r>
            <w:r w:rsidRPr="5FF30095" w:rsidR="53CCE433">
              <w:rPr>
                <w:rFonts w:cs="Arial"/>
                <w:sz w:val="18"/>
                <w:szCs w:val="18"/>
              </w:rPr>
              <w:t>institucional que aprobó el diseño funcional</w:t>
            </w:r>
            <w:r w:rsidRPr="5FF30095" w:rsidR="49F85A53">
              <w:rPr>
                <w:rFonts w:cs="Arial"/>
                <w:sz w:val="18"/>
                <w:szCs w:val="18"/>
              </w:rPr>
              <w:t xml:space="preserve"> y operati</w:t>
            </w:r>
            <w:r w:rsidRPr="5FF30095" w:rsidR="7E6EE107">
              <w:rPr>
                <w:rFonts w:cs="Arial"/>
                <w:sz w:val="18"/>
                <w:szCs w:val="18"/>
              </w:rPr>
              <w:t>v</w:t>
            </w:r>
            <w:r w:rsidRPr="5FF30095" w:rsidR="49F85A53">
              <w:rPr>
                <w:rFonts w:cs="Arial"/>
                <w:sz w:val="18"/>
                <w:szCs w:val="18"/>
              </w:rPr>
              <w:t>o</w:t>
            </w:r>
            <w:r w:rsidRPr="5FF30095" w:rsidR="25C21316">
              <w:rPr>
                <w:rFonts w:cs="Arial"/>
                <w:sz w:val="18"/>
                <w:szCs w:val="18"/>
              </w:rPr>
              <w:t xml:space="preserve"> </w:t>
            </w:r>
            <w:r w:rsidRPr="5FF30095" w:rsidR="25C21316">
              <w:rPr>
                <w:rFonts w:cs="Arial"/>
                <w:sz w:val="18"/>
                <w:szCs w:val="18"/>
              </w:rPr>
              <w:t xml:space="preserve">del </w:t>
            </w:r>
            <w:r w:rsidRPr="5FF30095" w:rsidR="25C21316">
              <w:rPr>
                <w:rFonts w:cs="Arial"/>
                <w:sz w:val="18"/>
                <w:szCs w:val="18"/>
              </w:rPr>
              <w:t>PGICE</w:t>
            </w:r>
            <w:r w:rsidRPr="5FF30095" w:rsidR="25C21316">
              <w:rPr>
                <w:rFonts w:cs="Arial"/>
                <w:sz w:val="18"/>
                <w:szCs w:val="18"/>
              </w:rPr>
              <w:t>,</w:t>
            </w:r>
            <w:r w:rsidRPr="5FF30095" w:rsidR="4025620B">
              <w:rPr>
                <w:rFonts w:cs="Arial"/>
                <w:sz w:val="18"/>
                <w:szCs w:val="18"/>
              </w:rPr>
              <w:t xml:space="preserve"> que</w:t>
            </w:r>
            <w:r w:rsidRPr="5FF30095" w:rsidR="53CCE433">
              <w:rPr>
                <w:rFonts w:cs="Arial"/>
                <w:sz w:val="18"/>
                <w:szCs w:val="18"/>
              </w:rPr>
              <w:t xml:space="preserve"> ampl</w:t>
            </w:r>
            <w:r w:rsidRPr="5FF30095" w:rsidR="4025620B">
              <w:rPr>
                <w:rFonts w:cs="Arial"/>
                <w:sz w:val="18"/>
                <w:szCs w:val="18"/>
              </w:rPr>
              <w:t>í</w:t>
            </w:r>
            <w:r w:rsidRPr="5FF30095" w:rsidR="53CCE433">
              <w:rPr>
                <w:rFonts w:cs="Arial"/>
                <w:sz w:val="18"/>
                <w:szCs w:val="18"/>
              </w:rPr>
              <w:t>a la información que debe contener</w:t>
            </w:r>
            <w:r w:rsidRPr="5FF30095" w:rsidR="4025620B">
              <w:rPr>
                <w:rFonts w:cs="Arial"/>
                <w:sz w:val="18"/>
                <w:szCs w:val="18"/>
              </w:rPr>
              <w:t xml:space="preserve"> el mismo, sin requerirse modificación</w:t>
            </w:r>
            <w:r w:rsidRPr="5FF30095" w:rsidR="07E32CD0">
              <w:rPr>
                <w:rFonts w:cs="Arial"/>
                <w:sz w:val="18"/>
                <w:szCs w:val="18"/>
              </w:rPr>
              <w:t xml:space="preserve"> del marco normativo.</w:t>
            </w:r>
            <w:r w:rsidRPr="5FF30095" w:rsidR="53CCE43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Pr="002303DD" w:rsidR="00F30DA1" w:rsidTr="5A20631A" w14:paraId="5C04C226" w14:textId="77777777">
        <w:trPr>
          <w:cantSplit/>
          <w:trHeight w:val="20"/>
        </w:trPr>
        <w:tc>
          <w:tcPr>
            <w:tcW w:w="4045" w:type="dxa"/>
            <w:vMerge/>
            <w:tcMar/>
            <w:vAlign w:val="center"/>
          </w:tcPr>
          <w:p w:rsidRPr="00087ABE" w:rsidR="00F30DA1" w:rsidP="00F30DA1" w:rsidRDefault="00F30DA1" w14:paraId="7448D695" w14:textId="77777777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3258" w:type="dxa"/>
            <w:tcMar/>
            <w:vAlign w:val="center"/>
          </w:tcPr>
          <w:p w:rsidRPr="00172AF9" w:rsidR="00F30DA1" w:rsidP="5FF30095" w:rsidRDefault="00F30DA1" w14:paraId="295D1089" w14:textId="77777777" w14:noSpellErr="1">
            <w:pPr>
              <w:spacing w:after="0" w:afterAutospacing="off" w:line="240" w:lineRule="auto"/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8.2 Suscripción del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Acuerdo de</w:t>
            </w:r>
          </w:p>
          <w:p w:rsidRPr="00172AF9" w:rsidR="00F30DA1" w:rsidP="5FF30095" w:rsidRDefault="00F30DA1" w14:paraId="72501BBA" w14:textId="77777777" w14:noSpellErr="1">
            <w:pPr>
              <w:spacing w:after="0" w:afterAutospacing="off" w:line="240" w:lineRule="auto"/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Reconocimiento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mutuo de los</w:t>
            </w:r>
          </w:p>
          <w:p w:rsidRPr="00172AF9" w:rsidR="00F30DA1" w:rsidP="5FF30095" w:rsidRDefault="00F30DA1" w14:paraId="0644A51C" w14:textId="54A95136" w14:noSpellErr="1">
            <w:pPr>
              <w:spacing w:after="0" w:afterAutospacing="off" w:line="240" w:lineRule="auto"/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Programas OEA </w:t>
            </w:r>
            <w:r w:rsidRPr="5FF30095" w:rsidR="7E054134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con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al menos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dos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países de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Centroamérica,</w:t>
            </w:r>
          </w:p>
          <w:p w:rsidRPr="00172AF9" w:rsidR="00F30DA1" w:rsidP="5FF30095" w:rsidRDefault="00F30DA1" w14:paraId="127EE470" w14:textId="77777777" w14:noSpellErr="1">
            <w:pPr>
              <w:spacing w:after="0" w:afterAutospacing="off" w:line="240" w:lineRule="auto"/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habilitando su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b w:val="0"/>
                <w:bCs w:val="0"/>
                <w:sz w:val="18"/>
                <w:szCs w:val="18"/>
                <w:lang w:val="es-ES"/>
              </w:rPr>
              <w:t>reconocimiento.</w:t>
            </w:r>
          </w:p>
        </w:tc>
        <w:tc>
          <w:tcPr>
            <w:tcW w:w="3075" w:type="dxa"/>
            <w:tcMar/>
            <w:vAlign w:val="center"/>
          </w:tcPr>
          <w:p w:rsidRPr="00087ABE" w:rsidR="00F30DA1" w:rsidP="5FF30095" w:rsidRDefault="00F30DA1" w14:paraId="290E582F" w14:textId="058894B1">
            <w:pPr>
              <w:pStyle w:val="ListParagraph"/>
              <w:spacing w:after="0" w:afterAutospacing="off" w:line="240" w:lineRule="auto"/>
              <w:ind w:left="0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8.2</w:t>
            </w:r>
            <w:r w:rsidR="15C86493">
              <w:rPr/>
              <w:t xml:space="preserve"> </w:t>
            </w:r>
            <w:r w:rsidRPr="5FF30095" w:rsidR="15C86493">
              <w:rPr>
                <w:rFonts w:cs="Arial"/>
                <w:sz w:val="18"/>
                <w:szCs w:val="18"/>
                <w:lang w:val="es-ES"/>
              </w:rPr>
              <w:t>Entrada en Vigencia</w:t>
            </w:r>
            <w:r w:rsidRPr="5FF30095" w:rsidR="15C86493">
              <w:rPr>
                <w:rFonts w:cs="Arial"/>
                <w:sz w:val="18"/>
                <w:szCs w:val="18"/>
                <w:lang w:val="es-ES"/>
              </w:rPr>
              <w:t xml:space="preserve"> en Honduras del Programa OEA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2572" w:type="dxa"/>
            <w:tcMar/>
            <w:vAlign w:val="center"/>
          </w:tcPr>
          <w:p w:rsidRPr="00087ABE" w:rsidR="00F30DA1" w:rsidP="5FF30095" w:rsidRDefault="00732087" w14:paraId="2659BF18" w14:textId="0D191E47">
            <w:pPr>
              <w:pStyle w:val="ListParagraph"/>
              <w:spacing w:after="0" w:afterAutospacing="off" w:line="240" w:lineRule="auto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5FF30095" w:rsidR="60DE73C2">
              <w:rPr>
                <w:rFonts w:cs="Arial"/>
                <w:sz w:val="18"/>
                <w:szCs w:val="18"/>
              </w:rPr>
              <w:t xml:space="preserve">La </w:t>
            </w:r>
            <w:r w:rsidRPr="5FF30095" w:rsidR="2D3404C7">
              <w:rPr>
                <w:rFonts w:cs="Arial"/>
                <w:sz w:val="18"/>
                <w:szCs w:val="18"/>
              </w:rPr>
              <w:t xml:space="preserve">entrada en </w:t>
            </w:r>
            <w:r w:rsidRPr="5FF30095" w:rsidR="60DE73C2">
              <w:rPr>
                <w:rFonts w:cs="Arial"/>
                <w:sz w:val="18"/>
                <w:szCs w:val="18"/>
              </w:rPr>
              <w:t>vigencia</w:t>
            </w:r>
            <w:r w:rsidRPr="5FF30095" w:rsidR="2D3404C7">
              <w:rPr>
                <w:rFonts w:cs="Arial"/>
                <w:sz w:val="18"/>
                <w:szCs w:val="18"/>
              </w:rPr>
              <w:t xml:space="preserve"> en el país</w:t>
            </w:r>
            <w:r w:rsidRPr="5FF30095" w:rsidR="60DE73C2">
              <w:rPr>
                <w:rFonts w:cs="Arial"/>
                <w:sz w:val="18"/>
                <w:szCs w:val="18"/>
              </w:rPr>
              <w:t xml:space="preserve"> </w:t>
            </w:r>
            <w:r w:rsidRPr="5FF30095" w:rsidR="2D3404C7">
              <w:rPr>
                <w:rFonts w:cs="Arial"/>
                <w:sz w:val="18"/>
                <w:szCs w:val="18"/>
              </w:rPr>
              <w:t xml:space="preserve">se constituyó en </w:t>
            </w:r>
            <w:r w:rsidRPr="5FF30095" w:rsidR="60DE73C2">
              <w:rPr>
                <w:rFonts w:cs="Arial"/>
                <w:sz w:val="18"/>
                <w:szCs w:val="18"/>
              </w:rPr>
              <w:t xml:space="preserve">requisito </w:t>
            </w:r>
            <w:r w:rsidRPr="5FF30095" w:rsidR="2D3404C7">
              <w:rPr>
                <w:rFonts w:cs="Arial"/>
                <w:sz w:val="18"/>
                <w:szCs w:val="18"/>
              </w:rPr>
              <w:t xml:space="preserve">previo a </w:t>
            </w:r>
            <w:r w:rsidRPr="5FF30095" w:rsidR="60DE73C2">
              <w:rPr>
                <w:rFonts w:cs="Arial"/>
                <w:sz w:val="18"/>
                <w:szCs w:val="18"/>
              </w:rPr>
              <w:t>iniciar los procesos de integra</w:t>
            </w:r>
            <w:r w:rsidRPr="5FF30095" w:rsidR="7E054134">
              <w:rPr>
                <w:rFonts w:cs="Arial"/>
                <w:sz w:val="18"/>
                <w:szCs w:val="18"/>
              </w:rPr>
              <w:t>ción</w:t>
            </w:r>
            <w:r w:rsidRPr="5FF30095" w:rsidR="60DE73C2">
              <w:rPr>
                <w:rFonts w:cs="Arial"/>
                <w:sz w:val="18"/>
                <w:szCs w:val="18"/>
              </w:rPr>
              <w:t xml:space="preserve"> al Acuerdo de Reconocimiento mutuo del Programa OEA</w:t>
            </w:r>
            <w:r w:rsidRPr="5FF30095" w:rsidR="1C2E0ABE">
              <w:rPr>
                <w:rFonts w:cs="Arial"/>
                <w:sz w:val="18"/>
                <w:szCs w:val="18"/>
              </w:rPr>
              <w:t xml:space="preserve">, entre </w:t>
            </w:r>
            <w:r w:rsidRPr="5FF30095" w:rsidR="60DE73C2">
              <w:rPr>
                <w:rFonts w:cs="Arial"/>
                <w:sz w:val="18"/>
                <w:szCs w:val="18"/>
              </w:rPr>
              <w:t>los 2 países hasta ahora suscriptores de Centroamérica.</w:t>
            </w:r>
          </w:p>
        </w:tc>
      </w:tr>
      <w:tr w:rsidRPr="00087ABE" w:rsidR="00F30DA1" w:rsidTr="5A20631A" w14:paraId="771CAB34" w14:textId="77777777">
        <w:trPr>
          <w:cantSplit/>
          <w:trHeight w:val="20"/>
        </w:trPr>
        <w:tc>
          <w:tcPr>
            <w:tcW w:w="4045" w:type="dxa"/>
            <w:tcMar/>
            <w:vAlign w:val="center"/>
          </w:tcPr>
          <w:p w:rsidRPr="00087ABE" w:rsidR="00F30DA1" w:rsidP="5FF30095" w:rsidRDefault="00F30DA1" w14:paraId="3D99221E" w14:textId="77777777">
            <w:pPr>
              <w:pStyle w:val="ListParagraph"/>
              <w:tabs>
                <w:tab w:val="left" w:pos="615"/>
              </w:tabs>
              <w:spacing w:after="0" w:afterAutospacing="off" w:line="240" w:lineRule="auto"/>
              <w:ind w:left="160" w:hanging="175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9. Implementar herramientas tecnológicas y procesos que permitan cumplir con los compromisos prioritarios asumidos por Honduras en el marco de los acuerdos de facilitación de comercio establecidos por el Consejo de </w:t>
            </w:r>
            <w:proofErr w:type="gramStart"/>
            <w:r w:rsidRPr="5FF30095" w:rsidR="7DE17C2E">
              <w:rPr>
                <w:rFonts w:cs="Arial"/>
                <w:sz w:val="18"/>
                <w:szCs w:val="18"/>
                <w:lang w:val="es-ES"/>
              </w:rPr>
              <w:t>Ministros</w:t>
            </w:r>
            <w:proofErr w:type="gramEnd"/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de Integración Económica Centroamérica (COMIECO).</w:t>
            </w:r>
          </w:p>
        </w:tc>
        <w:tc>
          <w:tcPr>
            <w:tcW w:w="3258" w:type="dxa"/>
            <w:tcMar/>
            <w:vAlign w:val="center"/>
          </w:tcPr>
          <w:p w:rsidRPr="00AC0432" w:rsidR="00F30DA1" w:rsidP="5FF30095" w:rsidRDefault="00F30DA1" w14:paraId="36BEAB78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9.1 Implementación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del acuerdo regional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sobre el set de datos</w:t>
            </w:r>
          </w:p>
          <w:p w:rsidRPr="00172AF9" w:rsidR="00F30DA1" w:rsidP="5FF30095" w:rsidRDefault="00F30DA1" w14:paraId="4BC4FAE0" w14:textId="77777777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para las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transmisiones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certificados </w:t>
            </w:r>
            <w:proofErr w:type="spellStart"/>
            <w:r w:rsidRPr="5FF30095" w:rsidR="7DE17C2E">
              <w:rPr>
                <w:rFonts w:cs="Arial"/>
                <w:sz w:val="18"/>
                <w:szCs w:val="18"/>
                <w:lang w:val="es-ES"/>
              </w:rPr>
              <w:t>fito</w:t>
            </w:r>
            <w:proofErr w:type="spellEnd"/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y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zoosanitarios con al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menos dos países.</w:t>
            </w:r>
          </w:p>
        </w:tc>
        <w:tc>
          <w:tcPr>
            <w:tcW w:w="3075" w:type="dxa"/>
            <w:shd w:val="clear" w:color="auto" w:fill="auto"/>
            <w:tcMar/>
            <w:vAlign w:val="center"/>
          </w:tcPr>
          <w:p w:rsidRPr="00AC0432" w:rsidR="00F30DA1" w:rsidP="5FF30095" w:rsidRDefault="00F30DA1" w14:paraId="5ED94CDF" w14:textId="77777777">
            <w:pPr>
              <w:pStyle w:val="ListParagraph"/>
              <w:spacing w:after="0" w:afterAutospacing="off" w:line="240" w:lineRule="auto"/>
              <w:ind w:left="0"/>
              <w:contextualSpacing w:val="0"/>
              <w:rPr>
                <w:rFonts w:cs="Arial"/>
                <w:sz w:val="18"/>
                <w:szCs w:val="18"/>
                <w:highlight w:val="yellow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9.1 Implementación del acuerdo regional sobre el set de datos para las transmisiones de certificados </w:t>
            </w:r>
            <w:proofErr w:type="spellStart"/>
            <w:r w:rsidRPr="5FF30095" w:rsidR="7DE17C2E">
              <w:rPr>
                <w:rFonts w:cs="Arial"/>
                <w:sz w:val="18"/>
                <w:szCs w:val="18"/>
                <w:lang w:val="es-ES"/>
              </w:rPr>
              <w:t>fito</w:t>
            </w:r>
            <w:proofErr w:type="spellEnd"/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y zoosanitarios con al menos dos países.</w:t>
            </w:r>
          </w:p>
        </w:tc>
        <w:tc>
          <w:tcPr>
            <w:tcW w:w="2572" w:type="dxa"/>
            <w:tcMar/>
            <w:vAlign w:val="center"/>
          </w:tcPr>
          <w:p w:rsidRPr="00AC0432" w:rsidR="00F30DA1" w:rsidP="5FF30095" w:rsidRDefault="005B7717" w14:paraId="5166FD9F" w14:textId="118429C6" w14:noSpellErr="1">
            <w:pPr>
              <w:pStyle w:val="ListParagraph"/>
              <w:spacing w:after="0" w:afterAutospacing="off" w:line="240" w:lineRule="auto"/>
              <w:ind w:left="0"/>
              <w:contextualSpacing w:val="0"/>
              <w:rPr>
                <w:rFonts w:cs="Arial"/>
                <w:sz w:val="18"/>
                <w:szCs w:val="18"/>
                <w:highlight w:val="yellow"/>
              </w:rPr>
            </w:pPr>
            <w:r w:rsidRPr="5FF30095" w:rsidR="15C86493">
              <w:rPr>
                <w:rFonts w:cs="Arial"/>
                <w:sz w:val="18"/>
                <w:szCs w:val="18"/>
              </w:rPr>
              <w:t>Sin cambios.</w:t>
            </w:r>
          </w:p>
        </w:tc>
      </w:tr>
      <w:tr w:rsidRPr="00087ABE" w:rsidR="00F30DA1" w:rsidTr="5A20631A" w14:paraId="613EA90C" w14:textId="77777777">
        <w:trPr>
          <w:cantSplit/>
          <w:trHeight w:val="20"/>
        </w:trPr>
        <w:tc>
          <w:tcPr>
            <w:tcW w:w="4045" w:type="dxa"/>
            <w:tcMar/>
            <w:vAlign w:val="center"/>
          </w:tcPr>
          <w:p w:rsidRPr="00087ABE" w:rsidR="00F30DA1" w:rsidP="5FF30095" w:rsidRDefault="00F30DA1" w14:paraId="21E0E00E" w14:textId="77777777">
            <w:pPr>
              <w:pStyle w:val="ListParagraph"/>
              <w:spacing w:after="0" w:afterAutospacing="off" w:line="240" w:lineRule="auto"/>
              <w:ind w:left="-15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bookmarkStart w:name="_Hlk519175047" w:id="26"/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10. Implementación de los compromisos asumidos por Honduras en el marco de la Unión Aduanera Honduras - Guatemala, contribuyendo al posicionamiento del país como </w:t>
            </w:r>
            <w:proofErr w:type="spellStart"/>
            <w:r w:rsidRPr="5FF30095" w:rsidR="7DE17C2E">
              <w:rPr>
                <w:rFonts w:cs="Arial"/>
                <w:i w:val="1"/>
                <w:iCs w:val="1"/>
                <w:sz w:val="18"/>
                <w:szCs w:val="18"/>
                <w:lang w:val="es-ES"/>
              </w:rPr>
              <w:t>hub</w:t>
            </w:r>
            <w:proofErr w:type="spellEnd"/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regional.</w:t>
            </w:r>
          </w:p>
        </w:tc>
        <w:tc>
          <w:tcPr>
            <w:tcW w:w="3258" w:type="dxa"/>
            <w:tcMar/>
            <w:vAlign w:val="center"/>
          </w:tcPr>
          <w:p w:rsidRPr="00087ABE" w:rsidR="00F30DA1" w:rsidP="5FF30095" w:rsidRDefault="00F30DA1" w14:paraId="4B003DCB" w14:textId="77777777" w14:noSpellErr="1">
            <w:pPr>
              <w:spacing w:after="0" w:afterAutospacing="off" w:line="240" w:lineRule="auto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10.1 Creación de una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herramienta que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realice control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cruzado de las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FYDUCAS por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procedencia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mpresas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beneficiarias, para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medir funcionalidad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en términos de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atributos, métricas y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5FF30095" w:rsidR="7DE17C2E">
              <w:rPr>
                <w:rFonts w:cs="Arial"/>
                <w:sz w:val="18"/>
                <w:szCs w:val="18"/>
                <w:lang w:val="es-ES"/>
              </w:rPr>
              <w:t>data sets.</w:t>
            </w:r>
          </w:p>
        </w:tc>
        <w:tc>
          <w:tcPr>
            <w:tcW w:w="3075" w:type="dxa"/>
            <w:tcMar/>
            <w:vAlign w:val="center"/>
          </w:tcPr>
          <w:p w:rsidRPr="00087ABE" w:rsidR="00F30DA1" w:rsidP="5FF30095" w:rsidRDefault="00F30DA1" w14:paraId="634F843D" w14:textId="77777777" w14:noSpellErr="1">
            <w:pPr>
              <w:pStyle w:val="ListParagraph"/>
              <w:spacing w:after="0" w:afterAutospacing="off" w:line="240" w:lineRule="auto"/>
              <w:ind w:left="58"/>
              <w:contextualSpacing w:val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10.1 Creación de una herramienta que realice control cruzado de las FYDUCAS por procedencia de empresas beneficiarias, para medir funcionalidad en términos de atributos, métricas y data sets.</w:t>
            </w:r>
          </w:p>
        </w:tc>
        <w:tc>
          <w:tcPr>
            <w:tcW w:w="2572" w:type="dxa"/>
            <w:tcMar/>
            <w:vAlign w:val="center"/>
          </w:tcPr>
          <w:p w:rsidRPr="00087ABE" w:rsidR="00F30DA1" w:rsidP="5FF30095" w:rsidRDefault="00F30DA1" w14:paraId="7C90FCC9" w14:textId="77777777" w14:noSpellErr="1">
            <w:pPr>
              <w:pStyle w:val="ListParagraph"/>
              <w:spacing w:after="0" w:afterAutospacing="off" w:line="240" w:lineRule="auto"/>
              <w:ind w:left="0"/>
              <w:rPr>
                <w:rFonts w:cs="Arial"/>
                <w:sz w:val="18"/>
                <w:szCs w:val="18"/>
                <w:lang w:val="es-ES"/>
              </w:rPr>
            </w:pPr>
            <w:r w:rsidRPr="5FF30095" w:rsidR="7DE17C2E">
              <w:rPr>
                <w:rFonts w:cs="Arial"/>
                <w:sz w:val="18"/>
                <w:szCs w:val="18"/>
                <w:lang w:val="es-ES"/>
              </w:rPr>
              <w:t>Sin cambios.</w:t>
            </w:r>
          </w:p>
        </w:tc>
      </w:tr>
      <w:bookmarkEnd w:id="26"/>
    </w:tbl>
    <w:p w:rsidR="004439CB" w:rsidP="00BD4C0E" w:rsidRDefault="004439CB" w14:paraId="5304D28A" w14:textId="77777777">
      <w:pPr>
        <w:spacing w:line="240" w:lineRule="auto"/>
        <w:rPr>
          <w:rFonts w:ascii="Arial" w:hAnsi="Arial" w:cs="Arial"/>
          <w:b/>
          <w:smallCaps/>
          <w:sz w:val="24"/>
          <w:szCs w:val="24"/>
          <w:lang w:val="es-ES"/>
        </w:rPr>
      </w:pPr>
    </w:p>
    <w:sectPr w:rsidR="004439CB" w:rsidSect="00E95CEF">
      <w:headerReference w:type="even" r:id="rId12"/>
      <w:headerReference w:type="default" r:id="rId13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2533" w:rsidP="002E5FA7" w:rsidRDefault="007A2533" w14:paraId="6559AFBE" w14:textId="77777777">
      <w:pPr>
        <w:spacing w:after="0" w:line="240" w:lineRule="auto"/>
      </w:pPr>
      <w:r>
        <w:separator/>
      </w:r>
    </w:p>
  </w:endnote>
  <w:endnote w:type="continuationSeparator" w:id="0">
    <w:p w:rsidR="007A2533" w:rsidP="002E5FA7" w:rsidRDefault="007A2533" w14:paraId="789502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ahoma"/>
    <w:panose1 w:val="020208030705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2533" w:rsidP="002E5FA7" w:rsidRDefault="007A2533" w14:paraId="553041BB" w14:textId="77777777">
      <w:pPr>
        <w:spacing w:after="0" w:line="240" w:lineRule="auto"/>
      </w:pPr>
      <w:r>
        <w:separator/>
      </w:r>
    </w:p>
  </w:footnote>
  <w:footnote w:type="continuationSeparator" w:id="0">
    <w:p w:rsidR="007A2533" w:rsidP="002E5FA7" w:rsidRDefault="007A2533" w14:paraId="0D1CFCA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278488527"/>
      <w:docPartObj>
        <w:docPartGallery w:val="Page Numbers (Top of Page)"/>
        <w:docPartUnique/>
      </w:docPartObj>
    </w:sdtPr>
    <w:sdtEndPr/>
    <w:sdtContent>
      <w:p w:rsidRPr="00B41222" w:rsidR="000D5F71" w:rsidP="000D5F71" w:rsidRDefault="000D5F71" w14:paraId="6CC24D9A" w14:textId="77777777">
        <w:pPr>
          <w:pStyle w:val="Header"/>
          <w:jc w:val="right"/>
          <w:rPr>
            <w:rFonts w:ascii="Arial" w:hAnsi="Arial" w:cs="Arial"/>
            <w:sz w:val="20"/>
            <w:szCs w:val="20"/>
            <w:lang w:val="es-ES"/>
          </w:rPr>
        </w:pPr>
        <w:r>
          <w:rPr>
            <w:rFonts w:ascii="Arial" w:hAnsi="Arial" w:cs="Arial"/>
            <w:sz w:val="20"/>
            <w:szCs w:val="20"/>
          </w:rPr>
          <w:t xml:space="preserve">EEO#1 - </w:t>
        </w:r>
        <w:r>
          <w:rPr>
            <w:rFonts w:ascii="Arial" w:hAnsi="Arial" w:cs="Arial"/>
            <w:sz w:val="20"/>
            <w:szCs w:val="20"/>
            <w:lang w:val="es-ES"/>
          </w:rPr>
          <w:t>HO-L1219</w:t>
        </w:r>
      </w:p>
      <w:p w:rsidRPr="00365529" w:rsidR="00E737E3" w:rsidP="000D5F71" w:rsidRDefault="00E737E3" w14:paraId="1D886F3A" w14:textId="7527F52B">
        <w:pPr>
          <w:pStyle w:val="Header"/>
          <w:jc w:val="right"/>
          <w:rPr>
            <w:rFonts w:ascii="Arial" w:hAnsi="Arial" w:cs="Arial"/>
            <w:sz w:val="20"/>
            <w:szCs w:val="20"/>
          </w:rPr>
        </w:pPr>
        <w:r w:rsidRPr="00365529">
          <w:rPr>
            <w:rFonts w:ascii="Arial" w:hAnsi="Arial" w:cs="Arial"/>
            <w:sz w:val="20"/>
            <w:szCs w:val="20"/>
            <w:lang w:val="pt-BR"/>
          </w:rPr>
          <w:t xml:space="preserve">Página </w:t>
        </w:r>
        <w:r w:rsidRPr="00365529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365529">
          <w:rPr>
            <w:rFonts w:ascii="Arial" w:hAnsi="Arial" w:cs="Arial"/>
            <w:bCs/>
            <w:sz w:val="20"/>
            <w:szCs w:val="20"/>
            <w:lang w:val="pt-BR"/>
          </w:rPr>
          <w:instrText xml:space="preserve"> PAGE </w:instrText>
        </w:r>
        <w:r w:rsidRPr="00365529">
          <w:rPr>
            <w:rFonts w:ascii="Arial" w:hAnsi="Arial" w:cs="Arial"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Cs/>
            <w:noProof/>
            <w:sz w:val="20"/>
            <w:szCs w:val="20"/>
            <w:lang w:val="pt-BR"/>
          </w:rPr>
          <w:t>2</w:t>
        </w:r>
        <w:r w:rsidRPr="00365529">
          <w:rPr>
            <w:rFonts w:ascii="Arial" w:hAnsi="Arial" w:cs="Arial"/>
            <w:bCs/>
            <w:sz w:val="20"/>
            <w:szCs w:val="20"/>
          </w:rPr>
          <w:fldChar w:fldCharType="end"/>
        </w:r>
        <w:r w:rsidRPr="00365529">
          <w:rPr>
            <w:rFonts w:ascii="Arial" w:hAnsi="Arial" w:cs="Arial"/>
            <w:sz w:val="20"/>
            <w:szCs w:val="20"/>
            <w:lang w:val="pt-BR"/>
          </w:rPr>
          <w:t xml:space="preserve"> de </w:t>
        </w:r>
        <w:r w:rsidRPr="00365529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365529">
          <w:rPr>
            <w:rFonts w:ascii="Arial" w:hAnsi="Arial" w:cs="Arial"/>
            <w:bCs/>
            <w:sz w:val="20"/>
            <w:szCs w:val="20"/>
            <w:lang w:val="pt-BR"/>
          </w:rPr>
          <w:instrText xml:space="preserve"> NUMPAGES  </w:instrText>
        </w:r>
        <w:r w:rsidRPr="00365529">
          <w:rPr>
            <w:rFonts w:ascii="Arial" w:hAnsi="Arial" w:cs="Arial"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Cs/>
            <w:noProof/>
            <w:sz w:val="20"/>
            <w:szCs w:val="20"/>
            <w:lang w:val="pt-BR"/>
          </w:rPr>
          <w:t>6</w:t>
        </w:r>
        <w:r w:rsidRPr="00365529">
          <w:rPr>
            <w:rFonts w:ascii="Arial" w:hAnsi="Arial" w:cs="Arial"/>
            <w:bCs/>
            <w:sz w:val="20"/>
            <w:szCs w:val="20"/>
          </w:rPr>
          <w:fldChar w:fldCharType="end"/>
        </w:r>
      </w:p>
    </w:sdtContent>
  </w:sdt>
  <w:p w:rsidRPr="00365529" w:rsidR="00E737E3" w:rsidP="00E95CEF" w:rsidRDefault="00E737E3" w14:paraId="161FD226" w14:textId="77777777">
    <w:pPr>
      <w:pStyle w:val="Head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1477648756"/>
      <w:docPartObj>
        <w:docPartGallery w:val="Page Numbers (Top of Page)"/>
        <w:docPartUnique/>
      </w:docPartObj>
    </w:sdtPr>
    <w:sdtEndPr/>
    <w:sdtContent>
      <w:p w:rsidRPr="00B41222" w:rsidR="00E737E3" w:rsidRDefault="00E30E7C" w14:paraId="3856DCFB" w14:textId="77777777">
        <w:pPr>
          <w:pStyle w:val="Header"/>
          <w:jc w:val="right"/>
          <w:rPr>
            <w:rFonts w:ascii="Arial" w:hAnsi="Arial" w:cs="Arial"/>
            <w:sz w:val="20"/>
            <w:szCs w:val="20"/>
            <w:lang w:val="es-ES"/>
          </w:rPr>
        </w:pPr>
        <w:r>
          <w:rPr>
            <w:rFonts w:ascii="Arial" w:hAnsi="Arial" w:cs="Arial"/>
            <w:sz w:val="20"/>
            <w:szCs w:val="20"/>
          </w:rPr>
          <w:t xml:space="preserve">EEO#1 - </w:t>
        </w:r>
        <w:r w:rsidR="004439CB">
          <w:rPr>
            <w:rFonts w:ascii="Arial" w:hAnsi="Arial" w:cs="Arial"/>
            <w:sz w:val="20"/>
            <w:szCs w:val="20"/>
            <w:lang w:val="es-ES"/>
          </w:rPr>
          <w:t>HO-L12</w:t>
        </w:r>
        <w:r>
          <w:rPr>
            <w:rFonts w:ascii="Arial" w:hAnsi="Arial" w:cs="Arial"/>
            <w:sz w:val="20"/>
            <w:szCs w:val="20"/>
            <w:lang w:val="es-ES"/>
          </w:rPr>
          <w:t>19</w:t>
        </w:r>
      </w:p>
      <w:p w:rsidRPr="00B41222" w:rsidR="00E737E3" w:rsidRDefault="00E737E3" w14:paraId="77686950" w14:textId="77777777">
        <w:pPr>
          <w:pStyle w:val="Header"/>
          <w:jc w:val="right"/>
          <w:rPr>
            <w:rFonts w:ascii="Arial" w:hAnsi="Arial" w:cs="Arial"/>
            <w:sz w:val="20"/>
            <w:szCs w:val="20"/>
            <w:lang w:val="pt-BR"/>
          </w:rPr>
        </w:pPr>
        <w:r w:rsidRPr="00B41222">
          <w:rPr>
            <w:rFonts w:ascii="Arial" w:hAnsi="Arial" w:cs="Arial"/>
            <w:sz w:val="20"/>
            <w:szCs w:val="20"/>
            <w:lang w:val="pt-BR"/>
          </w:rPr>
          <w:t xml:space="preserve">Página </w:t>
        </w:r>
        <w:r w:rsidRPr="00B41222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B41222">
          <w:rPr>
            <w:rFonts w:ascii="Arial" w:hAnsi="Arial" w:cs="Arial"/>
            <w:bCs/>
            <w:sz w:val="20"/>
            <w:szCs w:val="20"/>
            <w:lang w:val="pt-BR"/>
          </w:rPr>
          <w:instrText xml:space="preserve"> PAGE </w:instrText>
        </w:r>
        <w:r w:rsidRPr="00B41222">
          <w:rPr>
            <w:rFonts w:ascii="Arial" w:hAnsi="Arial" w:cs="Arial"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Cs/>
            <w:noProof/>
            <w:sz w:val="20"/>
            <w:szCs w:val="20"/>
            <w:lang w:val="pt-BR"/>
          </w:rPr>
          <w:t>1</w:t>
        </w:r>
        <w:r w:rsidRPr="00B41222">
          <w:rPr>
            <w:rFonts w:ascii="Arial" w:hAnsi="Arial" w:cs="Arial"/>
            <w:bCs/>
            <w:sz w:val="20"/>
            <w:szCs w:val="20"/>
          </w:rPr>
          <w:fldChar w:fldCharType="end"/>
        </w:r>
        <w:r w:rsidRPr="00B41222">
          <w:rPr>
            <w:rFonts w:ascii="Arial" w:hAnsi="Arial" w:cs="Arial"/>
            <w:sz w:val="20"/>
            <w:szCs w:val="20"/>
            <w:lang w:val="pt-BR"/>
          </w:rPr>
          <w:t xml:space="preserve"> de </w:t>
        </w:r>
        <w:r w:rsidRPr="00B41222">
          <w:rPr>
            <w:rFonts w:ascii="Arial" w:hAnsi="Arial" w:cs="Arial"/>
            <w:bCs/>
            <w:sz w:val="20"/>
            <w:szCs w:val="20"/>
          </w:rPr>
          <w:fldChar w:fldCharType="begin"/>
        </w:r>
        <w:r w:rsidRPr="00B41222">
          <w:rPr>
            <w:rFonts w:ascii="Arial" w:hAnsi="Arial" w:cs="Arial"/>
            <w:bCs/>
            <w:sz w:val="20"/>
            <w:szCs w:val="20"/>
            <w:lang w:val="pt-BR"/>
          </w:rPr>
          <w:instrText xml:space="preserve"> NUMPAGES  </w:instrText>
        </w:r>
        <w:r w:rsidRPr="00B41222">
          <w:rPr>
            <w:rFonts w:ascii="Arial" w:hAnsi="Arial" w:cs="Arial"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Cs/>
            <w:noProof/>
            <w:sz w:val="20"/>
            <w:szCs w:val="20"/>
            <w:lang w:val="pt-BR"/>
          </w:rPr>
          <w:t>6</w:t>
        </w:r>
        <w:r w:rsidRPr="00B41222">
          <w:rPr>
            <w:rFonts w:ascii="Arial" w:hAnsi="Arial" w:cs="Arial"/>
            <w:bCs/>
            <w:sz w:val="20"/>
            <w:szCs w:val="20"/>
          </w:rPr>
          <w:fldChar w:fldCharType="end"/>
        </w:r>
      </w:p>
    </w:sdtContent>
  </w:sdt>
  <w:p w:rsidRPr="00B41222" w:rsidR="00E737E3" w:rsidRDefault="00E737E3" w14:paraId="7B9D23FC" w14:textId="77777777">
    <w:pPr>
      <w:pStyle w:val="Header"/>
      <w:rPr>
        <w:rFonts w:ascii="Arial" w:hAnsi="Arial" w:cs="Arial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134C"/>
    <w:multiLevelType w:val="hybridMultilevel"/>
    <w:tmpl w:val="592A1A7E"/>
    <w:lvl w:ilvl="0" w:tplc="08CCBB80">
      <w:start w:val="1"/>
      <w:numFmt w:val="lowerRoman"/>
      <w:lvlText w:val="(%1)"/>
      <w:lvlJc w:val="left"/>
      <w:pPr>
        <w:ind w:left="720" w:hanging="360"/>
      </w:pPr>
      <w:rPr>
        <w:rFonts w:hint="default" w:ascii="Arial" w:hAnsi="Arial" w:cs="Arial" w:eastAsiaTheme="minorEastAsia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4E184D"/>
    <w:multiLevelType w:val="multilevel"/>
    <w:tmpl w:val="2CBA390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071615DB"/>
    <w:multiLevelType w:val="hybridMultilevel"/>
    <w:tmpl w:val="F09A0E1E"/>
    <w:lvl w:ilvl="0" w:tplc="53D2FE42">
      <w:start w:val="1"/>
      <w:numFmt w:val="lowerRoman"/>
      <w:lvlText w:val="%1)"/>
      <w:lvlJc w:val="left"/>
      <w:pPr>
        <w:ind w:left="93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 w15:restartNumberingAfterBreak="0">
    <w:nsid w:val="0D594768"/>
    <w:multiLevelType w:val="hybridMultilevel"/>
    <w:tmpl w:val="DCEA8FCC"/>
    <w:lvl w:ilvl="0" w:tplc="3698E2CC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 w:tplc="3E7C79E0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 w:tplc="19C875A4">
      <w:start w:val="1"/>
      <w:numFmt w:val="lowerLetter"/>
      <w:lvlText w:val="(%3)"/>
      <w:lvlJc w:val="left"/>
      <w:pPr>
        <w:ind w:left="720" w:hanging="432"/>
      </w:pPr>
    </w:lvl>
    <w:lvl w:ilvl="3" w:tplc="AEAEE96A">
      <w:start w:val="1"/>
      <w:numFmt w:val="lowerRoman"/>
      <w:lvlText w:val="(%4)"/>
      <w:lvlJc w:val="right"/>
      <w:pPr>
        <w:ind w:left="864" w:hanging="144"/>
      </w:pPr>
    </w:lvl>
    <w:lvl w:ilvl="4" w:tplc="3932835E">
      <w:start w:val="1"/>
      <w:numFmt w:val="decimal"/>
      <w:lvlText w:val="%5)"/>
      <w:lvlJc w:val="left"/>
      <w:pPr>
        <w:ind w:left="1008" w:hanging="432"/>
      </w:pPr>
    </w:lvl>
    <w:lvl w:ilvl="5" w:tplc="4D2CFB3A">
      <w:start w:val="1"/>
      <w:numFmt w:val="lowerLetter"/>
      <w:lvlText w:val="%6)"/>
      <w:lvlJc w:val="left"/>
      <w:pPr>
        <w:ind w:left="1152" w:hanging="432"/>
      </w:pPr>
    </w:lvl>
    <w:lvl w:ilvl="6" w:tplc="647203F4">
      <w:start w:val="1"/>
      <w:numFmt w:val="lowerRoman"/>
      <w:lvlText w:val="%7)"/>
      <w:lvlJc w:val="right"/>
      <w:pPr>
        <w:ind w:left="1296" w:hanging="288"/>
      </w:pPr>
    </w:lvl>
    <w:lvl w:ilvl="7" w:tplc="29064FCC">
      <w:start w:val="1"/>
      <w:numFmt w:val="lowerLetter"/>
      <w:lvlText w:val="%8."/>
      <w:lvlJc w:val="left"/>
      <w:pPr>
        <w:ind w:left="1440" w:hanging="432"/>
      </w:pPr>
    </w:lvl>
    <w:lvl w:ilvl="8" w:tplc="DD745386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0E1A1BED"/>
    <w:multiLevelType w:val="hybridMultilevel"/>
    <w:tmpl w:val="FCC84A7C"/>
    <w:lvl w:ilvl="0" w:tplc="2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8F6E33"/>
    <w:multiLevelType w:val="hybridMultilevel"/>
    <w:tmpl w:val="EEE209F6"/>
    <w:lvl w:ilvl="0" w:tplc="3DFEB0A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FC4E76"/>
    <w:multiLevelType w:val="hybridMultilevel"/>
    <w:tmpl w:val="727C7B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3231F9B"/>
    <w:multiLevelType w:val="hybridMultilevel"/>
    <w:tmpl w:val="4EAC744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825DFE"/>
    <w:multiLevelType w:val="multilevel"/>
    <w:tmpl w:val="5CA80F2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25920B9F"/>
    <w:multiLevelType w:val="hybridMultilevel"/>
    <w:tmpl w:val="9A3A3466"/>
    <w:lvl w:ilvl="0" w:tplc="7640D0A2">
      <w:start w:val="1"/>
      <w:numFmt w:val="decimal"/>
      <w:pStyle w:val="FirstHeading"/>
      <w:lvlText w:val="%1.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BC673D3"/>
    <w:multiLevelType w:val="hybridMultilevel"/>
    <w:tmpl w:val="BF1E7C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4A1C"/>
    <w:multiLevelType w:val="hybridMultilevel"/>
    <w:tmpl w:val="D288671C"/>
    <w:lvl w:ilvl="0" w:tplc="08CCBB80">
      <w:start w:val="1"/>
      <w:numFmt w:val="lowerRoman"/>
      <w:lvlText w:val="(%1)"/>
      <w:lvlJc w:val="left"/>
      <w:pPr>
        <w:ind w:left="720" w:hanging="360"/>
      </w:pPr>
      <w:rPr>
        <w:rFonts w:hint="default" w:ascii="Arial" w:hAnsi="Arial" w:cs="Arial" w:eastAsiaTheme="minorEastAsia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4991"/>
    <w:multiLevelType w:val="multilevel"/>
    <w:tmpl w:val="A4F4C8E6"/>
    <w:lvl w:ilvl="0">
      <w:start w:val="1"/>
      <w:numFmt w:val="upperRoman"/>
      <w:lvlRestart w:val="0"/>
      <w:lvlText w:val="%1."/>
      <w:lvlJc w:val="center"/>
      <w:pPr>
        <w:tabs>
          <w:tab w:val="num" w:pos="3330"/>
        </w:tabs>
        <w:ind w:left="268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3" w15:restartNumberingAfterBreak="0">
    <w:nsid w:val="37847AC1"/>
    <w:multiLevelType w:val="hybridMultilevel"/>
    <w:tmpl w:val="E348BF44"/>
    <w:lvl w:ilvl="0" w:tplc="17BCCF7E">
      <w:start w:val="1"/>
      <w:numFmt w:val="lowerRoman"/>
      <w:lvlText w:val="%1)"/>
      <w:lvlJc w:val="left"/>
      <w:pPr>
        <w:ind w:left="778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4" w15:restartNumberingAfterBreak="0">
    <w:nsid w:val="39C4522D"/>
    <w:multiLevelType w:val="hybridMultilevel"/>
    <w:tmpl w:val="7B0A97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F4DC6"/>
    <w:multiLevelType w:val="multilevel"/>
    <w:tmpl w:val="63A2AAD0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ED36F46"/>
    <w:multiLevelType w:val="hybridMultilevel"/>
    <w:tmpl w:val="0360DFD8"/>
    <w:lvl w:ilvl="0" w:tplc="A55E70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47843"/>
    <w:multiLevelType w:val="hybridMultilevel"/>
    <w:tmpl w:val="C376F9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22E2A78"/>
    <w:multiLevelType w:val="multilevel"/>
    <w:tmpl w:val="1FA69AB4"/>
    <w:lvl w:ilvl="0">
      <w:start w:val="1"/>
      <w:numFmt w:val="decimal"/>
      <w:pStyle w:val="Chapter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3472C70"/>
    <w:multiLevelType w:val="hybridMultilevel"/>
    <w:tmpl w:val="0488472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DB434C1"/>
    <w:multiLevelType w:val="hybridMultilevel"/>
    <w:tmpl w:val="FCBE9A74"/>
    <w:lvl w:ilvl="0" w:tplc="5F4C69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06250"/>
    <w:multiLevelType w:val="hybridMultilevel"/>
    <w:tmpl w:val="E6B2FC4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8882266"/>
    <w:multiLevelType w:val="hybridMultilevel"/>
    <w:tmpl w:val="8F5E99F0"/>
    <w:lvl w:ilvl="0" w:tplc="08CCBB80">
      <w:start w:val="1"/>
      <w:numFmt w:val="lowerRoman"/>
      <w:lvlText w:val="(%1)"/>
      <w:lvlJc w:val="left"/>
      <w:pPr>
        <w:ind w:left="666" w:hanging="360"/>
      </w:pPr>
      <w:rPr>
        <w:rFonts w:hint="default" w:ascii="Arial" w:hAnsi="Arial" w:cs="Arial" w:eastAsiaTheme="minorEastAsia"/>
        <w:b w:val="0"/>
      </w:rPr>
    </w:lvl>
    <w:lvl w:ilvl="1" w:tplc="240A0019" w:tentative="1">
      <w:start w:val="1"/>
      <w:numFmt w:val="lowerLetter"/>
      <w:lvlText w:val="%2."/>
      <w:lvlJc w:val="left"/>
      <w:pPr>
        <w:ind w:left="1386" w:hanging="360"/>
      </w:pPr>
    </w:lvl>
    <w:lvl w:ilvl="2" w:tplc="240A001B" w:tentative="1">
      <w:start w:val="1"/>
      <w:numFmt w:val="lowerRoman"/>
      <w:lvlText w:val="%3."/>
      <w:lvlJc w:val="right"/>
      <w:pPr>
        <w:ind w:left="2106" w:hanging="180"/>
      </w:pPr>
    </w:lvl>
    <w:lvl w:ilvl="3" w:tplc="240A000F" w:tentative="1">
      <w:start w:val="1"/>
      <w:numFmt w:val="decimal"/>
      <w:lvlText w:val="%4."/>
      <w:lvlJc w:val="left"/>
      <w:pPr>
        <w:ind w:left="2826" w:hanging="360"/>
      </w:pPr>
    </w:lvl>
    <w:lvl w:ilvl="4" w:tplc="240A0019" w:tentative="1">
      <w:start w:val="1"/>
      <w:numFmt w:val="lowerLetter"/>
      <w:lvlText w:val="%5."/>
      <w:lvlJc w:val="left"/>
      <w:pPr>
        <w:ind w:left="3546" w:hanging="360"/>
      </w:pPr>
    </w:lvl>
    <w:lvl w:ilvl="5" w:tplc="240A001B" w:tentative="1">
      <w:start w:val="1"/>
      <w:numFmt w:val="lowerRoman"/>
      <w:lvlText w:val="%6."/>
      <w:lvlJc w:val="right"/>
      <w:pPr>
        <w:ind w:left="4266" w:hanging="180"/>
      </w:pPr>
    </w:lvl>
    <w:lvl w:ilvl="6" w:tplc="240A000F" w:tentative="1">
      <w:start w:val="1"/>
      <w:numFmt w:val="decimal"/>
      <w:lvlText w:val="%7."/>
      <w:lvlJc w:val="left"/>
      <w:pPr>
        <w:ind w:left="4986" w:hanging="360"/>
      </w:pPr>
    </w:lvl>
    <w:lvl w:ilvl="7" w:tplc="240A0019" w:tentative="1">
      <w:start w:val="1"/>
      <w:numFmt w:val="lowerLetter"/>
      <w:lvlText w:val="%8."/>
      <w:lvlJc w:val="left"/>
      <w:pPr>
        <w:ind w:left="5706" w:hanging="360"/>
      </w:pPr>
    </w:lvl>
    <w:lvl w:ilvl="8" w:tplc="240A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3" w15:restartNumberingAfterBreak="0">
    <w:nsid w:val="62105129"/>
    <w:multiLevelType w:val="hybridMultilevel"/>
    <w:tmpl w:val="ACE0C2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28A0273"/>
    <w:multiLevelType w:val="hybridMultilevel"/>
    <w:tmpl w:val="A5EE4612"/>
    <w:lvl w:ilvl="0" w:tplc="4B5A5184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81085D"/>
    <w:multiLevelType w:val="hybridMultilevel"/>
    <w:tmpl w:val="E88AACE0"/>
    <w:lvl w:ilvl="0" w:tplc="2EFE24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C7F3C"/>
    <w:multiLevelType w:val="hybridMultilevel"/>
    <w:tmpl w:val="EF508C1E"/>
    <w:lvl w:ilvl="0" w:tplc="056EAE8E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 w:tplc="EAAA1288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 w:tplc="60B8D6F4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 w:tplc="FBA0B986">
      <w:start w:val="1"/>
      <w:numFmt w:val="lowerRoman"/>
      <w:lvlText w:val="(%4)"/>
      <w:lvlJc w:val="right"/>
      <w:pPr>
        <w:ind w:left="864" w:hanging="144"/>
      </w:pPr>
    </w:lvl>
    <w:lvl w:ilvl="4" w:tplc="C1D6CA5A">
      <w:start w:val="1"/>
      <w:numFmt w:val="decimal"/>
      <w:lvlText w:val="%5)"/>
      <w:lvlJc w:val="left"/>
      <w:pPr>
        <w:ind w:left="1008" w:hanging="432"/>
      </w:pPr>
    </w:lvl>
    <w:lvl w:ilvl="5" w:tplc="9E081F10">
      <w:start w:val="1"/>
      <w:numFmt w:val="lowerLetter"/>
      <w:lvlText w:val="%6)"/>
      <w:lvlJc w:val="left"/>
      <w:pPr>
        <w:ind w:left="1152" w:hanging="432"/>
      </w:pPr>
    </w:lvl>
    <w:lvl w:ilvl="6" w:tplc="039A9206">
      <w:start w:val="1"/>
      <w:numFmt w:val="lowerRoman"/>
      <w:lvlText w:val="%7)"/>
      <w:lvlJc w:val="right"/>
      <w:pPr>
        <w:ind w:left="1296" w:hanging="288"/>
      </w:pPr>
    </w:lvl>
    <w:lvl w:ilvl="7" w:tplc="985C69EC">
      <w:start w:val="1"/>
      <w:numFmt w:val="lowerLetter"/>
      <w:lvlText w:val="%8."/>
      <w:lvlJc w:val="left"/>
      <w:pPr>
        <w:ind w:left="1440" w:hanging="432"/>
      </w:pPr>
    </w:lvl>
    <w:lvl w:ilvl="8" w:tplc="E5BC032C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67840055"/>
    <w:multiLevelType w:val="hybridMultilevel"/>
    <w:tmpl w:val="A56CA848"/>
    <w:lvl w:ilvl="0" w:tplc="B3B0E2E0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0" w:hanging="360"/>
      </w:pPr>
    </w:lvl>
    <w:lvl w:ilvl="2" w:tplc="0409001B" w:tentative="1">
      <w:start w:val="1"/>
      <w:numFmt w:val="lowerRoman"/>
      <w:lvlText w:val="%3."/>
      <w:lvlJc w:val="right"/>
      <w:pPr>
        <w:ind w:left="1930" w:hanging="180"/>
      </w:pPr>
    </w:lvl>
    <w:lvl w:ilvl="3" w:tplc="0409000F" w:tentative="1">
      <w:start w:val="1"/>
      <w:numFmt w:val="decimal"/>
      <w:lvlText w:val="%4."/>
      <w:lvlJc w:val="left"/>
      <w:pPr>
        <w:ind w:left="2650" w:hanging="360"/>
      </w:pPr>
    </w:lvl>
    <w:lvl w:ilvl="4" w:tplc="04090019" w:tentative="1">
      <w:start w:val="1"/>
      <w:numFmt w:val="lowerLetter"/>
      <w:lvlText w:val="%5."/>
      <w:lvlJc w:val="left"/>
      <w:pPr>
        <w:ind w:left="3370" w:hanging="360"/>
      </w:pPr>
    </w:lvl>
    <w:lvl w:ilvl="5" w:tplc="0409001B" w:tentative="1">
      <w:start w:val="1"/>
      <w:numFmt w:val="lowerRoman"/>
      <w:lvlText w:val="%6."/>
      <w:lvlJc w:val="right"/>
      <w:pPr>
        <w:ind w:left="4090" w:hanging="180"/>
      </w:pPr>
    </w:lvl>
    <w:lvl w:ilvl="6" w:tplc="0409000F" w:tentative="1">
      <w:start w:val="1"/>
      <w:numFmt w:val="decimal"/>
      <w:lvlText w:val="%7."/>
      <w:lvlJc w:val="left"/>
      <w:pPr>
        <w:ind w:left="4810" w:hanging="360"/>
      </w:pPr>
    </w:lvl>
    <w:lvl w:ilvl="7" w:tplc="04090019" w:tentative="1">
      <w:start w:val="1"/>
      <w:numFmt w:val="lowerLetter"/>
      <w:lvlText w:val="%8."/>
      <w:lvlJc w:val="left"/>
      <w:pPr>
        <w:ind w:left="5530" w:hanging="360"/>
      </w:pPr>
    </w:lvl>
    <w:lvl w:ilvl="8" w:tplc="040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8" w15:restartNumberingAfterBreak="0">
    <w:nsid w:val="68D9075B"/>
    <w:multiLevelType w:val="hybridMultilevel"/>
    <w:tmpl w:val="45D6B0CA"/>
    <w:lvl w:ilvl="0" w:tplc="04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CCBB80">
      <w:start w:val="1"/>
      <w:numFmt w:val="lowerRoman"/>
      <w:lvlText w:val="(%2)"/>
      <w:lvlJc w:val="left"/>
      <w:pPr>
        <w:ind w:left="1080" w:hanging="360"/>
      </w:pPr>
      <w:rPr>
        <w:rFonts w:hint="default" w:ascii="Arial" w:hAnsi="Arial" w:cs="Arial" w:eastAsiaTheme="minorEastAsia"/>
        <w:b w:val="0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F5A1F6E"/>
    <w:multiLevelType w:val="hybridMultilevel"/>
    <w:tmpl w:val="C7EE696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16628A8"/>
    <w:multiLevelType w:val="multilevel"/>
    <w:tmpl w:val="B8D4263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2B7322E"/>
    <w:multiLevelType w:val="hybridMultilevel"/>
    <w:tmpl w:val="AB741A0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46055A7"/>
    <w:multiLevelType w:val="hybridMultilevel"/>
    <w:tmpl w:val="6AB62AB0"/>
    <w:lvl w:ilvl="0" w:tplc="3DFEB0AC">
      <w:start w:val="1"/>
      <w:numFmt w:val="lowerRoman"/>
      <w:lvlText w:val="(%1)"/>
      <w:lvlJc w:val="left"/>
      <w:pPr>
        <w:ind w:left="75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77" w:hanging="360"/>
      </w:pPr>
    </w:lvl>
    <w:lvl w:ilvl="2" w:tplc="240A001B" w:tentative="1">
      <w:start w:val="1"/>
      <w:numFmt w:val="lowerRoman"/>
      <w:lvlText w:val="%3."/>
      <w:lvlJc w:val="right"/>
      <w:pPr>
        <w:ind w:left="2197" w:hanging="180"/>
      </w:pPr>
    </w:lvl>
    <w:lvl w:ilvl="3" w:tplc="240A000F" w:tentative="1">
      <w:start w:val="1"/>
      <w:numFmt w:val="decimal"/>
      <w:lvlText w:val="%4."/>
      <w:lvlJc w:val="left"/>
      <w:pPr>
        <w:ind w:left="2917" w:hanging="360"/>
      </w:pPr>
    </w:lvl>
    <w:lvl w:ilvl="4" w:tplc="240A0019" w:tentative="1">
      <w:start w:val="1"/>
      <w:numFmt w:val="lowerLetter"/>
      <w:lvlText w:val="%5."/>
      <w:lvlJc w:val="left"/>
      <w:pPr>
        <w:ind w:left="3637" w:hanging="360"/>
      </w:pPr>
    </w:lvl>
    <w:lvl w:ilvl="5" w:tplc="240A001B" w:tentative="1">
      <w:start w:val="1"/>
      <w:numFmt w:val="lowerRoman"/>
      <w:lvlText w:val="%6."/>
      <w:lvlJc w:val="right"/>
      <w:pPr>
        <w:ind w:left="4357" w:hanging="180"/>
      </w:pPr>
    </w:lvl>
    <w:lvl w:ilvl="6" w:tplc="240A000F" w:tentative="1">
      <w:start w:val="1"/>
      <w:numFmt w:val="decimal"/>
      <w:lvlText w:val="%7."/>
      <w:lvlJc w:val="left"/>
      <w:pPr>
        <w:ind w:left="5077" w:hanging="360"/>
      </w:pPr>
    </w:lvl>
    <w:lvl w:ilvl="7" w:tplc="240A0019" w:tentative="1">
      <w:start w:val="1"/>
      <w:numFmt w:val="lowerLetter"/>
      <w:lvlText w:val="%8."/>
      <w:lvlJc w:val="left"/>
      <w:pPr>
        <w:ind w:left="5797" w:hanging="360"/>
      </w:pPr>
    </w:lvl>
    <w:lvl w:ilvl="8" w:tplc="24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 w15:restartNumberingAfterBreak="0">
    <w:nsid w:val="75D67093"/>
    <w:multiLevelType w:val="hybridMultilevel"/>
    <w:tmpl w:val="B0F651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62D6801"/>
    <w:multiLevelType w:val="multilevel"/>
    <w:tmpl w:val="F836B99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D43487D"/>
    <w:multiLevelType w:val="hybridMultilevel"/>
    <w:tmpl w:val="6602CB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"/>
  </w:num>
  <w:num w:numId="4">
    <w:abstractNumId w:val="20"/>
  </w:num>
  <w:num w:numId="5">
    <w:abstractNumId w:val="18"/>
  </w:num>
  <w:num w:numId="6">
    <w:abstractNumId w:val="34"/>
  </w:num>
  <w:num w:numId="7">
    <w:abstractNumId w:val="15"/>
  </w:num>
  <w:num w:numId="8">
    <w:abstractNumId w:val="30"/>
  </w:num>
  <w:num w:numId="9">
    <w:abstractNumId w:val="1"/>
  </w:num>
  <w:num w:numId="10">
    <w:abstractNumId w:val="8"/>
  </w:num>
  <w:num w:numId="11">
    <w:abstractNumId w:val="3"/>
  </w:num>
  <w:num w:numId="12">
    <w:abstractNumId w:val="26"/>
  </w:num>
  <w:num w:numId="13">
    <w:abstractNumId w:val="13"/>
  </w:num>
  <w:num w:numId="14">
    <w:abstractNumId w:val="23"/>
  </w:num>
  <w:num w:numId="15">
    <w:abstractNumId w:val="25"/>
  </w:num>
  <w:num w:numId="16">
    <w:abstractNumId w:val="35"/>
  </w:num>
  <w:num w:numId="17">
    <w:abstractNumId w:val="7"/>
  </w:num>
  <w:num w:numId="18">
    <w:abstractNumId w:val="16"/>
  </w:num>
  <w:num w:numId="19">
    <w:abstractNumId w:val="0"/>
  </w:num>
  <w:num w:numId="20">
    <w:abstractNumId w:val="19"/>
  </w:num>
  <w:num w:numId="21">
    <w:abstractNumId w:val="21"/>
  </w:num>
  <w:num w:numId="22">
    <w:abstractNumId w:val="31"/>
  </w:num>
  <w:num w:numId="23">
    <w:abstractNumId w:val="17"/>
  </w:num>
  <w:num w:numId="24">
    <w:abstractNumId w:val="6"/>
  </w:num>
  <w:num w:numId="25">
    <w:abstractNumId w:val="29"/>
  </w:num>
  <w:num w:numId="26">
    <w:abstractNumId w:val="14"/>
  </w:num>
  <w:num w:numId="27">
    <w:abstractNumId w:val="10"/>
  </w:num>
  <w:num w:numId="28">
    <w:abstractNumId w:val="33"/>
  </w:num>
  <w:num w:numId="29">
    <w:abstractNumId w:val="4"/>
  </w:num>
  <w:num w:numId="30">
    <w:abstractNumId w:val="27"/>
  </w:num>
  <w:num w:numId="31">
    <w:abstractNumId w:val="12"/>
  </w:num>
  <w:num w:numId="32">
    <w:abstractNumId w:val="11"/>
  </w:num>
  <w:num w:numId="33">
    <w:abstractNumId w:val="22"/>
  </w:num>
  <w:num w:numId="34">
    <w:abstractNumId w:val="28"/>
  </w:num>
  <w:num w:numId="35">
    <w:abstractNumId w:val="5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proofState w:spelling="clean" w:grammar="dirty"/>
  <w:trackRevisions w:val="true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2D5"/>
    <w:rsid w:val="0000218D"/>
    <w:rsid w:val="000165B5"/>
    <w:rsid w:val="00020FFC"/>
    <w:rsid w:val="0002543A"/>
    <w:rsid w:val="000376E1"/>
    <w:rsid w:val="00037A7E"/>
    <w:rsid w:val="00055030"/>
    <w:rsid w:val="000628EA"/>
    <w:rsid w:val="00066835"/>
    <w:rsid w:val="00070D89"/>
    <w:rsid w:val="000812B7"/>
    <w:rsid w:val="000875C5"/>
    <w:rsid w:val="00087ABE"/>
    <w:rsid w:val="00090403"/>
    <w:rsid w:val="000A1F4F"/>
    <w:rsid w:val="000B61E3"/>
    <w:rsid w:val="000C5AAD"/>
    <w:rsid w:val="000D462B"/>
    <w:rsid w:val="000D5F71"/>
    <w:rsid w:val="000E5B65"/>
    <w:rsid w:val="00101403"/>
    <w:rsid w:val="001257B7"/>
    <w:rsid w:val="001304F6"/>
    <w:rsid w:val="00131D8C"/>
    <w:rsid w:val="0013238F"/>
    <w:rsid w:val="00136B1C"/>
    <w:rsid w:val="00137DAB"/>
    <w:rsid w:val="001506C2"/>
    <w:rsid w:val="00151DF7"/>
    <w:rsid w:val="00152E67"/>
    <w:rsid w:val="001540D1"/>
    <w:rsid w:val="00154794"/>
    <w:rsid w:val="00156F9F"/>
    <w:rsid w:val="00157426"/>
    <w:rsid w:val="001610B3"/>
    <w:rsid w:val="00165797"/>
    <w:rsid w:val="0016605A"/>
    <w:rsid w:val="00170637"/>
    <w:rsid w:val="00170BB3"/>
    <w:rsid w:val="00172AF9"/>
    <w:rsid w:val="00184FD5"/>
    <w:rsid w:val="001869E7"/>
    <w:rsid w:val="0019074B"/>
    <w:rsid w:val="001945FB"/>
    <w:rsid w:val="00197DF1"/>
    <w:rsid w:val="001A2352"/>
    <w:rsid w:val="001A622F"/>
    <w:rsid w:val="001A67DB"/>
    <w:rsid w:val="001A786C"/>
    <w:rsid w:val="001B47BE"/>
    <w:rsid w:val="001B5ECC"/>
    <w:rsid w:val="001C28C8"/>
    <w:rsid w:val="001C327E"/>
    <w:rsid w:val="001C7B9C"/>
    <w:rsid w:val="001D0A60"/>
    <w:rsid w:val="001D5BCC"/>
    <w:rsid w:val="001E0399"/>
    <w:rsid w:val="001E68A9"/>
    <w:rsid w:val="001F0395"/>
    <w:rsid w:val="001F1C6C"/>
    <w:rsid w:val="001F5072"/>
    <w:rsid w:val="002000B7"/>
    <w:rsid w:val="00203128"/>
    <w:rsid w:val="002041B6"/>
    <w:rsid w:val="00212CD1"/>
    <w:rsid w:val="002167C7"/>
    <w:rsid w:val="0021797F"/>
    <w:rsid w:val="002303DD"/>
    <w:rsid w:val="0023093A"/>
    <w:rsid w:val="0024574A"/>
    <w:rsid w:val="00265D46"/>
    <w:rsid w:val="002752AE"/>
    <w:rsid w:val="00281557"/>
    <w:rsid w:val="00285568"/>
    <w:rsid w:val="002873B7"/>
    <w:rsid w:val="0029174C"/>
    <w:rsid w:val="00291BCE"/>
    <w:rsid w:val="00293DA9"/>
    <w:rsid w:val="00297ADA"/>
    <w:rsid w:val="002A5894"/>
    <w:rsid w:val="002A64D2"/>
    <w:rsid w:val="002B29D3"/>
    <w:rsid w:val="002C1AD7"/>
    <w:rsid w:val="002C5687"/>
    <w:rsid w:val="002D778B"/>
    <w:rsid w:val="002E5FA7"/>
    <w:rsid w:val="002F022A"/>
    <w:rsid w:val="002F0592"/>
    <w:rsid w:val="002F2232"/>
    <w:rsid w:val="00302E79"/>
    <w:rsid w:val="00304455"/>
    <w:rsid w:val="00313582"/>
    <w:rsid w:val="00330415"/>
    <w:rsid w:val="00334986"/>
    <w:rsid w:val="003400B1"/>
    <w:rsid w:val="00347CB2"/>
    <w:rsid w:val="003534B8"/>
    <w:rsid w:val="003566E8"/>
    <w:rsid w:val="00357DB5"/>
    <w:rsid w:val="00365529"/>
    <w:rsid w:val="00383418"/>
    <w:rsid w:val="003B1AA8"/>
    <w:rsid w:val="003B3C75"/>
    <w:rsid w:val="003B698D"/>
    <w:rsid w:val="003C1F43"/>
    <w:rsid w:val="003D1647"/>
    <w:rsid w:val="003D252E"/>
    <w:rsid w:val="003D7DCE"/>
    <w:rsid w:val="003E06A5"/>
    <w:rsid w:val="003E5022"/>
    <w:rsid w:val="003E7F33"/>
    <w:rsid w:val="003F4481"/>
    <w:rsid w:val="003F5068"/>
    <w:rsid w:val="003F5AEA"/>
    <w:rsid w:val="003F6EBC"/>
    <w:rsid w:val="004000FA"/>
    <w:rsid w:val="00411390"/>
    <w:rsid w:val="0041317D"/>
    <w:rsid w:val="0041369A"/>
    <w:rsid w:val="004252D5"/>
    <w:rsid w:val="00427E07"/>
    <w:rsid w:val="00434AE7"/>
    <w:rsid w:val="004439CB"/>
    <w:rsid w:val="00446B3E"/>
    <w:rsid w:val="004518B1"/>
    <w:rsid w:val="00457EBF"/>
    <w:rsid w:val="00460469"/>
    <w:rsid w:val="00476A13"/>
    <w:rsid w:val="00480586"/>
    <w:rsid w:val="004C0268"/>
    <w:rsid w:val="004E4EDF"/>
    <w:rsid w:val="004E5792"/>
    <w:rsid w:val="004F31C6"/>
    <w:rsid w:val="004F4A34"/>
    <w:rsid w:val="004F781D"/>
    <w:rsid w:val="00510034"/>
    <w:rsid w:val="0051447F"/>
    <w:rsid w:val="00517F12"/>
    <w:rsid w:val="005231B9"/>
    <w:rsid w:val="0053000F"/>
    <w:rsid w:val="005325C0"/>
    <w:rsid w:val="00535EF5"/>
    <w:rsid w:val="00547457"/>
    <w:rsid w:val="00550139"/>
    <w:rsid w:val="00562EEF"/>
    <w:rsid w:val="005645E4"/>
    <w:rsid w:val="00567E9B"/>
    <w:rsid w:val="00574B0A"/>
    <w:rsid w:val="00574DE0"/>
    <w:rsid w:val="00581677"/>
    <w:rsid w:val="00582D1F"/>
    <w:rsid w:val="00591392"/>
    <w:rsid w:val="00594AF0"/>
    <w:rsid w:val="005A0243"/>
    <w:rsid w:val="005A1D18"/>
    <w:rsid w:val="005A2567"/>
    <w:rsid w:val="005A3250"/>
    <w:rsid w:val="005B2562"/>
    <w:rsid w:val="005B7717"/>
    <w:rsid w:val="005D5881"/>
    <w:rsid w:val="005D69E8"/>
    <w:rsid w:val="005D6A27"/>
    <w:rsid w:val="005E2217"/>
    <w:rsid w:val="005E6A3E"/>
    <w:rsid w:val="005F5D70"/>
    <w:rsid w:val="00601E37"/>
    <w:rsid w:val="00620FD8"/>
    <w:rsid w:val="00647EDD"/>
    <w:rsid w:val="00660413"/>
    <w:rsid w:val="00664B49"/>
    <w:rsid w:val="0068619E"/>
    <w:rsid w:val="006B35AA"/>
    <w:rsid w:val="006C0710"/>
    <w:rsid w:val="006C2B82"/>
    <w:rsid w:val="006D1D61"/>
    <w:rsid w:val="006D6D1C"/>
    <w:rsid w:val="006E2591"/>
    <w:rsid w:val="006E25ED"/>
    <w:rsid w:val="006F16C4"/>
    <w:rsid w:val="006F1C26"/>
    <w:rsid w:val="006F5AEC"/>
    <w:rsid w:val="007002A4"/>
    <w:rsid w:val="007022FF"/>
    <w:rsid w:val="007029B6"/>
    <w:rsid w:val="007062F8"/>
    <w:rsid w:val="00724361"/>
    <w:rsid w:val="007276F8"/>
    <w:rsid w:val="00732087"/>
    <w:rsid w:val="007340B6"/>
    <w:rsid w:val="0073552F"/>
    <w:rsid w:val="007401EC"/>
    <w:rsid w:val="00746B4A"/>
    <w:rsid w:val="007473FE"/>
    <w:rsid w:val="0075094E"/>
    <w:rsid w:val="00755A5F"/>
    <w:rsid w:val="00763EE3"/>
    <w:rsid w:val="00764CB8"/>
    <w:rsid w:val="00770221"/>
    <w:rsid w:val="00776A94"/>
    <w:rsid w:val="007909BF"/>
    <w:rsid w:val="007958BC"/>
    <w:rsid w:val="007966B8"/>
    <w:rsid w:val="007A1AC9"/>
    <w:rsid w:val="007A2533"/>
    <w:rsid w:val="007A7191"/>
    <w:rsid w:val="007B249E"/>
    <w:rsid w:val="007B2E89"/>
    <w:rsid w:val="007B5CB2"/>
    <w:rsid w:val="007C223D"/>
    <w:rsid w:val="007D25BF"/>
    <w:rsid w:val="007D4DBA"/>
    <w:rsid w:val="007D59D8"/>
    <w:rsid w:val="007E00CD"/>
    <w:rsid w:val="007E768F"/>
    <w:rsid w:val="007E7944"/>
    <w:rsid w:val="007E7FA3"/>
    <w:rsid w:val="007F0AA5"/>
    <w:rsid w:val="007F5C40"/>
    <w:rsid w:val="00805246"/>
    <w:rsid w:val="00805AA8"/>
    <w:rsid w:val="008165E0"/>
    <w:rsid w:val="0084390F"/>
    <w:rsid w:val="00846D33"/>
    <w:rsid w:val="00874A47"/>
    <w:rsid w:val="00874C06"/>
    <w:rsid w:val="00876349"/>
    <w:rsid w:val="00886E0B"/>
    <w:rsid w:val="008A3B8D"/>
    <w:rsid w:val="008A41B7"/>
    <w:rsid w:val="008C0DF6"/>
    <w:rsid w:val="008C48A3"/>
    <w:rsid w:val="008C5986"/>
    <w:rsid w:val="008D2FEE"/>
    <w:rsid w:val="008D5341"/>
    <w:rsid w:val="008E22BD"/>
    <w:rsid w:val="008E44F2"/>
    <w:rsid w:val="0090486F"/>
    <w:rsid w:val="00910EAF"/>
    <w:rsid w:val="0091348D"/>
    <w:rsid w:val="00922CA6"/>
    <w:rsid w:val="00925870"/>
    <w:rsid w:val="00926EC0"/>
    <w:rsid w:val="009428D7"/>
    <w:rsid w:val="00944BEC"/>
    <w:rsid w:val="00944E88"/>
    <w:rsid w:val="00947E44"/>
    <w:rsid w:val="009563C2"/>
    <w:rsid w:val="009608D7"/>
    <w:rsid w:val="00960B02"/>
    <w:rsid w:val="00961D99"/>
    <w:rsid w:val="00970BBB"/>
    <w:rsid w:val="00982DEC"/>
    <w:rsid w:val="00993C3B"/>
    <w:rsid w:val="009B42E7"/>
    <w:rsid w:val="009C09D8"/>
    <w:rsid w:val="009C1049"/>
    <w:rsid w:val="009C1BB0"/>
    <w:rsid w:val="009C4300"/>
    <w:rsid w:val="009D72B7"/>
    <w:rsid w:val="009E3160"/>
    <w:rsid w:val="009E397E"/>
    <w:rsid w:val="009E41D8"/>
    <w:rsid w:val="009F0424"/>
    <w:rsid w:val="00A0275F"/>
    <w:rsid w:val="00A13407"/>
    <w:rsid w:val="00A13AFA"/>
    <w:rsid w:val="00A33F92"/>
    <w:rsid w:val="00A37DA3"/>
    <w:rsid w:val="00A408E3"/>
    <w:rsid w:val="00A40D3E"/>
    <w:rsid w:val="00A77A8C"/>
    <w:rsid w:val="00A80512"/>
    <w:rsid w:val="00A82041"/>
    <w:rsid w:val="00A83166"/>
    <w:rsid w:val="00A913D1"/>
    <w:rsid w:val="00A92C8B"/>
    <w:rsid w:val="00A97225"/>
    <w:rsid w:val="00AA5553"/>
    <w:rsid w:val="00AB2947"/>
    <w:rsid w:val="00AB2C1F"/>
    <w:rsid w:val="00AC0432"/>
    <w:rsid w:val="00AC2D95"/>
    <w:rsid w:val="00AD67F5"/>
    <w:rsid w:val="00AD733B"/>
    <w:rsid w:val="00AD74F8"/>
    <w:rsid w:val="00AD7AAD"/>
    <w:rsid w:val="00AE0F14"/>
    <w:rsid w:val="00AE14ED"/>
    <w:rsid w:val="00AE789C"/>
    <w:rsid w:val="00AF3DD7"/>
    <w:rsid w:val="00B00720"/>
    <w:rsid w:val="00B00747"/>
    <w:rsid w:val="00B00C3F"/>
    <w:rsid w:val="00B0212F"/>
    <w:rsid w:val="00B07B95"/>
    <w:rsid w:val="00B1279E"/>
    <w:rsid w:val="00B12D01"/>
    <w:rsid w:val="00B14706"/>
    <w:rsid w:val="00B17979"/>
    <w:rsid w:val="00B328D1"/>
    <w:rsid w:val="00B32946"/>
    <w:rsid w:val="00B374A8"/>
    <w:rsid w:val="00B376E8"/>
    <w:rsid w:val="00B41222"/>
    <w:rsid w:val="00B42B02"/>
    <w:rsid w:val="00B4458D"/>
    <w:rsid w:val="00B473E9"/>
    <w:rsid w:val="00B61AE0"/>
    <w:rsid w:val="00B64450"/>
    <w:rsid w:val="00B737F5"/>
    <w:rsid w:val="00B75E4D"/>
    <w:rsid w:val="00B82F7E"/>
    <w:rsid w:val="00B93150"/>
    <w:rsid w:val="00B978A9"/>
    <w:rsid w:val="00B97F71"/>
    <w:rsid w:val="00BA0EF2"/>
    <w:rsid w:val="00BA441B"/>
    <w:rsid w:val="00BB68C6"/>
    <w:rsid w:val="00BC0AD2"/>
    <w:rsid w:val="00BC2ED0"/>
    <w:rsid w:val="00BC3BA3"/>
    <w:rsid w:val="00BC7B93"/>
    <w:rsid w:val="00BD4C0E"/>
    <w:rsid w:val="00BE01D1"/>
    <w:rsid w:val="00BE2FF3"/>
    <w:rsid w:val="00BE5F17"/>
    <w:rsid w:val="00BE7378"/>
    <w:rsid w:val="00BF7926"/>
    <w:rsid w:val="00C03924"/>
    <w:rsid w:val="00C0415C"/>
    <w:rsid w:val="00C049AB"/>
    <w:rsid w:val="00C04AF6"/>
    <w:rsid w:val="00C127B0"/>
    <w:rsid w:val="00C16A18"/>
    <w:rsid w:val="00C17ACF"/>
    <w:rsid w:val="00C20910"/>
    <w:rsid w:val="00C2312D"/>
    <w:rsid w:val="00C243EB"/>
    <w:rsid w:val="00C26C9C"/>
    <w:rsid w:val="00C35F61"/>
    <w:rsid w:val="00C44C31"/>
    <w:rsid w:val="00C51812"/>
    <w:rsid w:val="00C6418A"/>
    <w:rsid w:val="00C70EE3"/>
    <w:rsid w:val="00C73140"/>
    <w:rsid w:val="00C76990"/>
    <w:rsid w:val="00C771DF"/>
    <w:rsid w:val="00C93577"/>
    <w:rsid w:val="00CC5F56"/>
    <w:rsid w:val="00CD5A91"/>
    <w:rsid w:val="00D03467"/>
    <w:rsid w:val="00D2095D"/>
    <w:rsid w:val="00D24970"/>
    <w:rsid w:val="00D32601"/>
    <w:rsid w:val="00D327CA"/>
    <w:rsid w:val="00D45107"/>
    <w:rsid w:val="00D47677"/>
    <w:rsid w:val="00D5398F"/>
    <w:rsid w:val="00D57AD5"/>
    <w:rsid w:val="00D57AD9"/>
    <w:rsid w:val="00D64D9B"/>
    <w:rsid w:val="00D652AF"/>
    <w:rsid w:val="00D730CA"/>
    <w:rsid w:val="00D73A19"/>
    <w:rsid w:val="00D82BCE"/>
    <w:rsid w:val="00D8650F"/>
    <w:rsid w:val="00DA2460"/>
    <w:rsid w:val="00DA3579"/>
    <w:rsid w:val="00DA7B9E"/>
    <w:rsid w:val="00DB049F"/>
    <w:rsid w:val="00DB4811"/>
    <w:rsid w:val="00DC487C"/>
    <w:rsid w:val="00DC495B"/>
    <w:rsid w:val="00DC5880"/>
    <w:rsid w:val="00DC7E36"/>
    <w:rsid w:val="00DD0035"/>
    <w:rsid w:val="00DD2E0D"/>
    <w:rsid w:val="00DE41BF"/>
    <w:rsid w:val="00DE56BF"/>
    <w:rsid w:val="00DE61E7"/>
    <w:rsid w:val="00DF2EE4"/>
    <w:rsid w:val="00E01CAD"/>
    <w:rsid w:val="00E03A90"/>
    <w:rsid w:val="00E04341"/>
    <w:rsid w:val="00E051BF"/>
    <w:rsid w:val="00E145F8"/>
    <w:rsid w:val="00E24085"/>
    <w:rsid w:val="00E273E5"/>
    <w:rsid w:val="00E30E7C"/>
    <w:rsid w:val="00E3418A"/>
    <w:rsid w:val="00E36737"/>
    <w:rsid w:val="00E40D91"/>
    <w:rsid w:val="00E4764F"/>
    <w:rsid w:val="00E737E3"/>
    <w:rsid w:val="00E7430E"/>
    <w:rsid w:val="00E820C4"/>
    <w:rsid w:val="00E90F99"/>
    <w:rsid w:val="00E91B78"/>
    <w:rsid w:val="00E95CEF"/>
    <w:rsid w:val="00EB3481"/>
    <w:rsid w:val="00EB7012"/>
    <w:rsid w:val="00EC493C"/>
    <w:rsid w:val="00EC5C71"/>
    <w:rsid w:val="00EC6902"/>
    <w:rsid w:val="00ED50CC"/>
    <w:rsid w:val="00ED6741"/>
    <w:rsid w:val="00EE76D1"/>
    <w:rsid w:val="00EF22CE"/>
    <w:rsid w:val="00F11D01"/>
    <w:rsid w:val="00F14152"/>
    <w:rsid w:val="00F14A63"/>
    <w:rsid w:val="00F212E1"/>
    <w:rsid w:val="00F26469"/>
    <w:rsid w:val="00F27000"/>
    <w:rsid w:val="00F30DA1"/>
    <w:rsid w:val="00F32878"/>
    <w:rsid w:val="00F34673"/>
    <w:rsid w:val="00F35E14"/>
    <w:rsid w:val="00F37155"/>
    <w:rsid w:val="00F4704A"/>
    <w:rsid w:val="00F50683"/>
    <w:rsid w:val="00F50715"/>
    <w:rsid w:val="00F511FC"/>
    <w:rsid w:val="00F53488"/>
    <w:rsid w:val="00F556A3"/>
    <w:rsid w:val="00F56CC0"/>
    <w:rsid w:val="00F60FC4"/>
    <w:rsid w:val="00F610EA"/>
    <w:rsid w:val="00F61FF6"/>
    <w:rsid w:val="00F74396"/>
    <w:rsid w:val="00F7688F"/>
    <w:rsid w:val="00F76ECE"/>
    <w:rsid w:val="00F803E9"/>
    <w:rsid w:val="00F8168F"/>
    <w:rsid w:val="00F83C76"/>
    <w:rsid w:val="00F94163"/>
    <w:rsid w:val="00FA508D"/>
    <w:rsid w:val="00FB4BC4"/>
    <w:rsid w:val="00FB54A1"/>
    <w:rsid w:val="00FB746B"/>
    <w:rsid w:val="00FC0578"/>
    <w:rsid w:val="00FC0A0D"/>
    <w:rsid w:val="00FC4F91"/>
    <w:rsid w:val="00FD2F51"/>
    <w:rsid w:val="00FD36AD"/>
    <w:rsid w:val="00FD4163"/>
    <w:rsid w:val="00FF0F84"/>
    <w:rsid w:val="00FF1E76"/>
    <w:rsid w:val="00FF3D42"/>
    <w:rsid w:val="00FF5BA1"/>
    <w:rsid w:val="01DD80D9"/>
    <w:rsid w:val="02152293"/>
    <w:rsid w:val="02CE8145"/>
    <w:rsid w:val="033D0E72"/>
    <w:rsid w:val="0408364B"/>
    <w:rsid w:val="04FAC4C0"/>
    <w:rsid w:val="050E7C27"/>
    <w:rsid w:val="05279C0B"/>
    <w:rsid w:val="05C70E80"/>
    <w:rsid w:val="0697C99F"/>
    <w:rsid w:val="074A5DA8"/>
    <w:rsid w:val="07E32CD0"/>
    <w:rsid w:val="09163B5E"/>
    <w:rsid w:val="0B5D977D"/>
    <w:rsid w:val="0B778F4A"/>
    <w:rsid w:val="0B93626D"/>
    <w:rsid w:val="0BBE37E1"/>
    <w:rsid w:val="0BCC70FB"/>
    <w:rsid w:val="0C5C3B2E"/>
    <w:rsid w:val="0C6196CA"/>
    <w:rsid w:val="0EA2DB84"/>
    <w:rsid w:val="0F93B3C8"/>
    <w:rsid w:val="11D53864"/>
    <w:rsid w:val="131E3DCC"/>
    <w:rsid w:val="13FDDFF2"/>
    <w:rsid w:val="15C86493"/>
    <w:rsid w:val="16993515"/>
    <w:rsid w:val="1C2E0ABE"/>
    <w:rsid w:val="1E0BADFE"/>
    <w:rsid w:val="1E161CDF"/>
    <w:rsid w:val="1E29EB5E"/>
    <w:rsid w:val="1F590E65"/>
    <w:rsid w:val="1FB1ED40"/>
    <w:rsid w:val="20D86BB7"/>
    <w:rsid w:val="2123FE88"/>
    <w:rsid w:val="212B2EE6"/>
    <w:rsid w:val="2228F178"/>
    <w:rsid w:val="2240D054"/>
    <w:rsid w:val="242DC9A3"/>
    <w:rsid w:val="254C4267"/>
    <w:rsid w:val="258CC3AA"/>
    <w:rsid w:val="25C21316"/>
    <w:rsid w:val="279967E7"/>
    <w:rsid w:val="2B0DB4A5"/>
    <w:rsid w:val="2B3867E6"/>
    <w:rsid w:val="2C3D5DB5"/>
    <w:rsid w:val="2D14E415"/>
    <w:rsid w:val="2D3404C7"/>
    <w:rsid w:val="2FB44449"/>
    <w:rsid w:val="3059B8A2"/>
    <w:rsid w:val="315014AA"/>
    <w:rsid w:val="32C010F4"/>
    <w:rsid w:val="32DC8B1B"/>
    <w:rsid w:val="33915964"/>
    <w:rsid w:val="34AE04E7"/>
    <w:rsid w:val="359597EC"/>
    <w:rsid w:val="3631B016"/>
    <w:rsid w:val="36EF6E9D"/>
    <w:rsid w:val="373244B3"/>
    <w:rsid w:val="380219B7"/>
    <w:rsid w:val="38413A18"/>
    <w:rsid w:val="39391DFD"/>
    <w:rsid w:val="3B3D8F81"/>
    <w:rsid w:val="3D5DF07E"/>
    <w:rsid w:val="3E12D640"/>
    <w:rsid w:val="3E4D4831"/>
    <w:rsid w:val="3F2470C0"/>
    <w:rsid w:val="4025620B"/>
    <w:rsid w:val="40373ECB"/>
    <w:rsid w:val="42ACAF25"/>
    <w:rsid w:val="448217C4"/>
    <w:rsid w:val="469D566F"/>
    <w:rsid w:val="46DDDF94"/>
    <w:rsid w:val="47B62B78"/>
    <w:rsid w:val="48F451C3"/>
    <w:rsid w:val="48F6C0C4"/>
    <w:rsid w:val="49F85A53"/>
    <w:rsid w:val="4CE399FD"/>
    <w:rsid w:val="4D84925F"/>
    <w:rsid w:val="4DB31B8B"/>
    <w:rsid w:val="4F841E46"/>
    <w:rsid w:val="5102D7AD"/>
    <w:rsid w:val="51D401CA"/>
    <w:rsid w:val="53CCE433"/>
    <w:rsid w:val="5405DE2D"/>
    <w:rsid w:val="56A510B2"/>
    <w:rsid w:val="5A20631A"/>
    <w:rsid w:val="5A5A269C"/>
    <w:rsid w:val="5A5A2BC2"/>
    <w:rsid w:val="5A7C8989"/>
    <w:rsid w:val="5C6CB5F1"/>
    <w:rsid w:val="5C8A54BF"/>
    <w:rsid w:val="5FD1FE27"/>
    <w:rsid w:val="5FF30095"/>
    <w:rsid w:val="60DE73C2"/>
    <w:rsid w:val="61D7483E"/>
    <w:rsid w:val="64270CC3"/>
    <w:rsid w:val="64F821C1"/>
    <w:rsid w:val="661ED3CE"/>
    <w:rsid w:val="668A16E0"/>
    <w:rsid w:val="68188D42"/>
    <w:rsid w:val="6824D069"/>
    <w:rsid w:val="684175D2"/>
    <w:rsid w:val="688D9AA1"/>
    <w:rsid w:val="6981F108"/>
    <w:rsid w:val="69B45DA3"/>
    <w:rsid w:val="6B071CFD"/>
    <w:rsid w:val="6BDCFA00"/>
    <w:rsid w:val="6DB186DF"/>
    <w:rsid w:val="6E7DE9FD"/>
    <w:rsid w:val="6F03A59F"/>
    <w:rsid w:val="6F472772"/>
    <w:rsid w:val="700E1C8D"/>
    <w:rsid w:val="70C5F6D6"/>
    <w:rsid w:val="7268F007"/>
    <w:rsid w:val="735E2482"/>
    <w:rsid w:val="7405F6FB"/>
    <w:rsid w:val="76CCC3E1"/>
    <w:rsid w:val="7A1D2B62"/>
    <w:rsid w:val="7D7C5DF6"/>
    <w:rsid w:val="7DA66CC4"/>
    <w:rsid w:val="7DE17C2E"/>
    <w:rsid w:val="7E054134"/>
    <w:rsid w:val="7E6D03F3"/>
    <w:rsid w:val="7E6EE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6E8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C40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C40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C40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C40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C40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C40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C40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C40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1" w:customStyle="1">
    <w:name w:val="List Paragraph1"/>
    <w:basedOn w:val="Normal"/>
    <w:rsid w:val="004252D5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5FA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E5FA7"/>
  </w:style>
  <w:style w:type="paragraph" w:styleId="Footer">
    <w:name w:val="footer"/>
    <w:basedOn w:val="Normal"/>
    <w:link w:val="FooterChar"/>
    <w:uiPriority w:val="99"/>
    <w:unhideWhenUsed/>
    <w:rsid w:val="002E5FA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E5FA7"/>
  </w:style>
  <w:style w:type="paragraph" w:styleId="BalloonText">
    <w:name w:val="Balloon Text"/>
    <w:basedOn w:val="Normal"/>
    <w:link w:val="BalloonTextChar"/>
    <w:uiPriority w:val="99"/>
    <w:semiHidden/>
    <w:unhideWhenUsed/>
    <w:rsid w:val="002E5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E5F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02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218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02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18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021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01403"/>
    <w:pPr>
      <w:ind w:left="720"/>
      <w:contextualSpacing/>
    </w:pPr>
  </w:style>
  <w:style w:type="paragraph" w:styleId="Chapter" w:customStyle="1">
    <w:name w:val="Chapter"/>
    <w:basedOn w:val="Normal"/>
    <w:next w:val="Normal"/>
    <w:link w:val="ChapterChar"/>
    <w:rsid w:val="007F5C40"/>
    <w:pPr>
      <w:keepNext/>
      <w:numPr>
        <w:numId w:val="5"/>
      </w:numPr>
      <w:tabs>
        <w:tab w:val="num" w:pos="648"/>
        <w:tab w:val="left" w:pos="1440"/>
      </w:tabs>
      <w:spacing w:before="240" w:after="240" w:line="240" w:lineRule="auto"/>
      <w:ind w:left="0" w:firstLine="288"/>
      <w:jc w:val="center"/>
    </w:pPr>
    <w:rPr>
      <w:rFonts w:ascii="Times New Roman" w:hAnsi="Times New Roman" w:cs="Times New Roman"/>
      <w:b/>
      <w:smallCaps/>
      <w:sz w:val="24"/>
      <w:szCs w:val="20"/>
      <w:lang w:val="es-ES_tradnl"/>
    </w:rPr>
  </w:style>
  <w:style w:type="character" w:styleId="ChapterChar" w:customStyle="1">
    <w:name w:val="Chapter Char"/>
    <w:basedOn w:val="DefaultParagraphFont"/>
    <w:link w:val="Chapter"/>
    <w:rsid w:val="007F5C40"/>
    <w:rPr>
      <w:rFonts w:ascii="Times New Roman" w:hAnsi="Times New Roman" w:cs="Times New Roman"/>
      <w:b/>
      <w:smallCaps/>
      <w:sz w:val="24"/>
      <w:szCs w:val="20"/>
      <w:lang w:val="es-ES_tradnl"/>
    </w:rPr>
  </w:style>
  <w:style w:type="paragraph" w:styleId="FirstHeading" w:customStyle="1">
    <w:name w:val="FirstHeading"/>
    <w:basedOn w:val="Normal"/>
    <w:next w:val="Normal"/>
    <w:link w:val="FirstHeadingChar"/>
    <w:rsid w:val="007F5C40"/>
    <w:pPr>
      <w:keepNext/>
      <w:numPr>
        <w:numId w:val="1"/>
      </w:numPr>
      <w:tabs>
        <w:tab w:val="clear" w:pos="360"/>
        <w:tab w:val="left" w:pos="0"/>
        <w:tab w:val="left" w:pos="86"/>
      </w:tabs>
      <w:spacing w:before="120" w:after="120" w:line="240" w:lineRule="auto"/>
      <w:ind w:left="720" w:hanging="720"/>
    </w:pPr>
    <w:rPr>
      <w:rFonts w:ascii="Times New Roman" w:hAnsi="Times New Roman" w:cs="Times New Roman"/>
      <w:b/>
      <w:sz w:val="24"/>
      <w:szCs w:val="20"/>
      <w:lang w:val="es-ES_tradnl"/>
    </w:rPr>
  </w:style>
  <w:style w:type="character" w:styleId="FirstHeadingChar" w:customStyle="1">
    <w:name w:val="FirstHeading Char"/>
    <w:basedOn w:val="DefaultParagraphFont"/>
    <w:link w:val="FirstHeading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styleId="SecHeading" w:customStyle="1">
    <w:name w:val="SecHeading"/>
    <w:basedOn w:val="Normal"/>
    <w:next w:val="Paragraph"/>
    <w:link w:val="SecHeadingChar"/>
    <w:rsid w:val="007F5C40"/>
    <w:pPr>
      <w:keepNext/>
      <w:tabs>
        <w:tab w:val="num" w:pos="1296"/>
      </w:tabs>
      <w:spacing w:before="120" w:after="120" w:line="240" w:lineRule="auto"/>
      <w:ind w:left="1296" w:hanging="576"/>
    </w:pPr>
    <w:rPr>
      <w:rFonts w:ascii="Times New Roman" w:hAnsi="Times New Roman" w:cs="Times New Roman"/>
      <w:b/>
      <w:sz w:val="24"/>
      <w:szCs w:val="20"/>
      <w:lang w:val="es-ES_tradnl"/>
    </w:rPr>
  </w:style>
  <w:style w:type="character" w:styleId="SecHeadingChar" w:customStyle="1">
    <w:name w:val="SecHeading Char"/>
    <w:basedOn w:val="DefaultParagraphFont"/>
    <w:link w:val="SecHeading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styleId="SubHeading1" w:customStyle="1">
    <w:name w:val="SubHeading1"/>
    <w:basedOn w:val="SecHeading"/>
    <w:link w:val="SubHeading1Char"/>
    <w:rsid w:val="007F5C40"/>
    <w:pPr>
      <w:tabs>
        <w:tab w:val="clear" w:pos="1296"/>
        <w:tab w:val="num" w:pos="1872"/>
      </w:tabs>
      <w:ind w:left="1872"/>
    </w:pPr>
  </w:style>
  <w:style w:type="character" w:styleId="SubHeading1Char" w:customStyle="1">
    <w:name w:val="SubHeading1 Char"/>
    <w:basedOn w:val="DefaultParagraphFont"/>
    <w:link w:val="SubHeading1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styleId="Subheading2" w:customStyle="1">
    <w:name w:val="Subheading2"/>
    <w:basedOn w:val="SecHeading"/>
    <w:link w:val="Subheading2Char"/>
    <w:rsid w:val="007F5C40"/>
    <w:pPr>
      <w:tabs>
        <w:tab w:val="clear" w:pos="1296"/>
        <w:tab w:val="num" w:pos="2376"/>
      </w:tabs>
      <w:ind w:left="2376" w:hanging="288"/>
    </w:pPr>
  </w:style>
  <w:style w:type="character" w:styleId="Subheading2Char" w:customStyle="1">
    <w:name w:val="Subheading2 Char"/>
    <w:basedOn w:val="DefaultParagraphFont"/>
    <w:link w:val="Subheading2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styleId="Paragraph" w:customStyle="1">
    <w:name w:val="Paragraph"/>
    <w:aliases w:val="paragraph,p,PARAGRAPH,PG,pa,at"/>
    <w:basedOn w:val="BodyTextIndent"/>
    <w:link w:val="ParagraphChar"/>
    <w:uiPriority w:val="99"/>
    <w:qFormat/>
    <w:rsid w:val="007F5C40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  <w:lang w:val="es-ES_tradnl"/>
    </w:rPr>
  </w:style>
  <w:style w:type="character" w:styleId="ParagraphChar" w:customStyle="1">
    <w:name w:val="Paragraph Char"/>
    <w:basedOn w:val="DefaultParagraphFont"/>
    <w:link w:val="Paragraph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styleId="subpar" w:customStyle="1">
    <w:name w:val="subpar"/>
    <w:basedOn w:val="BodyTextIndent3"/>
    <w:link w:val="subparChar"/>
    <w:uiPriority w:val="99"/>
    <w:rsid w:val="007F5C40"/>
    <w:pPr>
      <w:tabs>
        <w:tab w:val="num" w:pos="1152"/>
      </w:tabs>
      <w:spacing w:before="120"/>
      <w:ind w:left="1152" w:hanging="432"/>
      <w:jc w:val="both"/>
      <w:outlineLvl w:val="2"/>
    </w:pPr>
    <w:rPr>
      <w:szCs w:val="20"/>
      <w:lang w:val="es-ES_tradnl"/>
    </w:rPr>
  </w:style>
  <w:style w:type="character" w:styleId="subparChar" w:customStyle="1">
    <w:name w:val="subpar Char"/>
    <w:basedOn w:val="DefaultParagraphFont"/>
    <w:link w:val="subpar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styleId="SubSubPar" w:customStyle="1">
    <w:name w:val="SubSubPar"/>
    <w:basedOn w:val="subpar"/>
    <w:link w:val="SubSubParChar"/>
    <w:uiPriority w:val="99"/>
    <w:rsid w:val="007F5C40"/>
    <w:pPr>
      <w:tabs>
        <w:tab w:val="clear" w:pos="1152"/>
        <w:tab w:val="left" w:pos="0"/>
        <w:tab w:val="num" w:pos="1296"/>
      </w:tabs>
      <w:ind w:left="1296" w:hanging="288"/>
    </w:pPr>
  </w:style>
  <w:style w:type="character" w:styleId="SubSubParChar" w:customStyle="1">
    <w:name w:val="SubSubPar Char"/>
    <w:basedOn w:val="DefaultParagraphFont"/>
    <w:link w:val="SubSubPar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styleId="Regtable" w:customStyle="1">
    <w:name w:val="Regtable"/>
    <w:basedOn w:val="Normal"/>
    <w:link w:val="RegtableChar"/>
    <w:rsid w:val="007F5C40"/>
    <w:pPr>
      <w:keepLines/>
      <w:framePr w:wrap="around" w:hAnchor="text" w:vAnchor="text" w:y="1"/>
      <w:tabs>
        <w:tab w:val="num" w:pos="216"/>
      </w:tabs>
      <w:spacing w:before="20" w:after="20" w:line="240" w:lineRule="auto"/>
    </w:pPr>
    <w:rPr>
      <w:rFonts w:ascii="Times New Roman" w:hAnsi="Times New Roman" w:cs="Times New Roman"/>
      <w:sz w:val="20"/>
      <w:szCs w:val="20"/>
      <w:lang w:val="es-ES_tradnl"/>
    </w:rPr>
  </w:style>
  <w:style w:type="character" w:styleId="RegtableChar" w:customStyle="1">
    <w:name w:val="Regtable Char"/>
    <w:basedOn w:val="DefaultParagraphFont"/>
    <w:link w:val="Regtable"/>
    <w:rsid w:val="007F5C40"/>
    <w:rPr>
      <w:rFonts w:ascii="Times New Roman" w:hAnsi="Times New Roman" w:cs="Times New Roman"/>
      <w:sz w:val="20"/>
      <w:szCs w:val="20"/>
      <w:lang w:val="es-ES_tradnl"/>
    </w:rPr>
  </w:style>
  <w:style w:type="paragraph" w:styleId="TableTitle" w:customStyle="1">
    <w:name w:val="TableTitle"/>
    <w:basedOn w:val="Normal"/>
    <w:link w:val="TableTitleChar"/>
    <w:rsid w:val="007F5C40"/>
    <w:pPr>
      <w:keepNext/>
      <w:framePr w:wrap="around" w:hAnchor="text" w:vAnchor="text" w:y="1"/>
      <w:spacing w:before="20" w:after="20" w:line="240" w:lineRule="auto"/>
      <w:jc w:val="center"/>
    </w:pPr>
    <w:rPr>
      <w:rFonts w:ascii="Times New Roman Bold" w:hAnsi="Times New Roman Bold" w:cs="Times New Roman"/>
      <w:b/>
      <w:spacing w:val="-3"/>
      <w:sz w:val="20"/>
      <w:szCs w:val="20"/>
      <w:lang w:val="es-ES_tradnl"/>
    </w:rPr>
  </w:style>
  <w:style w:type="character" w:styleId="TableTitleChar" w:customStyle="1">
    <w:name w:val="TableTitle Char"/>
    <w:basedOn w:val="DefaultParagraphFont"/>
    <w:link w:val="TableTitle"/>
    <w:rsid w:val="007F5C40"/>
    <w:rPr>
      <w:rFonts w:ascii="Times New Roman Bold" w:hAnsi="Times New Roman Bold" w:cs="Times New Roman"/>
      <w:b/>
      <w:spacing w:val="-3"/>
      <w:sz w:val="20"/>
      <w:szCs w:val="20"/>
      <w:lang w:val="es-ES_tradnl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F5C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F5C40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F5C40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F5C40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F5C40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F5C40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F5C40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F5C40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F5C40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7F5C40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F5C40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7F5C40"/>
    <w:rPr>
      <w:rFonts w:ascii="Times New Roman" w:hAnsi="Times New Roman" w:cs="Times New Roman"/>
      <w:sz w:val="24"/>
      <w:szCs w:val="16"/>
    </w:r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"/>
    <w:basedOn w:val="Normal"/>
    <w:link w:val="FootnoteTextChar"/>
    <w:unhideWhenUsed/>
    <w:rsid w:val="007F5C40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styleId="FootnoteTextChar" w:customStyle="1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rsid w:val="007F5C40"/>
    <w:rPr>
      <w:rFonts w:ascii="Times New Roman" w:hAnsi="Times New Roman" w:cs="Times New Roman"/>
      <w:spacing w:val="-3"/>
      <w:sz w:val="20"/>
      <w:szCs w:val="20"/>
    </w:rPr>
  </w:style>
  <w:style w:type="paragraph" w:styleId="Default" w:customStyle="1">
    <w:name w:val="Default"/>
    <w:rsid w:val="003F6E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C0DF6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val="es-ES" w:eastAsia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1A2352"/>
    <w:rPr>
      <w:vertAlign w:val="superscript"/>
    </w:rPr>
  </w:style>
  <w:style w:type="character" w:styleId="ParagraphCar" w:customStyle="1">
    <w:name w:val="Paragraph Car"/>
    <w:uiPriority w:val="99"/>
    <w:rsid w:val="00F11D01"/>
    <w:rPr>
      <w:rFonts w:ascii="Times New Roman" w:hAnsi="Times New Roman" w:eastAsia="Times New Roman" w:cs="Times New Roman"/>
      <w:sz w:val="24"/>
      <w:szCs w:val="20"/>
      <w:lang w:val="es-ES"/>
    </w:rPr>
  </w:style>
  <w:style w:type="table" w:styleId="TableGrid">
    <w:name w:val="Table Grid"/>
    <w:basedOn w:val="TableNormal"/>
    <w:uiPriority w:val="59"/>
    <w:rsid w:val="004439CB"/>
    <w:pPr>
      <w:spacing w:after="0" w:line="240" w:lineRule="auto"/>
    </w:pPr>
    <w:rPr>
      <w:rFonts w:ascii="Arial" w:hAnsi="Arial" w:eastAsiaTheme="minorEastAsia"/>
      <w:sz w:val="20"/>
      <w:szCs w:val="20"/>
      <w:lang w:val="es-V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1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04304171b5874e4c" Type="http://schemas.openxmlformats.org/officeDocument/2006/relationships/glossaryDocument" Target="/word/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e1ad3-af6f-4ac3-9b6b-c3a2a8b82353}"/>
      </w:docPartPr>
      <w:docPartBody>
        <w:p w14:paraId="74E4830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9E80DA51F31F04CB3217EEFC480A8EA" ma:contentTypeVersion="4343" ma:contentTypeDescription="A content type to manage public (operations) IDB documents" ma:contentTypeScope="" ma:versionID="f26fc3851260302dd0d794cef6640dd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0e123b6dd79d65233f9d7243ff7fa2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INE/TSP</Division_x0020_or_x0020_Unit>
    <_dlc_DocId xmlns="cdc7663a-08f0-4737-9e8c-148ce897a09c">EZSHARE-831995550-7</_dlc_DocId>
    <Document_x0020_Author xmlns="cdc7663a-08f0-4737-9e8c-148ce897a09c">Calderon Anton Jose de Jesus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Extracted_x0020_Keywords xmlns="cdc7663a-08f0-4737-9e8c-148ce897a09c"/>
    <Project_x0020_Number xmlns="cdc7663a-08f0-4737-9e8c-148ce897a09c">HO-L1219</Project_x0020_Number>
    <Migration_x0020_Info xmlns="cdc7663a-08f0-4737-9e8c-148ce897a09c" xsi:nil="true"/>
    <Package_x0020_Code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SISCOR_x0020_Number xmlns="cdc7663a-08f0-4737-9e8c-148ce897a09c" xsi:nil="true"/>
    <Access_x0020_to_x0020_Information_x00a0_Policy xmlns="cdc7663a-08f0-4737-9e8c-148ce897a09c">Public - Simultaneous Disclosure</Access_x0020_to_x0020_Information_x00a0_Policy>
    <Identifier xmlns="cdc7663a-08f0-4737-9e8c-148ce897a09c" xsi:nil="true"/>
    <Document_x0020_Language_x0020_IDB xmlns="cdc7663a-08f0-4737-9e8c-148ce897a09c">Spanish</Document_x0020_Language_x0020_IDB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Url xmlns="cdc7663a-08f0-4737-9e8c-148ce897a09c">
      <Url>https://idbg.sharepoint.com/teams/EZ-HO-LON/HO-L1219/_layouts/15/DocIdRedir.aspx?ID=EZSHARE-831995550-7</Url>
      <Description>EZSHARE-831995550-7</Description>
    </_dlc_DocIdUrl>
    <Phase xmlns="cdc7663a-08f0-4737-9e8c-148ce897a09c">PHASE_PREPARATION</Phase>
    <Other_x0020_Author xmlns="cdc7663a-08f0-4737-9e8c-148ce897a09c" xsi:nil="true"/>
    <IDBDocs_x0020_Number xmlns="cdc7663a-08f0-4737-9e8c-148ce897a09c" xsi:nil="true"/>
    <TaxCatchAll xmlns="cdc7663a-08f0-4737-9e8c-148ce897a09c">
      <Value>26</Value>
      <Value>1</Value>
    </TaxCatchAll>
    <Fiscal_x0020_Year_x0020_IDB xmlns="cdc7663a-08f0-4737-9e8c-148ce897a09c">2021</Fiscal_x0020_Year_x0020_IDB>
    <Operation_x0020_Type xmlns="cdc7663a-08f0-4737-9e8c-148ce897a09c">LON</Operation_x0020_Type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C3445978-6EBE-43F3-AA96-4B5ADF80332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437483D-E2B7-433E-BFD3-F090FF81C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8433BF-8632-499F-B531-FF4E2A2898FE}"/>
</file>

<file path=customXml/itemProps4.xml><?xml version="1.0" encoding="utf-8"?>
<ds:datastoreItem xmlns:ds="http://schemas.openxmlformats.org/officeDocument/2006/customXml" ds:itemID="{AAE0B6A5-4BCC-464C-95A6-3AE68BF3815A}"/>
</file>

<file path=customXml/itemProps5.xml><?xml version="1.0" encoding="utf-8"?>
<ds:datastoreItem xmlns:ds="http://schemas.openxmlformats.org/officeDocument/2006/customXml" ds:itemID="{B06A4D47-9741-4753-8821-DFBF05471C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98578D10-0739-4EC8-AFE4-89EA01B1B5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Deambrosi, Sergio Luis</cp:lastModifiedBy>
  <cp:revision>10</cp:revision>
  <dcterms:created xsi:type="dcterms:W3CDTF">2021-02-07T23:50:00Z</dcterms:created>
  <dcterms:modified xsi:type="dcterms:W3CDTF">2021-08-24T21:34:26Z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Function_x0020_Operations_x0020_IDB">
    <vt:lpwstr>1;#Project Preparation Planning and Design|29ca0c72-1fc4-435f-a09c-28585cb5eac9</vt:lpwstr>
  </property>
  <property fmtid="{D5CDD505-2E9C-101B-9397-08002B2CF9AE}" pid="5" name="TaxKeywordTaxHTField">
    <vt:lpwstr/>
  </property>
  <property fmtid="{D5CDD505-2E9C-101B-9397-08002B2CF9AE}" pid="7" name="Sub-Sector">
    <vt:lpwstr/>
  </property>
  <property fmtid="{D5CDD505-2E9C-101B-9397-08002B2CF9AE}" pid="8" name="Country">
    <vt:lpwstr>26;#Honduras|0dd9f989-602d-4742-8212-5c1b8b0b74d5</vt:lpwstr>
  </property>
  <property fmtid="{D5CDD505-2E9C-101B-9397-08002B2CF9AE}" pid="9" name="_dlc_DocIdItemGuid">
    <vt:lpwstr>6aed2d2a-c91f-4477-beb2-dcfb6e89405d</vt:lpwstr>
  </property>
  <property fmtid="{D5CDD505-2E9C-101B-9397-08002B2CF9AE}" pid="10" name="Fund IDB">
    <vt:lpwstr/>
  </property>
  <property fmtid="{D5CDD505-2E9C-101B-9397-08002B2CF9AE}" pid="11" name="Fund_x0020_IDB">
    <vt:lpwstr/>
  </property>
  <property fmtid="{D5CDD505-2E9C-101B-9397-08002B2CF9AE}" pid="12" name="Series_x0020_Operations_x0020_IDB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 Planning and Design|29ca0c72-1fc4-435f-a09c-28585cb5eac9</vt:lpwstr>
  </property>
  <property fmtid="{D5CDD505-2E9C-101B-9397-08002B2CF9AE}" pid="15" name="Sector_x0020_IDB">
    <vt:lpwstr/>
  </property>
  <property fmtid="{D5CDD505-2E9C-101B-9397-08002B2CF9AE}" pid="17" name="Disclosure Activity">
    <vt:lpwstr>Loan Proposal</vt:lpwstr>
  </property>
  <property fmtid="{D5CDD505-2E9C-101B-9397-08002B2CF9AE}" pid="19" name="ContentTypeId">
    <vt:lpwstr>0x0101001A458A224826124E8B45B1D613300CFC00D9E80DA51F31F04CB3217EEFC480A8EA</vt:lpwstr>
  </property>
  <property fmtid="{D5CDD505-2E9C-101B-9397-08002B2CF9AE}" pid="20" name="Series Operations IDB">
    <vt:lpwstr/>
  </property>
</Properties>
</file>