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46B78" w14:textId="77777777" w:rsidR="001A7858" w:rsidRDefault="007079B5">
      <w:pPr>
        <w:spacing w:before="200" w:after="200"/>
        <w:jc w:val="center"/>
      </w:pPr>
      <w:r>
        <w:rPr>
          <w:rFonts w:ascii="Arial" w:hAnsi="Arial" w:cs="Arial"/>
          <w:b/>
        </w:rPr>
        <w:t>TC ABSTRACT</w:t>
      </w:r>
    </w:p>
    <w:p w14:paraId="2D9BD3D4" w14:textId="77777777" w:rsidR="001A7858" w:rsidRDefault="007079B5">
      <w:pPr>
        <w:spacing w:before="120" w:after="120"/>
        <w:ind w:left="579" w:hanging="579"/>
      </w:pPr>
      <w:r>
        <w:rPr>
          <w:rFonts w:ascii="Arial" w:hAnsi="Arial" w:cs="Arial"/>
          <w:b/>
        </w:rPr>
        <w:t>I.</w:t>
      </w:r>
      <w:r>
        <w:rPr>
          <w:rFonts w:ascii="Arial" w:hAnsi="Arial" w:cs="Arial"/>
          <w:b/>
        </w:rPr>
        <w:tab/>
        <w:t>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14"/>
        <w:gridCol w:w="5128"/>
      </w:tblGrid>
      <w:tr w:rsidR="001A7858" w14:paraId="0D1F9283" w14:textId="77777777">
        <w:trPr>
          <w:jc w:val="center"/>
        </w:trPr>
        <w:tc>
          <w:tcPr>
            <w:tcW w:w="5250" w:type="dxa"/>
          </w:tcPr>
          <w:p w14:paraId="4E1A41F5" w14:textId="77777777" w:rsidR="001A7858" w:rsidRDefault="007079B5">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6750" w:type="dxa"/>
          </w:tcPr>
          <w:p w14:paraId="60613AF4" w14:textId="77777777" w:rsidR="001A7858" w:rsidRDefault="007079B5">
            <w:pPr>
              <w:spacing w:before="40" w:after="40"/>
            </w:pPr>
            <w:r>
              <w:rPr>
                <w:rFonts w:ascii="Arial" w:hAnsi="Arial" w:cs="Arial"/>
                <w:sz w:val="18"/>
                <w:szCs w:val="18"/>
              </w:rPr>
              <w:t>PANAMA/CID - Isthmus &amp; DR</w:t>
            </w:r>
          </w:p>
        </w:tc>
      </w:tr>
      <w:tr w:rsidR="001A7858" w14:paraId="580FDD9D" w14:textId="77777777">
        <w:trPr>
          <w:jc w:val="center"/>
        </w:trPr>
        <w:tc>
          <w:tcPr>
            <w:tcW w:w="5250" w:type="dxa"/>
          </w:tcPr>
          <w:p w14:paraId="0F446656" w14:textId="77777777" w:rsidR="001A7858" w:rsidRDefault="007079B5">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6750" w:type="dxa"/>
          </w:tcPr>
          <w:p w14:paraId="4E16B44D" w14:textId="77777777" w:rsidR="001A7858" w:rsidRDefault="007079B5">
            <w:pPr>
              <w:spacing w:before="40" w:after="40"/>
            </w:pPr>
            <w:r>
              <w:rPr>
                <w:rFonts w:ascii="Arial" w:hAnsi="Arial" w:cs="Arial"/>
                <w:sz w:val="18"/>
                <w:szCs w:val="18"/>
              </w:rPr>
              <w:t>Integrated Management of Priority Watersheds for Adaptation to Climate Change</w:t>
            </w:r>
          </w:p>
        </w:tc>
      </w:tr>
      <w:tr w:rsidR="001A7858" w14:paraId="12C5CDAC" w14:textId="77777777">
        <w:trPr>
          <w:jc w:val="center"/>
        </w:trPr>
        <w:tc>
          <w:tcPr>
            <w:tcW w:w="5250" w:type="dxa"/>
          </w:tcPr>
          <w:p w14:paraId="73B5C299" w14:textId="77777777" w:rsidR="001A7858" w:rsidRDefault="007079B5">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6750" w:type="dxa"/>
          </w:tcPr>
          <w:p w14:paraId="1EF75D5F" w14:textId="77777777" w:rsidR="001A7858" w:rsidRDefault="007079B5">
            <w:pPr>
              <w:spacing w:before="40" w:after="40"/>
            </w:pPr>
            <w:r>
              <w:rPr>
                <w:rFonts w:ascii="Arial" w:hAnsi="Arial" w:cs="Arial"/>
                <w:sz w:val="18"/>
                <w:szCs w:val="18"/>
              </w:rPr>
              <w:t>PN-T1230</w:t>
            </w:r>
          </w:p>
        </w:tc>
      </w:tr>
      <w:tr w:rsidR="001A7858" w14:paraId="0F5CF882" w14:textId="77777777">
        <w:trPr>
          <w:jc w:val="center"/>
        </w:trPr>
        <w:tc>
          <w:tcPr>
            <w:tcW w:w="5250" w:type="dxa"/>
          </w:tcPr>
          <w:p w14:paraId="496FEFE3" w14:textId="77777777" w:rsidR="001A7858" w:rsidRDefault="007079B5">
            <w:pPr>
              <w:spacing w:before="40" w:after="40"/>
              <w:ind w:left="115" w:hanging="115"/>
            </w:pPr>
            <w:r>
              <w:rPr>
                <w:rFonts w:ascii="Arial" w:hAnsi="Arial" w:cs="Arial"/>
                <w:sz w:val="18"/>
                <w:szCs w:val="18"/>
              </w:rPr>
              <w:t>▪</w:t>
            </w:r>
            <w:r>
              <w:rPr>
                <w:rFonts w:ascii="Arial" w:hAnsi="Arial" w:cs="Arial"/>
                <w:sz w:val="18"/>
                <w:szCs w:val="18"/>
              </w:rPr>
              <w:t xml:space="preserve"> Team </w:t>
            </w:r>
            <w:r>
              <w:rPr>
                <w:rFonts w:ascii="Arial" w:hAnsi="Arial" w:cs="Arial"/>
                <w:sz w:val="18"/>
                <w:szCs w:val="18"/>
              </w:rPr>
              <w:t>Leader/Members:</w:t>
            </w:r>
          </w:p>
        </w:tc>
        <w:tc>
          <w:tcPr>
            <w:tcW w:w="6750" w:type="dxa"/>
          </w:tcPr>
          <w:p w14:paraId="6652BE57" w14:textId="463DD381" w:rsidR="001A7858" w:rsidRDefault="007079B5" w:rsidP="00B02E1C">
            <w:pPr>
              <w:spacing w:before="40" w:after="40"/>
              <w:jc w:val="both"/>
            </w:pPr>
            <w:r>
              <w:rPr>
                <w:rFonts w:ascii="Arial" w:hAnsi="Arial" w:cs="Arial"/>
                <w:sz w:val="18"/>
                <w:szCs w:val="18"/>
              </w:rPr>
              <w:t xml:space="preserve">GARZONIO, OMAR DARIO (INE/WSA) Team Leader; LE POMMELLEC, MARION (CSD/RND) Alternate Team Leader; GRUNWALDT, ALFRED HANS (CSD/CCS) Alternate Team Leader; BOCCO, MARIA JULIA (INE/WSA); LOPEZ, LILIANA M. (INE/WSA); AROSEMENA ANGULO, ARACELIS </w:t>
            </w:r>
            <w:r>
              <w:rPr>
                <w:rFonts w:ascii="Arial" w:hAnsi="Arial" w:cs="Arial"/>
                <w:sz w:val="18"/>
                <w:szCs w:val="18"/>
              </w:rPr>
              <w:t>ITZEL (INE/WSA); SANMARTIN BAEZ, ALVARO LUIS (LEG/SGO); MENDIETA MENDIETA, KRISTINE GUADALUPE (CID/CPN); MAIER, DAVID (VPS/ESG); VASQUEZ CASTRO, JUAN CARLOS (VPS/ESG); GUERRERO RIVERA, MARILYN IVETTE (INE/WSA); MUNOZ CASTILLO, RAUL (INE/WSA); CEVALLOS VARE</w:t>
            </w:r>
            <w:r>
              <w:rPr>
                <w:rFonts w:ascii="Arial" w:hAnsi="Arial" w:cs="Arial"/>
                <w:sz w:val="18"/>
                <w:szCs w:val="18"/>
              </w:rPr>
              <w:t>A, MARCO ANTONIO (INE/WSA)</w:t>
            </w:r>
            <w:r w:rsidR="00B02E1C">
              <w:rPr>
                <w:rFonts w:ascii="Arial" w:hAnsi="Arial" w:cs="Arial"/>
                <w:sz w:val="18"/>
                <w:szCs w:val="18"/>
              </w:rPr>
              <w:t>.</w:t>
            </w:r>
          </w:p>
        </w:tc>
      </w:tr>
      <w:tr w:rsidR="001A7858" w14:paraId="113FD3BC" w14:textId="77777777">
        <w:trPr>
          <w:jc w:val="center"/>
        </w:trPr>
        <w:tc>
          <w:tcPr>
            <w:tcW w:w="5250" w:type="dxa"/>
          </w:tcPr>
          <w:p w14:paraId="7CB65217" w14:textId="77777777" w:rsidR="001A7858" w:rsidRDefault="007079B5">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6750" w:type="dxa"/>
          </w:tcPr>
          <w:p w14:paraId="79782567" w14:textId="77777777" w:rsidR="001A7858" w:rsidRDefault="007079B5">
            <w:pPr>
              <w:spacing w:before="40" w:after="40"/>
            </w:pPr>
            <w:r>
              <w:rPr>
                <w:rFonts w:ascii="Arial" w:hAnsi="Arial" w:cs="Arial"/>
                <w:sz w:val="18"/>
                <w:szCs w:val="18"/>
              </w:rPr>
              <w:t>Client Support</w:t>
            </w:r>
          </w:p>
        </w:tc>
      </w:tr>
      <w:tr w:rsidR="001A7858" w14:paraId="61F65DB8" w14:textId="77777777">
        <w:trPr>
          <w:jc w:val="center"/>
        </w:trPr>
        <w:tc>
          <w:tcPr>
            <w:tcW w:w="5250" w:type="dxa"/>
          </w:tcPr>
          <w:p w14:paraId="58AA9BC0" w14:textId="77777777" w:rsidR="001A7858" w:rsidRDefault="007079B5">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6750" w:type="dxa"/>
          </w:tcPr>
          <w:p w14:paraId="24260764" w14:textId="77777777" w:rsidR="001A7858" w:rsidRDefault="007079B5">
            <w:pPr>
              <w:spacing w:before="40" w:after="40"/>
            </w:pPr>
            <w:r>
              <w:rPr>
                <w:rFonts w:ascii="Arial" w:hAnsi="Arial" w:cs="Arial"/>
                <w:sz w:val="18"/>
                <w:szCs w:val="18"/>
              </w:rPr>
              <w:t>N/A</w:t>
            </w:r>
          </w:p>
        </w:tc>
      </w:tr>
      <w:tr w:rsidR="001A7858" w14:paraId="3EA1501D" w14:textId="77777777">
        <w:trPr>
          <w:jc w:val="center"/>
        </w:trPr>
        <w:tc>
          <w:tcPr>
            <w:tcW w:w="5250" w:type="dxa"/>
          </w:tcPr>
          <w:p w14:paraId="4376463E" w14:textId="77777777" w:rsidR="001A7858" w:rsidRDefault="007079B5">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6750" w:type="dxa"/>
          </w:tcPr>
          <w:p w14:paraId="2B718FAB" w14:textId="77777777" w:rsidR="001A7858" w:rsidRDefault="007079B5">
            <w:pPr>
              <w:spacing w:before="40" w:after="40"/>
            </w:pPr>
            <w:r>
              <w:rPr>
                <w:rFonts w:ascii="Arial" w:hAnsi="Arial" w:cs="Arial"/>
                <w:sz w:val="18"/>
                <w:szCs w:val="18"/>
              </w:rPr>
              <w:t>22 Feb 2019</w:t>
            </w:r>
          </w:p>
        </w:tc>
      </w:tr>
      <w:tr w:rsidR="001A7858" w14:paraId="0D71EE58" w14:textId="77777777">
        <w:trPr>
          <w:jc w:val="center"/>
        </w:trPr>
        <w:tc>
          <w:tcPr>
            <w:tcW w:w="5250" w:type="dxa"/>
          </w:tcPr>
          <w:p w14:paraId="4D8B3CD4" w14:textId="77777777" w:rsidR="001A7858" w:rsidRDefault="007079B5">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6750" w:type="dxa"/>
          </w:tcPr>
          <w:p w14:paraId="71A9781D" w14:textId="77777777" w:rsidR="001A7858" w:rsidRDefault="007079B5">
            <w:pPr>
              <w:spacing w:before="40" w:after="40"/>
            </w:pPr>
            <w:r>
              <w:rPr>
                <w:rFonts w:ascii="Arial" w:hAnsi="Arial" w:cs="Arial"/>
                <w:sz w:val="18"/>
                <w:szCs w:val="18"/>
              </w:rPr>
              <w:t>Panama</w:t>
            </w:r>
          </w:p>
        </w:tc>
      </w:tr>
      <w:tr w:rsidR="001A7858" w14:paraId="69FDFAB1" w14:textId="77777777">
        <w:trPr>
          <w:jc w:val="center"/>
        </w:trPr>
        <w:tc>
          <w:tcPr>
            <w:tcW w:w="5250" w:type="dxa"/>
          </w:tcPr>
          <w:p w14:paraId="66D1588B" w14:textId="77777777" w:rsidR="001A7858" w:rsidRDefault="007079B5">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6750" w:type="dxa"/>
          </w:tcPr>
          <w:p w14:paraId="083EBDA4" w14:textId="77777777" w:rsidR="001A7858" w:rsidRDefault="007079B5">
            <w:pPr>
              <w:spacing w:before="40" w:after="40"/>
            </w:pPr>
            <w:r>
              <w:rPr>
                <w:rFonts w:ascii="Arial" w:hAnsi="Arial" w:cs="Arial"/>
                <w:sz w:val="18"/>
                <w:szCs w:val="18"/>
              </w:rPr>
              <w:t>INTER-AMERICAN DEVELOPMENT BANK</w:t>
            </w:r>
          </w:p>
        </w:tc>
      </w:tr>
      <w:tr w:rsidR="001A7858" w14:paraId="238C58AB" w14:textId="77777777">
        <w:trPr>
          <w:jc w:val="center"/>
        </w:trPr>
        <w:tc>
          <w:tcPr>
            <w:tcW w:w="5250" w:type="dxa"/>
          </w:tcPr>
          <w:p w14:paraId="4F874865" w14:textId="77777777" w:rsidR="001A7858" w:rsidRDefault="007079B5">
            <w:pPr>
              <w:spacing w:before="40" w:after="40"/>
              <w:ind w:left="115" w:hanging="115"/>
            </w:pPr>
            <w:r>
              <w:rPr>
                <w:rFonts w:ascii="Arial" w:hAnsi="Arial" w:cs="Arial"/>
                <w:sz w:val="18"/>
                <w:szCs w:val="18"/>
              </w:rPr>
              <w:t>▪</w:t>
            </w:r>
            <w:r>
              <w:rPr>
                <w:rFonts w:ascii="Arial" w:hAnsi="Arial" w:cs="Arial"/>
                <w:sz w:val="18"/>
                <w:szCs w:val="18"/>
              </w:rPr>
              <w:t xml:space="preserve"> IDB funding </w:t>
            </w:r>
            <w:r>
              <w:rPr>
                <w:rFonts w:ascii="Arial" w:hAnsi="Arial" w:cs="Arial"/>
                <w:sz w:val="18"/>
                <w:szCs w:val="18"/>
              </w:rPr>
              <w:t>requested:</w:t>
            </w:r>
          </w:p>
        </w:tc>
        <w:tc>
          <w:tcPr>
            <w:tcW w:w="6750" w:type="dxa"/>
          </w:tcPr>
          <w:p w14:paraId="13F11A58" w14:textId="77777777" w:rsidR="001A7858" w:rsidRDefault="007079B5" w:rsidP="00B02E1C">
            <w:pPr>
              <w:bidi/>
              <w:spacing w:before="40" w:after="40"/>
              <w:jc w:val="right"/>
            </w:pPr>
            <w:r>
              <w:rPr>
                <w:rFonts w:ascii="Arial" w:hAnsi="Arial" w:cs="Arial"/>
                <w:sz w:val="18"/>
                <w:szCs w:val="18"/>
              </w:rPr>
              <w:t>$ 900,000.00</w:t>
            </w:r>
          </w:p>
        </w:tc>
      </w:tr>
      <w:tr w:rsidR="001A7858" w14:paraId="7D736F8B" w14:textId="77777777">
        <w:trPr>
          <w:jc w:val="center"/>
        </w:trPr>
        <w:tc>
          <w:tcPr>
            <w:tcW w:w="5250" w:type="dxa"/>
          </w:tcPr>
          <w:p w14:paraId="5A326286" w14:textId="77777777" w:rsidR="001A7858" w:rsidRDefault="007079B5">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6750" w:type="dxa"/>
          </w:tcPr>
          <w:p w14:paraId="59FA96AE" w14:textId="036ACE3C" w:rsidR="001A7858" w:rsidRDefault="007079B5" w:rsidP="00B02E1C">
            <w:pPr>
              <w:bidi/>
              <w:spacing w:before="40" w:after="40"/>
              <w:jc w:val="right"/>
            </w:pPr>
            <w:r>
              <w:rPr>
                <w:rFonts w:ascii="Arial" w:hAnsi="Arial" w:cs="Arial"/>
                <w:sz w:val="18"/>
                <w:szCs w:val="18"/>
              </w:rPr>
              <w:t>$ 0.00</w:t>
            </w:r>
          </w:p>
        </w:tc>
      </w:tr>
      <w:tr w:rsidR="001A7858" w14:paraId="12B006C4" w14:textId="77777777">
        <w:trPr>
          <w:jc w:val="center"/>
        </w:trPr>
        <w:tc>
          <w:tcPr>
            <w:tcW w:w="5250" w:type="dxa"/>
          </w:tcPr>
          <w:p w14:paraId="508B1BA2" w14:textId="77777777" w:rsidR="001A7858" w:rsidRDefault="007079B5">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6750" w:type="dxa"/>
          </w:tcPr>
          <w:p w14:paraId="03B004AD" w14:textId="77777777" w:rsidR="001A7858" w:rsidRDefault="007079B5" w:rsidP="00B02E1C">
            <w:pPr>
              <w:bidi/>
              <w:spacing w:before="40" w:after="40"/>
              <w:jc w:val="right"/>
            </w:pPr>
            <w:r>
              <w:rPr>
                <w:rFonts w:ascii="Arial" w:hAnsi="Arial" w:cs="Arial"/>
                <w:sz w:val="18"/>
                <w:szCs w:val="18"/>
              </w:rPr>
              <w:t>24 months</w:t>
            </w:r>
          </w:p>
        </w:tc>
      </w:tr>
      <w:tr w:rsidR="001A7858" w14:paraId="12F2C486" w14:textId="77777777">
        <w:trPr>
          <w:jc w:val="center"/>
        </w:trPr>
        <w:tc>
          <w:tcPr>
            <w:tcW w:w="5250" w:type="dxa"/>
          </w:tcPr>
          <w:p w14:paraId="06003D3C" w14:textId="77777777" w:rsidR="001A7858" w:rsidRDefault="007079B5">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6750" w:type="dxa"/>
          </w:tcPr>
          <w:p w14:paraId="5239EAD5" w14:textId="77777777" w:rsidR="001A7858" w:rsidRDefault="007079B5">
            <w:pPr>
              <w:spacing w:before="40" w:after="40"/>
            </w:pPr>
            <w:r>
              <w:rPr>
                <w:rFonts w:ascii="Arial" w:hAnsi="Arial" w:cs="Arial"/>
                <w:sz w:val="18"/>
                <w:szCs w:val="18"/>
              </w:rPr>
              <w:t>Individuals; Firms</w:t>
            </w:r>
          </w:p>
        </w:tc>
      </w:tr>
      <w:tr w:rsidR="001A7858" w14:paraId="3CFB9865" w14:textId="77777777">
        <w:trPr>
          <w:jc w:val="center"/>
        </w:trPr>
        <w:tc>
          <w:tcPr>
            <w:tcW w:w="5250" w:type="dxa"/>
          </w:tcPr>
          <w:p w14:paraId="066A05AD" w14:textId="77777777" w:rsidR="001A7858" w:rsidRDefault="007079B5">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6750" w:type="dxa"/>
          </w:tcPr>
          <w:p w14:paraId="2C686BC8" w14:textId="77777777" w:rsidR="001A7858" w:rsidRDefault="007079B5">
            <w:pPr>
              <w:spacing w:before="40" w:after="40"/>
            </w:pPr>
            <w:r>
              <w:rPr>
                <w:rFonts w:ascii="Arial" w:hAnsi="Arial" w:cs="Arial"/>
                <w:sz w:val="18"/>
                <w:szCs w:val="18"/>
              </w:rPr>
              <w:t>Water &amp; Sanitation</w:t>
            </w:r>
          </w:p>
        </w:tc>
      </w:tr>
      <w:tr w:rsidR="001A7858" w14:paraId="1892F728" w14:textId="77777777">
        <w:trPr>
          <w:jc w:val="center"/>
        </w:trPr>
        <w:tc>
          <w:tcPr>
            <w:tcW w:w="5250" w:type="dxa"/>
          </w:tcPr>
          <w:p w14:paraId="1B123223" w14:textId="77777777" w:rsidR="001A7858" w:rsidRDefault="007079B5">
            <w:pPr>
              <w:spacing w:before="40" w:after="40"/>
              <w:ind w:left="115" w:hanging="115"/>
            </w:pPr>
            <w:r>
              <w:rPr>
                <w:rFonts w:ascii="Arial" w:hAnsi="Arial" w:cs="Arial"/>
                <w:sz w:val="18"/>
                <w:szCs w:val="18"/>
              </w:rPr>
              <w:t>▪</w:t>
            </w:r>
            <w:r>
              <w:rPr>
                <w:rFonts w:ascii="Arial" w:hAnsi="Arial" w:cs="Arial"/>
                <w:sz w:val="18"/>
                <w:szCs w:val="18"/>
              </w:rPr>
              <w:t xml:space="preserve"> Unit of Disbursement Responsibility:</w:t>
            </w:r>
          </w:p>
        </w:tc>
        <w:tc>
          <w:tcPr>
            <w:tcW w:w="6750" w:type="dxa"/>
          </w:tcPr>
          <w:p w14:paraId="241A1B38" w14:textId="77777777" w:rsidR="001A7858" w:rsidRDefault="007079B5">
            <w:pPr>
              <w:spacing w:before="40" w:after="40"/>
            </w:pPr>
            <w:r>
              <w:rPr>
                <w:rFonts w:ascii="Arial" w:hAnsi="Arial" w:cs="Arial"/>
                <w:sz w:val="18"/>
                <w:szCs w:val="18"/>
              </w:rPr>
              <w:t>Country Office Panama</w:t>
            </w:r>
          </w:p>
        </w:tc>
      </w:tr>
      <w:tr w:rsidR="001A7858" w14:paraId="7B7219E7" w14:textId="77777777">
        <w:trPr>
          <w:jc w:val="center"/>
        </w:trPr>
        <w:tc>
          <w:tcPr>
            <w:tcW w:w="5250" w:type="dxa"/>
          </w:tcPr>
          <w:p w14:paraId="59207BC4" w14:textId="77777777" w:rsidR="001A7858" w:rsidRDefault="007079B5">
            <w:pPr>
              <w:spacing w:before="40" w:after="40"/>
            </w:pPr>
            <w:r>
              <w:rPr>
                <w:rFonts w:ascii="Arial" w:hAnsi="Arial" w:cs="Arial"/>
                <w:sz w:val="18"/>
                <w:szCs w:val="18"/>
              </w:rPr>
              <w:t>▪</w:t>
            </w:r>
            <w:r>
              <w:rPr>
                <w:rFonts w:ascii="Arial" w:hAnsi="Arial" w:cs="Arial"/>
                <w:sz w:val="18"/>
                <w:szCs w:val="18"/>
              </w:rPr>
              <w:t xml:space="preserve"> TC </w:t>
            </w:r>
            <w:r>
              <w:rPr>
                <w:rFonts w:ascii="Arial" w:hAnsi="Arial" w:cs="Arial"/>
                <w:sz w:val="18"/>
                <w:szCs w:val="18"/>
              </w:rPr>
              <w:t>included in Country Strategy (y/n):</w:t>
            </w:r>
            <w:r>
              <w:rPr>
                <w:rFonts w:ascii="Arial" w:hAnsi="Arial" w:cs="Arial"/>
                <w:sz w:val="18"/>
                <w:szCs w:val="18"/>
              </w:rPr>
              <w:br/>
            </w:r>
            <w:r>
              <w:rPr>
                <w:rFonts w:ascii="Arial" w:hAnsi="Arial" w:cs="Arial"/>
                <w:sz w:val="18"/>
                <w:szCs w:val="18"/>
              </w:rPr>
              <w:br/>
              <w:t>▪ TC included in CPD (y/n):</w:t>
            </w:r>
          </w:p>
        </w:tc>
        <w:tc>
          <w:tcPr>
            <w:tcW w:w="6750" w:type="dxa"/>
          </w:tcPr>
          <w:p w14:paraId="4E38FDEC" w14:textId="77777777" w:rsidR="001A7858" w:rsidRDefault="007079B5">
            <w:pPr>
              <w:spacing w:before="40" w:after="40"/>
            </w:pPr>
            <w:r>
              <w:rPr>
                <w:rFonts w:ascii="Arial" w:hAnsi="Arial" w:cs="Arial"/>
                <w:sz w:val="18"/>
                <w:szCs w:val="18"/>
              </w:rPr>
              <w:t>No</w:t>
            </w:r>
            <w:r>
              <w:rPr>
                <w:rFonts w:ascii="Arial" w:hAnsi="Arial" w:cs="Arial"/>
                <w:sz w:val="18"/>
                <w:szCs w:val="18"/>
              </w:rPr>
              <w:br/>
            </w:r>
            <w:r>
              <w:rPr>
                <w:rFonts w:ascii="Arial" w:hAnsi="Arial" w:cs="Arial"/>
                <w:sz w:val="18"/>
                <w:szCs w:val="18"/>
              </w:rPr>
              <w:br/>
              <w:t>No</w:t>
            </w:r>
          </w:p>
        </w:tc>
      </w:tr>
      <w:tr w:rsidR="001A7858" w14:paraId="007EB44D" w14:textId="77777777">
        <w:trPr>
          <w:jc w:val="center"/>
        </w:trPr>
        <w:tc>
          <w:tcPr>
            <w:tcW w:w="5250" w:type="dxa"/>
          </w:tcPr>
          <w:p w14:paraId="6358A495" w14:textId="77777777" w:rsidR="001A7858" w:rsidRDefault="007079B5">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Institutional Strategy 2010-2020:</w:t>
            </w:r>
          </w:p>
        </w:tc>
        <w:tc>
          <w:tcPr>
            <w:tcW w:w="6750" w:type="dxa"/>
          </w:tcPr>
          <w:p w14:paraId="5AAED719" w14:textId="33767B83" w:rsidR="001A7858" w:rsidRDefault="007079B5">
            <w:pPr>
              <w:spacing w:before="40" w:after="40"/>
            </w:pPr>
            <w:r>
              <w:rPr>
                <w:rFonts w:ascii="Arial" w:hAnsi="Arial" w:cs="Arial"/>
                <w:sz w:val="18"/>
                <w:szCs w:val="18"/>
              </w:rPr>
              <w:t>Productivity and innovation</w:t>
            </w:r>
            <w:r>
              <w:rPr>
                <w:rFonts w:ascii="Arial" w:hAnsi="Arial" w:cs="Arial"/>
                <w:sz w:val="18"/>
                <w:szCs w:val="18"/>
              </w:rPr>
              <w:t>; Environmental sustainability; Gender equality</w:t>
            </w:r>
          </w:p>
        </w:tc>
      </w:tr>
    </w:tbl>
    <w:p w14:paraId="070CB519" w14:textId="77777777" w:rsidR="00B02E1C" w:rsidRDefault="00B02E1C" w:rsidP="00B02E1C">
      <w:pPr>
        <w:spacing w:before="120" w:after="120"/>
        <w:ind w:left="579" w:hanging="579"/>
        <w:rPr>
          <w:rFonts w:ascii="Arial" w:hAnsi="Arial" w:cs="Arial"/>
          <w:b/>
        </w:rPr>
      </w:pPr>
    </w:p>
    <w:p w14:paraId="17D795C3" w14:textId="15700F6E" w:rsidR="001A7858" w:rsidRPr="00B02E1C" w:rsidRDefault="007079B5" w:rsidP="00B02E1C">
      <w:pPr>
        <w:spacing w:before="120" w:after="120"/>
        <w:ind w:left="579" w:hanging="579"/>
        <w:rPr>
          <w:rFonts w:ascii="Arial" w:hAnsi="Arial" w:cs="Arial"/>
          <w:b/>
        </w:rPr>
      </w:pPr>
      <w:r>
        <w:rPr>
          <w:rFonts w:ascii="Arial" w:hAnsi="Arial" w:cs="Arial"/>
          <w:b/>
        </w:rPr>
        <w:t>II.</w:t>
      </w:r>
      <w:r>
        <w:rPr>
          <w:rFonts w:ascii="Arial" w:hAnsi="Arial" w:cs="Arial"/>
          <w:b/>
        </w:rPr>
        <w:tab/>
      </w:r>
      <w:r>
        <w:rPr>
          <w:rFonts w:ascii="Arial" w:hAnsi="Arial" w:cs="Arial"/>
          <w:b/>
        </w:rPr>
        <w:t xml:space="preserve">Objective and </w:t>
      </w:r>
      <w:r>
        <w:rPr>
          <w:rFonts w:ascii="Arial" w:hAnsi="Arial" w:cs="Arial"/>
          <w:b/>
        </w:rPr>
        <w:t>Justification</w:t>
      </w:r>
    </w:p>
    <w:p w14:paraId="44991EA0" w14:textId="7818FF2D" w:rsidR="001A7858" w:rsidRDefault="007079B5">
      <w:pPr>
        <w:spacing w:before="120" w:after="120"/>
        <w:ind w:left="579" w:hanging="579"/>
        <w:jc w:val="both"/>
      </w:pPr>
      <w:r>
        <w:rPr>
          <w:rFonts w:ascii="Arial" w:hAnsi="Arial" w:cs="Arial"/>
        </w:rPr>
        <w:t>2.1</w:t>
      </w:r>
      <w:r>
        <w:rPr>
          <w:rFonts w:ascii="Arial" w:hAnsi="Arial" w:cs="Arial"/>
        </w:rPr>
        <w:tab/>
      </w:r>
      <w:r w:rsidR="00B02E1C" w:rsidRPr="00B02E1C">
        <w:rPr>
          <w:rFonts w:ascii="Arial" w:hAnsi="Arial" w:cs="Arial"/>
        </w:rPr>
        <w:t>Apoyar las acciones de la agenda trazada en Seguridad Hídrica y sus áreas de influencia frente a los efectos del Cambio climático (CC). Para ello, la CT tendrá los siguientes objetivos específicos: (i) establecer una visión estratégica de CC, La Ruta Verde 2050 con su correspondiente plan de acción y de Inversiones, que permita avanzar en la descarbonización de la misma; (ii) apoyar la formulación de los estudios de pre y factibilidad priorizados en el PNSH-2015-2050 que permitan aumentar la oferta hídrica frente al desafío del cambio climático; y (iii) apoyar la generación de acuerdos que permitan posicionar los proyectos y viabilizar su implementación ante las instituciones y autoridades correspondientes.</w:t>
      </w:r>
    </w:p>
    <w:p w14:paraId="4138BBBA" w14:textId="77777777" w:rsidR="001A7858" w:rsidRDefault="007079B5">
      <w:pPr>
        <w:spacing w:before="120" w:after="120"/>
        <w:ind w:left="579" w:hanging="579"/>
        <w:jc w:val="both"/>
      </w:pPr>
      <w:r>
        <w:rPr>
          <w:rFonts w:ascii="Arial" w:hAnsi="Arial" w:cs="Arial"/>
        </w:rPr>
        <w:t>2.2</w:t>
      </w:r>
      <w:r>
        <w:rPr>
          <w:rFonts w:ascii="Arial" w:hAnsi="Arial" w:cs="Arial"/>
        </w:rPr>
        <w:tab/>
        <w:t>En los últimos años el escenario de disponibilidad de recursos hí</w:t>
      </w:r>
      <w:r>
        <w:rPr>
          <w:rFonts w:ascii="Arial" w:hAnsi="Arial" w:cs="Arial"/>
        </w:rPr>
        <w:t>dricos en Panamá ha sido amenazado por el incremento poblacional, el rápido desarrollo económico, la creciente urbanización, los efectos adversos del cambio climático y el deterioro ambiental, que han producido condiciones de escasez, particularmente en zo</w:t>
      </w:r>
      <w:r>
        <w:rPr>
          <w:rFonts w:ascii="Arial" w:hAnsi="Arial" w:cs="Arial"/>
        </w:rPr>
        <w:t xml:space="preserve">nas rurales y periurbanas. Para hacer frente a estos desafíos, se formuló el Plan Nacional </w:t>
      </w:r>
      <w:r>
        <w:rPr>
          <w:rFonts w:ascii="Arial" w:hAnsi="Arial" w:cs="Arial"/>
        </w:rPr>
        <w:lastRenderedPageBreak/>
        <w:t>de Seguridad Hídrica (PNSHP- 2015-2050)  “Agua para Todos”, que incluye un diagnóstico sobre la situación de los recursos hídricos en el país y los retos que se debe</w:t>
      </w:r>
      <w:r>
        <w:rPr>
          <w:rFonts w:ascii="Arial" w:hAnsi="Arial" w:cs="Arial"/>
        </w:rPr>
        <w:t>n enfrentar a corto, mediano y largo plazo para garantizar la provisión de agua en cantidad y calidad aceptable para todos los usuarios.</w:t>
      </w:r>
      <w:r>
        <w:rPr>
          <w:rFonts w:ascii="Arial" w:hAnsi="Arial" w:cs="Arial"/>
        </w:rPr>
        <w:br/>
        <w:t>Por otra parte, la Constitución Política de Panamá establece que la Autoridad del Canal de Panamá (ACP) tiene la respon</w:t>
      </w:r>
      <w:r>
        <w:rPr>
          <w:rFonts w:ascii="Arial" w:hAnsi="Arial" w:cs="Arial"/>
        </w:rPr>
        <w:t xml:space="preserve">sabilidad por la administración, mantenimiento, uso y conservación de los recursos hídricos de la Cuenca del Canal (CC), constituidos por el agua de los lagos y sus corrientes tributarias, en coordinación con los organismos estatales que la Ley determine. </w:t>
      </w:r>
      <w:r>
        <w:rPr>
          <w:rFonts w:ascii="Arial" w:hAnsi="Arial" w:cs="Arial"/>
        </w:rPr>
        <w:t>Adicionalmente, la ACP genera ingresos anuales del orden de US$3,240 millones (Presupuesto ingresos 2019) y proporciona agua potable a más del 50% de la población del país.  En este contexto, es necesario brindar apoyo a la ACP para que a través de los obj</w:t>
      </w:r>
      <w:r>
        <w:rPr>
          <w:rFonts w:ascii="Arial" w:hAnsi="Arial" w:cs="Arial"/>
        </w:rPr>
        <w:t>etivos trazados en el PNSHP, cuente con una visión estratégica de largo plazo, Visión 2050, con su correspondiente Plan de acción, para integrar y direccionar los esfuerzos para la gestión ambiental y la eficiencia energética en sus operaciones considerand</w:t>
      </w:r>
      <w:r>
        <w:rPr>
          <w:rFonts w:ascii="Arial" w:hAnsi="Arial" w:cs="Arial"/>
        </w:rPr>
        <w:t>o los aspectos del cambio climático, incorporando asimismo como elemento central su visión compartida y de gestión integrada de la CC, con el objetivo de conservar y proteger el recurso hídrico y mejorar la calidad ambiental, fuente de vida y abastecimient</w:t>
      </w:r>
      <w:r>
        <w:rPr>
          <w:rFonts w:ascii="Arial" w:hAnsi="Arial" w:cs="Arial"/>
        </w:rPr>
        <w:t>o de agua para las ciudades más pobladas del país y para la operación del Canal</w:t>
      </w:r>
    </w:p>
    <w:p w14:paraId="1E6B132D" w14:textId="429B46E5" w:rsidR="001A7858" w:rsidRDefault="007079B5" w:rsidP="00B02E1C">
      <w:pPr>
        <w:spacing w:before="120" w:after="120"/>
        <w:ind w:left="579" w:hanging="579"/>
      </w:pPr>
      <w:r>
        <w:rPr>
          <w:rFonts w:ascii="Arial" w:hAnsi="Arial" w:cs="Arial"/>
          <w:b/>
        </w:rPr>
        <w:t>III.</w:t>
      </w:r>
      <w:r>
        <w:rPr>
          <w:rFonts w:ascii="Arial" w:hAnsi="Arial" w:cs="Arial"/>
          <w:b/>
        </w:rPr>
        <w:tab/>
        <w:t>Description of Activities and Outputs</w:t>
      </w:r>
    </w:p>
    <w:p w14:paraId="0CCB6723" w14:textId="5FD35F12" w:rsidR="001A7858" w:rsidRDefault="007079B5">
      <w:pPr>
        <w:spacing w:before="120" w:after="120"/>
        <w:ind w:left="579" w:hanging="579"/>
        <w:jc w:val="both"/>
      </w:pPr>
      <w:r>
        <w:rPr>
          <w:rFonts w:ascii="Arial" w:hAnsi="Arial" w:cs="Arial"/>
        </w:rPr>
        <w:t>3.2</w:t>
      </w:r>
      <w:r>
        <w:rPr>
          <w:rFonts w:ascii="Arial" w:hAnsi="Arial" w:cs="Arial"/>
        </w:rPr>
        <w:tab/>
      </w:r>
      <w:r>
        <w:rPr>
          <w:rFonts w:ascii="Arial" w:hAnsi="Arial" w:cs="Arial"/>
          <w:b/>
        </w:rPr>
        <w:t xml:space="preserve">Component I: Componente I.  Apoyo para la descarbonización para Cambio Climático. </w:t>
      </w:r>
      <w:r>
        <w:rPr>
          <w:rFonts w:ascii="Arial" w:hAnsi="Arial" w:cs="Arial"/>
        </w:rPr>
        <w:t>Consulto</w:t>
      </w:r>
      <w:r>
        <w:rPr>
          <w:rFonts w:ascii="Arial" w:hAnsi="Arial" w:cs="Arial"/>
        </w:rPr>
        <w:t xml:space="preserve">rías: </w:t>
      </w:r>
      <w:r w:rsidR="00B02E1C">
        <w:rPr>
          <w:rFonts w:ascii="Arial" w:hAnsi="Arial" w:cs="Arial"/>
        </w:rPr>
        <w:t>(</w:t>
      </w:r>
      <w:r>
        <w:rPr>
          <w:rFonts w:ascii="Arial" w:hAnsi="Arial" w:cs="Arial"/>
        </w:rPr>
        <w:t>i) inf. ambiental cuenca 2019 (actual. Informes 2007 y 2013), actual. Plan de Gestión Integ. Rec. Hídricos, recálculo Sostenib. Cuenca</w:t>
      </w:r>
      <w:r w:rsidR="00B02E1C">
        <w:rPr>
          <w:rFonts w:ascii="Arial" w:hAnsi="Arial" w:cs="Arial"/>
        </w:rPr>
        <w:t>;</w:t>
      </w:r>
      <w:r>
        <w:rPr>
          <w:rFonts w:ascii="Arial" w:hAnsi="Arial" w:cs="Arial"/>
        </w:rPr>
        <w:t xml:space="preserve"> </w:t>
      </w:r>
      <w:r w:rsidR="00B02E1C">
        <w:rPr>
          <w:rFonts w:ascii="Arial" w:hAnsi="Arial" w:cs="Arial"/>
        </w:rPr>
        <w:t>(</w:t>
      </w:r>
      <w:r>
        <w:rPr>
          <w:rFonts w:ascii="Arial" w:hAnsi="Arial" w:cs="Arial"/>
        </w:rPr>
        <w:t>ii) Visión estratég. 2050 de CC: elaboración estrateg. Plan acción e inversión, modelación climática y estrat. res</w:t>
      </w:r>
      <w:r>
        <w:rPr>
          <w:rFonts w:ascii="Arial" w:hAnsi="Arial" w:cs="Arial"/>
        </w:rPr>
        <w:t>iliencia, y mitigación, aumento cobertura arbórea, recomendaciones en gobernanza e institucionalidad;</w:t>
      </w:r>
      <w:r w:rsidR="00B02E1C">
        <w:rPr>
          <w:rFonts w:ascii="Arial" w:hAnsi="Arial" w:cs="Arial"/>
        </w:rPr>
        <w:t xml:space="preserve"> </w:t>
      </w:r>
      <w:r>
        <w:rPr>
          <w:rFonts w:ascii="Arial" w:hAnsi="Arial" w:cs="Arial"/>
        </w:rPr>
        <w:t xml:space="preserve">(iii) elaboración sist. de monitoreo y eval. estrategia y plan acción gest. sostenible de CC, y </w:t>
      </w:r>
      <w:r w:rsidR="00B02E1C">
        <w:rPr>
          <w:rFonts w:ascii="Arial" w:hAnsi="Arial" w:cs="Arial"/>
        </w:rPr>
        <w:t>(</w:t>
      </w:r>
      <w:r>
        <w:rPr>
          <w:rFonts w:ascii="Arial" w:hAnsi="Arial" w:cs="Arial"/>
        </w:rPr>
        <w:t>iv) Plan Cuenca Rio Indio.</w:t>
      </w:r>
    </w:p>
    <w:p w14:paraId="72406F9F" w14:textId="77777777" w:rsidR="001A7858" w:rsidRDefault="007079B5">
      <w:pPr>
        <w:spacing w:before="120" w:after="120"/>
        <w:ind w:left="579" w:hanging="579"/>
        <w:jc w:val="both"/>
      </w:pPr>
      <w:r>
        <w:rPr>
          <w:rFonts w:ascii="Arial" w:hAnsi="Arial" w:cs="Arial"/>
        </w:rPr>
        <w:t>3.3</w:t>
      </w:r>
      <w:r>
        <w:rPr>
          <w:rFonts w:ascii="Arial" w:hAnsi="Arial" w:cs="Arial"/>
        </w:rPr>
        <w:tab/>
      </w:r>
      <w:r>
        <w:rPr>
          <w:rFonts w:ascii="Arial" w:hAnsi="Arial" w:cs="Arial"/>
          <w:b/>
        </w:rPr>
        <w:t>Component II: Componente II</w:t>
      </w:r>
      <w:r>
        <w:rPr>
          <w:rFonts w:ascii="Arial" w:hAnsi="Arial" w:cs="Arial"/>
          <w:b/>
        </w:rPr>
        <w:t xml:space="preserve">. Estudios para incrementar la oferta hídrica frente al desafio del Cambio Climático. </w:t>
      </w:r>
      <w:r>
        <w:rPr>
          <w:rFonts w:ascii="Arial" w:hAnsi="Arial" w:cs="Arial"/>
        </w:rPr>
        <w:t xml:space="preserve">Consultorías para la formulación de estudios para incrementar la oferta hídrica en las cuencas priorizadas en el PNSHP 2015-2050. Los estudios (pre y factibilidad), para </w:t>
      </w:r>
      <w:r>
        <w:rPr>
          <w:rFonts w:ascii="Arial" w:hAnsi="Arial" w:cs="Arial"/>
        </w:rPr>
        <w:t>las cuencas de: (i) La Villa, oferta hídrica en Veraguas, Los Santos y Herrera (Arco Seco), abastecer de agua potable (AP) y actividades agropecuarias; (ii) Rio Indio, para abastecer Panamá y Colón y la futura operación del Canal; y (iii) Bayano, abastecer</w:t>
      </w:r>
      <w:r>
        <w:rPr>
          <w:rFonts w:ascii="Arial" w:hAnsi="Arial" w:cs="Arial"/>
        </w:rPr>
        <w:t xml:space="preserve"> a Panamá y Distrito Chepo y reforzar la capacidad hídrica.</w:t>
      </w:r>
    </w:p>
    <w:p w14:paraId="2D0712A9" w14:textId="77777777" w:rsidR="001A7858" w:rsidRDefault="007079B5">
      <w:pPr>
        <w:spacing w:before="120" w:after="120"/>
        <w:ind w:left="579" w:hanging="579"/>
        <w:jc w:val="both"/>
      </w:pPr>
      <w:r>
        <w:rPr>
          <w:rFonts w:ascii="Arial" w:hAnsi="Arial" w:cs="Arial"/>
        </w:rPr>
        <w:t>3.4</w:t>
      </w:r>
      <w:r>
        <w:rPr>
          <w:rFonts w:ascii="Arial" w:hAnsi="Arial" w:cs="Arial"/>
        </w:rPr>
        <w:tab/>
      </w:r>
      <w:r>
        <w:rPr>
          <w:rFonts w:ascii="Arial" w:hAnsi="Arial" w:cs="Arial"/>
          <w:b/>
        </w:rPr>
        <w:t xml:space="preserve">Component III: Componente III. Apoyo en los procesos de viabilidad política e institucional para la ejecución de los componentes anteriores. </w:t>
      </w:r>
      <w:r>
        <w:rPr>
          <w:rFonts w:ascii="Arial" w:hAnsi="Arial" w:cs="Arial"/>
        </w:rPr>
        <w:t xml:space="preserve">Se prevé financiar talleres de trabajo de consulta </w:t>
      </w:r>
      <w:r>
        <w:rPr>
          <w:rFonts w:ascii="Arial" w:hAnsi="Arial" w:cs="Arial"/>
        </w:rPr>
        <w:t>y concertación con el fin de involucrar a las instituciones y autoridades vinculadas con los productos finales mediante publicaciones e informes de las temáticas específicas desarrolladas y las Ayuda Memoria de los talleres y mesas de trabajo realizadas.</w:t>
      </w:r>
    </w:p>
    <w:p w14:paraId="56B9C596" w14:textId="77777777" w:rsidR="00B02E1C" w:rsidRDefault="00B02E1C">
      <w:pPr>
        <w:rPr>
          <w:rFonts w:ascii="Arial" w:hAnsi="Arial" w:cs="Arial"/>
          <w:b/>
        </w:rPr>
      </w:pPr>
      <w:r>
        <w:rPr>
          <w:rFonts w:ascii="Arial" w:hAnsi="Arial" w:cs="Arial"/>
          <w:b/>
        </w:rPr>
        <w:br w:type="page"/>
      </w:r>
    </w:p>
    <w:p w14:paraId="0363A674" w14:textId="0D8C3429" w:rsidR="001A7858" w:rsidRDefault="007079B5">
      <w:pPr>
        <w:spacing w:before="120" w:after="120"/>
        <w:ind w:left="579" w:hanging="579"/>
      </w:pPr>
      <w:r>
        <w:rPr>
          <w:rFonts w:ascii="Arial" w:hAnsi="Arial" w:cs="Arial"/>
          <w:b/>
        </w:rPr>
        <w:lastRenderedPageBreak/>
        <w:t>I</w:t>
      </w:r>
      <w:r>
        <w:rPr>
          <w:rFonts w:ascii="Arial" w:hAnsi="Arial" w:cs="Arial"/>
          <w:b/>
        </w:rPr>
        <w:t>V.</w:t>
      </w:r>
      <w:r>
        <w:rPr>
          <w:rFonts w:ascii="Arial" w:hAnsi="Arial" w:cs="Arial"/>
          <w:b/>
        </w:rPr>
        <w:tab/>
        <w:t>Budget</w:t>
      </w:r>
    </w:p>
    <w:p w14:paraId="20F56771" w14:textId="77777777" w:rsidR="001A7858" w:rsidRPr="00B02E1C" w:rsidRDefault="007079B5">
      <w:pPr>
        <w:spacing w:before="240" w:after="120"/>
        <w:jc w:val="center"/>
      </w:pPr>
      <w:r w:rsidRPr="00B02E1C">
        <w:rPr>
          <w:rFonts w:ascii="Arial" w:hAnsi="Arial" w:cs="Arial"/>
          <w:b/>
        </w:rPr>
        <w:t>Indicative Budget</w:t>
      </w:r>
    </w:p>
    <w:tbl>
      <w:tblPr>
        <w:tblStyle w:val="TableGrid"/>
        <w:tblW w:w="9246" w:type="dxa"/>
        <w:tblLook w:val="04A0" w:firstRow="1" w:lastRow="0" w:firstColumn="1" w:lastColumn="0" w:noHBand="0" w:noVBand="1"/>
      </w:tblPr>
      <w:tblGrid>
        <w:gridCol w:w="4338"/>
        <w:gridCol w:w="1758"/>
        <w:gridCol w:w="1440"/>
        <w:gridCol w:w="1710"/>
      </w:tblGrid>
      <w:tr w:rsidR="001A7858" w14:paraId="572C56B8" w14:textId="77777777" w:rsidTr="00B02E1C">
        <w:tc>
          <w:tcPr>
            <w:tcW w:w="4338" w:type="dxa"/>
            <w:vAlign w:val="center"/>
          </w:tcPr>
          <w:p w14:paraId="018E0F7B" w14:textId="77777777" w:rsidR="001A7858" w:rsidRPr="00B02E1C" w:rsidRDefault="007079B5">
            <w:pPr>
              <w:spacing w:before="40" w:after="40"/>
              <w:jc w:val="center"/>
              <w:rPr>
                <w:sz w:val="20"/>
                <w:szCs w:val="20"/>
              </w:rPr>
            </w:pPr>
            <w:r w:rsidRPr="00B02E1C">
              <w:rPr>
                <w:rFonts w:ascii="Arial" w:hAnsi="Arial" w:cs="Arial"/>
                <w:b/>
                <w:sz w:val="20"/>
                <w:szCs w:val="20"/>
              </w:rPr>
              <w:t>Activity/Component</w:t>
            </w:r>
          </w:p>
        </w:tc>
        <w:tc>
          <w:tcPr>
            <w:tcW w:w="1758" w:type="dxa"/>
          </w:tcPr>
          <w:p w14:paraId="41F4825A" w14:textId="77777777" w:rsidR="001A7858" w:rsidRPr="00B02E1C" w:rsidRDefault="007079B5">
            <w:pPr>
              <w:spacing w:before="40" w:after="40"/>
              <w:jc w:val="center"/>
              <w:rPr>
                <w:sz w:val="20"/>
                <w:szCs w:val="20"/>
              </w:rPr>
            </w:pPr>
            <w:r w:rsidRPr="00B02E1C">
              <w:rPr>
                <w:rFonts w:ascii="Arial" w:hAnsi="Arial" w:cs="Arial"/>
                <w:b/>
                <w:sz w:val="20"/>
                <w:szCs w:val="20"/>
              </w:rPr>
              <w:t>IDB/Fund Funding</w:t>
            </w:r>
          </w:p>
        </w:tc>
        <w:tc>
          <w:tcPr>
            <w:tcW w:w="1440" w:type="dxa"/>
          </w:tcPr>
          <w:p w14:paraId="5C399807" w14:textId="77777777" w:rsidR="001A7858" w:rsidRPr="00B02E1C" w:rsidRDefault="007079B5">
            <w:pPr>
              <w:spacing w:before="40" w:after="40"/>
              <w:jc w:val="center"/>
              <w:rPr>
                <w:sz w:val="20"/>
                <w:szCs w:val="20"/>
              </w:rPr>
            </w:pPr>
            <w:r w:rsidRPr="00B02E1C">
              <w:rPr>
                <w:rFonts w:ascii="Arial" w:hAnsi="Arial" w:cs="Arial"/>
                <w:b/>
                <w:sz w:val="20"/>
                <w:szCs w:val="20"/>
              </w:rPr>
              <w:t>Counterpart Funding</w:t>
            </w:r>
          </w:p>
        </w:tc>
        <w:tc>
          <w:tcPr>
            <w:tcW w:w="1710" w:type="dxa"/>
          </w:tcPr>
          <w:p w14:paraId="288A27F9" w14:textId="77777777" w:rsidR="001A7858" w:rsidRPr="00B02E1C" w:rsidRDefault="007079B5">
            <w:pPr>
              <w:spacing w:before="40" w:after="40"/>
              <w:jc w:val="center"/>
              <w:rPr>
                <w:sz w:val="20"/>
                <w:szCs w:val="20"/>
              </w:rPr>
            </w:pPr>
            <w:r w:rsidRPr="00B02E1C">
              <w:rPr>
                <w:rFonts w:ascii="Arial" w:hAnsi="Arial" w:cs="Arial"/>
                <w:b/>
                <w:sz w:val="20"/>
                <w:szCs w:val="20"/>
              </w:rPr>
              <w:t>Total Funding</w:t>
            </w:r>
          </w:p>
        </w:tc>
      </w:tr>
      <w:tr w:rsidR="001A7858" w14:paraId="4549B396" w14:textId="77777777" w:rsidTr="00B02E1C">
        <w:tc>
          <w:tcPr>
            <w:tcW w:w="4338" w:type="dxa"/>
            <w:vAlign w:val="center"/>
          </w:tcPr>
          <w:p w14:paraId="5B07B3D3" w14:textId="77777777" w:rsidR="001A7858" w:rsidRPr="00B02E1C" w:rsidRDefault="007079B5">
            <w:pPr>
              <w:spacing w:before="40" w:after="40"/>
              <w:rPr>
                <w:sz w:val="20"/>
                <w:szCs w:val="20"/>
              </w:rPr>
            </w:pPr>
            <w:r w:rsidRPr="00B02E1C">
              <w:rPr>
                <w:rFonts w:ascii="Arial" w:hAnsi="Arial" w:cs="Arial"/>
                <w:sz w:val="20"/>
                <w:szCs w:val="20"/>
              </w:rPr>
              <w:t>Componente I.  Apoyo para la descarbonización para Cambio Climático</w:t>
            </w:r>
          </w:p>
        </w:tc>
        <w:tc>
          <w:tcPr>
            <w:tcW w:w="1758" w:type="dxa"/>
            <w:vAlign w:val="center"/>
          </w:tcPr>
          <w:p w14:paraId="518A7D78" w14:textId="77777777" w:rsidR="001A7858" w:rsidRPr="00B02E1C" w:rsidRDefault="007079B5">
            <w:pPr>
              <w:spacing w:before="40" w:after="40"/>
              <w:jc w:val="right"/>
              <w:rPr>
                <w:sz w:val="20"/>
                <w:szCs w:val="20"/>
              </w:rPr>
            </w:pPr>
            <w:r w:rsidRPr="00B02E1C">
              <w:rPr>
                <w:rFonts w:ascii="Arial" w:hAnsi="Arial" w:cs="Arial"/>
                <w:sz w:val="20"/>
                <w:szCs w:val="20"/>
              </w:rPr>
              <w:t>$ 450,000.00</w:t>
            </w:r>
          </w:p>
        </w:tc>
        <w:tc>
          <w:tcPr>
            <w:tcW w:w="1440" w:type="dxa"/>
            <w:vAlign w:val="center"/>
          </w:tcPr>
          <w:p w14:paraId="48FC39F0" w14:textId="77777777" w:rsidR="001A7858" w:rsidRPr="00B02E1C" w:rsidRDefault="007079B5">
            <w:pPr>
              <w:spacing w:before="40" w:after="40"/>
              <w:jc w:val="right"/>
              <w:rPr>
                <w:sz w:val="20"/>
                <w:szCs w:val="20"/>
              </w:rPr>
            </w:pPr>
            <w:r w:rsidRPr="00B02E1C">
              <w:rPr>
                <w:rFonts w:ascii="Arial" w:hAnsi="Arial" w:cs="Arial"/>
                <w:sz w:val="20"/>
                <w:szCs w:val="20"/>
              </w:rPr>
              <w:t>$ 0.00</w:t>
            </w:r>
          </w:p>
        </w:tc>
        <w:tc>
          <w:tcPr>
            <w:tcW w:w="1710" w:type="dxa"/>
            <w:vAlign w:val="center"/>
          </w:tcPr>
          <w:p w14:paraId="0F4781C2" w14:textId="77777777" w:rsidR="001A7858" w:rsidRPr="00B02E1C" w:rsidRDefault="007079B5">
            <w:pPr>
              <w:spacing w:before="40" w:after="40"/>
              <w:jc w:val="right"/>
              <w:rPr>
                <w:sz w:val="20"/>
                <w:szCs w:val="20"/>
              </w:rPr>
            </w:pPr>
            <w:r w:rsidRPr="00B02E1C">
              <w:rPr>
                <w:rFonts w:ascii="Arial" w:hAnsi="Arial" w:cs="Arial"/>
                <w:sz w:val="20"/>
                <w:szCs w:val="20"/>
              </w:rPr>
              <w:t>$ 450,000.00</w:t>
            </w:r>
          </w:p>
        </w:tc>
      </w:tr>
      <w:tr w:rsidR="001A7858" w14:paraId="14B90621" w14:textId="77777777" w:rsidTr="00B02E1C">
        <w:tc>
          <w:tcPr>
            <w:tcW w:w="4338" w:type="dxa"/>
            <w:vAlign w:val="center"/>
          </w:tcPr>
          <w:p w14:paraId="377B5F9A" w14:textId="77777777" w:rsidR="001A7858" w:rsidRPr="00B02E1C" w:rsidRDefault="007079B5">
            <w:pPr>
              <w:spacing w:before="40" w:after="40"/>
              <w:rPr>
                <w:sz w:val="20"/>
                <w:szCs w:val="20"/>
              </w:rPr>
            </w:pPr>
            <w:r w:rsidRPr="00B02E1C">
              <w:rPr>
                <w:rFonts w:ascii="Arial" w:hAnsi="Arial" w:cs="Arial"/>
                <w:sz w:val="20"/>
                <w:szCs w:val="20"/>
              </w:rPr>
              <w:t xml:space="preserve">Componente II. Estudios para incrementar la </w:t>
            </w:r>
            <w:r w:rsidRPr="00B02E1C">
              <w:rPr>
                <w:rFonts w:ascii="Arial" w:hAnsi="Arial" w:cs="Arial"/>
                <w:sz w:val="20"/>
                <w:szCs w:val="20"/>
              </w:rPr>
              <w:t>oferta hídrica frente al desafio del Cambio Climático</w:t>
            </w:r>
          </w:p>
        </w:tc>
        <w:tc>
          <w:tcPr>
            <w:tcW w:w="1758" w:type="dxa"/>
            <w:vAlign w:val="center"/>
          </w:tcPr>
          <w:p w14:paraId="130F762F" w14:textId="77777777" w:rsidR="001A7858" w:rsidRPr="00B02E1C" w:rsidRDefault="007079B5">
            <w:pPr>
              <w:spacing w:before="40" w:after="40"/>
              <w:jc w:val="right"/>
              <w:rPr>
                <w:sz w:val="20"/>
                <w:szCs w:val="20"/>
              </w:rPr>
            </w:pPr>
            <w:r w:rsidRPr="00B02E1C">
              <w:rPr>
                <w:rFonts w:ascii="Arial" w:hAnsi="Arial" w:cs="Arial"/>
                <w:sz w:val="20"/>
                <w:szCs w:val="20"/>
              </w:rPr>
              <w:t>$ 400,000.00</w:t>
            </w:r>
          </w:p>
        </w:tc>
        <w:tc>
          <w:tcPr>
            <w:tcW w:w="1440" w:type="dxa"/>
            <w:vAlign w:val="center"/>
          </w:tcPr>
          <w:p w14:paraId="53359761" w14:textId="77777777" w:rsidR="001A7858" w:rsidRPr="00B02E1C" w:rsidRDefault="007079B5">
            <w:pPr>
              <w:spacing w:before="40" w:after="40"/>
              <w:jc w:val="right"/>
              <w:rPr>
                <w:sz w:val="20"/>
                <w:szCs w:val="20"/>
              </w:rPr>
            </w:pPr>
            <w:r w:rsidRPr="00B02E1C">
              <w:rPr>
                <w:rFonts w:ascii="Arial" w:hAnsi="Arial" w:cs="Arial"/>
                <w:sz w:val="20"/>
                <w:szCs w:val="20"/>
              </w:rPr>
              <w:t>$ 0.00</w:t>
            </w:r>
          </w:p>
        </w:tc>
        <w:tc>
          <w:tcPr>
            <w:tcW w:w="1710" w:type="dxa"/>
            <w:vAlign w:val="center"/>
          </w:tcPr>
          <w:p w14:paraId="49FD47D1" w14:textId="77777777" w:rsidR="001A7858" w:rsidRPr="00B02E1C" w:rsidRDefault="007079B5">
            <w:pPr>
              <w:spacing w:before="40" w:after="40"/>
              <w:jc w:val="right"/>
              <w:rPr>
                <w:sz w:val="20"/>
                <w:szCs w:val="20"/>
              </w:rPr>
            </w:pPr>
            <w:r w:rsidRPr="00B02E1C">
              <w:rPr>
                <w:rFonts w:ascii="Arial" w:hAnsi="Arial" w:cs="Arial"/>
                <w:sz w:val="20"/>
                <w:szCs w:val="20"/>
              </w:rPr>
              <w:t>$ 400,000.00</w:t>
            </w:r>
          </w:p>
        </w:tc>
      </w:tr>
      <w:tr w:rsidR="001A7858" w14:paraId="58EBEC47" w14:textId="77777777" w:rsidTr="00B02E1C">
        <w:tc>
          <w:tcPr>
            <w:tcW w:w="4338" w:type="dxa"/>
            <w:vAlign w:val="center"/>
          </w:tcPr>
          <w:p w14:paraId="192CD45E" w14:textId="77777777" w:rsidR="001A7858" w:rsidRPr="00B02E1C" w:rsidRDefault="007079B5">
            <w:pPr>
              <w:spacing w:before="40" w:after="40"/>
              <w:rPr>
                <w:sz w:val="20"/>
                <w:szCs w:val="20"/>
              </w:rPr>
            </w:pPr>
            <w:r w:rsidRPr="00B02E1C">
              <w:rPr>
                <w:rFonts w:ascii="Arial" w:hAnsi="Arial" w:cs="Arial"/>
                <w:sz w:val="20"/>
                <w:szCs w:val="20"/>
              </w:rPr>
              <w:t>Componente III. Apoyo en los procesos de viabilidad política e institucional para la ejecución de los componentes anteriores</w:t>
            </w:r>
          </w:p>
        </w:tc>
        <w:tc>
          <w:tcPr>
            <w:tcW w:w="1758" w:type="dxa"/>
            <w:vAlign w:val="center"/>
          </w:tcPr>
          <w:p w14:paraId="67DBCC59" w14:textId="77777777" w:rsidR="001A7858" w:rsidRPr="00B02E1C" w:rsidRDefault="007079B5">
            <w:pPr>
              <w:spacing w:before="40" w:after="40"/>
              <w:jc w:val="right"/>
              <w:rPr>
                <w:sz w:val="20"/>
                <w:szCs w:val="20"/>
              </w:rPr>
            </w:pPr>
            <w:r w:rsidRPr="00B02E1C">
              <w:rPr>
                <w:rFonts w:ascii="Arial" w:hAnsi="Arial" w:cs="Arial"/>
                <w:sz w:val="20"/>
                <w:szCs w:val="20"/>
              </w:rPr>
              <w:t>$ 50,000.00</w:t>
            </w:r>
          </w:p>
        </w:tc>
        <w:tc>
          <w:tcPr>
            <w:tcW w:w="1440" w:type="dxa"/>
            <w:vAlign w:val="center"/>
          </w:tcPr>
          <w:p w14:paraId="763B66FE" w14:textId="77777777" w:rsidR="001A7858" w:rsidRPr="00B02E1C" w:rsidRDefault="007079B5">
            <w:pPr>
              <w:spacing w:before="40" w:after="40"/>
              <w:jc w:val="right"/>
              <w:rPr>
                <w:sz w:val="20"/>
                <w:szCs w:val="20"/>
              </w:rPr>
            </w:pPr>
            <w:r w:rsidRPr="00B02E1C">
              <w:rPr>
                <w:rFonts w:ascii="Arial" w:hAnsi="Arial" w:cs="Arial"/>
                <w:sz w:val="20"/>
                <w:szCs w:val="20"/>
              </w:rPr>
              <w:t>$ 0.00</w:t>
            </w:r>
          </w:p>
        </w:tc>
        <w:tc>
          <w:tcPr>
            <w:tcW w:w="1710" w:type="dxa"/>
            <w:vAlign w:val="center"/>
          </w:tcPr>
          <w:p w14:paraId="5FEB175B" w14:textId="77777777" w:rsidR="001A7858" w:rsidRPr="00B02E1C" w:rsidRDefault="007079B5">
            <w:pPr>
              <w:spacing w:before="40" w:after="40"/>
              <w:jc w:val="right"/>
              <w:rPr>
                <w:sz w:val="20"/>
                <w:szCs w:val="20"/>
              </w:rPr>
            </w:pPr>
            <w:r w:rsidRPr="00B02E1C">
              <w:rPr>
                <w:rFonts w:ascii="Arial" w:hAnsi="Arial" w:cs="Arial"/>
                <w:sz w:val="20"/>
                <w:szCs w:val="20"/>
              </w:rPr>
              <w:t>$ 50,000.00</w:t>
            </w:r>
          </w:p>
        </w:tc>
      </w:tr>
      <w:tr w:rsidR="00B02E1C" w14:paraId="2A9FAF4A" w14:textId="77777777" w:rsidTr="00B02E1C">
        <w:tc>
          <w:tcPr>
            <w:tcW w:w="4338" w:type="dxa"/>
            <w:vAlign w:val="center"/>
          </w:tcPr>
          <w:p w14:paraId="335F2271" w14:textId="084A7860" w:rsidR="00B02E1C" w:rsidRPr="00B02E1C" w:rsidRDefault="00B02E1C" w:rsidP="00B02E1C">
            <w:pPr>
              <w:spacing w:before="40" w:after="40"/>
              <w:jc w:val="right"/>
              <w:rPr>
                <w:rFonts w:ascii="Arial" w:hAnsi="Arial" w:cs="Arial"/>
                <w:b/>
                <w:bCs/>
                <w:sz w:val="20"/>
                <w:szCs w:val="20"/>
              </w:rPr>
            </w:pPr>
            <w:r w:rsidRPr="00B02E1C">
              <w:rPr>
                <w:rFonts w:ascii="Arial" w:hAnsi="Arial" w:cs="Arial"/>
                <w:b/>
                <w:bCs/>
                <w:sz w:val="20"/>
                <w:szCs w:val="20"/>
              </w:rPr>
              <w:t>TOTAL</w:t>
            </w:r>
          </w:p>
        </w:tc>
        <w:tc>
          <w:tcPr>
            <w:tcW w:w="1758" w:type="dxa"/>
            <w:vAlign w:val="center"/>
          </w:tcPr>
          <w:p w14:paraId="63B918FF" w14:textId="1C699CB2" w:rsidR="00B02E1C" w:rsidRPr="00B02E1C" w:rsidRDefault="00B02E1C">
            <w:pPr>
              <w:spacing w:before="40" w:after="40"/>
              <w:jc w:val="right"/>
              <w:rPr>
                <w:rFonts w:ascii="Arial" w:hAnsi="Arial" w:cs="Arial"/>
                <w:b/>
                <w:bCs/>
                <w:sz w:val="20"/>
                <w:szCs w:val="20"/>
              </w:rPr>
            </w:pPr>
            <w:r w:rsidRPr="00B02E1C">
              <w:rPr>
                <w:rFonts w:ascii="Arial" w:hAnsi="Arial" w:cs="Arial"/>
                <w:b/>
                <w:bCs/>
                <w:sz w:val="20"/>
                <w:szCs w:val="20"/>
              </w:rPr>
              <w:t>900.000.00</w:t>
            </w:r>
          </w:p>
        </w:tc>
        <w:tc>
          <w:tcPr>
            <w:tcW w:w="1440" w:type="dxa"/>
            <w:vAlign w:val="center"/>
          </w:tcPr>
          <w:p w14:paraId="4F00E792" w14:textId="1B0F5E0F" w:rsidR="00B02E1C" w:rsidRPr="00B02E1C" w:rsidRDefault="00B02E1C">
            <w:pPr>
              <w:spacing w:before="40" w:after="40"/>
              <w:jc w:val="right"/>
              <w:rPr>
                <w:rFonts w:ascii="Arial" w:hAnsi="Arial" w:cs="Arial"/>
                <w:b/>
                <w:bCs/>
                <w:sz w:val="20"/>
                <w:szCs w:val="20"/>
              </w:rPr>
            </w:pPr>
            <w:r w:rsidRPr="00B02E1C">
              <w:rPr>
                <w:rFonts w:ascii="Arial" w:hAnsi="Arial" w:cs="Arial"/>
                <w:b/>
                <w:bCs/>
                <w:sz w:val="20"/>
                <w:szCs w:val="20"/>
              </w:rPr>
              <w:t>0.00</w:t>
            </w:r>
          </w:p>
        </w:tc>
        <w:tc>
          <w:tcPr>
            <w:tcW w:w="1710" w:type="dxa"/>
            <w:vAlign w:val="center"/>
          </w:tcPr>
          <w:p w14:paraId="70C0AC52" w14:textId="44FE3CE9" w:rsidR="00B02E1C" w:rsidRPr="00B02E1C" w:rsidRDefault="00B02E1C">
            <w:pPr>
              <w:spacing w:before="40" w:after="40"/>
              <w:jc w:val="right"/>
              <w:rPr>
                <w:rFonts w:ascii="Arial" w:hAnsi="Arial" w:cs="Arial"/>
                <w:b/>
                <w:bCs/>
                <w:sz w:val="20"/>
                <w:szCs w:val="20"/>
              </w:rPr>
            </w:pPr>
            <w:r w:rsidRPr="00B02E1C">
              <w:rPr>
                <w:rFonts w:ascii="Arial" w:hAnsi="Arial" w:cs="Arial"/>
                <w:b/>
                <w:bCs/>
                <w:sz w:val="20"/>
                <w:szCs w:val="20"/>
              </w:rPr>
              <w:t>9</w:t>
            </w:r>
            <w:r>
              <w:rPr>
                <w:rFonts w:ascii="Arial" w:hAnsi="Arial" w:cs="Arial"/>
                <w:b/>
                <w:bCs/>
                <w:sz w:val="20"/>
                <w:szCs w:val="20"/>
              </w:rPr>
              <w:t>0</w:t>
            </w:r>
            <w:r w:rsidRPr="00B02E1C">
              <w:rPr>
                <w:rFonts w:ascii="Arial" w:hAnsi="Arial" w:cs="Arial"/>
                <w:b/>
                <w:bCs/>
                <w:sz w:val="20"/>
                <w:szCs w:val="20"/>
              </w:rPr>
              <w:t>0.000.00</w:t>
            </w:r>
          </w:p>
        </w:tc>
      </w:tr>
    </w:tbl>
    <w:p w14:paraId="6DD4410C" w14:textId="77777777" w:rsidR="001A7858" w:rsidRDefault="007079B5">
      <w:pPr>
        <w:spacing w:before="120" w:after="120"/>
        <w:ind w:left="579" w:hanging="579"/>
      </w:pPr>
      <w:r>
        <w:rPr>
          <w:rFonts w:ascii="Arial" w:hAnsi="Arial" w:cs="Arial"/>
          <w:b/>
        </w:rPr>
        <w:t>V.</w:t>
      </w:r>
      <w:r>
        <w:rPr>
          <w:rFonts w:ascii="Arial" w:hAnsi="Arial" w:cs="Arial"/>
          <w:b/>
        </w:rPr>
        <w:tab/>
        <w:t>Executin</w:t>
      </w:r>
      <w:r>
        <w:rPr>
          <w:rFonts w:ascii="Arial" w:hAnsi="Arial" w:cs="Arial"/>
          <w:b/>
        </w:rPr>
        <w:t>g Agency and Execution Structure</w:t>
      </w:r>
    </w:p>
    <w:p w14:paraId="0F1B5A53" w14:textId="321038B3" w:rsidR="001A7858" w:rsidRDefault="007079B5" w:rsidP="00040044">
      <w:pPr>
        <w:spacing w:before="200" w:after="200"/>
        <w:ind w:left="579" w:hanging="579"/>
        <w:jc w:val="both"/>
      </w:pPr>
      <w:r>
        <w:rPr>
          <w:rFonts w:ascii="Arial" w:hAnsi="Arial" w:cs="Arial"/>
        </w:rPr>
        <w:t>5.1</w:t>
      </w:r>
      <w:r>
        <w:rPr>
          <w:rFonts w:ascii="Arial" w:hAnsi="Arial" w:cs="Arial"/>
        </w:rPr>
        <w:tab/>
        <w:t xml:space="preserve">El ejecutor de esta CT será el Banco a través de la División de Agua y Saneamiento (INE/WSA) en Panamá, debido a que el país atraviesa un año electoral y existe un riesgo de retraso con el cambio de autoridades, lo que </w:t>
      </w:r>
      <w:r>
        <w:rPr>
          <w:rFonts w:ascii="Arial" w:hAnsi="Arial" w:cs="Arial"/>
        </w:rPr>
        <w:t>podría ocasionar demoras en le ejecución de la CT y la obtención de los resultados esperados. Si bien, la ejecución estará a cargo del Banco, las consultorías se supervisarán en estrecha colaboración con la Autoridad del Canal de Panamá.</w:t>
      </w:r>
      <w:bookmarkStart w:id="0" w:name="_GoBack"/>
      <w:bookmarkEnd w:id="0"/>
    </w:p>
    <w:p w14:paraId="2764CFB7" w14:textId="77777777" w:rsidR="001A7858" w:rsidRDefault="007079B5">
      <w:pPr>
        <w:spacing w:before="120" w:after="120"/>
        <w:ind w:left="579" w:hanging="579"/>
      </w:pPr>
      <w:r>
        <w:rPr>
          <w:rFonts w:ascii="Arial" w:hAnsi="Arial" w:cs="Arial"/>
          <w:b/>
        </w:rPr>
        <w:t>VI.</w:t>
      </w:r>
      <w:r>
        <w:rPr>
          <w:rFonts w:ascii="Arial" w:hAnsi="Arial" w:cs="Arial"/>
          <w:b/>
        </w:rPr>
        <w:tab/>
        <w:t>Project Risks and Issues</w:t>
      </w:r>
    </w:p>
    <w:p w14:paraId="61815461" w14:textId="77777777" w:rsidR="001A7858" w:rsidRDefault="007079B5">
      <w:pPr>
        <w:spacing w:before="200" w:after="200"/>
        <w:ind w:left="579" w:hanging="579"/>
        <w:jc w:val="both"/>
      </w:pPr>
      <w:r>
        <w:rPr>
          <w:rFonts w:ascii="Arial" w:hAnsi="Arial" w:cs="Arial"/>
        </w:rPr>
        <w:t>6.1</w:t>
      </w:r>
      <w:r>
        <w:rPr>
          <w:rFonts w:ascii="Arial" w:hAnsi="Arial" w:cs="Arial"/>
        </w:rPr>
        <w:tab/>
        <w:t xml:space="preserve">Se han identificado los siguientes riesgos: (i) </w:t>
      </w:r>
      <w:r>
        <w:rPr>
          <w:rFonts w:ascii="Arial" w:hAnsi="Arial" w:cs="Arial"/>
        </w:rPr>
        <w:t>retrasos en la ejecución de los estudios y actividades; y (ii) cambios en las autoridades de Gobierno vinculadas con el Proyecto que puedan representar demoras en la ejecución de algunos de los estudios.  Para mitigar estos riesgos se ha definido la confor</w:t>
      </w:r>
      <w:r>
        <w:rPr>
          <w:rFonts w:ascii="Arial" w:hAnsi="Arial" w:cs="Arial"/>
        </w:rPr>
        <w:t>mación de un Comité Directivo conformado por la ACP y el Banco para la revisión de todos los productos entregados. Adicionalmente, el Banco será el ejecutor, lo cual permitirá disminuir el riesgo de retrasos en la ejecución dado que se seguirán las polític</w:t>
      </w:r>
      <w:r>
        <w:rPr>
          <w:rFonts w:ascii="Arial" w:hAnsi="Arial" w:cs="Arial"/>
        </w:rPr>
        <w:t>as de contratación y no estará sujeto a cambios políticos o administrativos. El Comité se reunirá periódicamente (una vez al mes) para revisar los cronogramas de actividades y los avances en los estudios entre otras cosas. Cuando se considere pertinente, l</w:t>
      </w:r>
      <w:r>
        <w:rPr>
          <w:rFonts w:ascii="Arial" w:hAnsi="Arial" w:cs="Arial"/>
        </w:rPr>
        <w:t>a ACP y el Banco podrán invitar a participar a este Comité a las instituciones vinculadas, al igual que autoridades regionales y locales, para enriquecer la discusión sobre los estudios y sus productos finales claves.</w:t>
      </w:r>
    </w:p>
    <w:p w14:paraId="398EF038" w14:textId="77777777" w:rsidR="001A7858" w:rsidRDefault="007079B5">
      <w:pPr>
        <w:spacing w:before="120" w:after="120"/>
        <w:ind w:left="579" w:hanging="579"/>
      </w:pPr>
      <w:r>
        <w:rPr>
          <w:rFonts w:ascii="Arial" w:hAnsi="Arial" w:cs="Arial"/>
          <w:b/>
        </w:rPr>
        <w:t>VII.</w:t>
      </w:r>
      <w:r>
        <w:rPr>
          <w:rFonts w:ascii="Arial" w:hAnsi="Arial" w:cs="Arial"/>
          <w:b/>
        </w:rPr>
        <w:tab/>
        <w:t>Environmental and Social Classifi</w:t>
      </w:r>
      <w:r>
        <w:rPr>
          <w:rFonts w:ascii="Arial" w:hAnsi="Arial" w:cs="Arial"/>
          <w:b/>
        </w:rPr>
        <w:t>cation</w:t>
      </w:r>
    </w:p>
    <w:p w14:paraId="3BA26C29" w14:textId="77777777" w:rsidR="001A7858" w:rsidRDefault="007079B5">
      <w:pPr>
        <w:spacing w:before="240" w:after="120"/>
        <w:ind w:left="579" w:hanging="579"/>
        <w:jc w:val="both"/>
      </w:pPr>
      <w:r>
        <w:rPr>
          <w:rFonts w:ascii="Arial" w:hAnsi="Arial" w:cs="Arial"/>
        </w:rPr>
        <w:t>7.1</w:t>
      </w:r>
      <w:r>
        <w:rPr>
          <w:rFonts w:ascii="Arial" w:hAnsi="Arial" w:cs="Arial"/>
        </w:rPr>
        <w:tab/>
        <w:t>The ESG classification for this operation is "undefined".</w:t>
      </w:r>
    </w:p>
    <w:sectPr w:rsidR="001A7858" w:rsidSect="00FC3028">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215C8" w14:textId="77777777" w:rsidR="007079B5" w:rsidRDefault="007079B5">
      <w:r>
        <w:separator/>
      </w:r>
    </w:p>
  </w:endnote>
  <w:endnote w:type="continuationSeparator" w:id="0">
    <w:p w14:paraId="31053D43" w14:textId="77777777" w:rsidR="007079B5" w:rsidRDefault="00707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078CA" w14:textId="77777777" w:rsidR="009D472B" w:rsidRDefault="007079B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EF995" w14:textId="77777777" w:rsidR="009D472B" w:rsidRDefault="007079B5"/>
  <w:p w14:paraId="5809757C" w14:textId="77777777" w:rsidR="001A7858" w:rsidRDefault="007079B5">
    <w:pPr>
      <w:jc w:val="center"/>
    </w:pPr>
    <w:r>
      <w:t xml:space="preserve">- </w:t>
    </w:r>
    <w:r>
      <w:fldChar w:fldCharType="begin"/>
    </w:r>
    <w:r>
      <w:instrText xml:space="preserve"> PAGE   \* MERGEFORMAT </w:instrText>
    </w:r>
    <w: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985F7" w14:textId="77777777" w:rsidR="009D472B" w:rsidRDefault="007079B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E05F8" w14:textId="77777777" w:rsidR="007079B5" w:rsidRDefault="007079B5">
      <w:r>
        <w:separator/>
      </w:r>
    </w:p>
  </w:footnote>
  <w:footnote w:type="continuationSeparator" w:id="0">
    <w:p w14:paraId="3884AAA3" w14:textId="77777777" w:rsidR="007079B5" w:rsidRDefault="007079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7F62"/>
    <w:rsid w:val="00040044"/>
    <w:rsid w:val="001915A3"/>
    <w:rsid w:val="001A7858"/>
    <w:rsid w:val="001C24C9"/>
    <w:rsid w:val="00217F62"/>
    <w:rsid w:val="007079B5"/>
    <w:rsid w:val="00A906D8"/>
    <w:rsid w:val="00AB5A74"/>
    <w:rsid w:val="00B02E1C"/>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A751E"/>
  <w15:docId w15:val="{7F1A248A-3928-4218-B6C9-EA4F1D714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544DDECC8FC5F44A4BD2C456C0ABE7E" ma:contentTypeVersion="900" ma:contentTypeDescription="A content type to manage public (operations) IDB documents" ma:contentTypeScope="" ma:versionID="8cc781fe6a7a985af8f3a23ae72464f0">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Abstract</TermName>
          <TermId xmlns="http://schemas.microsoft.com/office/infopath/2007/PartnerControls">7d12d2c9-3b07-4a95-a4b4-99c2881b0472</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INTEGRAL MANAGEMENT OF WATER RESOURCES</TermName>
          <TermId xmlns="http://schemas.microsoft.com/office/infopath/2007/PartnerControls">b6095696-0808-4ea4-b0d5-c9646be8689e</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Info xmlns="http://schemas.microsoft.com/office/infopath/2007/PartnerControls">
          <TermName xmlns="http://schemas.microsoft.com/office/infopath/2007/PartnerControls">SUS</TermName>
          <TermId xmlns="http://schemas.microsoft.com/office/infopath/2007/PartnerControls">a52fbbab-6bb9-4f53-9a43-d35ec8453bb2</TermId>
        </TermInfo>
      </Terms>
    </g511464f9e53401d84b16fa9b379a574>
    <Related_x0020_SisCor_x0020_Number xmlns="cdc7663a-08f0-4737-9e8c-148ce897a09c" xsi:nil="true"/>
    <TaxCatchAll xmlns="cdc7663a-08f0-4737-9e8c-148ce897a09c">
      <Value>67</Value>
      <Value>114</Value>
      <Value>25</Value>
      <Value>23</Value>
      <Value>2</Value>
      <Value>69</Value>
      <Value>68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PN-T1230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_dlc_DocId xmlns="cdc7663a-08f0-4737-9e8c-148ce897a09c">EZSHARE-841551783-8</_dlc_DocId>
    <_dlc_DocIdUrl xmlns="cdc7663a-08f0-4737-9e8c-148ce897a09c">
      <Url>https://idbg.sharepoint.com/teams/EZ-PN-TCP/PN-T1230/_layouts/15/DocIdRedir.aspx?ID=EZSHARE-841551783-8</Url>
      <Description>EZSHARE-841551783-8</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Water and Sanitation;</Webtopic>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7CD6F8E8-18AA-405E-8508-05E5DF6B2C00}"/>
</file>

<file path=customXml/itemProps2.xml><?xml version="1.0" encoding="utf-8"?>
<ds:datastoreItem xmlns:ds="http://schemas.openxmlformats.org/officeDocument/2006/customXml" ds:itemID="{02F3C2C4-0380-4893-B753-8CFF8EE681C2}"/>
</file>

<file path=customXml/itemProps3.xml><?xml version="1.0" encoding="utf-8"?>
<ds:datastoreItem xmlns:ds="http://schemas.openxmlformats.org/officeDocument/2006/customXml" ds:itemID="{C3D2C2DD-956E-425E-BDD3-9CCFE3CFCC4E}"/>
</file>

<file path=customXml/itemProps4.xml><?xml version="1.0" encoding="utf-8"?>
<ds:datastoreItem xmlns:ds="http://schemas.openxmlformats.org/officeDocument/2006/customXml" ds:itemID="{CC777B02-9DC0-4A2D-A673-AA8B1AA545EE}"/>
</file>

<file path=customXml/itemProps5.xml><?xml version="1.0" encoding="utf-8"?>
<ds:datastoreItem xmlns:ds="http://schemas.openxmlformats.org/officeDocument/2006/customXml" ds:itemID="{7DD58EF7-4AC4-4915-B581-BC94666B11E4}"/>
</file>

<file path=customXml/itemProps6.xml><?xml version="1.0" encoding="utf-8"?>
<ds:datastoreItem xmlns:ds="http://schemas.openxmlformats.org/officeDocument/2006/customXml" ds:itemID="{43D732EF-71B0-40E1-8C64-BAC152CCC7CC}"/>
</file>

<file path=customXml/itemProps7.xml><?xml version="1.0" encoding="utf-8"?>
<ds:datastoreItem xmlns:ds="http://schemas.openxmlformats.org/officeDocument/2006/customXml" ds:itemID="{7D8A7B48-4EA4-4DA4-A7DC-B2C72066ADCD}"/>
</file>

<file path=docProps/app.xml><?xml version="1.0" encoding="utf-8"?>
<Properties xmlns="http://schemas.openxmlformats.org/officeDocument/2006/extended-properties" xmlns:vt="http://schemas.openxmlformats.org/officeDocument/2006/docPropsVTypes">
  <Template>Normal</Template>
  <TotalTime>2</TotalTime>
  <Pages>3</Pages>
  <Words>1192</Words>
  <Characters>6798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ModifiedBy>Guerrero Rivera, Marilyn Ivette</cp:lastModifiedBy>
  <cp:revision>3</cp:revision>
  <dcterms:created xsi:type="dcterms:W3CDTF">2019-07-18T19:14:00Z</dcterms:created>
  <dcterms:modified xsi:type="dcterms:W3CDTF">2019-07-18T19:15:00Z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23;#TC Abstract|7d12d2c9-3b07-4a95-a4b4-99c2881b0472</vt:lpwstr>
  </property>
  <property fmtid="{D5CDD505-2E9C-101B-9397-08002B2CF9AE}" pid="6" name="Sub-Sector">
    <vt:lpwstr>69;#INTEGRAL MANAGEMENT OF WATER RESOURCES|b6095696-0808-4ea4-b0d5-c9646be8689e</vt:lpwstr>
  </property>
  <property fmtid="{D5CDD505-2E9C-101B-9397-08002B2CF9AE}" pid="7" name="Fund IDB">
    <vt:lpwstr>68;#INF|474aab72-0205-4196-bca7-4b288939fcb3;#114;#SUS|a52fbbab-6bb9-4f53-9a43-d35ec8453bb2</vt:lpwstr>
  </property>
  <property fmtid="{D5CDD505-2E9C-101B-9397-08002B2CF9AE}" pid="8" name="Country">
    <vt:lpwstr>25;#Panama|7af43a84-776d-43d1-b0f2-8a1f2a8ffc7b</vt:lpwstr>
  </property>
  <property fmtid="{D5CDD505-2E9C-101B-9397-08002B2CF9AE}" pid="9" name="Sector IDB">
    <vt:lpwstr>67;#WATER AND SANITATION|ba6b63cd-e402-47cb-9357-08149f7ce046</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3d48c10a-5924-4103-9315-dd7b607983ce</vt:lpwstr>
  </property>
  <property fmtid="{D5CDD505-2E9C-101B-9397-08002B2CF9AE}" pid="12" name="Disclosure Activity">
    <vt:lpwstr>TC Abstract</vt:lpwstr>
  </property>
  <property fmtid="{D5CDD505-2E9C-101B-9397-08002B2CF9AE}" pid="13" name="ContentTypeId">
    <vt:lpwstr>0x0101001A458A224826124E8B45B1D613300CFC006544DDECC8FC5F44A4BD2C456C0ABE7E</vt:lpwstr>
  </property>
</Properties>
</file>