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BF8" w:rsidRPr="00E14CCD" w:rsidRDefault="00625BF8" w:rsidP="00625BF8">
      <w:pPr>
        <w:shd w:val="clear" w:color="auto" w:fill="FFFFFF" w:themeFill="background1"/>
        <w:jc w:val="center"/>
        <w:rPr>
          <w:b/>
          <w:smallCaps/>
          <w:sz w:val="21"/>
          <w:szCs w:val="21"/>
          <w:lang w:val="es-ES_tradnl"/>
        </w:rPr>
      </w:pPr>
      <w:bookmarkStart w:id="0" w:name="_Toc193012681"/>
      <w:bookmarkStart w:id="1" w:name="_Toc193013165"/>
      <w:r w:rsidRPr="00E14CCD">
        <w:rPr>
          <w:b/>
          <w:smallCaps/>
          <w:sz w:val="21"/>
          <w:szCs w:val="21"/>
          <w:lang w:val="es-ES_tradnl"/>
        </w:rPr>
        <w:t>MATRIZ DE CONDICIONES Y MEDIOS DE VERIFICACIÓN</w:t>
      </w:r>
    </w:p>
    <w:p w:rsidR="00625BF8" w:rsidRPr="00E14CCD" w:rsidRDefault="00625BF8" w:rsidP="00625BF8">
      <w:pPr>
        <w:shd w:val="clear" w:color="auto" w:fill="FFFFFF" w:themeFill="background1"/>
        <w:jc w:val="center"/>
        <w:rPr>
          <w:b/>
          <w:smallCaps/>
          <w:sz w:val="21"/>
          <w:szCs w:val="21"/>
          <w:lang w:val="es-ES_tradnl"/>
        </w:rPr>
      </w:pPr>
    </w:p>
    <w:p w:rsidR="00625BF8" w:rsidRDefault="00625BF8" w:rsidP="00625BF8">
      <w:pPr>
        <w:shd w:val="clear" w:color="auto" w:fill="FFFFFF" w:themeFill="background1"/>
        <w:jc w:val="center"/>
        <w:rPr>
          <w:rFonts w:ascii="Times New Roman Bold" w:hAnsi="Times New Roman Bold"/>
          <w:b/>
          <w:smallCaps/>
          <w:sz w:val="21"/>
          <w:szCs w:val="21"/>
          <w:lang w:val="es-ES_tradnl"/>
        </w:rPr>
      </w:pPr>
      <w:r w:rsidRPr="00E14CCD">
        <w:rPr>
          <w:rFonts w:ascii="Times New Roman Bold" w:hAnsi="Times New Roman Bold"/>
          <w:b/>
          <w:smallCaps/>
          <w:sz w:val="21"/>
          <w:szCs w:val="21"/>
          <w:lang w:val="es-ES_tradnl"/>
        </w:rPr>
        <w:t>PROGRAMA DE POSICIONAMIENTO ESTRATÉGICO INTERNACIONAL</w:t>
      </w:r>
    </w:p>
    <w:p w:rsidR="00473EBA" w:rsidRPr="00E14CCD" w:rsidRDefault="00473EBA" w:rsidP="00625BF8">
      <w:pPr>
        <w:shd w:val="clear" w:color="auto" w:fill="FFFFFF" w:themeFill="background1"/>
        <w:jc w:val="center"/>
        <w:rPr>
          <w:rFonts w:ascii="Times New Roman Bold" w:hAnsi="Times New Roman Bold"/>
          <w:b/>
          <w:smallCaps/>
          <w:sz w:val="21"/>
          <w:szCs w:val="21"/>
          <w:lang w:val="es-ES_tradnl"/>
        </w:rPr>
      </w:pPr>
    </w:p>
    <w:tbl>
      <w:tblPr>
        <w:tblpPr w:leftFromText="141" w:rightFromText="141" w:vertAnchor="text" w:horzAnchor="margin" w:tblpXSpec="center" w:tblpY="41"/>
        <w:tblW w:w="13149" w:type="dxa"/>
        <w:shd w:val="clear" w:color="auto" w:fill="FFFFFF" w:themeFill="background1"/>
        <w:tblLayout w:type="fixed"/>
        <w:tblLook w:val="04A0" w:firstRow="1" w:lastRow="0" w:firstColumn="1" w:lastColumn="0" w:noHBand="0" w:noVBand="1"/>
      </w:tblPr>
      <w:tblGrid>
        <w:gridCol w:w="2660"/>
        <w:gridCol w:w="2977"/>
        <w:gridCol w:w="4911"/>
        <w:gridCol w:w="2601"/>
      </w:tblGrid>
      <w:tr w:rsidR="00E75FC5" w:rsidRPr="00473EBA" w:rsidTr="00EC5F5F">
        <w:trPr>
          <w:trHeight w:val="122"/>
          <w:tblHeader/>
        </w:trPr>
        <w:tc>
          <w:tcPr>
            <w:tcW w:w="2660" w:type="dxa"/>
            <w:tcBorders>
              <w:top w:val="single" w:sz="8" w:space="0" w:color="auto"/>
              <w:left w:val="single" w:sz="8"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Reformas d</w:t>
            </w:r>
            <w:r w:rsidRPr="00473EBA">
              <w:rPr>
                <w:rFonts w:ascii="Times New Roman Bold" w:hAnsi="Times New Roman Bold"/>
                <w:b/>
                <w:bCs/>
                <w:smallCaps/>
                <w:color w:val="000000"/>
                <w:sz w:val="20"/>
                <w:szCs w:val="20"/>
                <w:lang w:val="es-ES_tradnl"/>
              </w:rPr>
              <w:t>e Pol</w:t>
            </w:r>
            <w:r w:rsidRPr="00473EBA">
              <w:rPr>
                <w:rFonts w:ascii="Times New Roman Bold" w:hAnsi="Times New Roman Bold" w:hint="eastAsia"/>
                <w:b/>
                <w:bCs/>
                <w:smallCaps/>
                <w:color w:val="000000"/>
                <w:sz w:val="20"/>
                <w:szCs w:val="20"/>
                <w:lang w:val="es-ES_tradnl"/>
              </w:rPr>
              <w:t>í</w:t>
            </w:r>
            <w:r>
              <w:rPr>
                <w:rFonts w:ascii="Times New Roman Bold" w:hAnsi="Times New Roman Bold"/>
                <w:b/>
                <w:bCs/>
                <w:smallCaps/>
                <w:color w:val="000000"/>
                <w:sz w:val="20"/>
                <w:szCs w:val="20"/>
                <w:lang w:val="es-ES_tradnl"/>
              </w:rPr>
              <w:t>tica y</w:t>
            </w:r>
            <w:r w:rsidRPr="00473EBA">
              <w:rPr>
                <w:rFonts w:ascii="Times New Roman Bold" w:hAnsi="Times New Roman Bold"/>
                <w:b/>
                <w:bCs/>
                <w:smallCaps/>
                <w:color w:val="000000"/>
                <w:sz w:val="20"/>
                <w:szCs w:val="20"/>
                <w:lang w:val="es-ES_tradnl"/>
              </w:rPr>
              <w:t xml:space="preserve"> Objetivo</w:t>
            </w:r>
          </w:p>
        </w:tc>
        <w:tc>
          <w:tcPr>
            <w:tcW w:w="2977" w:type="dxa"/>
            <w:tcBorders>
              <w:top w:val="single" w:sz="4" w:space="0" w:color="auto"/>
              <w:left w:val="single" w:sz="4" w:space="0" w:color="auto"/>
              <w:bottom w:val="single" w:sz="4" w:space="0" w:color="auto"/>
              <w:right w:val="single" w:sz="8" w:space="0" w:color="auto"/>
            </w:tcBorders>
            <w:shd w:val="clear" w:color="auto" w:fill="FFFFFF" w:themeFill="background1"/>
            <w:vAlign w:val="center"/>
            <w:hideMark/>
          </w:tcPr>
          <w:p w:rsidR="00E75FC5" w:rsidRPr="00473EBA" w:rsidRDefault="00E75FC5" w:rsidP="00473EBA">
            <w:pPr>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Compromisos d</w:t>
            </w:r>
            <w:r w:rsidRPr="00473EBA">
              <w:rPr>
                <w:rFonts w:ascii="Times New Roman Bold" w:hAnsi="Times New Roman Bold"/>
                <w:b/>
                <w:bCs/>
                <w:smallCaps/>
                <w:color w:val="000000"/>
                <w:sz w:val="20"/>
                <w:szCs w:val="20"/>
                <w:lang w:val="es-ES_tradnl"/>
              </w:rPr>
              <w:t>el Programa I</w:t>
            </w:r>
            <w:r>
              <w:rPr>
                <w:rFonts w:ascii="Times New Roman Bold" w:hAnsi="Times New Roman Bold"/>
                <w:b/>
                <w:bCs/>
                <w:smallCaps/>
                <w:color w:val="000000"/>
                <w:sz w:val="20"/>
                <w:szCs w:val="20"/>
                <w:lang w:val="es-ES_tradnl"/>
              </w:rPr>
              <w:t>II</w:t>
            </w:r>
          </w:p>
        </w:tc>
        <w:tc>
          <w:tcPr>
            <w:tcW w:w="4911" w:type="dxa"/>
            <w:tcBorders>
              <w:top w:val="single" w:sz="4" w:space="0" w:color="auto"/>
              <w:left w:val="nil"/>
              <w:bottom w:val="single" w:sz="4" w:space="0" w:color="auto"/>
              <w:right w:val="single" w:sz="8" w:space="0" w:color="auto"/>
            </w:tcBorders>
            <w:shd w:val="clear" w:color="auto" w:fill="FFFFFF" w:themeFill="background1"/>
            <w:vAlign w:val="center"/>
            <w:hideMark/>
          </w:tcPr>
          <w:p w:rsidR="00E75FC5" w:rsidRPr="00473EBA" w:rsidRDefault="00E75FC5" w:rsidP="008070FB">
            <w:pPr>
              <w:jc w:val="center"/>
              <w:rPr>
                <w:rFonts w:ascii="Times New Roman Bold" w:hAnsi="Times New Roman Bold"/>
                <w:b/>
                <w:bCs/>
                <w:smallCaps/>
                <w:color w:val="000000"/>
                <w:sz w:val="20"/>
                <w:szCs w:val="20"/>
                <w:lang w:val="es-ES_tradnl"/>
              </w:rPr>
            </w:pPr>
            <w:r w:rsidRPr="00473EBA">
              <w:rPr>
                <w:rFonts w:ascii="Times New Roman Bold" w:hAnsi="Times New Roman Bold"/>
                <w:b/>
                <w:bCs/>
                <w:smallCaps/>
                <w:color w:val="000000"/>
                <w:sz w:val="20"/>
                <w:szCs w:val="20"/>
                <w:lang w:val="es-ES_tradnl"/>
              </w:rPr>
              <w:t xml:space="preserve">Medios </w:t>
            </w:r>
            <w:r>
              <w:rPr>
                <w:rFonts w:ascii="Times New Roman Bold" w:hAnsi="Times New Roman Bold"/>
                <w:b/>
                <w:bCs/>
                <w:smallCaps/>
                <w:color w:val="000000"/>
                <w:sz w:val="20"/>
                <w:szCs w:val="20"/>
                <w:lang w:val="es-ES_tradnl"/>
              </w:rPr>
              <w:t>d</w:t>
            </w:r>
            <w:r w:rsidRPr="00473EBA">
              <w:rPr>
                <w:rFonts w:ascii="Times New Roman Bold" w:hAnsi="Times New Roman Bold"/>
                <w:b/>
                <w:bCs/>
                <w:smallCaps/>
                <w:color w:val="000000"/>
                <w:sz w:val="20"/>
                <w:szCs w:val="20"/>
                <w:lang w:val="es-ES_tradnl"/>
              </w:rPr>
              <w:t>e Verificaci</w:t>
            </w:r>
            <w:r w:rsidRPr="00473EBA">
              <w:rPr>
                <w:rFonts w:ascii="Times New Roman Bold" w:hAnsi="Times New Roman Bold" w:hint="eastAsia"/>
                <w:b/>
                <w:bCs/>
                <w:smallCaps/>
                <w:color w:val="000000"/>
                <w:sz w:val="20"/>
                <w:szCs w:val="20"/>
                <w:lang w:val="es-ES_tradnl"/>
              </w:rPr>
              <w:t>ó</w:t>
            </w:r>
            <w:r w:rsidRPr="00473EBA">
              <w:rPr>
                <w:rFonts w:ascii="Times New Roman Bold" w:hAnsi="Times New Roman Bold"/>
                <w:b/>
                <w:bCs/>
                <w:smallCaps/>
                <w:color w:val="000000"/>
                <w:sz w:val="20"/>
                <w:szCs w:val="20"/>
                <w:lang w:val="es-ES_tradnl"/>
              </w:rPr>
              <w:t>n</w:t>
            </w:r>
          </w:p>
        </w:tc>
        <w:tc>
          <w:tcPr>
            <w:tcW w:w="2601" w:type="dxa"/>
            <w:tcBorders>
              <w:top w:val="single" w:sz="4" w:space="0" w:color="auto"/>
              <w:left w:val="nil"/>
              <w:bottom w:val="single" w:sz="4" w:space="0" w:color="auto"/>
              <w:right w:val="single" w:sz="8" w:space="0" w:color="auto"/>
            </w:tcBorders>
            <w:shd w:val="clear" w:color="auto" w:fill="FFFFFF" w:themeFill="background1"/>
          </w:tcPr>
          <w:p w:rsidR="00E75FC5" w:rsidRPr="00473EBA" w:rsidRDefault="00E75FC5" w:rsidP="008070FB">
            <w:pPr>
              <w:tabs>
                <w:tab w:val="left" w:pos="654"/>
              </w:tabs>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Entidad Responsable</w:t>
            </w:r>
          </w:p>
          <w:p w:rsidR="00E75FC5" w:rsidRPr="00473EBA" w:rsidRDefault="005A1053" w:rsidP="005A1053">
            <w:pPr>
              <w:tabs>
                <w:tab w:val="left" w:pos="654"/>
              </w:tabs>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del Compromiso</w:t>
            </w:r>
          </w:p>
        </w:tc>
      </w:tr>
      <w:tr w:rsidR="008070FB" w:rsidRPr="00473EBA" w:rsidTr="00EC5F5F">
        <w:trPr>
          <w:trHeight w:val="269"/>
        </w:trPr>
        <w:tc>
          <w:tcPr>
            <w:tcW w:w="13149" w:type="dxa"/>
            <w:gridSpan w:val="4"/>
            <w:tcBorders>
              <w:top w:val="nil"/>
              <w:left w:val="single" w:sz="8" w:space="0" w:color="auto"/>
              <w:bottom w:val="single" w:sz="4" w:space="0" w:color="000000"/>
              <w:right w:val="single" w:sz="4" w:space="0" w:color="auto"/>
            </w:tcBorders>
            <w:shd w:val="clear" w:color="auto" w:fill="FFFFFF" w:themeFill="background1"/>
          </w:tcPr>
          <w:p w:rsidR="008070FB" w:rsidRPr="00473EBA" w:rsidRDefault="008070FB" w:rsidP="00473EBA">
            <w:pPr>
              <w:spacing w:before="20" w:after="20"/>
              <w:jc w:val="center"/>
              <w:rPr>
                <w:b/>
                <w:color w:val="000000"/>
                <w:sz w:val="20"/>
                <w:szCs w:val="20"/>
                <w:lang w:val="es-ES_tradnl"/>
              </w:rPr>
            </w:pPr>
            <w:r>
              <w:rPr>
                <w:b/>
                <w:color w:val="000000"/>
                <w:sz w:val="20"/>
                <w:szCs w:val="20"/>
                <w:lang w:val="es-ES_tradnl"/>
              </w:rPr>
              <w:t xml:space="preserve">Componente </w:t>
            </w:r>
            <w:r w:rsidRPr="009C7BF9">
              <w:rPr>
                <w:b/>
                <w:color w:val="000000"/>
                <w:sz w:val="20"/>
                <w:szCs w:val="20"/>
                <w:lang w:val="es-ES_tradnl"/>
              </w:rPr>
              <w:t>I: Marco Macroeconómico</w:t>
            </w:r>
          </w:p>
        </w:tc>
      </w:tr>
      <w:tr w:rsidR="00EC5F5F" w:rsidRPr="00473EBA" w:rsidTr="00EC5F5F">
        <w:trPr>
          <w:trHeight w:val="460"/>
        </w:trPr>
        <w:tc>
          <w:tcPr>
            <w:tcW w:w="2660" w:type="dxa"/>
            <w:tcBorders>
              <w:top w:val="single" w:sz="4" w:space="0" w:color="000000"/>
              <w:left w:val="single" w:sz="8" w:space="0" w:color="auto"/>
              <w:bottom w:val="single" w:sz="4" w:space="0" w:color="000000"/>
              <w:right w:val="single" w:sz="4" w:space="0" w:color="auto"/>
            </w:tcBorders>
            <w:shd w:val="clear" w:color="auto" w:fill="FFFFFF" w:themeFill="background1"/>
            <w:hideMark/>
          </w:tcPr>
          <w:p w:rsidR="00EC5F5F" w:rsidRPr="00930C73" w:rsidRDefault="00EC5F5F" w:rsidP="007177CB">
            <w:pPr>
              <w:spacing w:before="20" w:after="20"/>
              <w:jc w:val="both"/>
              <w:rPr>
                <w:color w:val="000000"/>
                <w:sz w:val="20"/>
                <w:szCs w:val="20"/>
                <w:lang w:val="es-ES_tradnl"/>
              </w:rPr>
            </w:pPr>
            <w:r w:rsidRPr="00930C73">
              <w:rPr>
                <w:color w:val="000000"/>
                <w:sz w:val="20"/>
                <w:szCs w:val="20"/>
                <w:lang w:val="es-ES_tradnl"/>
              </w:rPr>
              <w:t>Marco macroeconómico estable para impulsar la inversión y las exportaciones.</w:t>
            </w:r>
          </w:p>
        </w:tc>
        <w:tc>
          <w:tcPr>
            <w:tcW w:w="2977" w:type="dxa"/>
            <w:tcBorders>
              <w:top w:val="single" w:sz="4" w:space="0" w:color="auto"/>
              <w:left w:val="single" w:sz="4" w:space="0" w:color="auto"/>
              <w:bottom w:val="single" w:sz="4" w:space="0" w:color="000000"/>
              <w:right w:val="single" w:sz="4" w:space="0" w:color="auto"/>
            </w:tcBorders>
            <w:shd w:val="clear" w:color="auto" w:fill="FFFFFF" w:themeFill="background1"/>
            <w:hideMark/>
          </w:tcPr>
          <w:p w:rsidR="00EC5F5F" w:rsidRPr="00930C73" w:rsidRDefault="00EC5F5F" w:rsidP="007177CB">
            <w:pPr>
              <w:spacing w:before="20" w:after="20"/>
              <w:jc w:val="both"/>
              <w:rPr>
                <w:color w:val="000000"/>
                <w:sz w:val="20"/>
                <w:szCs w:val="20"/>
                <w:lang w:val="es-ES_tradnl"/>
              </w:rPr>
            </w:pPr>
            <w:r>
              <w:rPr>
                <w:color w:val="000000"/>
                <w:sz w:val="20"/>
                <w:szCs w:val="20"/>
                <w:lang w:val="es-ES_tradnl"/>
              </w:rPr>
              <w:t>Mantenimiento de</w:t>
            </w:r>
            <w:r w:rsidRPr="00894F70">
              <w:rPr>
                <w:color w:val="000000"/>
                <w:sz w:val="20"/>
                <w:szCs w:val="20"/>
                <w:lang w:val="es-ES_tradnl"/>
              </w:rPr>
              <w:t xml:space="preserve"> un marco de políticas macroeconómicas congruente con los objetivos del programa.</w:t>
            </w:r>
          </w:p>
        </w:tc>
        <w:tc>
          <w:tcPr>
            <w:tcW w:w="4911" w:type="dxa"/>
            <w:tcBorders>
              <w:top w:val="nil"/>
              <w:left w:val="single" w:sz="4" w:space="0" w:color="auto"/>
              <w:bottom w:val="single" w:sz="4" w:space="0" w:color="000000"/>
              <w:right w:val="single" w:sz="8" w:space="0" w:color="auto"/>
            </w:tcBorders>
            <w:shd w:val="clear" w:color="auto" w:fill="FFFFFF" w:themeFill="background1"/>
            <w:hideMark/>
          </w:tcPr>
          <w:p w:rsidR="00EC5F5F" w:rsidRPr="00930C73" w:rsidRDefault="00EC5F5F" w:rsidP="007177CB">
            <w:pPr>
              <w:spacing w:before="20" w:after="20"/>
              <w:jc w:val="both"/>
              <w:rPr>
                <w:color w:val="000000"/>
                <w:sz w:val="20"/>
                <w:szCs w:val="20"/>
                <w:lang w:val="es-ES_tradnl"/>
              </w:rPr>
            </w:pPr>
            <w:r w:rsidRPr="000D4A5E">
              <w:rPr>
                <w:color w:val="000000"/>
                <w:sz w:val="20"/>
                <w:szCs w:val="20"/>
                <w:lang w:val="es-ES_tradnl"/>
              </w:rPr>
              <w:t>Informe de  Evaluación Independiente de Condiciones Macroeconómicas (IAMC por sus siglas en ingles)</w:t>
            </w:r>
            <w:r>
              <w:rPr>
                <w:rStyle w:val="FootnoteReference"/>
                <w:color w:val="000000"/>
                <w:sz w:val="20"/>
                <w:szCs w:val="20"/>
                <w:lang w:val="es-ES_tradnl"/>
              </w:rPr>
              <w:footnoteReference w:id="1"/>
            </w:r>
            <w:r>
              <w:rPr>
                <w:color w:val="000000"/>
                <w:sz w:val="20"/>
                <w:szCs w:val="20"/>
                <w:lang w:val="es-ES_tradnl"/>
              </w:rPr>
              <w:t>.</w:t>
            </w:r>
          </w:p>
        </w:tc>
        <w:tc>
          <w:tcPr>
            <w:tcW w:w="2601" w:type="dxa"/>
            <w:tcBorders>
              <w:top w:val="nil"/>
              <w:left w:val="single" w:sz="8" w:space="0" w:color="auto"/>
              <w:bottom w:val="single" w:sz="4" w:space="0" w:color="000000"/>
              <w:right w:val="single" w:sz="8" w:space="0" w:color="auto"/>
            </w:tcBorders>
            <w:shd w:val="clear" w:color="auto" w:fill="FFFFFF" w:themeFill="background1"/>
          </w:tcPr>
          <w:p w:rsidR="00EC5F5F" w:rsidRPr="00473EBA" w:rsidRDefault="00EC5F5F" w:rsidP="00EC5F5F">
            <w:pPr>
              <w:spacing w:before="20" w:after="20"/>
              <w:jc w:val="center"/>
              <w:rPr>
                <w:color w:val="000000"/>
                <w:sz w:val="20"/>
                <w:szCs w:val="20"/>
                <w:lang w:val="es-ES_tradnl"/>
              </w:rPr>
            </w:pPr>
            <w:r>
              <w:rPr>
                <w:color w:val="000000"/>
                <w:sz w:val="20"/>
                <w:szCs w:val="20"/>
                <w:lang w:val="es-ES_tradnl"/>
              </w:rPr>
              <w:t>BID</w:t>
            </w:r>
          </w:p>
        </w:tc>
      </w:tr>
      <w:tr w:rsidR="008070FB" w:rsidRPr="00473EBA" w:rsidTr="00EC5F5F">
        <w:trPr>
          <w:trHeight w:val="257"/>
        </w:trPr>
        <w:tc>
          <w:tcPr>
            <w:tcW w:w="13149" w:type="dxa"/>
            <w:gridSpan w:val="4"/>
            <w:tcBorders>
              <w:top w:val="single" w:sz="4" w:space="0" w:color="000000"/>
              <w:left w:val="single" w:sz="8" w:space="0" w:color="auto"/>
              <w:bottom w:val="single" w:sz="4" w:space="0" w:color="auto"/>
              <w:right w:val="single" w:sz="4" w:space="0" w:color="auto"/>
            </w:tcBorders>
            <w:shd w:val="clear" w:color="auto" w:fill="FFFFFF" w:themeFill="background1"/>
            <w:vAlign w:val="center"/>
            <w:hideMark/>
          </w:tcPr>
          <w:p w:rsidR="008070FB" w:rsidRPr="00473EBA" w:rsidRDefault="008070FB" w:rsidP="00EC5F5F">
            <w:pPr>
              <w:spacing w:before="20" w:after="20"/>
              <w:jc w:val="center"/>
              <w:rPr>
                <w:color w:val="000000"/>
                <w:sz w:val="20"/>
                <w:szCs w:val="20"/>
                <w:lang w:val="es-ES_tradnl"/>
              </w:rPr>
            </w:pPr>
            <w:r w:rsidRPr="00473EBA">
              <w:rPr>
                <w:b/>
                <w:color w:val="000000"/>
                <w:sz w:val="20"/>
                <w:szCs w:val="20"/>
                <w:lang w:val="es-ES_tradnl"/>
              </w:rPr>
              <w:t>Componente III: Promoción y Facilitación Comercial</w:t>
            </w:r>
          </w:p>
        </w:tc>
      </w:tr>
      <w:tr w:rsidR="00E75FC5" w:rsidRPr="00473EBA" w:rsidTr="00EC5F5F">
        <w:trPr>
          <w:trHeight w:val="460"/>
        </w:trPr>
        <w:tc>
          <w:tcPr>
            <w:tcW w:w="2660" w:type="dxa"/>
            <w:vMerge w:val="restart"/>
            <w:tcBorders>
              <w:top w:val="single" w:sz="4" w:space="0" w:color="auto"/>
              <w:left w:val="single" w:sz="8"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 xml:space="preserve">Simplificación de trámites, procedimientos y requisitos para la importación, exportación y tránsito aduanero de mercaderías. </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Promulgar la ley que apruebe el  estatuto orgánico de la VUCE, que le confiera atribuciones legales y permita su implementación.</w:t>
            </w:r>
          </w:p>
        </w:tc>
        <w:tc>
          <w:tcPr>
            <w:tcW w:w="4911" w:type="dxa"/>
            <w:tcBorders>
              <w:top w:val="single" w:sz="4" w:space="0" w:color="auto"/>
              <w:left w:val="single" w:sz="4" w:space="0" w:color="auto"/>
              <w:bottom w:val="single" w:sz="8" w:space="0" w:color="000000"/>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 la publicación en el Diario Oficial de la Ley que crea la VUCE en el ámbito de Uruguay XXI y dicta normas sobre su competencia y funcionamiento.</w:t>
            </w:r>
          </w:p>
        </w:tc>
        <w:tc>
          <w:tcPr>
            <w:tcW w:w="2601" w:type="dxa"/>
            <w:tcBorders>
              <w:top w:val="single" w:sz="4" w:space="0" w:color="auto"/>
              <w:left w:val="single" w:sz="8" w:space="0" w:color="auto"/>
              <w:bottom w:val="single" w:sz="8" w:space="0" w:color="000000"/>
              <w:right w:val="single" w:sz="8" w:space="0" w:color="auto"/>
            </w:tcBorders>
            <w:shd w:val="clear" w:color="auto" w:fill="FFFFFF" w:themeFill="background1"/>
          </w:tcPr>
          <w:p w:rsidR="00E75FC5" w:rsidRPr="00473EBA" w:rsidRDefault="005A1053" w:rsidP="00EC5F5F">
            <w:pPr>
              <w:spacing w:before="20" w:after="20"/>
              <w:jc w:val="center"/>
              <w:rPr>
                <w:color w:val="000000"/>
                <w:sz w:val="20"/>
                <w:szCs w:val="20"/>
                <w:lang w:val="es-ES_tradnl"/>
              </w:rPr>
            </w:pPr>
            <w:r>
              <w:rPr>
                <w:color w:val="000000"/>
                <w:sz w:val="20"/>
                <w:szCs w:val="20"/>
                <w:lang w:val="es-ES_tradnl"/>
              </w:rPr>
              <w:t>Poder Ejecutivo</w:t>
            </w:r>
          </w:p>
        </w:tc>
      </w:tr>
      <w:tr w:rsidR="00E75FC5" w:rsidRPr="00473EBA" w:rsidTr="00EC5F5F">
        <w:trPr>
          <w:trHeight w:val="459"/>
        </w:trPr>
        <w:tc>
          <w:tcPr>
            <w:tcW w:w="2660" w:type="dxa"/>
            <w:vMerge/>
            <w:tcBorders>
              <w:left w:val="single" w:sz="8" w:space="0" w:color="auto"/>
              <w:bottom w:val="single" w:sz="8" w:space="0" w:color="000000"/>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4911" w:type="dxa"/>
            <w:tcBorders>
              <w:top w:val="nil"/>
              <w:left w:val="single" w:sz="4" w:space="0" w:color="auto"/>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del Acuerdo de Cooperación Interinstitucional suscrito entre el Ministerio de Ganadería, Agricultura y Pesca, AGESIC, CIACEX y la Aduana para la incorporación de procesos de comercio exterior a tramitarse a través de la VUCE.</w:t>
            </w:r>
          </w:p>
        </w:tc>
        <w:tc>
          <w:tcPr>
            <w:tcW w:w="2601" w:type="dxa"/>
            <w:tcBorders>
              <w:top w:val="nil"/>
              <w:left w:val="single" w:sz="8" w:space="0" w:color="auto"/>
              <w:bottom w:val="single" w:sz="4" w:space="0" w:color="auto"/>
              <w:right w:val="single" w:sz="8" w:space="0" w:color="auto"/>
            </w:tcBorders>
            <w:shd w:val="clear" w:color="auto" w:fill="FFFFFF" w:themeFill="background1"/>
          </w:tcPr>
          <w:p w:rsidR="00E75FC5" w:rsidRPr="00473EBA" w:rsidRDefault="00EC5F5F" w:rsidP="00EC5F5F">
            <w:pPr>
              <w:spacing w:before="20" w:after="20"/>
              <w:jc w:val="center"/>
              <w:rPr>
                <w:color w:val="000000"/>
                <w:sz w:val="20"/>
                <w:szCs w:val="20"/>
                <w:lang w:val="es-ES_tradnl"/>
              </w:rPr>
            </w:pPr>
            <w:r>
              <w:rPr>
                <w:color w:val="000000"/>
                <w:sz w:val="20"/>
                <w:szCs w:val="20"/>
                <w:lang w:val="es-ES_tradnl"/>
              </w:rPr>
              <w:t>CIACEX</w:t>
            </w:r>
          </w:p>
        </w:tc>
      </w:tr>
      <w:tr w:rsidR="00E75FC5" w:rsidRPr="00473EBA" w:rsidTr="00EC5F5F">
        <w:trPr>
          <w:trHeight w:val="1132"/>
        </w:trPr>
        <w:tc>
          <w:tcPr>
            <w:tcW w:w="2660" w:type="dxa"/>
            <w:vMerge w:val="restart"/>
            <w:tcBorders>
              <w:top w:val="single" w:sz="8" w:space="0" w:color="000000"/>
              <w:left w:val="single" w:sz="8" w:space="0" w:color="auto"/>
              <w:right w:val="single" w:sz="4" w:space="0" w:color="auto"/>
            </w:tcBorders>
            <w:shd w:val="clear" w:color="auto" w:fill="FFFFFF" w:themeFill="background1"/>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Optimizar la normativa aduanera eliminando ineficiencias regulatorias, facilitando el comercio intrazona y propendiendo a una mayor integración comercial regional.</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Promulgar el nuevo Código Aduanero Uruguayo.</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75FC5" w:rsidP="00473EBA">
            <w:pPr>
              <w:spacing w:before="20" w:after="20"/>
              <w:jc w:val="both"/>
              <w:rPr>
                <w:color w:val="000000"/>
                <w:sz w:val="20"/>
                <w:szCs w:val="20"/>
                <w:highlight w:val="yellow"/>
                <w:lang w:val="es-ES_tradnl"/>
              </w:rPr>
            </w:pPr>
            <w:r w:rsidRPr="00473EBA">
              <w:rPr>
                <w:color w:val="000000"/>
                <w:sz w:val="20"/>
                <w:szCs w:val="20"/>
                <w:lang w:val="es-ES_tradnl"/>
              </w:rPr>
              <w:t xml:space="preserve">Copia certificada de la publicación en el Diario Oficial de la Ley de Código Aduanero Uruguayo. </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5A1053" w:rsidP="00EC5F5F">
            <w:pPr>
              <w:spacing w:before="20" w:after="20"/>
              <w:jc w:val="center"/>
              <w:rPr>
                <w:color w:val="000000"/>
                <w:sz w:val="20"/>
                <w:szCs w:val="20"/>
                <w:lang w:val="es-ES_tradnl"/>
              </w:rPr>
            </w:pPr>
            <w:r>
              <w:rPr>
                <w:color w:val="000000"/>
                <w:sz w:val="20"/>
                <w:szCs w:val="20"/>
                <w:lang w:val="es-ES_tradnl"/>
              </w:rPr>
              <w:t>Poder Ejecutivo</w:t>
            </w:r>
          </w:p>
        </w:tc>
      </w:tr>
      <w:tr w:rsidR="00E75FC5" w:rsidRPr="00473EBA" w:rsidTr="00EC5F5F">
        <w:trPr>
          <w:trHeight w:val="1416"/>
        </w:trPr>
        <w:tc>
          <w:tcPr>
            <w:tcW w:w="2660" w:type="dxa"/>
            <w:vMerge/>
            <w:tcBorders>
              <w:left w:val="single" w:sz="8" w:space="0" w:color="auto"/>
              <w:right w:val="single" w:sz="8" w:space="0" w:color="auto"/>
            </w:tcBorders>
            <w:shd w:val="clear" w:color="auto" w:fill="FFFFFF" w:themeFill="background1"/>
          </w:tcPr>
          <w:p w:rsidR="00E75FC5" w:rsidRPr="00473EBA" w:rsidRDefault="00E75FC5" w:rsidP="00473EBA">
            <w:pPr>
              <w:spacing w:before="20" w:after="20"/>
              <w:jc w:val="both"/>
              <w:rPr>
                <w:color w:val="000000"/>
                <w:sz w:val="20"/>
                <w:szCs w:val="20"/>
                <w:lang w:val="es-ES_tradnl"/>
              </w:rPr>
            </w:pPr>
          </w:p>
        </w:tc>
        <w:tc>
          <w:tcPr>
            <w:tcW w:w="2977" w:type="dxa"/>
            <w:vMerge w:val="restart"/>
            <w:tcBorders>
              <w:top w:val="single" w:sz="4" w:space="0" w:color="auto"/>
              <w:left w:val="single" w:sz="8" w:space="0" w:color="auto"/>
              <w:right w:val="single" w:sz="4" w:space="0" w:color="auto"/>
            </w:tcBorders>
            <w:shd w:val="clear" w:color="auto" w:fill="FFFFFF" w:themeFill="background1"/>
          </w:tcPr>
          <w:p w:rsidR="00E75FC5" w:rsidRPr="00473EBA" w:rsidRDefault="00E75FC5" w:rsidP="00022C9E">
            <w:pPr>
              <w:spacing w:before="20" w:after="20"/>
              <w:jc w:val="both"/>
              <w:rPr>
                <w:color w:val="000000"/>
                <w:sz w:val="20"/>
                <w:szCs w:val="20"/>
                <w:lang w:val="es-ES_tradnl"/>
              </w:rPr>
            </w:pPr>
            <w:r w:rsidRPr="00473EBA">
              <w:rPr>
                <w:color w:val="000000"/>
                <w:sz w:val="20"/>
                <w:szCs w:val="20"/>
                <w:lang w:val="es-ES_tradnl"/>
              </w:rPr>
              <w:t xml:space="preserve">Aprobar los decretos del Poder Ejecutivo y las directivas aduaneras que adaptan el funcionamiento de la DNA </w:t>
            </w:r>
            <w:r w:rsidR="00022C9E">
              <w:rPr>
                <w:color w:val="000000"/>
                <w:sz w:val="20"/>
                <w:szCs w:val="20"/>
                <w:lang w:val="es-ES_tradnl"/>
              </w:rPr>
              <w:t xml:space="preserve">conforme </w:t>
            </w:r>
            <w:proofErr w:type="spellStart"/>
            <w:r w:rsidR="00022C9E">
              <w:rPr>
                <w:color w:val="000000"/>
                <w:sz w:val="20"/>
                <w:szCs w:val="20"/>
                <w:lang w:val="es-ES_tradnl"/>
              </w:rPr>
              <w:t>a</w:t>
            </w:r>
            <w:r w:rsidRPr="00473EBA">
              <w:rPr>
                <w:color w:val="000000"/>
                <w:sz w:val="20"/>
                <w:szCs w:val="20"/>
                <w:lang w:val="es-ES_tradnl"/>
              </w:rPr>
              <w:t>Código</w:t>
            </w:r>
            <w:proofErr w:type="spellEnd"/>
            <w:r w:rsidRPr="00473EBA">
              <w:rPr>
                <w:color w:val="000000"/>
                <w:sz w:val="20"/>
                <w:szCs w:val="20"/>
                <w:lang w:val="es-ES_tradnl"/>
              </w:rPr>
              <w:t xml:space="preserve"> Aduanero, disponiendo su reorganización administrativa y la generación de los incentivos adecuados para el mejor desempeño de sus funcionarios.</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 la publicación en el Diario Oficial del Decreto del Poder Ejecutivo sobre la reorganización administrativa de la Dirección Nacional de Aduanas, distribuyendo competencias entre reparticiones y mejorando los incentivos, objetivos y transparencia de los funcionarios.</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5A1053" w:rsidP="00EC5F5F">
            <w:pPr>
              <w:spacing w:before="20" w:after="20"/>
              <w:jc w:val="center"/>
              <w:rPr>
                <w:color w:val="000000"/>
                <w:sz w:val="20"/>
                <w:szCs w:val="20"/>
                <w:lang w:val="es-ES_tradnl"/>
              </w:rPr>
            </w:pPr>
            <w:r>
              <w:rPr>
                <w:color w:val="000000"/>
                <w:sz w:val="20"/>
                <w:szCs w:val="20"/>
                <w:lang w:val="es-ES_tradnl"/>
              </w:rPr>
              <w:t>Poder Ejecutivo</w:t>
            </w:r>
          </w:p>
        </w:tc>
      </w:tr>
      <w:tr w:rsidR="00E75FC5" w:rsidRPr="00473EBA" w:rsidTr="00EC5F5F">
        <w:trPr>
          <w:trHeight w:val="327"/>
        </w:trPr>
        <w:tc>
          <w:tcPr>
            <w:tcW w:w="2660" w:type="dxa"/>
            <w:vMerge/>
            <w:tcBorders>
              <w:left w:val="single" w:sz="8"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2977" w:type="dxa"/>
            <w:vMerge/>
            <w:tcBorders>
              <w:left w:val="single" w:sz="8" w:space="0" w:color="auto"/>
              <w:bottom w:val="nil"/>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Default="00E75FC5" w:rsidP="00473EBA">
            <w:pPr>
              <w:spacing w:before="20" w:after="20"/>
              <w:jc w:val="both"/>
              <w:rPr>
                <w:color w:val="000000"/>
                <w:sz w:val="20"/>
                <w:szCs w:val="20"/>
                <w:lang w:val="es-ES_tradnl"/>
              </w:rPr>
            </w:pPr>
            <w:r w:rsidRPr="00473EBA">
              <w:rPr>
                <w:color w:val="000000"/>
                <w:sz w:val="20"/>
                <w:szCs w:val="20"/>
                <w:lang w:val="es-ES_tradnl"/>
              </w:rPr>
              <w:t>Copia certificada del acto administrativo que aprueba el Reglamento en el que se configura el organigrama interno de las reparticiones de la Dirección Nacional de Aduanas.</w:t>
            </w:r>
          </w:p>
          <w:p w:rsidR="00E75FC5" w:rsidRPr="00473EBA" w:rsidRDefault="00E75FC5" w:rsidP="00473EBA">
            <w:pPr>
              <w:spacing w:before="20" w:after="20"/>
              <w:jc w:val="both"/>
              <w:rPr>
                <w:color w:val="000000"/>
                <w:sz w:val="20"/>
                <w:szCs w:val="20"/>
                <w:lang w:val="es-ES_tradnl"/>
              </w:rPr>
            </w:pP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EC5F5F">
            <w:pPr>
              <w:spacing w:before="20" w:after="20"/>
              <w:jc w:val="center"/>
              <w:rPr>
                <w:color w:val="000000"/>
                <w:sz w:val="20"/>
                <w:szCs w:val="20"/>
                <w:lang w:val="en-US"/>
              </w:rPr>
            </w:pPr>
            <w:r>
              <w:rPr>
                <w:color w:val="000000"/>
                <w:sz w:val="20"/>
                <w:szCs w:val="20"/>
                <w:lang w:val="es-ES_tradnl"/>
              </w:rPr>
              <w:t>DNA</w:t>
            </w:r>
          </w:p>
        </w:tc>
      </w:tr>
      <w:tr w:rsidR="00E75FC5" w:rsidRPr="00473EBA" w:rsidTr="00EC5F5F">
        <w:trPr>
          <w:trHeight w:val="255"/>
        </w:trPr>
        <w:tc>
          <w:tcPr>
            <w:tcW w:w="2660" w:type="dxa"/>
            <w:vMerge/>
            <w:tcBorders>
              <w:left w:val="single" w:sz="8" w:space="0" w:color="auto"/>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n-US"/>
              </w:rPr>
            </w:pPr>
          </w:p>
        </w:tc>
        <w:tc>
          <w:tcPr>
            <w:tcW w:w="2977" w:type="dxa"/>
            <w:vMerge/>
            <w:tcBorders>
              <w:left w:val="single" w:sz="8"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n-US"/>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 la publicación en el Diario Oficial del Decreto del Poder Ejecutivo que crea el Fondo para Mejor Desempeño de los funcionarios de la Dirección Nacional de Aduanas, generando incentivos para mejorar su función.</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5A1053" w:rsidP="00EC5F5F">
            <w:pPr>
              <w:spacing w:before="20" w:after="20"/>
              <w:jc w:val="center"/>
              <w:rPr>
                <w:color w:val="000000"/>
                <w:sz w:val="20"/>
                <w:szCs w:val="20"/>
                <w:lang w:val="es-ES_tradnl"/>
              </w:rPr>
            </w:pPr>
            <w:r>
              <w:rPr>
                <w:color w:val="000000"/>
                <w:sz w:val="20"/>
                <w:szCs w:val="20"/>
                <w:lang w:val="es-ES_tradnl"/>
              </w:rPr>
              <w:t>Poder Ejecutivo</w:t>
            </w:r>
          </w:p>
        </w:tc>
      </w:tr>
      <w:tr w:rsidR="00E75FC5" w:rsidRPr="00473EBA" w:rsidTr="00EC5F5F">
        <w:trPr>
          <w:trHeight w:val="540"/>
        </w:trPr>
        <w:tc>
          <w:tcPr>
            <w:tcW w:w="2660" w:type="dxa"/>
            <w:vMerge w:val="restart"/>
            <w:tcBorders>
              <w:top w:val="single" w:sz="4" w:space="0" w:color="auto"/>
              <w:left w:val="single" w:sz="8"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Modernizar los controles en las operaciones aduaneras.</w:t>
            </w:r>
          </w:p>
        </w:tc>
        <w:tc>
          <w:tcPr>
            <w:tcW w:w="2977" w:type="dxa"/>
            <w:vMerge w:val="restart"/>
            <w:tcBorders>
              <w:top w:val="single" w:sz="4" w:space="0" w:color="auto"/>
              <w:left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Dictar por parte de la DNA las directivas que extiendan la obligatoriedad del uso del DUA electrónico para las operaciones de exportación.</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del acto administrativo que aprueba el Reglamento que extiende aplicación de plan piloto de DUA digital de exportación y su anexo operativo.</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EC5F5F">
            <w:pPr>
              <w:spacing w:before="20" w:after="20"/>
              <w:jc w:val="center"/>
              <w:rPr>
                <w:color w:val="000000"/>
                <w:sz w:val="20"/>
                <w:szCs w:val="20"/>
                <w:lang w:val="es-ES_tradnl"/>
              </w:rPr>
            </w:pPr>
            <w:r>
              <w:rPr>
                <w:color w:val="000000"/>
                <w:sz w:val="20"/>
                <w:szCs w:val="20"/>
                <w:lang w:val="es-ES_tradnl"/>
              </w:rPr>
              <w:t>DNA</w:t>
            </w:r>
          </w:p>
        </w:tc>
      </w:tr>
      <w:tr w:rsidR="00E75FC5" w:rsidRPr="00473EBA" w:rsidTr="00EC5F5F">
        <w:trPr>
          <w:trHeight w:val="355"/>
        </w:trPr>
        <w:tc>
          <w:tcPr>
            <w:tcW w:w="2660" w:type="dxa"/>
            <w:vMerge/>
            <w:tcBorders>
              <w:left w:val="single" w:sz="8"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rPr>
                <w:color w:val="000000"/>
                <w:sz w:val="20"/>
                <w:szCs w:val="20"/>
                <w:lang w:val="es-ES_tradnl"/>
              </w:rPr>
            </w:pPr>
          </w:p>
        </w:tc>
        <w:tc>
          <w:tcPr>
            <w:tcW w:w="2977" w:type="dxa"/>
            <w:vMerge/>
            <w:tcBorders>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color w:val="000000"/>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del acto administrativo que aprueba el Reglamento que exige la aplicación del DUA digital de exportación para todas las operaciones de exportación</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EC5F5F">
            <w:pPr>
              <w:spacing w:before="20" w:after="20"/>
              <w:jc w:val="center"/>
              <w:rPr>
                <w:color w:val="000000"/>
                <w:sz w:val="20"/>
                <w:szCs w:val="20"/>
                <w:lang w:val="es-ES_tradnl"/>
              </w:rPr>
            </w:pPr>
            <w:r>
              <w:rPr>
                <w:color w:val="000000"/>
                <w:sz w:val="20"/>
                <w:szCs w:val="20"/>
                <w:lang w:val="es-ES_tradnl"/>
              </w:rPr>
              <w:t>DNA</w:t>
            </w:r>
          </w:p>
        </w:tc>
      </w:tr>
      <w:tr w:rsidR="00E75FC5" w:rsidRPr="00473EBA" w:rsidTr="00EC5F5F">
        <w:trPr>
          <w:trHeight w:val="609"/>
        </w:trPr>
        <w:tc>
          <w:tcPr>
            <w:tcW w:w="2660" w:type="dxa"/>
            <w:vMerge/>
            <w:tcBorders>
              <w:left w:val="single" w:sz="8"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rPr>
                <w:color w:val="000000"/>
                <w:sz w:val="20"/>
                <w:szCs w:val="20"/>
                <w:lang w:val="es-ES_tradnl"/>
              </w:rPr>
            </w:pP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 xml:space="preserve">Aprobar el Reglamento para la implementación del uso del precinto electrónico en las operaciones de tránsito de mercaderías </w:t>
            </w:r>
            <w:proofErr w:type="spellStart"/>
            <w:r w:rsidRPr="00473EBA">
              <w:rPr>
                <w:color w:val="000000"/>
                <w:sz w:val="20"/>
                <w:szCs w:val="20"/>
                <w:lang w:val="es-ES_tradnl"/>
              </w:rPr>
              <w:t>enlonadas</w:t>
            </w:r>
            <w:proofErr w:type="spellEnd"/>
            <w:r w:rsidRPr="00473EBA">
              <w:rPr>
                <w:color w:val="000000"/>
                <w:sz w:val="20"/>
                <w:szCs w:val="20"/>
                <w:lang w:val="es-ES_tradnl"/>
              </w:rPr>
              <w:t xml:space="preserve"> o sueltas.</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 xml:space="preserve">Copia certificada del acto administrativo que aprueba el Reglamento sobre control de operaciones de tránsito aduanero a través de precinto electrónico aplicable a mercaderías sueltas o </w:t>
            </w:r>
            <w:proofErr w:type="spellStart"/>
            <w:r w:rsidRPr="00473EBA">
              <w:rPr>
                <w:color w:val="000000"/>
                <w:sz w:val="20"/>
                <w:szCs w:val="20"/>
                <w:lang w:val="es-ES_tradnl"/>
              </w:rPr>
              <w:t>enlonadas</w:t>
            </w:r>
            <w:proofErr w:type="spellEnd"/>
            <w:r w:rsidRPr="00473EBA">
              <w:rPr>
                <w:color w:val="000000"/>
                <w:sz w:val="20"/>
                <w:szCs w:val="20"/>
                <w:lang w:val="es-ES_tradnl"/>
              </w:rPr>
              <w:t xml:space="preserve"> que tengan su ingreso y egreso del país en los puestos de control aduanero más importantes del país. </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EC5F5F">
            <w:pPr>
              <w:spacing w:before="20" w:after="20"/>
              <w:jc w:val="center"/>
              <w:rPr>
                <w:color w:val="000000"/>
                <w:sz w:val="20"/>
                <w:szCs w:val="20"/>
                <w:lang w:val="es-ES_tradnl"/>
              </w:rPr>
            </w:pPr>
            <w:r>
              <w:rPr>
                <w:color w:val="000000"/>
                <w:sz w:val="20"/>
                <w:szCs w:val="20"/>
                <w:lang w:val="es-ES_tradnl"/>
              </w:rPr>
              <w:t>DNA</w:t>
            </w:r>
          </w:p>
        </w:tc>
      </w:tr>
      <w:tr w:rsidR="00E75FC5" w:rsidRPr="00473EBA" w:rsidTr="00EC5F5F">
        <w:trPr>
          <w:trHeight w:val="1033"/>
        </w:trPr>
        <w:tc>
          <w:tcPr>
            <w:tcW w:w="2660" w:type="dxa"/>
            <w:vMerge/>
            <w:tcBorders>
              <w:left w:val="single" w:sz="8"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rPr>
                <w:color w:val="000000"/>
                <w:sz w:val="20"/>
                <w:szCs w:val="20"/>
                <w:lang w:val="es-ES_tradnl"/>
              </w:rPr>
            </w:pP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Implementar una unidad especializada en investigación e inteligencia aduanera dentro de la DNA con competencia específica en la gestión de riesgos en línea con el nuevo Código Aduanero Uruguayo.</w:t>
            </w:r>
          </w:p>
        </w:tc>
        <w:tc>
          <w:tcPr>
            <w:tcW w:w="4911" w:type="dxa"/>
            <w:tcBorders>
              <w:top w:val="single" w:sz="4" w:space="0" w:color="auto"/>
              <w:left w:val="nil"/>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 la publicación en el Diario Oficial del Decreto del Poder Ejecutivo sobre la reorganización administrativa de la Dirección Nacional de Aduanas, distribuyendo competencias entre reparticiones y mejorando los incentivos, objetivos y transparencia de los funcionarios.</w:t>
            </w:r>
          </w:p>
        </w:tc>
        <w:tc>
          <w:tcPr>
            <w:tcW w:w="2601" w:type="dxa"/>
            <w:tcBorders>
              <w:top w:val="single" w:sz="4" w:space="0" w:color="auto"/>
              <w:left w:val="nil"/>
              <w:bottom w:val="single" w:sz="4" w:space="0" w:color="auto"/>
              <w:right w:val="single" w:sz="8" w:space="0" w:color="auto"/>
            </w:tcBorders>
            <w:shd w:val="clear" w:color="auto" w:fill="FFFFFF" w:themeFill="background1"/>
          </w:tcPr>
          <w:p w:rsidR="00E75FC5" w:rsidRPr="00473EBA" w:rsidRDefault="005A1053" w:rsidP="00022C9E">
            <w:pPr>
              <w:spacing w:before="20" w:after="20"/>
              <w:jc w:val="center"/>
              <w:rPr>
                <w:color w:val="000000"/>
                <w:sz w:val="20"/>
                <w:szCs w:val="20"/>
              </w:rPr>
            </w:pPr>
            <w:r>
              <w:rPr>
                <w:color w:val="000000"/>
                <w:sz w:val="20"/>
                <w:szCs w:val="20"/>
                <w:lang w:val="es-ES_tradnl"/>
              </w:rPr>
              <w:t>Poder Ejecutivo</w:t>
            </w:r>
          </w:p>
        </w:tc>
      </w:tr>
      <w:tr w:rsidR="00E75FC5" w:rsidRPr="00473EBA" w:rsidTr="00EC5F5F">
        <w:trPr>
          <w:trHeight w:val="503"/>
        </w:trPr>
        <w:tc>
          <w:tcPr>
            <w:tcW w:w="2660" w:type="dxa"/>
            <w:vMerge w:val="restart"/>
            <w:tcBorders>
              <w:top w:val="single" w:sz="4" w:space="0" w:color="auto"/>
              <w:left w:val="single" w:sz="8"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Agilizar tramitación de controles aduaneros sobre mercadería en frontera adaptándolos a los mejores estándares internacionales.</w:t>
            </w:r>
          </w:p>
        </w:tc>
        <w:tc>
          <w:tcPr>
            <w:tcW w:w="2977" w:type="dxa"/>
            <w:vMerge w:val="restart"/>
            <w:tcBorders>
              <w:top w:val="single" w:sz="4" w:space="0" w:color="auto"/>
              <w:left w:val="nil"/>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Dictar normativa específica que regule la figura del Operador Económico Calificado así como su implementación a operaciones aduaneras de importación, exportación y tránsito.</w:t>
            </w:r>
          </w:p>
        </w:tc>
        <w:tc>
          <w:tcPr>
            <w:tcW w:w="4911" w:type="dxa"/>
            <w:tcBorders>
              <w:top w:val="single" w:sz="4" w:space="0" w:color="auto"/>
              <w:left w:val="nil"/>
              <w:bottom w:val="single" w:sz="8"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 la publicación en el Diario Oficial de la Ley de Código Aduanero Uruguayo.</w:t>
            </w:r>
          </w:p>
        </w:tc>
        <w:tc>
          <w:tcPr>
            <w:tcW w:w="2601" w:type="dxa"/>
            <w:tcBorders>
              <w:top w:val="single" w:sz="4" w:space="0" w:color="auto"/>
              <w:left w:val="nil"/>
              <w:bottom w:val="single" w:sz="4" w:space="0" w:color="auto"/>
              <w:right w:val="single" w:sz="8" w:space="0" w:color="auto"/>
            </w:tcBorders>
            <w:shd w:val="clear" w:color="auto" w:fill="FFFFFF" w:themeFill="background1"/>
          </w:tcPr>
          <w:p w:rsidR="00E75FC5" w:rsidRPr="00473EBA" w:rsidRDefault="005A1053" w:rsidP="00022C9E">
            <w:pPr>
              <w:spacing w:before="20" w:after="20"/>
              <w:jc w:val="center"/>
              <w:rPr>
                <w:color w:val="000000"/>
                <w:sz w:val="20"/>
                <w:szCs w:val="20"/>
                <w:lang w:val="es-ES_tradnl"/>
              </w:rPr>
            </w:pPr>
            <w:r>
              <w:rPr>
                <w:color w:val="000000"/>
                <w:sz w:val="20"/>
                <w:szCs w:val="20"/>
                <w:lang w:val="es-ES_tradnl"/>
              </w:rPr>
              <w:t>Poder Ejecutivo</w:t>
            </w:r>
          </w:p>
        </w:tc>
      </w:tr>
      <w:tr w:rsidR="00E75FC5" w:rsidRPr="00473EBA" w:rsidTr="00EC5F5F">
        <w:trPr>
          <w:trHeight w:val="502"/>
        </w:trPr>
        <w:tc>
          <w:tcPr>
            <w:tcW w:w="2660" w:type="dxa"/>
            <w:vMerge/>
            <w:tcBorders>
              <w:left w:val="single" w:sz="8"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2977" w:type="dxa"/>
            <w:vMerge/>
            <w:tcBorders>
              <w:left w:val="nil"/>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4911" w:type="dxa"/>
            <w:tcBorders>
              <w:top w:val="single" w:sz="4" w:space="0" w:color="auto"/>
              <w:left w:val="nil"/>
              <w:bottom w:val="single" w:sz="8"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r w:rsidRPr="00473EBA">
              <w:rPr>
                <w:color w:val="000000"/>
                <w:sz w:val="20"/>
                <w:szCs w:val="20"/>
                <w:lang w:val="es-ES_tradnl"/>
              </w:rPr>
              <w:t>Copia certificada de la publicación en el Diario Oficial del Decreto del Poder Ejecutivo que reglamenta la figura del Operador Económico Calificado.</w:t>
            </w:r>
          </w:p>
        </w:tc>
        <w:tc>
          <w:tcPr>
            <w:tcW w:w="2601" w:type="dxa"/>
            <w:tcBorders>
              <w:top w:val="single" w:sz="4" w:space="0" w:color="auto"/>
              <w:left w:val="nil"/>
              <w:bottom w:val="single" w:sz="8" w:space="0" w:color="auto"/>
              <w:right w:val="single" w:sz="8" w:space="0" w:color="auto"/>
            </w:tcBorders>
            <w:shd w:val="clear" w:color="auto" w:fill="FFFFFF" w:themeFill="background1"/>
          </w:tcPr>
          <w:p w:rsidR="00E75FC5" w:rsidRPr="00473EBA" w:rsidRDefault="005A1053" w:rsidP="00022C9E">
            <w:pPr>
              <w:spacing w:before="20" w:after="20"/>
              <w:jc w:val="center"/>
              <w:rPr>
                <w:color w:val="000000"/>
                <w:sz w:val="20"/>
                <w:szCs w:val="20"/>
                <w:lang w:val="es-ES_tradnl"/>
              </w:rPr>
            </w:pPr>
            <w:r>
              <w:rPr>
                <w:color w:val="000000"/>
                <w:sz w:val="20"/>
                <w:szCs w:val="20"/>
                <w:lang w:val="es-ES_tradnl"/>
              </w:rPr>
              <w:t>Poder Ejecutivo</w:t>
            </w:r>
          </w:p>
        </w:tc>
      </w:tr>
      <w:tr w:rsidR="00E75FC5" w:rsidRPr="00473EBA" w:rsidTr="00EC5F5F">
        <w:trPr>
          <w:trHeight w:val="461"/>
        </w:trPr>
        <w:tc>
          <w:tcPr>
            <w:tcW w:w="2660" w:type="dxa"/>
            <w:vMerge/>
            <w:tcBorders>
              <w:left w:val="single" w:sz="8" w:space="0" w:color="auto"/>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2977" w:type="dxa"/>
            <w:vMerge/>
            <w:tcBorders>
              <w:left w:val="nil"/>
              <w:bottom w:val="single" w:sz="4" w:space="0" w:color="auto"/>
              <w:right w:val="single" w:sz="8" w:space="0" w:color="auto"/>
            </w:tcBorders>
            <w:shd w:val="clear" w:color="auto" w:fill="FFFFFF" w:themeFill="background1"/>
            <w:hideMark/>
          </w:tcPr>
          <w:p w:rsidR="00E75FC5" w:rsidRPr="00473EBA" w:rsidRDefault="00E75FC5" w:rsidP="00473EBA">
            <w:pPr>
              <w:spacing w:before="20" w:after="20"/>
              <w:jc w:val="both"/>
              <w:rPr>
                <w:color w:val="000000"/>
                <w:sz w:val="20"/>
                <w:szCs w:val="20"/>
                <w:lang w:val="es-ES_tradnl"/>
              </w:rPr>
            </w:pPr>
          </w:p>
        </w:tc>
        <w:tc>
          <w:tcPr>
            <w:tcW w:w="4911" w:type="dxa"/>
            <w:tcBorders>
              <w:top w:val="single" w:sz="4" w:space="0" w:color="auto"/>
              <w:left w:val="nil"/>
              <w:bottom w:val="single" w:sz="8" w:space="0" w:color="auto"/>
              <w:right w:val="single" w:sz="8" w:space="0" w:color="auto"/>
            </w:tcBorders>
            <w:shd w:val="clear" w:color="auto" w:fill="FFFFFF" w:themeFill="background1"/>
            <w:hideMark/>
          </w:tcPr>
          <w:p w:rsidR="00E75FC5" w:rsidRDefault="00E75FC5" w:rsidP="00473EBA">
            <w:pPr>
              <w:spacing w:before="20" w:after="20"/>
              <w:jc w:val="both"/>
              <w:rPr>
                <w:color w:val="000000"/>
                <w:sz w:val="20"/>
                <w:szCs w:val="20"/>
                <w:lang w:val="es-ES_tradnl"/>
              </w:rPr>
            </w:pPr>
            <w:r w:rsidRPr="00473EBA">
              <w:rPr>
                <w:color w:val="000000"/>
                <w:sz w:val="20"/>
                <w:szCs w:val="20"/>
                <w:lang w:val="es-ES_tradnl"/>
              </w:rPr>
              <w:t>Copia certificada del acto administrativo que aprueba el Reglamento de implementación del plan piloto del Operador Económico Calificado para los procedimientos de DUA electrónico relativos a operaciones de importación, exportación y tránsito.</w:t>
            </w:r>
          </w:p>
          <w:p w:rsidR="00E75FC5" w:rsidRPr="00473EBA" w:rsidRDefault="00E75FC5" w:rsidP="00473EBA">
            <w:pPr>
              <w:spacing w:before="20" w:after="20"/>
              <w:jc w:val="both"/>
              <w:rPr>
                <w:color w:val="000000"/>
                <w:sz w:val="20"/>
                <w:szCs w:val="20"/>
                <w:lang w:val="es-ES_tradnl"/>
              </w:rPr>
            </w:pPr>
          </w:p>
        </w:tc>
        <w:tc>
          <w:tcPr>
            <w:tcW w:w="2601" w:type="dxa"/>
            <w:tcBorders>
              <w:top w:val="single" w:sz="4" w:space="0" w:color="auto"/>
              <w:left w:val="nil"/>
              <w:bottom w:val="single" w:sz="8" w:space="0" w:color="auto"/>
              <w:right w:val="single" w:sz="8" w:space="0" w:color="auto"/>
            </w:tcBorders>
            <w:shd w:val="clear" w:color="auto" w:fill="FFFFFF" w:themeFill="background1"/>
          </w:tcPr>
          <w:p w:rsidR="00E75FC5" w:rsidRPr="00473EBA" w:rsidRDefault="00EC5F5F" w:rsidP="00022C9E">
            <w:pPr>
              <w:spacing w:before="20" w:after="20"/>
              <w:jc w:val="center"/>
              <w:rPr>
                <w:color w:val="000000"/>
                <w:sz w:val="20"/>
                <w:szCs w:val="20"/>
                <w:lang w:val="es-ES_tradnl"/>
              </w:rPr>
            </w:pPr>
            <w:r>
              <w:rPr>
                <w:color w:val="000000"/>
                <w:sz w:val="20"/>
                <w:szCs w:val="20"/>
                <w:lang w:val="es-ES_tradnl"/>
              </w:rPr>
              <w:t>DNA</w:t>
            </w:r>
          </w:p>
        </w:tc>
      </w:tr>
      <w:tr w:rsidR="005A1053" w:rsidRPr="00473EBA" w:rsidTr="00EC5F5F">
        <w:trPr>
          <w:trHeight w:val="461"/>
        </w:trPr>
        <w:tc>
          <w:tcPr>
            <w:tcW w:w="2660" w:type="dxa"/>
            <w:tcBorders>
              <w:left w:val="single" w:sz="8" w:space="0" w:color="auto"/>
              <w:bottom w:val="single" w:sz="4" w:space="0" w:color="auto"/>
              <w:right w:val="single" w:sz="8" w:space="0" w:color="auto"/>
            </w:tcBorders>
            <w:shd w:val="clear" w:color="auto" w:fill="FFFFFF" w:themeFill="background1"/>
          </w:tcPr>
          <w:p w:rsidR="005A1053" w:rsidRPr="00473EBA" w:rsidRDefault="005A1053" w:rsidP="00473EBA">
            <w:pPr>
              <w:spacing w:before="20" w:after="20"/>
              <w:jc w:val="both"/>
              <w:rPr>
                <w:color w:val="000000"/>
                <w:sz w:val="20"/>
                <w:szCs w:val="20"/>
                <w:lang w:val="es-ES_tradnl"/>
              </w:rPr>
            </w:pPr>
          </w:p>
        </w:tc>
        <w:tc>
          <w:tcPr>
            <w:tcW w:w="2977" w:type="dxa"/>
            <w:tcBorders>
              <w:left w:val="nil"/>
              <w:bottom w:val="single" w:sz="4" w:space="0" w:color="auto"/>
              <w:right w:val="single" w:sz="8" w:space="0" w:color="auto"/>
            </w:tcBorders>
            <w:shd w:val="clear" w:color="auto" w:fill="FFFFFF" w:themeFill="background1"/>
          </w:tcPr>
          <w:p w:rsidR="005A1053" w:rsidRPr="00473EBA" w:rsidRDefault="0048495F" w:rsidP="0048495F">
            <w:pPr>
              <w:spacing w:before="20" w:after="20"/>
              <w:jc w:val="both"/>
              <w:rPr>
                <w:color w:val="000000"/>
                <w:sz w:val="20"/>
                <w:szCs w:val="20"/>
                <w:lang w:val="es-ES_tradnl"/>
              </w:rPr>
            </w:pPr>
            <w:r w:rsidRPr="0048495F">
              <w:rPr>
                <w:color w:val="000000"/>
                <w:sz w:val="20"/>
                <w:szCs w:val="20"/>
                <w:lang w:val="es-ES_tradnl"/>
              </w:rPr>
              <w:t xml:space="preserve">Suscribir un Acuerdo entre el Ministerio de Relaciones Exteriores y </w:t>
            </w:r>
            <w:r>
              <w:rPr>
                <w:color w:val="000000"/>
                <w:sz w:val="20"/>
                <w:szCs w:val="20"/>
                <w:lang w:val="es-ES_tradnl"/>
              </w:rPr>
              <w:t>el Instituto</w:t>
            </w:r>
            <w:r w:rsidRPr="0048495F">
              <w:rPr>
                <w:color w:val="000000"/>
                <w:sz w:val="20"/>
                <w:szCs w:val="20"/>
                <w:lang w:val="es-ES_tradnl"/>
              </w:rPr>
              <w:t xml:space="preserve"> de </w:t>
            </w:r>
            <w:r w:rsidRPr="0048495F">
              <w:rPr>
                <w:color w:val="000000"/>
                <w:sz w:val="20"/>
                <w:szCs w:val="20"/>
                <w:lang w:val="es-ES_tradnl"/>
              </w:rPr>
              <w:lastRenderedPageBreak/>
              <w:t>Promoción de Inversiones y Exportaciones de Bienes y Servicios</w:t>
            </w:r>
            <w:r>
              <w:rPr>
                <w:color w:val="000000"/>
                <w:sz w:val="20"/>
                <w:szCs w:val="20"/>
                <w:lang w:val="es-ES_tradnl"/>
              </w:rPr>
              <w:t xml:space="preserve"> (U</w:t>
            </w:r>
            <w:r w:rsidRPr="0048495F">
              <w:rPr>
                <w:color w:val="000000"/>
                <w:sz w:val="20"/>
                <w:szCs w:val="20"/>
                <w:lang w:val="es-ES_tradnl"/>
              </w:rPr>
              <w:t>ruguay XXI</w:t>
            </w:r>
            <w:r>
              <w:rPr>
                <w:color w:val="000000"/>
                <w:sz w:val="20"/>
                <w:szCs w:val="20"/>
                <w:lang w:val="es-ES_tradnl"/>
              </w:rPr>
              <w:t>)</w:t>
            </w:r>
            <w:r w:rsidRPr="0048495F">
              <w:rPr>
                <w:color w:val="000000"/>
                <w:sz w:val="20"/>
                <w:szCs w:val="20"/>
                <w:lang w:val="es-ES_tradnl"/>
              </w:rPr>
              <w:t xml:space="preserve"> para poner en marcha un piloto de Antena Comercial en New York, Estados Unidos de América.</w:t>
            </w:r>
          </w:p>
        </w:tc>
        <w:tc>
          <w:tcPr>
            <w:tcW w:w="4911" w:type="dxa"/>
            <w:tcBorders>
              <w:top w:val="single" w:sz="4" w:space="0" w:color="auto"/>
              <w:left w:val="nil"/>
              <w:bottom w:val="single" w:sz="8" w:space="0" w:color="auto"/>
              <w:right w:val="single" w:sz="8" w:space="0" w:color="auto"/>
            </w:tcBorders>
            <w:shd w:val="clear" w:color="auto" w:fill="FFFFFF" w:themeFill="background1"/>
          </w:tcPr>
          <w:p w:rsidR="005A1053" w:rsidRPr="00473EBA" w:rsidRDefault="0048495F" w:rsidP="00473EBA">
            <w:pPr>
              <w:spacing w:before="20" w:after="20"/>
              <w:jc w:val="both"/>
              <w:rPr>
                <w:color w:val="000000"/>
                <w:sz w:val="20"/>
                <w:szCs w:val="20"/>
                <w:lang w:val="es-ES_tradnl"/>
              </w:rPr>
            </w:pPr>
            <w:r w:rsidRPr="0048495F">
              <w:rPr>
                <w:color w:val="000000"/>
                <w:sz w:val="20"/>
                <w:szCs w:val="20"/>
                <w:lang w:val="es-ES_tradnl"/>
              </w:rPr>
              <w:lastRenderedPageBreak/>
              <w:t>Copia certificada del ac</w:t>
            </w:r>
            <w:r>
              <w:rPr>
                <w:color w:val="000000"/>
                <w:sz w:val="20"/>
                <w:szCs w:val="20"/>
                <w:lang w:val="es-ES_tradnl"/>
              </w:rPr>
              <w:t xml:space="preserve">uerdo firmado entre el Ministerio de Relaciones Exteriores y </w:t>
            </w:r>
            <w:r>
              <w:t xml:space="preserve"> </w:t>
            </w:r>
            <w:r w:rsidRPr="0048495F">
              <w:rPr>
                <w:color w:val="000000"/>
                <w:sz w:val="20"/>
                <w:szCs w:val="20"/>
                <w:lang w:val="es-ES_tradnl"/>
              </w:rPr>
              <w:t xml:space="preserve">el Instituto de Promoción de Inversiones y Exportaciones de Bienes y Servicios </w:t>
            </w:r>
            <w:r w:rsidRPr="0048495F">
              <w:rPr>
                <w:color w:val="000000"/>
                <w:sz w:val="20"/>
                <w:szCs w:val="20"/>
                <w:lang w:val="es-ES_tradnl"/>
              </w:rPr>
              <w:lastRenderedPageBreak/>
              <w:t>(Uruguay XXI) para poner en marcha un piloto de Antena Comercial en New York, Estados Unidos de América</w:t>
            </w:r>
          </w:p>
        </w:tc>
        <w:tc>
          <w:tcPr>
            <w:tcW w:w="2601" w:type="dxa"/>
            <w:tcBorders>
              <w:top w:val="single" w:sz="4" w:space="0" w:color="auto"/>
              <w:left w:val="nil"/>
              <w:bottom w:val="single" w:sz="8" w:space="0" w:color="auto"/>
              <w:right w:val="single" w:sz="8" w:space="0" w:color="auto"/>
            </w:tcBorders>
            <w:shd w:val="clear" w:color="auto" w:fill="FFFFFF" w:themeFill="background1"/>
          </w:tcPr>
          <w:p w:rsidR="005A1053" w:rsidRDefault="0048495F" w:rsidP="00022C9E">
            <w:pPr>
              <w:spacing w:before="20" w:after="20"/>
              <w:jc w:val="center"/>
              <w:rPr>
                <w:color w:val="000000"/>
                <w:sz w:val="20"/>
                <w:szCs w:val="20"/>
                <w:lang w:val="es-ES_tradnl"/>
              </w:rPr>
            </w:pPr>
            <w:r>
              <w:rPr>
                <w:color w:val="000000"/>
                <w:sz w:val="20"/>
                <w:szCs w:val="20"/>
                <w:lang w:val="es-ES_tradnl"/>
              </w:rPr>
              <w:lastRenderedPageBreak/>
              <w:t>MRREE/Uruguay XXI</w:t>
            </w:r>
          </w:p>
        </w:tc>
      </w:tr>
      <w:tr w:rsidR="00022C9E" w:rsidRPr="00473EBA" w:rsidTr="00045ECD">
        <w:trPr>
          <w:trHeight w:val="305"/>
        </w:trPr>
        <w:tc>
          <w:tcPr>
            <w:tcW w:w="13149" w:type="dxa"/>
            <w:gridSpan w:val="4"/>
            <w:tcBorders>
              <w:top w:val="single" w:sz="4" w:space="0" w:color="auto"/>
              <w:left w:val="single" w:sz="8" w:space="0" w:color="auto"/>
              <w:bottom w:val="single" w:sz="8" w:space="0" w:color="000000"/>
              <w:right w:val="single" w:sz="4" w:space="0" w:color="auto"/>
            </w:tcBorders>
            <w:shd w:val="clear" w:color="auto" w:fill="FFFFFF" w:themeFill="background1"/>
          </w:tcPr>
          <w:p w:rsidR="00022C9E" w:rsidRPr="00473EBA" w:rsidRDefault="00022C9E" w:rsidP="00473EBA">
            <w:pPr>
              <w:spacing w:before="20" w:after="20"/>
              <w:jc w:val="center"/>
              <w:rPr>
                <w:b/>
                <w:color w:val="000000"/>
                <w:sz w:val="20"/>
                <w:szCs w:val="20"/>
                <w:lang w:val="es-ES_tradnl"/>
              </w:rPr>
            </w:pPr>
            <w:r w:rsidRPr="00473EBA">
              <w:rPr>
                <w:b/>
                <w:color w:val="000000"/>
                <w:sz w:val="20"/>
                <w:szCs w:val="20"/>
                <w:lang w:val="es-ES_tradnl"/>
              </w:rPr>
              <w:lastRenderedPageBreak/>
              <w:t xml:space="preserve">Componente IV: Mejoras de las Capacidades de Innovación </w:t>
            </w:r>
          </w:p>
        </w:tc>
      </w:tr>
      <w:tr w:rsidR="00E75FC5" w:rsidRPr="00473EBA" w:rsidTr="00022C9E">
        <w:trPr>
          <w:trHeight w:val="450"/>
        </w:trPr>
        <w:tc>
          <w:tcPr>
            <w:tcW w:w="2660" w:type="dxa"/>
            <w:vMerge w:val="restart"/>
            <w:tcBorders>
              <w:top w:val="single" w:sz="4" w:space="0" w:color="auto"/>
              <w:left w:val="single" w:sz="8" w:space="0" w:color="auto"/>
              <w:right w:val="single" w:sz="4" w:space="0" w:color="auto"/>
            </w:tcBorders>
            <w:shd w:val="clear" w:color="auto" w:fill="FFFFFF" w:themeFill="background1"/>
            <w:hideMark/>
          </w:tcPr>
          <w:p w:rsidR="00E75FC5" w:rsidRPr="00473EBA" w:rsidRDefault="00E75FC5" w:rsidP="00473EBA">
            <w:pPr>
              <w:spacing w:before="20" w:after="20"/>
              <w:rPr>
                <w:sz w:val="20"/>
                <w:szCs w:val="20"/>
                <w:lang w:val="es-ES_tradnl"/>
              </w:rPr>
            </w:pPr>
            <w:r w:rsidRPr="00473EBA">
              <w:rPr>
                <w:sz w:val="20"/>
                <w:szCs w:val="20"/>
                <w:lang w:val="es-ES_tradnl"/>
              </w:rPr>
              <w:t>Impulsar el impacto de la IED en el desarrollo nacional.</w:t>
            </w:r>
          </w:p>
        </w:tc>
        <w:tc>
          <w:tcPr>
            <w:tcW w:w="2977" w:type="dxa"/>
            <w:vMerge w:val="restart"/>
            <w:tcBorders>
              <w:top w:val="single" w:sz="4" w:space="0" w:color="auto"/>
              <w:left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color w:val="000000"/>
                <w:sz w:val="20"/>
                <w:szCs w:val="20"/>
                <w:lang w:val="es-ES_tradnl"/>
              </w:rPr>
              <w:t>Suscribir acuerdos de gestión entre el Poder Ejecutivo y la ANII en el Marco del PENCTI que contemplen un capítulo de innovación empresarial asociada a emprendimientos.</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75FC5" w:rsidP="00473EBA">
            <w:pPr>
              <w:spacing w:before="20" w:after="20"/>
              <w:jc w:val="both"/>
              <w:rPr>
                <w:sz w:val="20"/>
                <w:szCs w:val="20"/>
                <w:lang w:val="es-ES_tradnl"/>
              </w:rPr>
            </w:pP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75FC5" w:rsidP="00022C9E">
            <w:pPr>
              <w:spacing w:before="20" w:after="20"/>
              <w:jc w:val="center"/>
              <w:rPr>
                <w:sz w:val="20"/>
                <w:szCs w:val="20"/>
                <w:lang w:val="es-ES_tradnl"/>
              </w:rPr>
            </w:pPr>
          </w:p>
        </w:tc>
      </w:tr>
      <w:tr w:rsidR="00E75FC5" w:rsidRPr="00473EBA" w:rsidTr="00EC5F5F">
        <w:trPr>
          <w:trHeight w:val="450"/>
        </w:trPr>
        <w:tc>
          <w:tcPr>
            <w:tcW w:w="2660" w:type="dxa"/>
            <w:vMerge/>
            <w:tcBorders>
              <w:left w:val="single" w:sz="8" w:space="0" w:color="auto"/>
              <w:right w:val="single" w:sz="4" w:space="0" w:color="auto"/>
            </w:tcBorders>
            <w:shd w:val="clear" w:color="auto" w:fill="FFFFFF" w:themeFill="background1"/>
            <w:hideMark/>
          </w:tcPr>
          <w:p w:rsidR="00E75FC5" w:rsidRPr="00473EBA" w:rsidRDefault="00E75FC5" w:rsidP="00473EBA">
            <w:pPr>
              <w:spacing w:before="20" w:after="20"/>
              <w:rPr>
                <w:sz w:val="20"/>
                <w:szCs w:val="20"/>
                <w:lang w:val="es-ES_tradnl"/>
              </w:rPr>
            </w:pPr>
          </w:p>
        </w:tc>
        <w:tc>
          <w:tcPr>
            <w:tcW w:w="2977" w:type="dxa"/>
            <w:vMerge/>
            <w:tcBorders>
              <w:left w:val="single" w:sz="4" w:space="0" w:color="auto"/>
              <w:right w:val="single" w:sz="4" w:space="0" w:color="auto"/>
            </w:tcBorders>
            <w:shd w:val="clear" w:color="auto" w:fill="FFFFFF" w:themeFill="background1"/>
            <w:hideMark/>
          </w:tcPr>
          <w:p w:rsidR="00E75FC5" w:rsidRPr="00473EBA" w:rsidRDefault="00E75FC5" w:rsidP="00473EBA">
            <w:pPr>
              <w:spacing w:before="20" w:after="20"/>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certificada del compromiso de gestión 2014 suscrito entre el Poder Ejecutivo y la ANII en el marco del PENCTI.</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5A1053" w:rsidP="00022C9E">
            <w:pPr>
              <w:spacing w:before="20" w:after="20"/>
              <w:jc w:val="center"/>
              <w:rPr>
                <w:sz w:val="20"/>
                <w:szCs w:val="20"/>
                <w:lang w:val="es-ES_tradnl"/>
              </w:rPr>
            </w:pPr>
            <w:r>
              <w:rPr>
                <w:color w:val="000000"/>
                <w:sz w:val="20"/>
                <w:szCs w:val="20"/>
                <w:lang w:val="es-ES_tradnl"/>
              </w:rPr>
              <w:t>Poder Ejecutivo/</w:t>
            </w:r>
            <w:r w:rsidR="00EC5F5F">
              <w:rPr>
                <w:sz w:val="20"/>
                <w:szCs w:val="20"/>
                <w:lang w:val="es-ES_tradnl"/>
              </w:rPr>
              <w:t>ANII</w:t>
            </w:r>
          </w:p>
        </w:tc>
      </w:tr>
      <w:tr w:rsidR="00E75FC5" w:rsidRPr="00473EBA" w:rsidTr="00EC5F5F">
        <w:trPr>
          <w:trHeight w:val="970"/>
        </w:trPr>
        <w:tc>
          <w:tcPr>
            <w:tcW w:w="2660" w:type="dxa"/>
            <w:vMerge/>
            <w:tcBorders>
              <w:left w:val="single" w:sz="8"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rPr>
                <w:sz w:val="20"/>
                <w:szCs w:val="20"/>
                <w:lang w:val="es-ES_tradnl"/>
              </w:rPr>
            </w:pPr>
          </w:p>
        </w:tc>
        <w:tc>
          <w:tcPr>
            <w:tcW w:w="2977" w:type="dxa"/>
            <w:vMerge/>
            <w:tcBorders>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highlight w:val="yellow"/>
                <w:lang w:val="es-ES_tradnl"/>
              </w:rPr>
            </w:pPr>
            <w:r w:rsidRPr="00473EBA">
              <w:rPr>
                <w:sz w:val="20"/>
                <w:szCs w:val="20"/>
                <w:lang w:val="es-ES_tradnl"/>
              </w:rPr>
              <w:t>Copia certificada del acto administrativo de ANII que aprueba las bases del programa de atracción de emprendedores del exterior denominado “</w:t>
            </w:r>
            <w:proofErr w:type="spellStart"/>
            <w:r w:rsidRPr="00473EBA">
              <w:rPr>
                <w:sz w:val="20"/>
                <w:szCs w:val="20"/>
                <w:lang w:val="es-ES_tradnl"/>
              </w:rPr>
              <w:t>softlanding</w:t>
            </w:r>
            <w:proofErr w:type="spellEnd"/>
            <w:r w:rsidRPr="00473EBA">
              <w:rPr>
                <w:sz w:val="20"/>
                <w:szCs w:val="20"/>
                <w:lang w:val="es-ES_tradnl"/>
              </w:rPr>
              <w:t>”</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lang w:val="es-ES_tradnl"/>
              </w:rPr>
            </w:pPr>
            <w:r>
              <w:rPr>
                <w:sz w:val="20"/>
                <w:szCs w:val="20"/>
                <w:lang w:val="es-ES_tradnl"/>
              </w:rPr>
              <w:t>ANII</w:t>
            </w:r>
          </w:p>
        </w:tc>
      </w:tr>
      <w:tr w:rsidR="00E75FC5" w:rsidRPr="00473EBA" w:rsidTr="00EC5F5F">
        <w:trPr>
          <w:trHeight w:val="1227"/>
        </w:trPr>
        <w:tc>
          <w:tcPr>
            <w:tcW w:w="2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r w:rsidRPr="00473EBA">
              <w:rPr>
                <w:sz w:val="20"/>
                <w:szCs w:val="20"/>
                <w:lang w:val="es-ES_tradnl"/>
              </w:rPr>
              <w:t>Promover la sinergia entre el sector académico, la industria local y la IED.</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Aprobar las bases para la promoción de redes y centros tecnológicos que fomenten la innovación empresarial a través de la colaboración con múltiples empresas e instituciones privadas.</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certificada del acto administrativo de ANII que aprueba el Plan Operativo Anual 2014 en el cual se definen los instrumentos para la promoción de la investigación, innovación empresarial y formación de capital humano.</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lang w:val="es-AR"/>
              </w:rPr>
            </w:pPr>
            <w:r>
              <w:rPr>
                <w:sz w:val="20"/>
                <w:szCs w:val="20"/>
                <w:lang w:val="es-AR"/>
              </w:rPr>
              <w:t>ANII</w:t>
            </w:r>
          </w:p>
        </w:tc>
      </w:tr>
      <w:tr w:rsidR="00E75FC5" w:rsidRPr="00473EBA" w:rsidTr="00EC5F5F">
        <w:trPr>
          <w:trHeight w:val="795"/>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certificada del acto administrativo de ANII publicando las bases de las Redes Tecnológicas Sectoriales</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rPr>
            </w:pPr>
            <w:r>
              <w:rPr>
                <w:sz w:val="20"/>
                <w:szCs w:val="20"/>
              </w:rPr>
              <w:t>ANII</w:t>
            </w:r>
          </w:p>
        </w:tc>
      </w:tr>
      <w:tr w:rsidR="00E75FC5" w:rsidRPr="00473EBA" w:rsidTr="00EC5F5F">
        <w:trPr>
          <w:trHeight w:val="987"/>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 xml:space="preserve">Copia del acto administrativo de la ANII que aprueba la creación del Centro de </w:t>
            </w:r>
            <w:proofErr w:type="spellStart"/>
            <w:r w:rsidRPr="00473EBA">
              <w:rPr>
                <w:sz w:val="20"/>
                <w:szCs w:val="20"/>
                <w:lang w:val="es-ES_tradnl"/>
              </w:rPr>
              <w:t>Extensionismo</w:t>
            </w:r>
            <w:proofErr w:type="spellEnd"/>
            <w:r w:rsidRPr="00473EBA">
              <w:rPr>
                <w:sz w:val="20"/>
                <w:szCs w:val="20"/>
                <w:lang w:val="es-ES_tradnl"/>
              </w:rPr>
              <w:t xml:space="preserve"> Industrial como centro tecnológico sectorial y le asigna recursos para su funcionamiento</w:t>
            </w:r>
            <w:r>
              <w:rPr>
                <w:sz w:val="20"/>
                <w:szCs w:val="20"/>
                <w:lang w:val="es-ES_tradnl"/>
              </w:rPr>
              <w:t>.</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lang w:val="es-AR"/>
              </w:rPr>
            </w:pPr>
            <w:r>
              <w:rPr>
                <w:sz w:val="20"/>
                <w:szCs w:val="20"/>
                <w:lang w:val="es-AR"/>
              </w:rPr>
              <w:t>ANII</w:t>
            </w:r>
          </w:p>
        </w:tc>
      </w:tr>
      <w:tr w:rsidR="00E75FC5" w:rsidRPr="00473EBA" w:rsidTr="00EC5F5F">
        <w:trPr>
          <w:trHeight w:val="623"/>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del acto administrativo de la ANII que aprueba la creación de la Unidad de Innovación en Tecnología Alimentaria como centro tecnológico sectorial y le asigna recursos para su funcionamiento.</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lang w:val="en-US"/>
              </w:rPr>
            </w:pPr>
            <w:r>
              <w:rPr>
                <w:sz w:val="20"/>
                <w:szCs w:val="20"/>
                <w:lang w:val="en-US"/>
              </w:rPr>
              <w:t>ANII</w:t>
            </w:r>
          </w:p>
        </w:tc>
      </w:tr>
      <w:tr w:rsidR="00E75FC5" w:rsidRPr="00473EBA" w:rsidTr="00EC5F5F">
        <w:trPr>
          <w:trHeight w:val="622"/>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n-US"/>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n-US"/>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del acto administrativo de la ANII que aprueba la creación del Centro de Innovación en Ingeniería como centro tecnológico sectorial y le asigna recursos para su funcionamiento</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lang w:val="es-ES_tradnl"/>
              </w:rPr>
            </w:pPr>
            <w:r>
              <w:rPr>
                <w:sz w:val="20"/>
                <w:szCs w:val="20"/>
                <w:lang w:val="es-ES_tradnl"/>
              </w:rPr>
              <w:t>ANII</w:t>
            </w:r>
          </w:p>
        </w:tc>
      </w:tr>
      <w:tr w:rsidR="00E75FC5" w:rsidRPr="00473EBA" w:rsidTr="00EC5F5F">
        <w:trPr>
          <w:trHeight w:val="977"/>
        </w:trPr>
        <w:tc>
          <w:tcPr>
            <w:tcW w:w="2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Fortalecer el marco normativo para la generación de capacidades tecnológicas.</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Adoptar por parte de la UTEC  medidas para instalar un Instituto Técnico Regional así como para aprobar carreras técnicas de formación de recursos humanos con impacto en la tecnificación de la actividad agraria.</w:t>
            </w:r>
          </w:p>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p>
        </w:tc>
        <w:tc>
          <w:tcPr>
            <w:tcW w:w="4911" w:type="dxa"/>
            <w:tcBorders>
              <w:top w:val="nil"/>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certificada del acto administrativo de la UTEC que aprueba la instalación del primer Instituto Técnico Regional en la ciudad de Fray Bentos.</w:t>
            </w:r>
          </w:p>
        </w:tc>
        <w:tc>
          <w:tcPr>
            <w:tcW w:w="2601" w:type="dxa"/>
            <w:tcBorders>
              <w:top w:val="single" w:sz="4" w:space="0" w:color="auto"/>
              <w:left w:val="single" w:sz="8" w:space="0" w:color="auto"/>
              <w:bottom w:val="single" w:sz="4" w:space="0" w:color="auto"/>
              <w:right w:val="single" w:sz="4" w:space="0" w:color="auto"/>
            </w:tcBorders>
            <w:shd w:val="clear" w:color="auto" w:fill="FFFFFF" w:themeFill="background1"/>
          </w:tcPr>
          <w:p w:rsidR="00E75FC5" w:rsidRPr="00473EBA" w:rsidRDefault="00EC5F5F" w:rsidP="00022C9E">
            <w:pPr>
              <w:spacing w:before="20" w:after="20"/>
              <w:jc w:val="center"/>
              <w:rPr>
                <w:sz w:val="20"/>
                <w:szCs w:val="20"/>
                <w:lang w:val="es-ES_tradnl"/>
              </w:rPr>
            </w:pPr>
            <w:r>
              <w:rPr>
                <w:sz w:val="20"/>
                <w:szCs w:val="20"/>
                <w:lang w:val="es-ES_tradnl"/>
              </w:rPr>
              <w:t>UTEC</w:t>
            </w:r>
          </w:p>
        </w:tc>
      </w:tr>
      <w:tr w:rsidR="00E75FC5" w:rsidRPr="00473EBA" w:rsidTr="00EC5F5F">
        <w:trPr>
          <w:trHeight w:val="722"/>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2977" w:type="dxa"/>
            <w:vMerge/>
            <w:tcBorders>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4911" w:type="dxa"/>
            <w:tcBorders>
              <w:top w:val="nil"/>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 xml:space="preserve">Copia certificada del acto administrativo de la UTEC que aprueba la Licenciatura en Análisis Alimentario </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39090B" w:rsidP="00022C9E">
            <w:pPr>
              <w:spacing w:before="20" w:after="20"/>
              <w:jc w:val="center"/>
              <w:rPr>
                <w:sz w:val="20"/>
                <w:szCs w:val="20"/>
                <w:lang w:val="es-ES_tradnl"/>
              </w:rPr>
            </w:pPr>
            <w:r>
              <w:rPr>
                <w:sz w:val="20"/>
                <w:szCs w:val="20"/>
                <w:lang w:val="es-ES_tradnl"/>
              </w:rPr>
              <w:t>UTEC</w:t>
            </w:r>
          </w:p>
        </w:tc>
      </w:tr>
      <w:tr w:rsidR="00E75FC5" w:rsidRPr="00473EBA" w:rsidTr="00EC5F5F">
        <w:trPr>
          <w:trHeight w:val="680"/>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2977" w:type="dxa"/>
            <w:vMerge/>
            <w:tcBorders>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4911" w:type="dxa"/>
            <w:tcBorders>
              <w:top w:val="nil"/>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certificada del acto administrativo de la UTEC que aprueba la Licenciatura en Leche y Productos Lácteos.</w:t>
            </w:r>
          </w:p>
        </w:tc>
        <w:tc>
          <w:tcPr>
            <w:tcW w:w="2601" w:type="dxa"/>
            <w:tcBorders>
              <w:top w:val="single" w:sz="4" w:space="0" w:color="auto"/>
              <w:left w:val="single" w:sz="8" w:space="0" w:color="auto"/>
              <w:bottom w:val="single" w:sz="4" w:space="0" w:color="auto"/>
              <w:right w:val="single" w:sz="4" w:space="0" w:color="auto"/>
            </w:tcBorders>
            <w:shd w:val="clear" w:color="auto" w:fill="FFFFFF" w:themeFill="background1"/>
          </w:tcPr>
          <w:p w:rsidR="00E75FC5" w:rsidRPr="00473EBA" w:rsidRDefault="0039090B" w:rsidP="00022C9E">
            <w:pPr>
              <w:spacing w:before="20" w:after="20"/>
              <w:jc w:val="center"/>
              <w:rPr>
                <w:sz w:val="20"/>
                <w:szCs w:val="20"/>
                <w:lang w:val="es-ES_tradnl"/>
              </w:rPr>
            </w:pPr>
            <w:r>
              <w:rPr>
                <w:sz w:val="20"/>
                <w:szCs w:val="20"/>
                <w:lang w:val="es-ES_tradnl"/>
              </w:rPr>
              <w:t>UTEC</w:t>
            </w:r>
          </w:p>
        </w:tc>
      </w:tr>
      <w:tr w:rsidR="00E75FC5" w:rsidRPr="00473EBA" w:rsidTr="00EC5F5F">
        <w:trPr>
          <w:trHeight w:val="1403"/>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r w:rsidRPr="00473EBA">
              <w:rPr>
                <w:sz w:val="20"/>
                <w:szCs w:val="20"/>
                <w:lang w:val="es-ES_tradnl"/>
              </w:rPr>
              <w:t>Promulgar la Ley que dota a la UTEC de recursos financieros y le regula su funcionamiento.</w:t>
            </w:r>
          </w:p>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p>
          <w:p w:rsidR="00E75FC5" w:rsidRPr="00473EBA" w:rsidRDefault="00E75FC5" w:rsidP="00473EBA">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Copia certificada de la publicación en el Diario Oficial de la ley que entre sus disposiciones que complementan el marco institucional de la UTEC, atribuyendo competencias, facilitando su contratación y dotándola de recursos financieros para su desarrollo.</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5A1053" w:rsidP="00022C9E">
            <w:pPr>
              <w:spacing w:before="20" w:after="20"/>
              <w:jc w:val="center"/>
              <w:rPr>
                <w:sz w:val="20"/>
                <w:szCs w:val="20"/>
                <w:lang w:val="es-ES_tradnl"/>
              </w:rPr>
            </w:pPr>
            <w:r>
              <w:rPr>
                <w:color w:val="000000"/>
                <w:sz w:val="20"/>
                <w:szCs w:val="20"/>
                <w:lang w:val="es-ES_tradnl"/>
              </w:rPr>
              <w:t>Poder Ejecutivo</w:t>
            </w:r>
          </w:p>
        </w:tc>
      </w:tr>
      <w:tr w:rsidR="00E75FC5" w:rsidRPr="00473EBA" w:rsidTr="00EC5F5F">
        <w:trPr>
          <w:trHeight w:val="1088"/>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Suscribir por parte de la ANII al menos ocho convenios de capacitación con universidades y centros de investigación extranjeros</w:t>
            </w: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 xml:space="preserve">Copia certificada de convenio de colaboración suscrito entre ANII y la Universidad de Stanford para el desarrollo de programas de entrenamiento en innovación y </w:t>
            </w:r>
            <w:proofErr w:type="spellStart"/>
            <w:r w:rsidRPr="00473EBA">
              <w:rPr>
                <w:sz w:val="20"/>
                <w:szCs w:val="20"/>
                <w:lang w:val="es-ES_tradnl"/>
              </w:rPr>
              <w:t>emprendedurismo</w:t>
            </w:r>
            <w:proofErr w:type="spellEnd"/>
            <w:r w:rsidRPr="00473EBA">
              <w:rPr>
                <w:sz w:val="20"/>
                <w:szCs w:val="20"/>
                <w:lang w:val="es-ES_tradnl"/>
              </w:rPr>
              <w:t>.</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39090B" w:rsidP="00022C9E">
            <w:pPr>
              <w:spacing w:before="20" w:after="20"/>
              <w:jc w:val="center"/>
              <w:rPr>
                <w:sz w:val="20"/>
                <w:szCs w:val="20"/>
                <w:lang w:val="es-ES_tradnl"/>
              </w:rPr>
            </w:pPr>
            <w:r>
              <w:rPr>
                <w:sz w:val="20"/>
                <w:szCs w:val="20"/>
                <w:lang w:val="es-ES_tradnl"/>
              </w:rPr>
              <w:t>ANII</w:t>
            </w:r>
          </w:p>
        </w:tc>
      </w:tr>
      <w:tr w:rsidR="00E75FC5" w:rsidRPr="00473EBA" w:rsidTr="00EC5F5F">
        <w:trPr>
          <w:trHeight w:val="990"/>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FC5" w:rsidRPr="00473EBA" w:rsidRDefault="00E75FC5" w:rsidP="00473EBA">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FC5" w:rsidRPr="00473EBA" w:rsidRDefault="00E75FC5" w:rsidP="00473EBA">
            <w:pPr>
              <w:spacing w:before="20" w:after="20"/>
              <w:jc w:val="both"/>
              <w:rPr>
                <w:sz w:val="20"/>
                <w:szCs w:val="20"/>
                <w:lang w:val="es-ES_tradnl"/>
              </w:rPr>
            </w:pPr>
            <w:r w:rsidRPr="00473EBA">
              <w:rPr>
                <w:sz w:val="20"/>
                <w:szCs w:val="20"/>
                <w:lang w:val="es-ES_tradnl"/>
              </w:rPr>
              <w:t xml:space="preserve">Copia certificada de convenio de cooperación suscrito entre ANII y el IDRC de Canadá para el otorgamiento de becas de postgrado en Canadá con prioridad en área de industrias extractivas. </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75FC5" w:rsidRPr="00473EBA" w:rsidRDefault="0039090B" w:rsidP="00022C9E">
            <w:pPr>
              <w:spacing w:before="20" w:after="20"/>
              <w:jc w:val="center"/>
              <w:rPr>
                <w:sz w:val="20"/>
                <w:szCs w:val="20"/>
                <w:lang w:val="es-ES_tradnl"/>
              </w:rPr>
            </w:pPr>
            <w:r>
              <w:rPr>
                <w:sz w:val="20"/>
                <w:szCs w:val="20"/>
                <w:lang w:val="es-ES_tradnl"/>
              </w:rPr>
              <w:t>ANII</w:t>
            </w:r>
          </w:p>
        </w:tc>
      </w:tr>
      <w:tr w:rsidR="00EC5F5F" w:rsidRPr="00473EBA" w:rsidTr="00EC5F5F">
        <w:trPr>
          <w:trHeight w:val="938"/>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C5F5F" w:rsidRPr="00473EBA" w:rsidRDefault="00EC5F5F" w:rsidP="00EC5F5F">
            <w:pPr>
              <w:spacing w:before="20" w:after="20"/>
              <w:jc w:val="both"/>
              <w:rPr>
                <w:sz w:val="20"/>
                <w:szCs w:val="20"/>
                <w:lang w:val="es-ES_tradnl"/>
              </w:rPr>
            </w:pPr>
            <w:r w:rsidRPr="00473EBA">
              <w:rPr>
                <w:sz w:val="20"/>
                <w:szCs w:val="20"/>
                <w:lang w:val="es-ES_tradnl"/>
              </w:rPr>
              <w:t>Copia certificada de convenio de cooperación suscrito entre ANII y UNESCO – IHE de Holanda para el otorgamiento de becas de maestría en ingeniería ambiental en Holanda.</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C5F5F" w:rsidRPr="00473EBA" w:rsidRDefault="0039090B" w:rsidP="00022C9E">
            <w:pPr>
              <w:spacing w:before="20" w:after="20"/>
              <w:jc w:val="center"/>
              <w:rPr>
                <w:sz w:val="20"/>
                <w:szCs w:val="20"/>
                <w:lang w:val="es-ES_tradnl"/>
              </w:rPr>
            </w:pPr>
            <w:r>
              <w:rPr>
                <w:sz w:val="20"/>
                <w:szCs w:val="20"/>
                <w:lang w:val="es-ES_tradnl"/>
              </w:rPr>
              <w:t>ANII</w:t>
            </w:r>
          </w:p>
        </w:tc>
      </w:tr>
      <w:tr w:rsidR="00EC5F5F" w:rsidRPr="00473EBA" w:rsidTr="00EC5F5F">
        <w:trPr>
          <w:trHeight w:val="952"/>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C5F5F" w:rsidRPr="00473EBA" w:rsidRDefault="00EC5F5F" w:rsidP="00EC5F5F">
            <w:pPr>
              <w:spacing w:before="20" w:after="20"/>
              <w:jc w:val="both"/>
              <w:rPr>
                <w:sz w:val="20"/>
                <w:szCs w:val="20"/>
                <w:lang w:val="es-ES_tradnl"/>
              </w:rPr>
            </w:pPr>
            <w:r w:rsidRPr="00473EBA">
              <w:rPr>
                <w:sz w:val="20"/>
                <w:szCs w:val="20"/>
                <w:lang w:val="es-ES_tradnl"/>
              </w:rPr>
              <w:t xml:space="preserve">Copia certificada de convenio de cooperación educativa suscrito entre ANII y </w:t>
            </w:r>
            <w:proofErr w:type="spellStart"/>
            <w:r w:rsidRPr="00473EBA">
              <w:rPr>
                <w:sz w:val="20"/>
                <w:szCs w:val="20"/>
                <w:lang w:val="es-ES_tradnl"/>
              </w:rPr>
              <w:t>King´s</w:t>
            </w:r>
            <w:proofErr w:type="spellEnd"/>
            <w:r w:rsidRPr="00473EBA">
              <w:rPr>
                <w:sz w:val="20"/>
                <w:szCs w:val="20"/>
                <w:lang w:val="es-ES_tradnl"/>
              </w:rPr>
              <w:t xml:space="preserve"> </w:t>
            </w:r>
            <w:proofErr w:type="spellStart"/>
            <w:r w:rsidRPr="00473EBA">
              <w:rPr>
                <w:sz w:val="20"/>
                <w:szCs w:val="20"/>
                <w:lang w:val="es-ES_tradnl"/>
              </w:rPr>
              <w:t>College</w:t>
            </w:r>
            <w:proofErr w:type="spellEnd"/>
            <w:r w:rsidRPr="00473EBA">
              <w:rPr>
                <w:sz w:val="20"/>
                <w:szCs w:val="20"/>
                <w:lang w:val="es-ES_tradnl"/>
              </w:rPr>
              <w:t xml:space="preserve"> de Inglaterra para el otorgamiento de becas de postgrado a estudiantes uruguayos.</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C5F5F" w:rsidRPr="00473EBA" w:rsidRDefault="0039090B" w:rsidP="00022C9E">
            <w:pPr>
              <w:spacing w:before="20" w:after="20"/>
              <w:jc w:val="center"/>
              <w:rPr>
                <w:sz w:val="20"/>
                <w:szCs w:val="20"/>
                <w:lang w:val="es-ES_tradnl"/>
              </w:rPr>
            </w:pPr>
            <w:r>
              <w:rPr>
                <w:sz w:val="20"/>
                <w:szCs w:val="20"/>
                <w:lang w:val="es-ES_tradnl"/>
              </w:rPr>
              <w:t>ANII</w:t>
            </w:r>
          </w:p>
        </w:tc>
      </w:tr>
      <w:tr w:rsidR="00EC5F5F" w:rsidRPr="00473EBA" w:rsidTr="00EC5F5F">
        <w:trPr>
          <w:trHeight w:val="983"/>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C5F5F" w:rsidRPr="00473EBA" w:rsidRDefault="00EC5F5F" w:rsidP="00EC5F5F">
            <w:pPr>
              <w:spacing w:before="20" w:after="20"/>
              <w:jc w:val="both"/>
              <w:rPr>
                <w:sz w:val="20"/>
                <w:szCs w:val="20"/>
                <w:lang w:val="es-ES_tradnl"/>
              </w:rPr>
            </w:pPr>
            <w:r w:rsidRPr="00473EBA">
              <w:rPr>
                <w:sz w:val="20"/>
                <w:szCs w:val="20"/>
                <w:lang w:val="es-ES_tradnl"/>
              </w:rPr>
              <w:t>Copia certificada de convenio de cooperación suscrito entre ANII y el Instituto Interamericano de Cooperación para la Agricultura (IICA) para el otorgamiento de becas y estancias profesionales.</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C5F5F" w:rsidRPr="00473EBA" w:rsidRDefault="0039090B" w:rsidP="00022C9E">
            <w:pPr>
              <w:spacing w:before="20" w:after="20"/>
              <w:jc w:val="center"/>
              <w:rPr>
                <w:sz w:val="20"/>
                <w:szCs w:val="20"/>
                <w:lang w:val="es-ES_tradnl"/>
              </w:rPr>
            </w:pPr>
            <w:r>
              <w:rPr>
                <w:sz w:val="20"/>
                <w:szCs w:val="20"/>
                <w:lang w:val="es-ES_tradnl"/>
              </w:rPr>
              <w:t>ANII</w:t>
            </w:r>
          </w:p>
        </w:tc>
      </w:tr>
      <w:tr w:rsidR="00EC5F5F" w:rsidRPr="00473EBA" w:rsidTr="00EC5F5F">
        <w:trPr>
          <w:trHeight w:val="353"/>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C5F5F" w:rsidRPr="00473EBA" w:rsidRDefault="00EC5F5F" w:rsidP="00EC5F5F">
            <w:pPr>
              <w:spacing w:before="20" w:after="20"/>
              <w:jc w:val="both"/>
              <w:rPr>
                <w:sz w:val="20"/>
                <w:szCs w:val="20"/>
                <w:lang w:val="es-ES_tradnl"/>
              </w:rPr>
            </w:pPr>
            <w:r w:rsidRPr="00473EBA">
              <w:rPr>
                <w:sz w:val="20"/>
                <w:szCs w:val="20"/>
                <w:lang w:val="es-ES_tradnl"/>
              </w:rPr>
              <w:t xml:space="preserve">Copia certificada de convenio de cooperación educativa suscrito entre ANII y </w:t>
            </w:r>
            <w:proofErr w:type="spellStart"/>
            <w:r w:rsidRPr="00473EBA">
              <w:rPr>
                <w:sz w:val="20"/>
                <w:szCs w:val="20"/>
                <w:lang w:val="es-ES_tradnl"/>
              </w:rPr>
              <w:t>Fulbright</w:t>
            </w:r>
            <w:proofErr w:type="spellEnd"/>
            <w:r w:rsidRPr="00473EBA">
              <w:rPr>
                <w:sz w:val="20"/>
                <w:szCs w:val="20"/>
                <w:lang w:val="es-ES_tradnl"/>
              </w:rPr>
              <w:t xml:space="preserve"> Uruguay para el otorgamiento de becas de estudios de postgrado en Estados Unidos con prioridad en áreas tecnológicas.</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C5F5F" w:rsidRPr="00473EBA" w:rsidRDefault="0039090B" w:rsidP="00022C9E">
            <w:pPr>
              <w:spacing w:before="20" w:after="20"/>
              <w:jc w:val="center"/>
              <w:rPr>
                <w:sz w:val="20"/>
                <w:szCs w:val="20"/>
                <w:lang w:val="es-ES_tradnl"/>
              </w:rPr>
            </w:pPr>
            <w:r>
              <w:rPr>
                <w:sz w:val="20"/>
                <w:szCs w:val="20"/>
                <w:lang w:val="es-ES_tradnl"/>
              </w:rPr>
              <w:t>ANII</w:t>
            </w:r>
          </w:p>
        </w:tc>
      </w:tr>
      <w:tr w:rsidR="00EC5F5F" w:rsidRPr="00473EBA" w:rsidTr="00EC5F5F">
        <w:trPr>
          <w:trHeight w:val="758"/>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C5F5F" w:rsidRPr="00473EBA" w:rsidRDefault="00EC5F5F" w:rsidP="00EC5F5F">
            <w:pPr>
              <w:spacing w:before="20" w:after="20"/>
              <w:jc w:val="both"/>
              <w:rPr>
                <w:sz w:val="20"/>
                <w:szCs w:val="20"/>
                <w:lang w:val="es-ES_tradnl"/>
              </w:rPr>
            </w:pPr>
            <w:r w:rsidRPr="00473EBA">
              <w:rPr>
                <w:sz w:val="20"/>
                <w:szCs w:val="20"/>
                <w:lang w:val="es-ES_tradnl"/>
              </w:rPr>
              <w:t xml:space="preserve">Copia certificada de convenio de cooperación educativa suscrito entre ANII y la Embajada Británica en Uruguay para el otorgamiento de becas de estudios de postgrado en Gran Bretaña bajo el programa </w:t>
            </w:r>
            <w:proofErr w:type="spellStart"/>
            <w:r w:rsidRPr="00473EBA">
              <w:rPr>
                <w:sz w:val="20"/>
                <w:szCs w:val="20"/>
                <w:lang w:val="es-ES_tradnl"/>
              </w:rPr>
              <w:t>Chevening</w:t>
            </w:r>
            <w:proofErr w:type="spellEnd"/>
            <w:r w:rsidRPr="00473EBA">
              <w:rPr>
                <w:sz w:val="20"/>
                <w:szCs w:val="20"/>
                <w:lang w:val="es-ES_tradnl"/>
              </w:rPr>
              <w:t xml:space="preserve">. </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C5F5F" w:rsidRPr="00473EBA" w:rsidRDefault="0039090B" w:rsidP="00022C9E">
            <w:pPr>
              <w:spacing w:before="20" w:after="20"/>
              <w:jc w:val="center"/>
              <w:rPr>
                <w:sz w:val="20"/>
                <w:szCs w:val="20"/>
                <w:lang w:val="es-ES_tradnl"/>
              </w:rPr>
            </w:pPr>
            <w:r>
              <w:rPr>
                <w:sz w:val="20"/>
                <w:szCs w:val="20"/>
                <w:lang w:val="es-ES_tradnl"/>
              </w:rPr>
              <w:t>ANII</w:t>
            </w:r>
          </w:p>
        </w:tc>
      </w:tr>
      <w:tr w:rsidR="00EC5F5F" w:rsidRPr="00473EBA" w:rsidTr="00EC5F5F">
        <w:trPr>
          <w:trHeight w:val="757"/>
        </w:trPr>
        <w:tc>
          <w:tcPr>
            <w:tcW w:w="2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29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C5F5F" w:rsidRPr="00473EBA" w:rsidRDefault="00EC5F5F" w:rsidP="00EC5F5F">
            <w:pPr>
              <w:spacing w:before="20" w:after="20"/>
              <w:jc w:val="both"/>
              <w:rPr>
                <w:sz w:val="20"/>
                <w:szCs w:val="20"/>
                <w:lang w:val="es-ES_tradnl"/>
              </w:rPr>
            </w:pPr>
          </w:p>
        </w:tc>
        <w:tc>
          <w:tcPr>
            <w:tcW w:w="49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C5F5F" w:rsidRPr="00473EBA" w:rsidRDefault="00EC5F5F" w:rsidP="00EC5F5F">
            <w:pPr>
              <w:spacing w:before="20" w:after="20"/>
              <w:jc w:val="both"/>
              <w:rPr>
                <w:sz w:val="20"/>
                <w:szCs w:val="20"/>
                <w:lang w:val="es-ES_tradnl"/>
              </w:rPr>
            </w:pPr>
            <w:r w:rsidRPr="00473EBA">
              <w:rPr>
                <w:sz w:val="20"/>
                <w:szCs w:val="20"/>
                <w:lang w:val="es-ES_tradnl"/>
              </w:rPr>
              <w:t>Copia certificada de convenio de cooperación</w:t>
            </w:r>
            <w:r>
              <w:rPr>
                <w:sz w:val="20"/>
                <w:szCs w:val="20"/>
                <w:lang w:val="es-ES_tradnl"/>
              </w:rPr>
              <w:t xml:space="preserve"> c</w:t>
            </w:r>
            <w:r w:rsidRPr="00473EBA">
              <w:rPr>
                <w:sz w:val="20"/>
                <w:szCs w:val="20"/>
                <w:lang w:val="es-ES_tradnl"/>
              </w:rPr>
              <w:t>ientífica y tecnológica suscrito entre ANII y CONICET de Argentina para la formación de capital humano.</w:t>
            </w:r>
          </w:p>
        </w:tc>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tcPr>
          <w:p w:rsidR="00EC5F5F" w:rsidRPr="00473EBA" w:rsidRDefault="0039090B" w:rsidP="00022C9E">
            <w:pPr>
              <w:spacing w:before="20" w:after="20"/>
              <w:jc w:val="center"/>
              <w:rPr>
                <w:sz w:val="20"/>
                <w:szCs w:val="20"/>
                <w:lang w:val="es-ES_tradnl"/>
              </w:rPr>
            </w:pPr>
            <w:r>
              <w:rPr>
                <w:sz w:val="20"/>
                <w:szCs w:val="20"/>
                <w:lang w:val="es-ES_tradnl"/>
              </w:rPr>
              <w:t>ANII</w:t>
            </w:r>
          </w:p>
        </w:tc>
      </w:tr>
    </w:tbl>
    <w:p w:rsidR="00625BF8" w:rsidRPr="00E14CCD" w:rsidRDefault="00625BF8" w:rsidP="00625BF8">
      <w:pPr>
        <w:shd w:val="clear" w:color="auto" w:fill="FFFFFF" w:themeFill="background1"/>
        <w:jc w:val="center"/>
        <w:rPr>
          <w:rFonts w:ascii="Times New Roman Bold" w:hAnsi="Times New Roman Bold"/>
          <w:b/>
          <w:smallCaps/>
          <w:sz w:val="21"/>
          <w:szCs w:val="21"/>
          <w:lang w:val="es-ES_tradnl"/>
        </w:rPr>
      </w:pPr>
    </w:p>
    <w:p w:rsidR="00625BF8" w:rsidRPr="00E14CCD" w:rsidRDefault="00625BF8" w:rsidP="00625BF8">
      <w:pPr>
        <w:pStyle w:val="Header"/>
        <w:tabs>
          <w:tab w:val="clear" w:pos="4320"/>
          <w:tab w:val="clear" w:pos="8640"/>
        </w:tabs>
        <w:jc w:val="center"/>
        <w:rPr>
          <w:b/>
          <w:bCs/>
          <w:sz w:val="21"/>
          <w:szCs w:val="21"/>
          <w:lang w:val="es-ES_tradnl"/>
        </w:rPr>
      </w:pPr>
    </w:p>
    <w:bookmarkEnd w:id="0"/>
    <w:bookmarkEnd w:id="1"/>
    <w:p w:rsidR="00625BF8" w:rsidRPr="00E14CCD" w:rsidRDefault="00625BF8" w:rsidP="00625BF8">
      <w:pPr>
        <w:spacing w:before="60" w:after="60"/>
        <w:jc w:val="both"/>
        <w:rPr>
          <w:sz w:val="21"/>
          <w:szCs w:val="21"/>
          <w:lang w:val="es-ES_tradnl"/>
        </w:rPr>
      </w:pPr>
    </w:p>
    <w:p w:rsidR="00E453E1" w:rsidRPr="00E14CCD" w:rsidRDefault="00E453E1">
      <w:pPr>
        <w:rPr>
          <w:sz w:val="21"/>
          <w:szCs w:val="21"/>
          <w:lang w:val="es-ES_tradnl"/>
        </w:rPr>
      </w:pPr>
    </w:p>
    <w:sectPr w:rsidR="00E453E1" w:rsidRPr="00E14CCD" w:rsidSect="007E1AD4">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440" w:right="1440" w:bottom="1440" w:left="144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FC7" w:rsidRDefault="005D0FC7" w:rsidP="00625BF8">
      <w:r>
        <w:separator/>
      </w:r>
    </w:p>
  </w:endnote>
  <w:endnote w:type="continuationSeparator" w:id="0">
    <w:p w:rsidR="005D0FC7" w:rsidRDefault="005D0FC7" w:rsidP="0062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81" w:rsidRDefault="00423A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81" w:rsidRDefault="00423A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81" w:rsidRDefault="00423A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FC7" w:rsidRDefault="005D0FC7" w:rsidP="00625BF8">
      <w:r>
        <w:separator/>
      </w:r>
    </w:p>
  </w:footnote>
  <w:footnote w:type="continuationSeparator" w:id="0">
    <w:p w:rsidR="005D0FC7" w:rsidRDefault="005D0FC7" w:rsidP="00625BF8">
      <w:r>
        <w:continuationSeparator/>
      </w:r>
    </w:p>
  </w:footnote>
  <w:footnote w:id="1">
    <w:p w:rsidR="00EC5F5F" w:rsidRDefault="00EC5F5F" w:rsidP="008070FB">
      <w:pPr>
        <w:pStyle w:val="FootnoteText"/>
        <w:spacing w:after="0"/>
        <w:ind w:left="142" w:hanging="142"/>
      </w:pPr>
      <w:r>
        <w:rPr>
          <w:rStyle w:val="FootnoteReference"/>
        </w:rPr>
        <w:footnoteRef/>
      </w:r>
      <w:r>
        <w:t xml:space="preserve"> </w:t>
      </w:r>
      <w:r w:rsidRPr="000D4A5E">
        <w:t xml:space="preserve">El IAMC es realizado  de forma </w:t>
      </w:r>
      <w:proofErr w:type="spellStart"/>
      <w:r w:rsidRPr="000D4A5E">
        <w:t>semi</w:t>
      </w:r>
      <w:proofErr w:type="spellEnd"/>
      <w:r w:rsidRPr="000D4A5E">
        <w:t>-anual por el Departamento de Países para el Conos Sur del Banco Interamericano de Desarrollo y es aprobado por el Economista Jefe de dicha institución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92" w:rsidRDefault="000019D5" w:rsidP="00D44B97">
    <w:pPr>
      <w:pStyle w:val="Header"/>
      <w:framePr w:wrap="around" w:vAnchor="text" w:hAnchor="margin" w:xAlign="center" w:y="1"/>
      <w:rPr>
        <w:rStyle w:val="PageNumber"/>
        <w:rFonts w:eastAsiaTheme="majorEastAsia"/>
      </w:rPr>
    </w:pPr>
    <w:r>
      <w:rPr>
        <w:rStyle w:val="PageNumber"/>
        <w:rFonts w:eastAsiaTheme="majorEastAsia"/>
      </w:rPr>
      <w:fldChar w:fldCharType="begin"/>
    </w:r>
    <w:r w:rsidR="006F3C59">
      <w:rPr>
        <w:rStyle w:val="PageNumber"/>
        <w:rFonts w:eastAsiaTheme="majorEastAsia"/>
      </w:rPr>
      <w:instrText xml:space="preserve">PAGE  </w:instrText>
    </w:r>
    <w:r>
      <w:rPr>
        <w:rStyle w:val="PageNumber"/>
        <w:rFonts w:eastAsiaTheme="majorEastAsia"/>
      </w:rPr>
      <w:fldChar w:fldCharType="end"/>
    </w:r>
  </w:p>
  <w:p w:rsidR="00AA3892" w:rsidRDefault="006261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00E" w:rsidRPr="00D2000E" w:rsidRDefault="006F3C59" w:rsidP="00D2000E">
    <w:pPr>
      <w:pStyle w:val="Header"/>
      <w:jc w:val="right"/>
      <w:rPr>
        <w:sz w:val="18"/>
        <w:szCs w:val="18"/>
        <w:lang w:val="pt-BR"/>
      </w:rPr>
    </w:pPr>
    <w:bookmarkStart w:id="2" w:name="_GoBack"/>
    <w:bookmarkEnd w:id="2"/>
    <w:r w:rsidRPr="00D2000E">
      <w:rPr>
        <w:sz w:val="18"/>
        <w:szCs w:val="18"/>
        <w:lang w:val="pt-BR"/>
      </w:rPr>
      <w:t xml:space="preserve"> UR-</w:t>
    </w:r>
    <w:r w:rsidRPr="00473EBA">
      <w:rPr>
        <w:sz w:val="18"/>
        <w:szCs w:val="18"/>
        <w:lang w:val="pt-BR"/>
      </w:rPr>
      <w:t>L</w:t>
    </w:r>
    <w:r w:rsidR="00F1013E">
      <w:rPr>
        <w:sz w:val="18"/>
        <w:szCs w:val="18"/>
        <w:lang w:val="pt-BR"/>
      </w:rPr>
      <w:t>1106</w:t>
    </w:r>
  </w:p>
  <w:p w:rsidR="00D2000E" w:rsidRPr="00F1013E" w:rsidRDefault="006F3C59" w:rsidP="00D2000E">
    <w:pPr>
      <w:pStyle w:val="Header"/>
      <w:jc w:val="right"/>
      <w:rPr>
        <w:sz w:val="18"/>
        <w:szCs w:val="18"/>
      </w:rPr>
    </w:pPr>
    <w:r w:rsidRPr="00D2000E">
      <w:rPr>
        <w:sz w:val="18"/>
        <w:szCs w:val="18"/>
      </w:rPr>
      <w:t xml:space="preserve">Página </w:t>
    </w:r>
    <w:r w:rsidR="000019D5" w:rsidRPr="00F1013E">
      <w:rPr>
        <w:sz w:val="18"/>
        <w:szCs w:val="18"/>
      </w:rPr>
      <w:fldChar w:fldCharType="begin"/>
    </w:r>
    <w:r w:rsidRPr="00F1013E">
      <w:rPr>
        <w:sz w:val="18"/>
        <w:szCs w:val="18"/>
      </w:rPr>
      <w:instrText>PAGE</w:instrText>
    </w:r>
    <w:r w:rsidR="000019D5" w:rsidRPr="00F1013E">
      <w:rPr>
        <w:sz w:val="18"/>
        <w:szCs w:val="18"/>
      </w:rPr>
      <w:fldChar w:fldCharType="separate"/>
    </w:r>
    <w:r w:rsidR="00626172">
      <w:rPr>
        <w:noProof/>
        <w:sz w:val="18"/>
        <w:szCs w:val="18"/>
      </w:rPr>
      <w:t>2</w:t>
    </w:r>
    <w:r w:rsidR="000019D5" w:rsidRPr="00F1013E">
      <w:rPr>
        <w:sz w:val="18"/>
        <w:szCs w:val="18"/>
      </w:rPr>
      <w:fldChar w:fldCharType="end"/>
    </w:r>
    <w:r w:rsidRPr="00F1013E">
      <w:rPr>
        <w:sz w:val="18"/>
        <w:szCs w:val="18"/>
      </w:rPr>
      <w:t xml:space="preserve"> de </w:t>
    </w:r>
    <w:r w:rsidR="000019D5" w:rsidRPr="00F1013E">
      <w:rPr>
        <w:sz w:val="18"/>
        <w:szCs w:val="18"/>
      </w:rPr>
      <w:fldChar w:fldCharType="begin"/>
    </w:r>
    <w:r w:rsidRPr="00F1013E">
      <w:rPr>
        <w:sz w:val="18"/>
        <w:szCs w:val="18"/>
      </w:rPr>
      <w:instrText>NUMPAGES</w:instrText>
    </w:r>
    <w:r w:rsidR="000019D5" w:rsidRPr="00F1013E">
      <w:rPr>
        <w:sz w:val="18"/>
        <w:szCs w:val="18"/>
      </w:rPr>
      <w:fldChar w:fldCharType="separate"/>
    </w:r>
    <w:r w:rsidR="00626172">
      <w:rPr>
        <w:noProof/>
        <w:sz w:val="18"/>
        <w:szCs w:val="18"/>
      </w:rPr>
      <w:t>5</w:t>
    </w:r>
    <w:r w:rsidR="000019D5" w:rsidRPr="00F1013E">
      <w:rPr>
        <w:sz w:val="18"/>
        <w:szCs w:val="18"/>
      </w:rPr>
      <w:fldChar w:fldCharType="end"/>
    </w:r>
  </w:p>
  <w:p w:rsidR="00D2000E" w:rsidRDefault="00626172" w:rsidP="00D2000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00E" w:rsidRPr="00423A81" w:rsidRDefault="006F3C59" w:rsidP="00D2000E">
    <w:pPr>
      <w:pStyle w:val="Header"/>
      <w:jc w:val="right"/>
      <w:rPr>
        <w:sz w:val="20"/>
        <w:szCs w:val="20"/>
        <w:lang w:val="pt-BR"/>
      </w:rPr>
    </w:pPr>
    <w:r w:rsidRPr="00423A81">
      <w:rPr>
        <w:sz w:val="20"/>
        <w:szCs w:val="20"/>
        <w:lang w:val="pt-BR"/>
      </w:rPr>
      <w:t>UR-L</w:t>
    </w:r>
    <w:r w:rsidR="00423A81" w:rsidRPr="00423A81">
      <w:rPr>
        <w:sz w:val="20"/>
        <w:szCs w:val="20"/>
        <w:lang w:val="pt-BR"/>
      </w:rPr>
      <w:t>1106</w:t>
    </w:r>
  </w:p>
  <w:p w:rsidR="00D2000E" w:rsidRPr="00423A81" w:rsidRDefault="006F3C59" w:rsidP="00D2000E">
    <w:pPr>
      <w:pStyle w:val="Header"/>
      <w:jc w:val="right"/>
      <w:rPr>
        <w:sz w:val="20"/>
        <w:szCs w:val="20"/>
      </w:rPr>
    </w:pPr>
    <w:r w:rsidRPr="00423A81">
      <w:rPr>
        <w:sz w:val="20"/>
        <w:szCs w:val="20"/>
      </w:rPr>
      <w:t xml:space="preserve">Página </w:t>
    </w:r>
    <w:r w:rsidR="000019D5" w:rsidRPr="00423A81">
      <w:rPr>
        <w:sz w:val="20"/>
        <w:szCs w:val="20"/>
      </w:rPr>
      <w:fldChar w:fldCharType="begin"/>
    </w:r>
    <w:r w:rsidRPr="00423A81">
      <w:rPr>
        <w:sz w:val="20"/>
        <w:szCs w:val="20"/>
      </w:rPr>
      <w:instrText>PAGE</w:instrText>
    </w:r>
    <w:r w:rsidR="000019D5" w:rsidRPr="00423A81">
      <w:rPr>
        <w:sz w:val="20"/>
        <w:szCs w:val="20"/>
      </w:rPr>
      <w:fldChar w:fldCharType="separate"/>
    </w:r>
    <w:r w:rsidR="00626172">
      <w:rPr>
        <w:noProof/>
        <w:sz w:val="20"/>
        <w:szCs w:val="20"/>
      </w:rPr>
      <w:t>1</w:t>
    </w:r>
    <w:r w:rsidR="000019D5" w:rsidRPr="00423A81">
      <w:rPr>
        <w:sz w:val="20"/>
        <w:szCs w:val="20"/>
      </w:rPr>
      <w:fldChar w:fldCharType="end"/>
    </w:r>
    <w:r w:rsidRPr="00423A81">
      <w:rPr>
        <w:sz w:val="20"/>
        <w:szCs w:val="20"/>
      </w:rPr>
      <w:t xml:space="preserve"> de </w:t>
    </w:r>
    <w:r w:rsidR="000019D5" w:rsidRPr="00423A81">
      <w:rPr>
        <w:sz w:val="20"/>
        <w:szCs w:val="20"/>
      </w:rPr>
      <w:fldChar w:fldCharType="begin"/>
    </w:r>
    <w:r w:rsidRPr="00423A81">
      <w:rPr>
        <w:sz w:val="20"/>
        <w:szCs w:val="20"/>
      </w:rPr>
      <w:instrText>NUMPAGES</w:instrText>
    </w:r>
    <w:r w:rsidR="000019D5" w:rsidRPr="00423A81">
      <w:rPr>
        <w:sz w:val="20"/>
        <w:szCs w:val="20"/>
      </w:rPr>
      <w:fldChar w:fldCharType="separate"/>
    </w:r>
    <w:r w:rsidR="00626172">
      <w:rPr>
        <w:noProof/>
        <w:sz w:val="20"/>
        <w:szCs w:val="20"/>
      </w:rPr>
      <w:t>5</w:t>
    </w:r>
    <w:r w:rsidR="000019D5" w:rsidRPr="00423A81">
      <w:rPr>
        <w:sz w:val="20"/>
        <w:szCs w:val="20"/>
      </w:rPr>
      <w:fldChar w:fldCharType="end"/>
    </w:r>
  </w:p>
  <w:p w:rsidR="00282A67" w:rsidRPr="00D2000E" w:rsidRDefault="00626172" w:rsidP="00D44B97">
    <w:pPr>
      <w:pStyle w:val="Header"/>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10516"/>
    <w:multiLevelType w:val="multilevel"/>
    <w:tmpl w:val="4538096C"/>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BF8"/>
    <w:rsid w:val="000019D5"/>
    <w:rsid w:val="00005CE5"/>
    <w:rsid w:val="00022C9E"/>
    <w:rsid w:val="0004478D"/>
    <w:rsid w:val="00064D44"/>
    <w:rsid w:val="00092A5B"/>
    <w:rsid w:val="000A2CDD"/>
    <w:rsid w:val="000E718F"/>
    <w:rsid w:val="0011377D"/>
    <w:rsid w:val="001A5BFC"/>
    <w:rsid w:val="00211414"/>
    <w:rsid w:val="00214922"/>
    <w:rsid w:val="002422A1"/>
    <w:rsid w:val="00295A1A"/>
    <w:rsid w:val="002C5134"/>
    <w:rsid w:val="003278B2"/>
    <w:rsid w:val="00327EC6"/>
    <w:rsid w:val="00375BAA"/>
    <w:rsid w:val="0037690C"/>
    <w:rsid w:val="0039090B"/>
    <w:rsid w:val="003B79D6"/>
    <w:rsid w:val="00411176"/>
    <w:rsid w:val="00423A81"/>
    <w:rsid w:val="00442837"/>
    <w:rsid w:val="004636A5"/>
    <w:rsid w:val="00473EBA"/>
    <w:rsid w:val="0048495F"/>
    <w:rsid w:val="0048526D"/>
    <w:rsid w:val="004B5820"/>
    <w:rsid w:val="00576814"/>
    <w:rsid w:val="005A1053"/>
    <w:rsid w:val="005A1971"/>
    <w:rsid w:val="005C732B"/>
    <w:rsid w:val="005D0FC7"/>
    <w:rsid w:val="005F15F7"/>
    <w:rsid w:val="00625BF8"/>
    <w:rsid w:val="00626172"/>
    <w:rsid w:val="00626F8E"/>
    <w:rsid w:val="006F3C59"/>
    <w:rsid w:val="006F7180"/>
    <w:rsid w:val="00720AF8"/>
    <w:rsid w:val="007457BF"/>
    <w:rsid w:val="00766ABA"/>
    <w:rsid w:val="00773D4B"/>
    <w:rsid w:val="007A37E2"/>
    <w:rsid w:val="008070FB"/>
    <w:rsid w:val="00824616"/>
    <w:rsid w:val="00833796"/>
    <w:rsid w:val="008973FD"/>
    <w:rsid w:val="008D75EF"/>
    <w:rsid w:val="008F2C57"/>
    <w:rsid w:val="00907D16"/>
    <w:rsid w:val="00927948"/>
    <w:rsid w:val="009A2A71"/>
    <w:rsid w:val="009A6997"/>
    <w:rsid w:val="009D0C1D"/>
    <w:rsid w:val="009D243D"/>
    <w:rsid w:val="00A023E2"/>
    <w:rsid w:val="00A34BD3"/>
    <w:rsid w:val="00B36644"/>
    <w:rsid w:val="00B70F12"/>
    <w:rsid w:val="00BB3719"/>
    <w:rsid w:val="00BD2DF3"/>
    <w:rsid w:val="00BE5E11"/>
    <w:rsid w:val="00C364B7"/>
    <w:rsid w:val="00C543D4"/>
    <w:rsid w:val="00C94E33"/>
    <w:rsid w:val="00CB3653"/>
    <w:rsid w:val="00CF0DD3"/>
    <w:rsid w:val="00D07F88"/>
    <w:rsid w:val="00D52A34"/>
    <w:rsid w:val="00D830C2"/>
    <w:rsid w:val="00D87EFC"/>
    <w:rsid w:val="00DA29E5"/>
    <w:rsid w:val="00E14CCD"/>
    <w:rsid w:val="00E453E1"/>
    <w:rsid w:val="00E75FC5"/>
    <w:rsid w:val="00E9492F"/>
    <w:rsid w:val="00EA57DF"/>
    <w:rsid w:val="00EB3098"/>
    <w:rsid w:val="00EC5F5F"/>
    <w:rsid w:val="00F06547"/>
    <w:rsid w:val="00F1013E"/>
    <w:rsid w:val="00F133DD"/>
    <w:rsid w:val="00F3369E"/>
    <w:rsid w:val="00FB408A"/>
    <w:rsid w:val="00FD0387"/>
    <w:rsid w:val="00FE468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BF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625BF8"/>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25BF8"/>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25BF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25BF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25BF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25BF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25BF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25BF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25B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25BF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625BF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625BF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625BF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625BF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625BF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25BF8"/>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rsid w:val="00625BF8"/>
    <w:pPr>
      <w:keepNext/>
      <w:numPr>
        <w:numId w:val="1"/>
      </w:numPr>
      <w:tabs>
        <w:tab w:val="num" w:pos="648"/>
        <w:tab w:val="left" w:pos="1440"/>
      </w:tabs>
      <w:spacing w:before="240" w:after="240"/>
      <w:ind w:left="0" w:firstLine="288"/>
      <w:jc w:val="center"/>
    </w:pPr>
    <w:rPr>
      <w:b/>
      <w:smallCaps/>
      <w:szCs w:val="28"/>
      <w:lang w:val="en-US"/>
    </w:rPr>
  </w:style>
  <w:style w:type="paragraph" w:styleId="Header">
    <w:name w:val="header"/>
    <w:basedOn w:val="Normal"/>
    <w:link w:val="HeaderChar"/>
    <w:uiPriority w:val="99"/>
    <w:rsid w:val="00625BF8"/>
    <w:pPr>
      <w:tabs>
        <w:tab w:val="center" w:pos="4320"/>
        <w:tab w:val="right" w:pos="8640"/>
      </w:tabs>
    </w:pPr>
  </w:style>
  <w:style w:type="character" w:customStyle="1" w:styleId="HeaderChar">
    <w:name w:val="Header Char"/>
    <w:basedOn w:val="DefaultParagraphFont"/>
    <w:link w:val="Header"/>
    <w:uiPriority w:val="99"/>
    <w:rsid w:val="00625BF8"/>
    <w:rPr>
      <w:rFonts w:ascii="Times New Roman" w:eastAsia="Times New Roman" w:hAnsi="Times New Roman" w:cs="Times New Roman"/>
      <w:sz w:val="24"/>
      <w:szCs w:val="24"/>
    </w:rPr>
  </w:style>
  <w:style w:type="character" w:styleId="PageNumber">
    <w:name w:val="page number"/>
    <w:basedOn w:val="DefaultParagraphFont"/>
    <w:rsid w:val="00625BF8"/>
  </w:style>
  <w:style w:type="paragraph" w:styleId="FootnoteText">
    <w:name w:val="footnote text"/>
    <w:basedOn w:val="Normal"/>
    <w:link w:val="FootnoteTextChar"/>
    <w:uiPriority w:val="99"/>
    <w:semiHidden/>
    <w:unhideWhenUsed/>
    <w:rsid w:val="00625BF8"/>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625BF8"/>
    <w:rPr>
      <w:rFonts w:ascii="Times New Roman" w:eastAsia="Times New Roman" w:hAnsi="Times New Roman" w:cs="Times New Roman"/>
      <w:spacing w:val="-3"/>
      <w:sz w:val="20"/>
      <w:szCs w:val="20"/>
    </w:rPr>
  </w:style>
  <w:style w:type="character" w:styleId="FootnoteReference">
    <w:name w:val="footnote reference"/>
    <w:basedOn w:val="DefaultParagraphFont"/>
    <w:uiPriority w:val="99"/>
    <w:semiHidden/>
    <w:unhideWhenUsed/>
    <w:rsid w:val="00625BF8"/>
    <w:rPr>
      <w:vertAlign w:val="superscript"/>
    </w:rPr>
  </w:style>
  <w:style w:type="character" w:styleId="CommentReference">
    <w:name w:val="annotation reference"/>
    <w:basedOn w:val="DefaultParagraphFont"/>
    <w:uiPriority w:val="99"/>
    <w:semiHidden/>
    <w:unhideWhenUsed/>
    <w:rsid w:val="00214922"/>
    <w:rPr>
      <w:sz w:val="16"/>
      <w:szCs w:val="16"/>
    </w:rPr>
  </w:style>
  <w:style w:type="paragraph" w:styleId="CommentText">
    <w:name w:val="annotation text"/>
    <w:basedOn w:val="Normal"/>
    <w:link w:val="CommentTextChar"/>
    <w:uiPriority w:val="99"/>
    <w:semiHidden/>
    <w:unhideWhenUsed/>
    <w:rsid w:val="00214922"/>
    <w:rPr>
      <w:sz w:val="20"/>
      <w:szCs w:val="20"/>
    </w:rPr>
  </w:style>
  <w:style w:type="character" w:customStyle="1" w:styleId="CommentTextChar">
    <w:name w:val="Comment Text Char"/>
    <w:basedOn w:val="DefaultParagraphFont"/>
    <w:link w:val="CommentText"/>
    <w:uiPriority w:val="99"/>
    <w:semiHidden/>
    <w:rsid w:val="0021492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14922"/>
    <w:rPr>
      <w:b/>
      <w:bCs/>
    </w:rPr>
  </w:style>
  <w:style w:type="character" w:customStyle="1" w:styleId="CommentSubjectChar">
    <w:name w:val="Comment Subject Char"/>
    <w:basedOn w:val="CommentTextChar"/>
    <w:link w:val="CommentSubject"/>
    <w:uiPriority w:val="99"/>
    <w:semiHidden/>
    <w:rsid w:val="0021492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14922"/>
    <w:rPr>
      <w:rFonts w:ascii="Tahoma" w:hAnsi="Tahoma" w:cs="Tahoma"/>
      <w:sz w:val="16"/>
      <w:szCs w:val="16"/>
    </w:rPr>
  </w:style>
  <w:style w:type="character" w:customStyle="1" w:styleId="BalloonTextChar">
    <w:name w:val="Balloon Text Char"/>
    <w:basedOn w:val="DefaultParagraphFont"/>
    <w:link w:val="BalloonText"/>
    <w:uiPriority w:val="99"/>
    <w:semiHidden/>
    <w:rsid w:val="00214922"/>
    <w:rPr>
      <w:rFonts w:ascii="Tahoma" w:eastAsia="Times New Roman" w:hAnsi="Tahoma" w:cs="Tahoma"/>
      <w:sz w:val="16"/>
      <w:szCs w:val="16"/>
    </w:rPr>
  </w:style>
  <w:style w:type="paragraph" w:styleId="Footer">
    <w:name w:val="footer"/>
    <w:basedOn w:val="Normal"/>
    <w:link w:val="FooterChar"/>
    <w:uiPriority w:val="99"/>
    <w:unhideWhenUsed/>
    <w:rsid w:val="00FE4682"/>
    <w:pPr>
      <w:tabs>
        <w:tab w:val="center" w:pos="4252"/>
        <w:tab w:val="right" w:pos="8504"/>
      </w:tabs>
    </w:pPr>
  </w:style>
  <w:style w:type="character" w:customStyle="1" w:styleId="FooterChar">
    <w:name w:val="Footer Char"/>
    <w:basedOn w:val="DefaultParagraphFont"/>
    <w:link w:val="Footer"/>
    <w:uiPriority w:val="99"/>
    <w:rsid w:val="00FE468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BF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625BF8"/>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25BF8"/>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25BF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25BF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25BF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25BF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25BF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25BF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25B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25BF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625BF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625BF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625BF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625BF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625BF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25BF8"/>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rsid w:val="00625BF8"/>
    <w:pPr>
      <w:keepNext/>
      <w:numPr>
        <w:numId w:val="1"/>
      </w:numPr>
      <w:tabs>
        <w:tab w:val="num" w:pos="648"/>
        <w:tab w:val="left" w:pos="1440"/>
      </w:tabs>
      <w:spacing w:before="240" w:after="240"/>
      <w:ind w:left="0" w:firstLine="288"/>
      <w:jc w:val="center"/>
    </w:pPr>
    <w:rPr>
      <w:b/>
      <w:smallCaps/>
      <w:szCs w:val="28"/>
      <w:lang w:val="en-US"/>
    </w:rPr>
  </w:style>
  <w:style w:type="paragraph" w:styleId="Header">
    <w:name w:val="header"/>
    <w:basedOn w:val="Normal"/>
    <w:link w:val="HeaderChar"/>
    <w:uiPriority w:val="99"/>
    <w:rsid w:val="00625BF8"/>
    <w:pPr>
      <w:tabs>
        <w:tab w:val="center" w:pos="4320"/>
        <w:tab w:val="right" w:pos="8640"/>
      </w:tabs>
    </w:pPr>
  </w:style>
  <w:style w:type="character" w:customStyle="1" w:styleId="HeaderChar">
    <w:name w:val="Header Char"/>
    <w:basedOn w:val="DefaultParagraphFont"/>
    <w:link w:val="Header"/>
    <w:uiPriority w:val="99"/>
    <w:rsid w:val="00625BF8"/>
    <w:rPr>
      <w:rFonts w:ascii="Times New Roman" w:eastAsia="Times New Roman" w:hAnsi="Times New Roman" w:cs="Times New Roman"/>
      <w:sz w:val="24"/>
      <w:szCs w:val="24"/>
    </w:rPr>
  </w:style>
  <w:style w:type="character" w:styleId="PageNumber">
    <w:name w:val="page number"/>
    <w:basedOn w:val="DefaultParagraphFont"/>
    <w:rsid w:val="00625BF8"/>
  </w:style>
  <w:style w:type="paragraph" w:styleId="FootnoteText">
    <w:name w:val="footnote text"/>
    <w:basedOn w:val="Normal"/>
    <w:link w:val="FootnoteTextChar"/>
    <w:uiPriority w:val="99"/>
    <w:semiHidden/>
    <w:unhideWhenUsed/>
    <w:rsid w:val="00625BF8"/>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625BF8"/>
    <w:rPr>
      <w:rFonts w:ascii="Times New Roman" w:eastAsia="Times New Roman" w:hAnsi="Times New Roman" w:cs="Times New Roman"/>
      <w:spacing w:val="-3"/>
      <w:sz w:val="20"/>
      <w:szCs w:val="20"/>
    </w:rPr>
  </w:style>
  <w:style w:type="character" w:styleId="FootnoteReference">
    <w:name w:val="footnote reference"/>
    <w:basedOn w:val="DefaultParagraphFont"/>
    <w:uiPriority w:val="99"/>
    <w:semiHidden/>
    <w:unhideWhenUsed/>
    <w:rsid w:val="00625BF8"/>
    <w:rPr>
      <w:vertAlign w:val="superscript"/>
    </w:rPr>
  </w:style>
  <w:style w:type="character" w:styleId="CommentReference">
    <w:name w:val="annotation reference"/>
    <w:basedOn w:val="DefaultParagraphFont"/>
    <w:uiPriority w:val="99"/>
    <w:semiHidden/>
    <w:unhideWhenUsed/>
    <w:rsid w:val="00214922"/>
    <w:rPr>
      <w:sz w:val="16"/>
      <w:szCs w:val="16"/>
    </w:rPr>
  </w:style>
  <w:style w:type="paragraph" w:styleId="CommentText">
    <w:name w:val="annotation text"/>
    <w:basedOn w:val="Normal"/>
    <w:link w:val="CommentTextChar"/>
    <w:uiPriority w:val="99"/>
    <w:semiHidden/>
    <w:unhideWhenUsed/>
    <w:rsid w:val="00214922"/>
    <w:rPr>
      <w:sz w:val="20"/>
      <w:szCs w:val="20"/>
    </w:rPr>
  </w:style>
  <w:style w:type="character" w:customStyle="1" w:styleId="CommentTextChar">
    <w:name w:val="Comment Text Char"/>
    <w:basedOn w:val="DefaultParagraphFont"/>
    <w:link w:val="CommentText"/>
    <w:uiPriority w:val="99"/>
    <w:semiHidden/>
    <w:rsid w:val="0021492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14922"/>
    <w:rPr>
      <w:b/>
      <w:bCs/>
    </w:rPr>
  </w:style>
  <w:style w:type="character" w:customStyle="1" w:styleId="CommentSubjectChar">
    <w:name w:val="Comment Subject Char"/>
    <w:basedOn w:val="CommentTextChar"/>
    <w:link w:val="CommentSubject"/>
    <w:uiPriority w:val="99"/>
    <w:semiHidden/>
    <w:rsid w:val="0021492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14922"/>
    <w:rPr>
      <w:rFonts w:ascii="Tahoma" w:hAnsi="Tahoma" w:cs="Tahoma"/>
      <w:sz w:val="16"/>
      <w:szCs w:val="16"/>
    </w:rPr>
  </w:style>
  <w:style w:type="character" w:customStyle="1" w:styleId="BalloonTextChar">
    <w:name w:val="Balloon Text Char"/>
    <w:basedOn w:val="DefaultParagraphFont"/>
    <w:link w:val="BalloonText"/>
    <w:uiPriority w:val="99"/>
    <w:semiHidden/>
    <w:rsid w:val="00214922"/>
    <w:rPr>
      <w:rFonts w:ascii="Tahoma" w:eastAsia="Times New Roman" w:hAnsi="Tahoma" w:cs="Tahoma"/>
      <w:sz w:val="16"/>
      <w:szCs w:val="16"/>
    </w:rPr>
  </w:style>
  <w:style w:type="paragraph" w:styleId="Footer">
    <w:name w:val="footer"/>
    <w:basedOn w:val="Normal"/>
    <w:link w:val="FooterChar"/>
    <w:uiPriority w:val="99"/>
    <w:unhideWhenUsed/>
    <w:rsid w:val="00FE4682"/>
    <w:pPr>
      <w:tabs>
        <w:tab w:val="center" w:pos="4252"/>
        <w:tab w:val="right" w:pos="8504"/>
      </w:tabs>
    </w:pPr>
  </w:style>
  <w:style w:type="character" w:customStyle="1" w:styleId="FooterChar">
    <w:name w:val="Footer Char"/>
    <w:basedOn w:val="DefaultParagraphFont"/>
    <w:link w:val="Footer"/>
    <w:uiPriority w:val="99"/>
    <w:rsid w:val="00FE46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87999E84451634A9B164DECBA72C60A" ma:contentTypeVersion="0" ma:contentTypeDescription="A content type to manage public (operations) IDB documents" ma:contentTypeScope="" ma:versionID="d95bbb1026d74b977ce269aea7e5da10">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INT/INT</Division_x0020_or_x0020_Unit>
    <Other_x0020_Author xmlns="9c571b2f-e523-4ab2-ba2e-09e151a03ef4" xsi:nil="true"/>
    <Region xmlns="9c571b2f-e523-4ab2-ba2e-09e151a03ef4" xsi:nil="true"/>
    <IDBDocs_x0020_Number xmlns="9c571b2f-e523-4ab2-ba2e-09e151a03ef4">39115882</IDBDocs_x0020_Number>
    <Document_x0020_Author xmlns="9c571b2f-e523-4ab2-ba2e-09e151a03ef4">Garcia, Pablo Marcelo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UR-L1106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CE-APO</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3ED5CC7-B06E-4136-B428-A6196072F96F}"/>
</file>

<file path=customXml/itemProps2.xml><?xml version="1.0" encoding="utf-8"?>
<ds:datastoreItem xmlns:ds="http://schemas.openxmlformats.org/officeDocument/2006/customXml" ds:itemID="{6AE234EE-5147-4B3A-BCF6-252470C54FD8}"/>
</file>

<file path=customXml/itemProps3.xml><?xml version="1.0" encoding="utf-8"?>
<ds:datastoreItem xmlns:ds="http://schemas.openxmlformats.org/officeDocument/2006/customXml" ds:itemID="{9028797A-4255-441B-AE95-CD9E7174AF1B}"/>
</file>

<file path=customXml/itemProps4.xml><?xml version="1.0" encoding="utf-8"?>
<ds:datastoreItem xmlns:ds="http://schemas.openxmlformats.org/officeDocument/2006/customXml" ds:itemID="{A718CCDA-3868-4642-8225-06D2C8B9A401}"/>
</file>

<file path=customXml/itemProps5.xml><?xml version="1.0" encoding="utf-8"?>
<ds:datastoreItem xmlns:ds="http://schemas.openxmlformats.org/officeDocument/2006/customXml" ds:itemID="{AC1FA303-73B0-4C5D-98A1-1B68038E3079}"/>
</file>

<file path=customXml/itemProps6.xml><?xml version="1.0" encoding="utf-8"?>
<ds:datastoreItem xmlns:ds="http://schemas.openxmlformats.org/officeDocument/2006/customXml" ds:itemID="{3F5BFB4E-9AD7-4BFB-BE29-B4D05C8DF1DC}"/>
</file>

<file path=docProps/app.xml><?xml version="1.0" encoding="utf-8"?>
<Properties xmlns="http://schemas.openxmlformats.org/officeDocument/2006/extended-properties" xmlns:vt="http://schemas.openxmlformats.org/officeDocument/2006/docPropsVTypes">
  <Template>Normal.dotm</Template>
  <TotalTime>1</TotalTime>
  <Pages>5</Pages>
  <Words>1486</Words>
  <Characters>8474</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Condiciones y Medios de Verificación (UR-L1106)</dc:title>
  <dc:creator>Mariano</dc:creator>
  <cp:lastModifiedBy>Test</cp:lastModifiedBy>
  <cp:revision>5</cp:revision>
  <cp:lastPrinted>2014-09-11T21:14:00Z</cp:lastPrinted>
  <dcterms:created xsi:type="dcterms:W3CDTF">2014-10-29T21:48:00Z</dcterms:created>
  <dcterms:modified xsi:type="dcterms:W3CDTF">2014-12-04T23:23:00Z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0x01010046CF21643EE8D14686A648AA6DAD089200F87999E84451634A9B164DECBA72C60A</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