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4.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5AC" w:rsidRPr="006A124F" w:rsidRDefault="00F615AC" w:rsidP="00F615AC">
      <w:pPr>
        <w:spacing w:before="240" w:after="240"/>
        <w:jc w:val="center"/>
        <w:rPr>
          <w:rFonts w:ascii="Times New Roman" w:hAnsi="Times New Roman" w:cs="Times New Roman"/>
          <w:sz w:val="24"/>
          <w:szCs w:val="24"/>
          <w:u w:val="single"/>
        </w:rPr>
      </w:pPr>
      <w:bookmarkStart w:id="0" w:name="_GoBack"/>
      <w:bookmarkEnd w:id="0"/>
      <w:r w:rsidRPr="006A124F">
        <w:rPr>
          <w:rFonts w:ascii="Times New Roman" w:hAnsi="Times New Roman" w:cs="Times New Roman"/>
          <w:sz w:val="24"/>
          <w:szCs w:val="24"/>
          <w:u w:val="single"/>
        </w:rPr>
        <w:t xml:space="preserve">Programa de </w:t>
      </w:r>
      <w:r>
        <w:rPr>
          <w:rFonts w:ascii="Times New Roman" w:hAnsi="Times New Roman" w:cs="Times New Roman"/>
          <w:sz w:val="24"/>
          <w:szCs w:val="24"/>
          <w:u w:val="single"/>
        </w:rPr>
        <w:t>P</w:t>
      </w:r>
      <w:r w:rsidRPr="006A124F">
        <w:rPr>
          <w:rFonts w:ascii="Times New Roman" w:hAnsi="Times New Roman" w:cs="Times New Roman"/>
          <w:sz w:val="24"/>
          <w:szCs w:val="24"/>
          <w:u w:val="single"/>
        </w:rPr>
        <w:t xml:space="preserve">osicionamiento </w:t>
      </w:r>
      <w:r>
        <w:rPr>
          <w:rFonts w:ascii="Times New Roman" w:hAnsi="Times New Roman" w:cs="Times New Roman"/>
          <w:sz w:val="24"/>
          <w:szCs w:val="24"/>
          <w:u w:val="single"/>
        </w:rPr>
        <w:t>E</w:t>
      </w:r>
      <w:r w:rsidRPr="006A124F">
        <w:rPr>
          <w:rFonts w:ascii="Times New Roman" w:hAnsi="Times New Roman" w:cs="Times New Roman"/>
          <w:sz w:val="24"/>
          <w:szCs w:val="24"/>
          <w:u w:val="single"/>
        </w:rPr>
        <w:t xml:space="preserve">stratégico </w:t>
      </w:r>
      <w:r>
        <w:rPr>
          <w:rFonts w:ascii="Times New Roman" w:hAnsi="Times New Roman" w:cs="Times New Roman"/>
          <w:sz w:val="24"/>
          <w:szCs w:val="24"/>
          <w:u w:val="single"/>
        </w:rPr>
        <w:t>I</w:t>
      </w:r>
      <w:r w:rsidRPr="006A124F">
        <w:rPr>
          <w:rFonts w:ascii="Times New Roman" w:hAnsi="Times New Roman" w:cs="Times New Roman"/>
          <w:sz w:val="24"/>
          <w:szCs w:val="24"/>
          <w:u w:val="single"/>
        </w:rPr>
        <w:t>nternacional</w:t>
      </w:r>
      <w:r w:rsidR="00AA3058">
        <w:rPr>
          <w:rFonts w:ascii="Times New Roman" w:hAnsi="Times New Roman" w:cs="Times New Roman"/>
          <w:sz w:val="24"/>
          <w:szCs w:val="24"/>
          <w:u w:val="single"/>
        </w:rPr>
        <w:t xml:space="preserve"> </w:t>
      </w:r>
    </w:p>
    <w:p w:rsidR="00F615AC" w:rsidRDefault="00F615AC" w:rsidP="00F615AC">
      <w:pPr>
        <w:spacing w:before="240" w:after="240"/>
        <w:jc w:val="center"/>
        <w:rPr>
          <w:rFonts w:ascii="Times New Roman" w:hAnsi="Times New Roman" w:cs="Times New Roman"/>
          <w:b/>
          <w:sz w:val="24"/>
          <w:szCs w:val="24"/>
          <w:u w:val="single"/>
        </w:rPr>
      </w:pPr>
      <w:r w:rsidRPr="00D66C30">
        <w:rPr>
          <w:rFonts w:ascii="Times New Roman" w:hAnsi="Times New Roman" w:cs="Times New Roman"/>
          <w:b/>
          <w:sz w:val="24"/>
          <w:szCs w:val="24"/>
          <w:u w:val="single"/>
        </w:rPr>
        <w:t>Evaluación Económica</w:t>
      </w:r>
    </w:p>
    <w:p w:rsidR="00621425" w:rsidRPr="00D66C30" w:rsidRDefault="00621425" w:rsidP="00F615AC">
      <w:pPr>
        <w:spacing w:before="240" w:after="240"/>
        <w:jc w:val="center"/>
        <w:rPr>
          <w:rFonts w:ascii="Times New Roman" w:hAnsi="Times New Roman" w:cs="Times New Roman"/>
          <w:b/>
          <w:sz w:val="24"/>
          <w:szCs w:val="24"/>
          <w:u w:val="single"/>
        </w:rPr>
      </w:pPr>
    </w:p>
    <w:p w:rsidR="00F615AC" w:rsidRPr="006A124F" w:rsidRDefault="00F615AC" w:rsidP="00F615AC">
      <w:pPr>
        <w:pStyle w:val="ListParagraph"/>
        <w:numPr>
          <w:ilvl w:val="0"/>
          <w:numId w:val="1"/>
        </w:numPr>
        <w:spacing w:after="120"/>
        <w:contextualSpacing w:val="0"/>
        <w:rPr>
          <w:rFonts w:ascii="Times New Roman" w:hAnsi="Times New Roman" w:cs="Times New Roman"/>
          <w:b/>
          <w:sz w:val="24"/>
          <w:szCs w:val="24"/>
        </w:rPr>
      </w:pPr>
      <w:r w:rsidRPr="006A124F">
        <w:rPr>
          <w:rFonts w:ascii="Times New Roman" w:hAnsi="Times New Roman" w:cs="Times New Roman"/>
          <w:b/>
          <w:sz w:val="24"/>
          <w:szCs w:val="24"/>
        </w:rPr>
        <w:t xml:space="preserve">Introducción </w:t>
      </w:r>
    </w:p>
    <w:p w:rsidR="005035F9" w:rsidRDefault="00AA3058" w:rsidP="00F615AC">
      <w:pPr>
        <w:spacing w:after="120"/>
        <w:ind w:left="0"/>
        <w:rPr>
          <w:rFonts w:ascii="Times New Roman" w:hAnsi="Times New Roman" w:cs="Times New Roman"/>
          <w:sz w:val="24"/>
          <w:szCs w:val="24"/>
        </w:rPr>
      </w:pPr>
      <w:r>
        <w:rPr>
          <w:rFonts w:ascii="Times New Roman" w:hAnsi="Times New Roman" w:cs="Times New Roman"/>
          <w:sz w:val="24"/>
          <w:szCs w:val="24"/>
        </w:rPr>
        <w:t>En marzo de 2013, e</w:t>
      </w:r>
      <w:r w:rsidR="00F615AC" w:rsidRPr="00B5402D">
        <w:rPr>
          <w:rFonts w:ascii="Times New Roman" w:hAnsi="Times New Roman" w:cs="Times New Roman"/>
          <w:sz w:val="24"/>
          <w:szCs w:val="24"/>
        </w:rPr>
        <w:t xml:space="preserve">l Gobierno de la República Oriental del Uruguay </w:t>
      </w:r>
      <w:r w:rsidR="00924AC6">
        <w:rPr>
          <w:rFonts w:ascii="Times New Roman" w:hAnsi="Times New Roman" w:cs="Times New Roman"/>
          <w:sz w:val="24"/>
          <w:szCs w:val="24"/>
        </w:rPr>
        <w:t xml:space="preserve">(GROU) </w:t>
      </w:r>
      <w:r w:rsidR="00F615AC" w:rsidRPr="00B5402D">
        <w:rPr>
          <w:rFonts w:ascii="Times New Roman" w:hAnsi="Times New Roman" w:cs="Times New Roman"/>
          <w:sz w:val="24"/>
          <w:szCs w:val="24"/>
        </w:rPr>
        <w:t>y el Banco Interamericano de Desarrollo acorda</w:t>
      </w:r>
      <w:r>
        <w:rPr>
          <w:rFonts w:ascii="Times New Roman" w:hAnsi="Times New Roman" w:cs="Times New Roman"/>
          <w:sz w:val="24"/>
          <w:szCs w:val="24"/>
        </w:rPr>
        <w:t xml:space="preserve">ron </w:t>
      </w:r>
      <w:r w:rsidR="009E2400">
        <w:rPr>
          <w:rFonts w:ascii="Times New Roman" w:hAnsi="Times New Roman" w:cs="Times New Roman"/>
          <w:sz w:val="24"/>
          <w:szCs w:val="24"/>
        </w:rPr>
        <w:t xml:space="preserve">la realización de un </w:t>
      </w:r>
      <w:r w:rsidR="00F615AC" w:rsidRPr="00B5402D">
        <w:rPr>
          <w:rFonts w:ascii="Times New Roman" w:hAnsi="Times New Roman" w:cs="Times New Roman"/>
          <w:sz w:val="24"/>
          <w:szCs w:val="24"/>
        </w:rPr>
        <w:t xml:space="preserve">Programa de Posicionamiento Estratégico Internacional. Dicho programa se </w:t>
      </w:r>
      <w:r>
        <w:rPr>
          <w:rFonts w:ascii="Times New Roman" w:hAnsi="Times New Roman" w:cs="Times New Roman"/>
          <w:sz w:val="24"/>
          <w:szCs w:val="24"/>
        </w:rPr>
        <w:t>estructuró</w:t>
      </w:r>
      <w:r w:rsidR="00F615AC" w:rsidRPr="00B5402D">
        <w:rPr>
          <w:rFonts w:ascii="Times New Roman" w:hAnsi="Times New Roman" w:cs="Times New Roman"/>
          <w:sz w:val="24"/>
          <w:szCs w:val="24"/>
        </w:rPr>
        <w:t xml:space="preserve"> mediante </w:t>
      </w:r>
      <w:r w:rsidR="00F615AC">
        <w:rPr>
          <w:rFonts w:ascii="Times New Roman" w:hAnsi="Times New Roman" w:cs="Times New Roman"/>
          <w:sz w:val="24"/>
          <w:szCs w:val="24"/>
        </w:rPr>
        <w:t>un</w:t>
      </w:r>
      <w:r w:rsidR="009E2400">
        <w:rPr>
          <w:rFonts w:ascii="Times New Roman" w:hAnsi="Times New Roman" w:cs="Times New Roman"/>
          <w:sz w:val="24"/>
          <w:szCs w:val="24"/>
        </w:rPr>
        <w:t xml:space="preserve">a serie de </w:t>
      </w:r>
      <w:r w:rsidR="00F615AC" w:rsidRPr="00B5402D">
        <w:rPr>
          <w:rFonts w:ascii="Times New Roman" w:hAnsi="Times New Roman" w:cs="Times New Roman"/>
          <w:sz w:val="24"/>
          <w:szCs w:val="24"/>
        </w:rPr>
        <w:t>Préstamo</w:t>
      </w:r>
      <w:r w:rsidR="009E2400">
        <w:rPr>
          <w:rFonts w:ascii="Times New Roman" w:hAnsi="Times New Roman" w:cs="Times New Roman"/>
          <w:sz w:val="24"/>
          <w:szCs w:val="24"/>
        </w:rPr>
        <w:t>s</w:t>
      </w:r>
      <w:r w:rsidR="00F615AC" w:rsidRPr="00B5402D">
        <w:rPr>
          <w:rFonts w:ascii="Times New Roman" w:hAnsi="Times New Roman" w:cs="Times New Roman"/>
          <w:sz w:val="24"/>
          <w:szCs w:val="24"/>
        </w:rPr>
        <w:t xml:space="preserve"> de Apoyo a Reformas de Política bajo la Modalidad Programática </w:t>
      </w:r>
      <w:r w:rsidR="005035F9">
        <w:rPr>
          <w:rFonts w:ascii="Times New Roman" w:hAnsi="Times New Roman" w:cs="Times New Roman"/>
          <w:sz w:val="24"/>
          <w:szCs w:val="24"/>
        </w:rPr>
        <w:t xml:space="preserve">(PBP) </w:t>
      </w:r>
      <w:r w:rsidR="00F615AC" w:rsidRPr="00B5402D">
        <w:rPr>
          <w:rFonts w:ascii="Times New Roman" w:hAnsi="Times New Roman" w:cs="Times New Roman"/>
          <w:sz w:val="24"/>
          <w:szCs w:val="24"/>
        </w:rPr>
        <w:t xml:space="preserve">utilizando la opción de Desembolso Diferido. </w:t>
      </w:r>
    </w:p>
    <w:p w:rsidR="00F615AC" w:rsidRPr="00B5402D" w:rsidRDefault="005035F9"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El programa actualmente evaluado tiene </w:t>
      </w:r>
      <w:r w:rsidR="00F615AC" w:rsidRPr="00B5402D">
        <w:rPr>
          <w:rFonts w:ascii="Times New Roman" w:hAnsi="Times New Roman" w:cs="Times New Roman"/>
          <w:sz w:val="24"/>
          <w:szCs w:val="24"/>
        </w:rPr>
        <w:t>como objetivo general fortalece</w:t>
      </w:r>
      <w:r w:rsidR="009E2400">
        <w:rPr>
          <w:rFonts w:ascii="Times New Roman" w:hAnsi="Times New Roman" w:cs="Times New Roman"/>
          <w:sz w:val="24"/>
          <w:szCs w:val="24"/>
        </w:rPr>
        <w:t>r</w:t>
      </w:r>
      <w:r w:rsidR="00F615AC" w:rsidRPr="00B5402D">
        <w:rPr>
          <w:rFonts w:ascii="Times New Roman" w:hAnsi="Times New Roman" w:cs="Times New Roman"/>
          <w:sz w:val="24"/>
          <w:szCs w:val="24"/>
        </w:rPr>
        <w:t xml:space="preserve"> el posicionamiento internacional de Uruguay mediante la mejora del marco normativo e institucional para la atracción de inversiones, la pro</w:t>
      </w:r>
      <w:r>
        <w:rPr>
          <w:rFonts w:ascii="Times New Roman" w:hAnsi="Times New Roman" w:cs="Times New Roman"/>
          <w:sz w:val="24"/>
          <w:szCs w:val="24"/>
        </w:rPr>
        <w:t>moción y facilitación comercial</w:t>
      </w:r>
      <w:r w:rsidR="00F615AC" w:rsidRPr="00B5402D">
        <w:rPr>
          <w:rFonts w:ascii="Times New Roman" w:hAnsi="Times New Roman" w:cs="Times New Roman"/>
          <w:sz w:val="24"/>
          <w:szCs w:val="24"/>
        </w:rPr>
        <w:t xml:space="preserve">. </w:t>
      </w:r>
      <w:r>
        <w:rPr>
          <w:rFonts w:ascii="Times New Roman" w:hAnsi="Times New Roman" w:cs="Times New Roman"/>
          <w:sz w:val="24"/>
          <w:szCs w:val="24"/>
        </w:rPr>
        <w:t xml:space="preserve">Se </w:t>
      </w:r>
      <w:r w:rsidR="00924AC6">
        <w:rPr>
          <w:rFonts w:ascii="Times New Roman" w:hAnsi="Times New Roman" w:cs="Times New Roman"/>
          <w:sz w:val="24"/>
          <w:szCs w:val="24"/>
        </w:rPr>
        <w:t>profundizará</w:t>
      </w:r>
      <w:r>
        <w:rPr>
          <w:rFonts w:ascii="Times New Roman" w:hAnsi="Times New Roman" w:cs="Times New Roman"/>
          <w:sz w:val="24"/>
          <w:szCs w:val="24"/>
        </w:rPr>
        <w:t xml:space="preserve"> en un conjunto de reformas que tienen como objetivo</w:t>
      </w:r>
      <w:r w:rsidR="00F615AC" w:rsidRPr="00B5402D">
        <w:rPr>
          <w:rFonts w:ascii="Times New Roman" w:hAnsi="Times New Roman" w:cs="Times New Roman"/>
          <w:sz w:val="24"/>
          <w:szCs w:val="24"/>
        </w:rPr>
        <w:t xml:space="preserve">: (i) impulsar la atracción de inversiones orientadas a sectores de alto valor agregado manteniendo un equilibrio entre las acciones de promoción de inversiones y el impacto económico y social de las mismas; (ii) mejorar los estándares de promoción y facilitación comercial; y (iii) mejorar el desarrollo de las capacidades locales para optimizar el impacto de la IED sobre la economía local.  </w:t>
      </w:r>
    </w:p>
    <w:p w:rsidR="00F615AC" w:rsidRDefault="009E2400" w:rsidP="00F615AC">
      <w:pPr>
        <w:spacing w:after="120"/>
        <w:ind w:left="0"/>
        <w:rPr>
          <w:rFonts w:ascii="Times New Roman" w:hAnsi="Times New Roman" w:cs="Times New Roman"/>
          <w:sz w:val="24"/>
          <w:szCs w:val="24"/>
        </w:rPr>
      </w:pPr>
      <w:r>
        <w:rPr>
          <w:rFonts w:ascii="Times New Roman" w:hAnsi="Times New Roman" w:cs="Times New Roman"/>
          <w:sz w:val="24"/>
          <w:szCs w:val="24"/>
        </w:rPr>
        <w:t>La presente evaluación económica</w:t>
      </w:r>
      <w:r w:rsidR="005035F9">
        <w:rPr>
          <w:rFonts w:ascii="Times New Roman" w:hAnsi="Times New Roman" w:cs="Times New Roman"/>
          <w:sz w:val="24"/>
          <w:szCs w:val="24"/>
        </w:rPr>
        <w:t xml:space="preserve"> integra los resultados </w:t>
      </w:r>
      <w:r>
        <w:rPr>
          <w:rFonts w:ascii="Times New Roman" w:hAnsi="Times New Roman" w:cs="Times New Roman"/>
          <w:sz w:val="24"/>
          <w:szCs w:val="24"/>
        </w:rPr>
        <w:t xml:space="preserve">de la evaluación que se hizo al comienzo de la serie </w:t>
      </w:r>
      <w:r w:rsidR="000070FE">
        <w:rPr>
          <w:rFonts w:ascii="Times New Roman" w:hAnsi="Times New Roman" w:cs="Times New Roman"/>
          <w:sz w:val="24"/>
          <w:szCs w:val="24"/>
        </w:rPr>
        <w:t xml:space="preserve">programática y </w:t>
      </w:r>
      <w:r w:rsidR="005035F9">
        <w:rPr>
          <w:rFonts w:ascii="Times New Roman" w:hAnsi="Times New Roman" w:cs="Times New Roman"/>
          <w:sz w:val="24"/>
          <w:szCs w:val="24"/>
        </w:rPr>
        <w:t xml:space="preserve">actualiza a los nuevos parámetros tanto de costos como de beneficios. </w:t>
      </w:r>
      <w:r w:rsidR="00F615AC" w:rsidRPr="00B5402D">
        <w:rPr>
          <w:rFonts w:ascii="Times New Roman" w:hAnsi="Times New Roman" w:cs="Times New Roman"/>
          <w:sz w:val="24"/>
          <w:szCs w:val="24"/>
        </w:rPr>
        <w:t>El programa parte de un diagnó</w:t>
      </w:r>
      <w:r w:rsidR="00F615AC">
        <w:rPr>
          <w:rFonts w:ascii="Times New Roman" w:hAnsi="Times New Roman" w:cs="Times New Roman"/>
          <w:sz w:val="24"/>
          <w:szCs w:val="24"/>
        </w:rPr>
        <w:t>s</w:t>
      </w:r>
      <w:r w:rsidR="00F615AC" w:rsidRPr="00B5402D">
        <w:rPr>
          <w:rFonts w:ascii="Times New Roman" w:hAnsi="Times New Roman" w:cs="Times New Roman"/>
          <w:sz w:val="24"/>
          <w:szCs w:val="24"/>
        </w:rPr>
        <w:t>tico que indica que la expansión de los niveles de inversión es una de las prioridades de primer orden en la estrategia de posicionamiento internacional de</w:t>
      </w:r>
      <w:r w:rsidR="00F615AC">
        <w:rPr>
          <w:rFonts w:ascii="Times New Roman" w:hAnsi="Times New Roman" w:cs="Times New Roman"/>
          <w:sz w:val="24"/>
          <w:szCs w:val="24"/>
        </w:rPr>
        <w:t xml:space="preserve"> Uruguay</w:t>
      </w:r>
      <w:r w:rsidR="00F615AC" w:rsidRPr="00B5402D">
        <w:rPr>
          <w:rFonts w:ascii="Times New Roman" w:hAnsi="Times New Roman" w:cs="Times New Roman"/>
          <w:sz w:val="24"/>
          <w:szCs w:val="24"/>
        </w:rPr>
        <w:t xml:space="preserve">. En un país con un pequeño mercado interno, una base productiva estructuralmente reducida y el predominio de cadenas cortas de generación de valor, el potencial de atracción de inversiones depende fuertemente de las perspectivas de penetración de mercados externos y de la coherencia entre las políticas de atracción de inversiones, de incentivos sectoriales y de promoción y facilitación de exportaciones. A su vez, para que el país logre maximizar el impacto de las inversiones deben generarse las condiciones que permitan promover la difusión del conocimiento, las habilidades y la innovación como parte integral de estrategias más amplias de desarrollo productivo e industrial. </w:t>
      </w:r>
    </w:p>
    <w:p w:rsidR="002F2D94" w:rsidRDefault="002F2D94" w:rsidP="00F615AC">
      <w:pPr>
        <w:spacing w:after="120"/>
        <w:ind w:left="0"/>
        <w:rPr>
          <w:rFonts w:ascii="Times New Roman" w:eastAsiaTheme="minorEastAsia" w:hAnsi="Times New Roman" w:cs="Times New Roman"/>
          <w:sz w:val="24"/>
          <w:szCs w:val="24"/>
        </w:rPr>
      </w:pPr>
      <w:r>
        <w:rPr>
          <w:rFonts w:ascii="Times New Roman" w:hAnsi="Times New Roman" w:cs="Times New Roman"/>
          <w:sz w:val="24"/>
          <w:szCs w:val="24"/>
        </w:rPr>
        <w:t xml:space="preserve">Históricamente, una de las debilidades estructurales que tiene el Uruguay es una tasa de inversión de las más bajas de América Latina, la cual no le permite hacer un uso eficiente de sus recursos naturales y humanos, estos últimos comparativamente mejor preparados que los de </w:t>
      </w:r>
      <w:r w:rsidR="00924AC6">
        <w:rPr>
          <w:rFonts w:ascii="Times New Roman" w:hAnsi="Times New Roman" w:cs="Times New Roman"/>
          <w:sz w:val="24"/>
          <w:szCs w:val="24"/>
        </w:rPr>
        <w:t xml:space="preserve">algunos </w:t>
      </w:r>
      <w:r>
        <w:rPr>
          <w:rFonts w:ascii="Times New Roman" w:hAnsi="Times New Roman" w:cs="Times New Roman"/>
          <w:sz w:val="24"/>
          <w:szCs w:val="24"/>
        </w:rPr>
        <w:t>otros países</w:t>
      </w:r>
      <w:r w:rsidR="00924AC6">
        <w:rPr>
          <w:rFonts w:ascii="Times New Roman" w:hAnsi="Times New Roman" w:cs="Times New Roman"/>
          <w:sz w:val="24"/>
          <w:szCs w:val="24"/>
        </w:rPr>
        <w:t xml:space="preserve"> de la región</w:t>
      </w:r>
      <w:r>
        <w:rPr>
          <w:rFonts w:ascii="Times New Roman" w:hAnsi="Times New Roman" w:cs="Times New Roman"/>
          <w:sz w:val="24"/>
          <w:szCs w:val="24"/>
        </w:rPr>
        <w:t xml:space="preserve">, pero que estaban subutilizados. Si bien en los últimos </w:t>
      </w:r>
      <w:r w:rsidR="00784369">
        <w:rPr>
          <w:rFonts w:ascii="Times New Roman" w:hAnsi="Times New Roman" w:cs="Times New Roman"/>
          <w:sz w:val="24"/>
          <w:szCs w:val="24"/>
        </w:rPr>
        <w:t xml:space="preserve">años </w:t>
      </w:r>
      <w:r>
        <w:rPr>
          <w:rFonts w:ascii="Times New Roman" w:hAnsi="Times New Roman" w:cs="Times New Roman"/>
          <w:sz w:val="24"/>
          <w:szCs w:val="24"/>
        </w:rPr>
        <w:t xml:space="preserve">el país registra </w:t>
      </w:r>
      <w:r w:rsidR="000070FE">
        <w:rPr>
          <w:rFonts w:ascii="Times New Roman" w:hAnsi="Times New Roman" w:cs="Times New Roman"/>
          <w:sz w:val="24"/>
          <w:szCs w:val="24"/>
        </w:rPr>
        <w:t xml:space="preserve">tasas crecientes de </w:t>
      </w:r>
      <w:r w:rsidR="004C108D">
        <w:rPr>
          <w:rFonts w:ascii="Times New Roman" w:hAnsi="Times New Roman" w:cs="Times New Roman"/>
          <w:sz w:val="24"/>
          <w:szCs w:val="24"/>
        </w:rPr>
        <w:t>inversión</w:t>
      </w:r>
      <w:r>
        <w:rPr>
          <w:rFonts w:ascii="Times New Roman" w:hAnsi="Times New Roman" w:cs="Times New Roman"/>
          <w:sz w:val="24"/>
          <w:szCs w:val="24"/>
        </w:rPr>
        <w:t xml:space="preserve">, aún </w:t>
      </w:r>
      <w:r w:rsidR="000070FE">
        <w:rPr>
          <w:rFonts w:ascii="Times New Roman" w:hAnsi="Times New Roman" w:cs="Times New Roman"/>
          <w:sz w:val="24"/>
          <w:szCs w:val="24"/>
        </w:rPr>
        <w:t>son</w:t>
      </w:r>
      <w:r>
        <w:rPr>
          <w:rFonts w:ascii="Times New Roman" w:hAnsi="Times New Roman" w:cs="Times New Roman"/>
          <w:sz w:val="24"/>
          <w:szCs w:val="24"/>
        </w:rPr>
        <w:t xml:space="preserve"> insuficiente para </w:t>
      </w:r>
      <w:r w:rsidR="000070FE">
        <w:rPr>
          <w:rFonts w:ascii="Times New Roman" w:hAnsi="Times New Roman" w:cs="Times New Roman"/>
          <w:sz w:val="24"/>
          <w:szCs w:val="24"/>
        </w:rPr>
        <w:t>alcanzar</w:t>
      </w:r>
      <w:r>
        <w:rPr>
          <w:rFonts w:ascii="Times New Roman" w:hAnsi="Times New Roman" w:cs="Times New Roman"/>
          <w:sz w:val="24"/>
          <w:szCs w:val="24"/>
        </w:rPr>
        <w:t xml:space="preserve"> senderos de crecimiento del producto sostenibles en el tiempo, </w:t>
      </w:r>
      <w:r w:rsidR="00ED28B4">
        <w:rPr>
          <w:rFonts w:ascii="Times New Roman" w:hAnsi="Times New Roman" w:cs="Times New Roman"/>
          <w:sz w:val="24"/>
          <w:szCs w:val="24"/>
        </w:rPr>
        <w:t>dados los fundamentos de la economía (</w:t>
      </w:r>
      <w:r w:rsidR="00ED28B4" w:rsidRPr="0066204B">
        <w:rPr>
          <w:rFonts w:ascii="Times New Roman" w:eastAsiaTheme="minorEastAsia" w:hAnsi="Times New Roman" w:cs="Times New Roman"/>
          <w:sz w:val="24"/>
          <w:szCs w:val="24"/>
        </w:rPr>
        <w:t>Ver Enlace Electrónico Opcional 3</w:t>
      </w:r>
      <w:r w:rsidR="00ED28B4">
        <w:rPr>
          <w:rFonts w:ascii="Times New Roman" w:eastAsiaTheme="minorEastAsia" w:hAnsi="Times New Roman" w:cs="Times New Roman"/>
          <w:sz w:val="24"/>
          <w:szCs w:val="24"/>
        </w:rPr>
        <w:t xml:space="preserve">). </w:t>
      </w:r>
    </w:p>
    <w:p w:rsidR="009923F2" w:rsidRDefault="009923F2" w:rsidP="00F615AC">
      <w:pPr>
        <w:spacing w:after="120"/>
        <w:ind w:left="0"/>
        <w:rPr>
          <w:rFonts w:ascii="Times New Roman" w:hAnsi="Times New Roman" w:cs="Times New Roman"/>
          <w:sz w:val="24"/>
          <w:szCs w:val="24"/>
        </w:rPr>
      </w:pPr>
    </w:p>
    <w:p w:rsidR="00621425" w:rsidRPr="00B5402D" w:rsidRDefault="00621425" w:rsidP="00F615AC">
      <w:pPr>
        <w:spacing w:after="120"/>
        <w:ind w:left="0"/>
        <w:rPr>
          <w:rFonts w:ascii="Times New Roman" w:hAnsi="Times New Roman" w:cs="Times New Roman"/>
          <w:sz w:val="24"/>
          <w:szCs w:val="24"/>
        </w:rPr>
      </w:pPr>
    </w:p>
    <w:p w:rsidR="00F615AC" w:rsidRPr="006A124F" w:rsidRDefault="00F615AC" w:rsidP="00F615AC">
      <w:pPr>
        <w:pStyle w:val="ListParagraph"/>
        <w:numPr>
          <w:ilvl w:val="0"/>
          <w:numId w:val="1"/>
        </w:numPr>
        <w:spacing w:after="120"/>
        <w:contextualSpacing w:val="0"/>
        <w:rPr>
          <w:rFonts w:ascii="Times New Roman" w:hAnsi="Times New Roman" w:cs="Times New Roman"/>
          <w:b/>
          <w:sz w:val="24"/>
          <w:szCs w:val="24"/>
        </w:rPr>
      </w:pPr>
      <w:r>
        <w:rPr>
          <w:rFonts w:ascii="Times New Roman" w:hAnsi="Times New Roman" w:cs="Times New Roman"/>
          <w:b/>
          <w:sz w:val="24"/>
          <w:szCs w:val="24"/>
        </w:rPr>
        <w:lastRenderedPageBreak/>
        <w:t>Estimación de los beneficios del programa</w:t>
      </w:r>
    </w:p>
    <w:p w:rsidR="00304FB2" w:rsidRDefault="00304FB2" w:rsidP="00304FB2">
      <w:pPr>
        <w:spacing w:after="120"/>
        <w:ind w:left="0"/>
        <w:rPr>
          <w:rFonts w:ascii="Times New Roman" w:hAnsi="Times New Roman" w:cs="Times New Roman"/>
          <w:sz w:val="24"/>
          <w:szCs w:val="24"/>
        </w:rPr>
      </w:pPr>
      <w:r w:rsidRPr="00304FB2">
        <w:rPr>
          <w:rFonts w:ascii="Times New Roman" w:hAnsi="Times New Roman" w:cs="Times New Roman"/>
          <w:sz w:val="24"/>
          <w:szCs w:val="24"/>
        </w:rPr>
        <w:t>Teniendo en cuenta la amplitud del conjunto de reformas que se desean evaluar, el análisis subsiguiente se concentra en estimar los beneficios generados por el programa sobre los salarios promedios de la economía y las ganancias de productividad laboral inducidos por los mayores flujos de inversión.</w:t>
      </w:r>
      <w:r w:rsidR="00784369">
        <w:rPr>
          <w:rFonts w:ascii="Times New Roman" w:hAnsi="Times New Roman" w:cs="Times New Roman"/>
          <w:sz w:val="24"/>
          <w:szCs w:val="24"/>
        </w:rPr>
        <w:t xml:space="preserve"> </w:t>
      </w:r>
    </w:p>
    <w:p w:rsidR="00FB1A5E" w:rsidRDefault="00927D71" w:rsidP="00FB1A5E">
      <w:pPr>
        <w:spacing w:after="120"/>
        <w:ind w:left="0"/>
        <w:rPr>
          <w:rFonts w:ascii="Times New Roman" w:hAnsi="Times New Roman" w:cs="Times New Roman"/>
          <w:sz w:val="24"/>
          <w:szCs w:val="24"/>
        </w:rPr>
      </w:pPr>
      <w:r>
        <w:rPr>
          <w:rFonts w:ascii="Times New Roman" w:hAnsi="Times New Roman" w:cs="Times New Roman"/>
          <w:sz w:val="24"/>
          <w:szCs w:val="24"/>
        </w:rPr>
        <w:t xml:space="preserve">La elección de esta </w:t>
      </w:r>
      <w:r w:rsidR="00BB36A9">
        <w:rPr>
          <w:rFonts w:ascii="Times New Roman" w:hAnsi="Times New Roman" w:cs="Times New Roman"/>
          <w:sz w:val="24"/>
          <w:szCs w:val="24"/>
        </w:rPr>
        <w:t>metodología</w:t>
      </w:r>
      <w:r>
        <w:rPr>
          <w:rFonts w:ascii="Times New Roman" w:hAnsi="Times New Roman" w:cs="Times New Roman"/>
          <w:sz w:val="24"/>
          <w:szCs w:val="24"/>
        </w:rPr>
        <w:t xml:space="preserve"> para estimar los beneficios del programa se fundamenta en dos motivos principales, por un lado en </w:t>
      </w:r>
      <w:r w:rsidR="00FB1A5E">
        <w:rPr>
          <w:rFonts w:ascii="Times New Roman" w:hAnsi="Times New Roman" w:cs="Times New Roman"/>
          <w:sz w:val="24"/>
          <w:szCs w:val="24"/>
        </w:rPr>
        <w:t xml:space="preserve">la </w:t>
      </w:r>
      <w:r>
        <w:rPr>
          <w:rFonts w:ascii="Times New Roman" w:hAnsi="Times New Roman" w:cs="Times New Roman"/>
          <w:sz w:val="24"/>
          <w:szCs w:val="24"/>
        </w:rPr>
        <w:t>baja dotación relativa de capital del país</w:t>
      </w:r>
      <w:r w:rsidR="00FB1A5E">
        <w:rPr>
          <w:rFonts w:ascii="Times New Roman" w:hAnsi="Times New Roman" w:cs="Times New Roman"/>
          <w:sz w:val="24"/>
          <w:szCs w:val="24"/>
        </w:rPr>
        <w:t xml:space="preserve"> </w:t>
      </w:r>
      <w:r>
        <w:rPr>
          <w:rFonts w:ascii="Times New Roman" w:hAnsi="Times New Roman" w:cs="Times New Roman"/>
          <w:sz w:val="24"/>
          <w:szCs w:val="24"/>
        </w:rPr>
        <w:t>y</w:t>
      </w:r>
      <w:r w:rsidR="000070FE">
        <w:rPr>
          <w:rFonts w:ascii="Times New Roman" w:hAnsi="Times New Roman" w:cs="Times New Roman"/>
          <w:sz w:val="24"/>
          <w:szCs w:val="24"/>
        </w:rPr>
        <w:t>,</w:t>
      </w:r>
      <w:r>
        <w:rPr>
          <w:rFonts w:ascii="Times New Roman" w:hAnsi="Times New Roman" w:cs="Times New Roman"/>
          <w:sz w:val="24"/>
          <w:szCs w:val="24"/>
        </w:rPr>
        <w:t xml:space="preserve"> por otro</w:t>
      </w:r>
      <w:r w:rsidR="000070FE">
        <w:rPr>
          <w:rFonts w:ascii="Times New Roman" w:hAnsi="Times New Roman" w:cs="Times New Roman"/>
          <w:sz w:val="24"/>
          <w:szCs w:val="24"/>
        </w:rPr>
        <w:t>,</w:t>
      </w:r>
      <w:r>
        <w:rPr>
          <w:rFonts w:ascii="Times New Roman" w:hAnsi="Times New Roman" w:cs="Times New Roman"/>
          <w:sz w:val="24"/>
          <w:szCs w:val="24"/>
        </w:rPr>
        <w:t xml:space="preserve"> a la situación de</w:t>
      </w:r>
      <w:r w:rsidR="00FB1A5E">
        <w:rPr>
          <w:rFonts w:ascii="Times New Roman" w:hAnsi="Times New Roman" w:cs="Times New Roman"/>
          <w:sz w:val="24"/>
          <w:szCs w:val="24"/>
        </w:rPr>
        <w:t>l mercado laboral. Como se mencionó anteriormente, una de las debilidades del país son sus históricas bajas tasas de inversión que han llevado a que el stock de capital se encuentre retra</w:t>
      </w:r>
      <w:r w:rsidR="007D64D1">
        <w:rPr>
          <w:rFonts w:ascii="Times New Roman" w:hAnsi="Times New Roman" w:cs="Times New Roman"/>
          <w:sz w:val="24"/>
          <w:szCs w:val="24"/>
        </w:rPr>
        <w:t>s</w:t>
      </w:r>
      <w:r w:rsidR="00FB1A5E">
        <w:rPr>
          <w:rFonts w:ascii="Times New Roman" w:hAnsi="Times New Roman" w:cs="Times New Roman"/>
          <w:sz w:val="24"/>
          <w:szCs w:val="24"/>
        </w:rPr>
        <w:t xml:space="preserve">ado en </w:t>
      </w:r>
      <w:r w:rsidR="0063185A">
        <w:rPr>
          <w:rFonts w:ascii="Times New Roman" w:hAnsi="Times New Roman" w:cs="Times New Roman"/>
          <w:sz w:val="24"/>
          <w:szCs w:val="24"/>
        </w:rPr>
        <w:t>comparación</w:t>
      </w:r>
      <w:r w:rsidR="00FB1A5E">
        <w:rPr>
          <w:rFonts w:ascii="Times New Roman" w:hAnsi="Times New Roman" w:cs="Times New Roman"/>
          <w:sz w:val="24"/>
          <w:szCs w:val="24"/>
        </w:rPr>
        <w:t xml:space="preserve"> con países de similar </w:t>
      </w:r>
      <w:r w:rsidR="00BB36A9">
        <w:rPr>
          <w:rFonts w:ascii="Times New Roman" w:hAnsi="Times New Roman" w:cs="Times New Roman"/>
          <w:sz w:val="24"/>
          <w:szCs w:val="24"/>
        </w:rPr>
        <w:t xml:space="preserve">desarrollo </w:t>
      </w:r>
      <w:r w:rsidR="00FB1A5E">
        <w:rPr>
          <w:rFonts w:ascii="Times New Roman" w:hAnsi="Times New Roman" w:cs="Times New Roman"/>
          <w:sz w:val="24"/>
          <w:szCs w:val="24"/>
        </w:rPr>
        <w:t xml:space="preserve">relativo. En el grafico I se puede observar la relación capital/empleo y </w:t>
      </w:r>
      <w:r w:rsidR="00BB36A9">
        <w:rPr>
          <w:rFonts w:ascii="Times New Roman" w:hAnsi="Times New Roman" w:cs="Times New Roman"/>
          <w:sz w:val="24"/>
          <w:szCs w:val="24"/>
        </w:rPr>
        <w:t xml:space="preserve">producto per </w:t>
      </w:r>
      <w:r w:rsidR="0063185A">
        <w:rPr>
          <w:rFonts w:ascii="Times New Roman" w:hAnsi="Times New Roman" w:cs="Times New Roman"/>
          <w:sz w:val="24"/>
          <w:szCs w:val="24"/>
        </w:rPr>
        <w:t>cápita</w:t>
      </w:r>
      <w:r w:rsidR="00BB36A9">
        <w:rPr>
          <w:rFonts w:ascii="Times New Roman" w:hAnsi="Times New Roman" w:cs="Times New Roman"/>
          <w:sz w:val="24"/>
          <w:szCs w:val="24"/>
        </w:rPr>
        <w:t xml:space="preserve"> para la totalidad de los países de ingresos medios y altos. Es posible </w:t>
      </w:r>
      <w:r w:rsidR="00FB1A5E">
        <w:rPr>
          <w:rFonts w:ascii="Times New Roman" w:hAnsi="Times New Roman" w:cs="Times New Roman"/>
          <w:sz w:val="24"/>
          <w:szCs w:val="24"/>
        </w:rPr>
        <w:t>observa</w:t>
      </w:r>
      <w:r w:rsidR="00BB36A9">
        <w:rPr>
          <w:rFonts w:ascii="Times New Roman" w:hAnsi="Times New Roman" w:cs="Times New Roman"/>
          <w:sz w:val="24"/>
          <w:szCs w:val="24"/>
        </w:rPr>
        <w:t>r</w:t>
      </w:r>
      <w:r w:rsidR="00FB1A5E">
        <w:rPr>
          <w:rFonts w:ascii="Times New Roman" w:hAnsi="Times New Roman" w:cs="Times New Roman"/>
          <w:sz w:val="24"/>
          <w:szCs w:val="24"/>
        </w:rPr>
        <w:t xml:space="preserve"> que </w:t>
      </w:r>
      <w:r w:rsidR="00BB36A9">
        <w:rPr>
          <w:rFonts w:ascii="Times New Roman" w:hAnsi="Times New Roman" w:cs="Times New Roman"/>
          <w:sz w:val="24"/>
          <w:szCs w:val="24"/>
        </w:rPr>
        <w:t>U</w:t>
      </w:r>
      <w:r w:rsidR="00FB1A5E">
        <w:rPr>
          <w:rFonts w:ascii="Times New Roman" w:hAnsi="Times New Roman" w:cs="Times New Roman"/>
          <w:sz w:val="24"/>
          <w:szCs w:val="24"/>
        </w:rPr>
        <w:t xml:space="preserve">ruguay se encuentra con un </w:t>
      </w:r>
      <w:r w:rsidR="0063185A">
        <w:rPr>
          <w:rFonts w:ascii="Times New Roman" w:hAnsi="Times New Roman" w:cs="Times New Roman"/>
          <w:sz w:val="24"/>
          <w:szCs w:val="24"/>
        </w:rPr>
        <w:t>atraso</w:t>
      </w:r>
      <w:r w:rsidR="00FB1A5E">
        <w:rPr>
          <w:rFonts w:ascii="Times New Roman" w:hAnsi="Times New Roman" w:cs="Times New Roman"/>
          <w:sz w:val="24"/>
          <w:szCs w:val="24"/>
        </w:rPr>
        <w:t xml:space="preserve"> significativo respecto a</w:t>
      </w:r>
      <w:r w:rsidR="00BB36A9">
        <w:rPr>
          <w:rFonts w:ascii="Times New Roman" w:hAnsi="Times New Roman" w:cs="Times New Roman"/>
          <w:sz w:val="24"/>
          <w:szCs w:val="24"/>
        </w:rPr>
        <w:t xml:space="preserve"> </w:t>
      </w:r>
      <w:r w:rsidR="00FB1A5E">
        <w:rPr>
          <w:rFonts w:ascii="Times New Roman" w:hAnsi="Times New Roman" w:cs="Times New Roman"/>
          <w:sz w:val="24"/>
          <w:szCs w:val="24"/>
        </w:rPr>
        <w:t>l</w:t>
      </w:r>
      <w:r w:rsidR="00BB36A9">
        <w:rPr>
          <w:rFonts w:ascii="Times New Roman" w:hAnsi="Times New Roman" w:cs="Times New Roman"/>
          <w:sz w:val="24"/>
          <w:szCs w:val="24"/>
        </w:rPr>
        <w:t xml:space="preserve">a media del </w:t>
      </w:r>
      <w:r w:rsidR="00FB1A5E">
        <w:rPr>
          <w:rFonts w:ascii="Times New Roman" w:hAnsi="Times New Roman" w:cs="Times New Roman"/>
          <w:sz w:val="24"/>
          <w:szCs w:val="24"/>
        </w:rPr>
        <w:t>resto de los países</w:t>
      </w:r>
      <w:r w:rsidR="00BB36A9">
        <w:rPr>
          <w:rFonts w:ascii="Times New Roman" w:hAnsi="Times New Roman" w:cs="Times New Roman"/>
          <w:sz w:val="24"/>
          <w:szCs w:val="24"/>
        </w:rPr>
        <w:t>.</w:t>
      </w:r>
      <w:r w:rsidR="00FB1A5E">
        <w:rPr>
          <w:rFonts w:ascii="Times New Roman" w:hAnsi="Times New Roman" w:cs="Times New Roman"/>
          <w:sz w:val="24"/>
          <w:szCs w:val="24"/>
        </w:rPr>
        <w:t xml:space="preserve"> </w:t>
      </w:r>
      <w:r w:rsidR="00685ADB" w:rsidRPr="00EE3455">
        <w:rPr>
          <w:rFonts w:ascii="Times New Roman" w:hAnsi="Times New Roman" w:cs="Times New Roman"/>
          <w:sz w:val="24"/>
          <w:szCs w:val="24"/>
        </w:rPr>
        <w:t xml:space="preserve">La relación capital/trabajo en Uruguay para el promedio de los años 2009-2011 resulto un 17.8% menor de lo que se esperaría en función de su ingreso per </w:t>
      </w:r>
      <w:r w:rsidR="0063185A" w:rsidRPr="0062039C">
        <w:rPr>
          <w:rFonts w:ascii="Times New Roman" w:hAnsi="Times New Roman" w:cs="Times New Roman"/>
          <w:sz w:val="24"/>
          <w:szCs w:val="24"/>
        </w:rPr>
        <w:t>cápita</w:t>
      </w:r>
      <w:r w:rsidR="00685ADB" w:rsidRPr="00EE3455">
        <w:rPr>
          <w:rFonts w:ascii="Times New Roman" w:hAnsi="Times New Roman" w:cs="Times New Roman"/>
          <w:sz w:val="24"/>
          <w:szCs w:val="24"/>
        </w:rPr>
        <w:t>.</w:t>
      </w:r>
    </w:p>
    <w:p w:rsidR="000070FE" w:rsidRDefault="000070FE" w:rsidP="00FB1A5E">
      <w:pPr>
        <w:spacing w:after="120"/>
        <w:ind w:left="0"/>
        <w:rPr>
          <w:rFonts w:ascii="Times New Roman" w:hAnsi="Times New Roman" w:cs="Times New Roman"/>
          <w:sz w:val="24"/>
          <w:szCs w:val="24"/>
        </w:rPr>
      </w:pPr>
      <w:r>
        <w:rPr>
          <w:noProof/>
          <w:lang w:val="en-US"/>
        </w:rPr>
        <mc:AlternateContent>
          <mc:Choice Requires="wps">
            <w:drawing>
              <wp:anchor distT="0" distB="0" distL="114300" distR="114300" simplePos="0" relativeHeight="251659264" behindDoc="0" locked="0" layoutInCell="1" allowOverlap="1" wp14:anchorId="31334F38" wp14:editId="1872D8C2">
                <wp:simplePos x="0" y="0"/>
                <wp:positionH relativeFrom="column">
                  <wp:posOffset>488373</wp:posOffset>
                </wp:positionH>
                <wp:positionV relativeFrom="paragraph">
                  <wp:posOffset>243840</wp:posOffset>
                </wp:positionV>
                <wp:extent cx="4765675" cy="474980"/>
                <wp:effectExtent l="0" t="0" r="15875"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5675" cy="474980"/>
                        </a:xfrm>
                        <a:prstGeom prst="rect">
                          <a:avLst/>
                        </a:prstGeom>
                        <a:solidFill>
                          <a:srgbClr val="FFFFFF"/>
                        </a:solidFill>
                        <a:ln w="9525">
                          <a:solidFill>
                            <a:srgbClr val="000000"/>
                          </a:solidFill>
                          <a:miter lim="800000"/>
                          <a:headEnd/>
                          <a:tailEnd/>
                        </a:ln>
                      </wps:spPr>
                      <wps:txbx>
                        <w:txbxContent>
                          <w:p w:rsidR="002E1778" w:rsidRPr="00EE3455" w:rsidRDefault="002E1778" w:rsidP="00EE3455">
                            <w:pPr>
                              <w:spacing w:before="0"/>
                              <w:ind w:left="360"/>
                              <w:jc w:val="center"/>
                              <w:rPr>
                                <w:b/>
                                <w:lang w:val="es-AR"/>
                              </w:rPr>
                            </w:pPr>
                            <w:r w:rsidRPr="009923F2">
                              <w:rPr>
                                <w:b/>
                                <w:lang w:val="es-AR"/>
                              </w:rPr>
                              <w:t>Gr</w:t>
                            </w:r>
                            <w:r>
                              <w:rPr>
                                <w:b/>
                                <w:lang w:val="es-AR"/>
                              </w:rPr>
                              <w:t>á</w:t>
                            </w:r>
                            <w:r w:rsidRPr="0062039C">
                              <w:rPr>
                                <w:b/>
                                <w:lang w:val="es-AR"/>
                              </w:rPr>
                              <w:t>fico</w:t>
                            </w:r>
                            <w:r w:rsidRPr="00EE3455">
                              <w:rPr>
                                <w:b/>
                                <w:lang w:val="es-AR"/>
                              </w:rPr>
                              <w:t xml:space="preserve"> I: Capital/Empleo y Producto per </w:t>
                            </w:r>
                            <w:r w:rsidRPr="0062039C">
                              <w:rPr>
                                <w:b/>
                                <w:lang w:val="es-AR"/>
                              </w:rPr>
                              <w:t>cápita</w:t>
                            </w:r>
                          </w:p>
                          <w:p w:rsidR="002E1778" w:rsidRPr="00EE3455" w:rsidRDefault="002E1778" w:rsidP="00EE3455">
                            <w:pPr>
                              <w:spacing w:before="0"/>
                              <w:ind w:left="360"/>
                              <w:jc w:val="center"/>
                              <w:rPr>
                                <w:lang w:val="es-AR"/>
                              </w:rPr>
                            </w:pPr>
                            <w:r w:rsidRPr="00EE3455">
                              <w:rPr>
                                <w:lang w:val="es-AR"/>
                              </w:rPr>
                              <w:t>Promedio 2009-2011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45pt;margin-top:19.2pt;width:375.25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">
                <v:textbox>
                  <w:txbxContent>
                    <w:p w:rsidR="002E1778" w:rsidRPr="00EE3455" w:rsidRDefault="002E1778" w:rsidP="00EE3455">
                      <w:pPr>
                        <w:spacing w:before="0"/>
                        <w:ind w:left="360"/>
                        <w:jc w:val="center"/>
                        <w:rPr>
                          <w:b/>
                          <w:lang w:val="es-AR"/>
                        </w:rPr>
                      </w:pPr>
                      <w:r w:rsidRPr="009923F2">
                        <w:rPr>
                          <w:b/>
                          <w:lang w:val="es-AR"/>
                        </w:rPr>
                        <w:t>Gr</w:t>
                      </w:r>
                      <w:r>
                        <w:rPr>
                          <w:b/>
                          <w:lang w:val="es-AR"/>
                        </w:rPr>
                        <w:t>á</w:t>
                      </w:r>
                      <w:r w:rsidRPr="0062039C">
                        <w:rPr>
                          <w:b/>
                          <w:lang w:val="es-AR"/>
                        </w:rPr>
                        <w:t>fico</w:t>
                      </w:r>
                      <w:r w:rsidRPr="00EE3455">
                        <w:rPr>
                          <w:b/>
                          <w:lang w:val="es-AR"/>
                        </w:rPr>
                        <w:t xml:space="preserve"> I: Capital/Empleo y Producto per </w:t>
                      </w:r>
                      <w:r w:rsidRPr="0062039C">
                        <w:rPr>
                          <w:b/>
                          <w:lang w:val="es-AR"/>
                        </w:rPr>
                        <w:t>cápita</w:t>
                      </w:r>
                    </w:p>
                    <w:p w:rsidR="002E1778" w:rsidRPr="00EE3455" w:rsidRDefault="002E1778" w:rsidP="00EE3455">
                      <w:pPr>
                        <w:spacing w:before="0"/>
                        <w:ind w:left="360"/>
                        <w:jc w:val="center"/>
                        <w:rPr>
                          <w:lang w:val="es-AR"/>
                        </w:rPr>
                      </w:pPr>
                      <w:r w:rsidRPr="00EE3455">
                        <w:rPr>
                          <w:lang w:val="es-AR"/>
                        </w:rPr>
                        <w:t>Promedio 2009-2011</w:t>
                      </w:r>
                    </w:p>
                  </w:txbxContent>
                </v:textbox>
              </v:shape>
            </w:pict>
          </mc:Fallback>
        </mc:AlternateContent>
      </w:r>
    </w:p>
    <w:p w:rsidR="000070FE" w:rsidRDefault="000070FE" w:rsidP="00FB1A5E">
      <w:pPr>
        <w:spacing w:after="120"/>
        <w:ind w:left="0"/>
        <w:rPr>
          <w:rFonts w:ascii="Times New Roman" w:hAnsi="Times New Roman" w:cs="Times New Roman"/>
          <w:sz w:val="24"/>
          <w:szCs w:val="24"/>
        </w:rPr>
      </w:pPr>
    </w:p>
    <w:p w:rsidR="00FB1A5E" w:rsidRDefault="00784369" w:rsidP="00D66C30">
      <w:pPr>
        <w:spacing w:after="120"/>
        <w:ind w:left="0"/>
        <w:jc w:val="center"/>
        <w:rPr>
          <w:rFonts w:ascii="Times New Roman" w:hAnsi="Times New Roman" w:cs="Times New Roman"/>
          <w:sz w:val="24"/>
          <w:szCs w:val="24"/>
        </w:rPr>
      </w:pPr>
      <w:r>
        <w:rPr>
          <w:noProof/>
          <w:lang w:val="en-US"/>
        </w:rPr>
        <w:drawing>
          <wp:inline distT="0" distB="0" distL="0" distR="0" wp14:anchorId="6767876A" wp14:editId="09C2DCC8">
            <wp:extent cx="4765964" cy="2999509"/>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2169" w:rsidRPr="00EE3455" w:rsidRDefault="00685ADB" w:rsidP="00D66C30">
      <w:pPr>
        <w:spacing w:after="120"/>
        <w:ind w:left="0" w:firstLine="708"/>
        <w:rPr>
          <w:rFonts w:ascii="Times New Roman" w:hAnsi="Times New Roman" w:cs="Times New Roman"/>
          <w:sz w:val="16"/>
          <w:szCs w:val="16"/>
        </w:rPr>
      </w:pPr>
      <w:r w:rsidRPr="00EE3455">
        <w:rPr>
          <w:rFonts w:ascii="Times New Roman" w:hAnsi="Times New Roman" w:cs="Times New Roman"/>
          <w:sz w:val="16"/>
          <w:szCs w:val="16"/>
        </w:rPr>
        <w:t>Fuente: Elaboración Propia en base a información de Penn World Table 8.0. University of Pensilvania</w:t>
      </w:r>
      <w:r w:rsidR="0063185A">
        <w:rPr>
          <w:rFonts w:ascii="Times New Roman" w:hAnsi="Times New Roman" w:cs="Times New Roman"/>
          <w:sz w:val="16"/>
          <w:szCs w:val="16"/>
        </w:rPr>
        <w:t>.</w:t>
      </w:r>
    </w:p>
    <w:p w:rsidR="000070FE" w:rsidRDefault="000070FE" w:rsidP="00304FB2">
      <w:pPr>
        <w:spacing w:after="120"/>
        <w:ind w:left="0"/>
        <w:rPr>
          <w:rFonts w:ascii="Times New Roman" w:hAnsi="Times New Roman" w:cs="Times New Roman"/>
          <w:sz w:val="24"/>
          <w:szCs w:val="24"/>
        </w:rPr>
      </w:pPr>
    </w:p>
    <w:p w:rsidR="002F353B" w:rsidRDefault="00FB1A5E" w:rsidP="00304FB2">
      <w:pPr>
        <w:spacing w:after="120"/>
        <w:ind w:left="0"/>
        <w:rPr>
          <w:rFonts w:ascii="Times New Roman" w:hAnsi="Times New Roman" w:cs="Times New Roman"/>
          <w:sz w:val="24"/>
          <w:szCs w:val="24"/>
        </w:rPr>
      </w:pPr>
      <w:r>
        <w:rPr>
          <w:rFonts w:ascii="Times New Roman" w:hAnsi="Times New Roman" w:cs="Times New Roman"/>
          <w:sz w:val="24"/>
          <w:szCs w:val="24"/>
        </w:rPr>
        <w:t xml:space="preserve">En cuanto a la situación del mercado </w:t>
      </w:r>
      <w:r w:rsidR="0063185A">
        <w:rPr>
          <w:rFonts w:ascii="Times New Roman" w:hAnsi="Times New Roman" w:cs="Times New Roman"/>
          <w:sz w:val="24"/>
          <w:szCs w:val="24"/>
        </w:rPr>
        <w:t>laboral</w:t>
      </w:r>
      <w:r>
        <w:rPr>
          <w:rFonts w:ascii="Times New Roman" w:hAnsi="Times New Roman" w:cs="Times New Roman"/>
          <w:sz w:val="24"/>
          <w:szCs w:val="24"/>
        </w:rPr>
        <w:t xml:space="preserve">, </w:t>
      </w:r>
      <w:r w:rsidR="00573FA3">
        <w:rPr>
          <w:rFonts w:ascii="Times New Roman" w:hAnsi="Times New Roman" w:cs="Times New Roman"/>
          <w:sz w:val="24"/>
          <w:szCs w:val="24"/>
        </w:rPr>
        <w:t xml:space="preserve">Uruguay </w:t>
      </w:r>
      <w:r>
        <w:rPr>
          <w:rFonts w:ascii="Times New Roman" w:hAnsi="Times New Roman" w:cs="Times New Roman"/>
          <w:sz w:val="24"/>
          <w:szCs w:val="24"/>
        </w:rPr>
        <w:t xml:space="preserve">registra en los últimos </w:t>
      </w:r>
      <w:r w:rsidR="0063185A">
        <w:rPr>
          <w:rFonts w:ascii="Times New Roman" w:hAnsi="Times New Roman" w:cs="Times New Roman"/>
          <w:sz w:val="24"/>
          <w:szCs w:val="24"/>
        </w:rPr>
        <w:t>años</w:t>
      </w:r>
      <w:r>
        <w:rPr>
          <w:rFonts w:ascii="Times New Roman" w:hAnsi="Times New Roman" w:cs="Times New Roman"/>
          <w:sz w:val="24"/>
          <w:szCs w:val="24"/>
        </w:rPr>
        <w:t xml:space="preserve"> las tasas de desempleo </w:t>
      </w:r>
      <w:r w:rsidR="0063185A">
        <w:rPr>
          <w:rFonts w:ascii="Times New Roman" w:hAnsi="Times New Roman" w:cs="Times New Roman"/>
          <w:sz w:val="24"/>
          <w:szCs w:val="24"/>
        </w:rPr>
        <w:t>más</w:t>
      </w:r>
      <w:r>
        <w:rPr>
          <w:rFonts w:ascii="Times New Roman" w:hAnsi="Times New Roman" w:cs="Times New Roman"/>
          <w:sz w:val="24"/>
          <w:szCs w:val="24"/>
        </w:rPr>
        <w:t xml:space="preserve"> bajas </w:t>
      </w:r>
      <w:r w:rsidR="0063185A">
        <w:rPr>
          <w:rFonts w:ascii="Times New Roman" w:hAnsi="Times New Roman" w:cs="Times New Roman"/>
          <w:sz w:val="24"/>
          <w:szCs w:val="24"/>
        </w:rPr>
        <w:t xml:space="preserve">de las cuales se tengan </w:t>
      </w:r>
      <w:r w:rsidR="00927D71">
        <w:rPr>
          <w:rFonts w:ascii="Times New Roman" w:hAnsi="Times New Roman" w:cs="Times New Roman"/>
          <w:sz w:val="24"/>
          <w:szCs w:val="24"/>
        </w:rPr>
        <w:t>registros</w:t>
      </w:r>
      <w:r w:rsidR="0063185A">
        <w:rPr>
          <w:rFonts w:ascii="Times New Roman" w:hAnsi="Times New Roman" w:cs="Times New Roman"/>
          <w:sz w:val="24"/>
          <w:szCs w:val="24"/>
        </w:rPr>
        <w:t xml:space="preserve"> </w:t>
      </w:r>
      <w:r w:rsidR="00784369">
        <w:rPr>
          <w:rFonts w:ascii="Times New Roman" w:hAnsi="Times New Roman" w:cs="Times New Roman"/>
          <w:sz w:val="24"/>
          <w:szCs w:val="24"/>
        </w:rPr>
        <w:t>históricos</w:t>
      </w:r>
      <w:r w:rsidR="00927D71">
        <w:rPr>
          <w:rFonts w:ascii="Times New Roman" w:hAnsi="Times New Roman" w:cs="Times New Roman"/>
          <w:sz w:val="24"/>
          <w:szCs w:val="24"/>
        </w:rPr>
        <w:t>, ubicando a la economía en una situación de virtual pleno empleo</w:t>
      </w:r>
      <w:r w:rsidR="002E1778">
        <w:rPr>
          <w:rFonts w:ascii="Times New Roman" w:hAnsi="Times New Roman" w:cs="Times New Roman"/>
          <w:sz w:val="24"/>
          <w:szCs w:val="24"/>
        </w:rPr>
        <w:t xml:space="preserve"> o de desempleo </w:t>
      </w:r>
      <w:r w:rsidR="00621425">
        <w:rPr>
          <w:rFonts w:ascii="Times New Roman" w:hAnsi="Times New Roman" w:cs="Times New Roman"/>
          <w:sz w:val="24"/>
          <w:szCs w:val="24"/>
        </w:rPr>
        <w:t>friccional</w:t>
      </w:r>
      <w:r w:rsidR="002E1778">
        <w:rPr>
          <w:rFonts w:ascii="Times New Roman" w:hAnsi="Times New Roman" w:cs="Times New Roman"/>
          <w:sz w:val="24"/>
          <w:szCs w:val="24"/>
        </w:rPr>
        <w:t xml:space="preserve"> (ver </w:t>
      </w:r>
      <w:r w:rsidR="00621425">
        <w:rPr>
          <w:rFonts w:ascii="Times New Roman" w:hAnsi="Times New Roman" w:cs="Times New Roman"/>
          <w:sz w:val="24"/>
          <w:szCs w:val="24"/>
        </w:rPr>
        <w:t>gráfico</w:t>
      </w:r>
      <w:r w:rsidR="002E1778">
        <w:rPr>
          <w:rFonts w:ascii="Times New Roman" w:hAnsi="Times New Roman" w:cs="Times New Roman"/>
          <w:sz w:val="24"/>
          <w:szCs w:val="24"/>
        </w:rPr>
        <w:t xml:space="preserve"> II).</w:t>
      </w:r>
      <w:r w:rsidR="00927D71">
        <w:rPr>
          <w:rFonts w:ascii="Times New Roman" w:hAnsi="Times New Roman" w:cs="Times New Roman"/>
          <w:sz w:val="24"/>
          <w:szCs w:val="24"/>
        </w:rPr>
        <w:t xml:space="preserve"> </w:t>
      </w:r>
      <w:r w:rsidR="0063185A">
        <w:rPr>
          <w:rFonts w:ascii="Times New Roman" w:hAnsi="Times New Roman" w:cs="Times New Roman"/>
          <w:sz w:val="24"/>
          <w:szCs w:val="24"/>
        </w:rPr>
        <w:t>En consecuencia, se espera que las</w:t>
      </w:r>
      <w:r>
        <w:rPr>
          <w:rFonts w:ascii="Times New Roman" w:hAnsi="Times New Roman" w:cs="Times New Roman"/>
          <w:sz w:val="24"/>
          <w:szCs w:val="24"/>
        </w:rPr>
        <w:t xml:space="preserve"> nuevas inversiones </w:t>
      </w:r>
      <w:r w:rsidR="0063185A">
        <w:rPr>
          <w:rFonts w:ascii="Times New Roman" w:hAnsi="Times New Roman" w:cs="Times New Roman"/>
          <w:sz w:val="24"/>
          <w:szCs w:val="24"/>
        </w:rPr>
        <w:t>(</w:t>
      </w:r>
      <w:r w:rsidR="00810E93">
        <w:rPr>
          <w:rFonts w:ascii="Times New Roman" w:hAnsi="Times New Roman" w:cs="Times New Roman"/>
          <w:sz w:val="24"/>
          <w:szCs w:val="24"/>
        </w:rPr>
        <w:t>en un principio</w:t>
      </w:r>
      <w:r w:rsidR="0063185A">
        <w:rPr>
          <w:rFonts w:ascii="Times New Roman" w:hAnsi="Times New Roman" w:cs="Times New Roman"/>
          <w:sz w:val="24"/>
          <w:szCs w:val="24"/>
        </w:rPr>
        <w:t>)</w:t>
      </w:r>
      <w:r w:rsidR="00810E93">
        <w:rPr>
          <w:rFonts w:ascii="Times New Roman" w:hAnsi="Times New Roman" w:cs="Times New Roman"/>
          <w:sz w:val="24"/>
          <w:szCs w:val="24"/>
        </w:rPr>
        <w:t xml:space="preserve"> generen cierta </w:t>
      </w:r>
      <w:r w:rsidR="002F353B">
        <w:rPr>
          <w:rFonts w:ascii="Times New Roman" w:hAnsi="Times New Roman" w:cs="Times New Roman"/>
          <w:sz w:val="24"/>
          <w:szCs w:val="24"/>
        </w:rPr>
        <w:t xml:space="preserve">presión sobre el mercado de trabajo </w:t>
      </w:r>
      <w:r w:rsidR="00810E93">
        <w:rPr>
          <w:rFonts w:ascii="Times New Roman" w:hAnsi="Times New Roman" w:cs="Times New Roman"/>
          <w:sz w:val="24"/>
          <w:szCs w:val="24"/>
        </w:rPr>
        <w:t xml:space="preserve">que </w:t>
      </w:r>
      <w:r w:rsidR="002F353B">
        <w:rPr>
          <w:rFonts w:ascii="Times New Roman" w:hAnsi="Times New Roman" w:cs="Times New Roman"/>
          <w:sz w:val="24"/>
          <w:szCs w:val="24"/>
        </w:rPr>
        <w:t>redundará</w:t>
      </w:r>
      <w:r w:rsidR="00810E93">
        <w:rPr>
          <w:rFonts w:ascii="Times New Roman" w:hAnsi="Times New Roman" w:cs="Times New Roman"/>
          <w:sz w:val="24"/>
          <w:szCs w:val="24"/>
        </w:rPr>
        <w:t>n</w:t>
      </w:r>
      <w:r w:rsidR="002F353B">
        <w:rPr>
          <w:rFonts w:ascii="Times New Roman" w:hAnsi="Times New Roman" w:cs="Times New Roman"/>
          <w:sz w:val="24"/>
          <w:szCs w:val="24"/>
        </w:rPr>
        <w:t xml:space="preserve"> en un incremento de las remuneraciones (no necesariamente del empleo), provocadas por un aumento de la productividad del trabajo</w:t>
      </w:r>
      <w:r w:rsidR="0063185A">
        <w:rPr>
          <w:rFonts w:ascii="Times New Roman" w:hAnsi="Times New Roman" w:cs="Times New Roman"/>
          <w:sz w:val="24"/>
          <w:szCs w:val="24"/>
        </w:rPr>
        <w:t xml:space="preserve"> dado la escasez relativa de capital</w:t>
      </w:r>
      <w:r w:rsidR="002F353B">
        <w:rPr>
          <w:rFonts w:ascii="Times New Roman" w:hAnsi="Times New Roman" w:cs="Times New Roman"/>
          <w:sz w:val="24"/>
          <w:szCs w:val="24"/>
        </w:rPr>
        <w:t>.</w:t>
      </w:r>
    </w:p>
    <w:p w:rsidR="000070FE" w:rsidRDefault="000070FE" w:rsidP="00304FB2">
      <w:pPr>
        <w:spacing w:after="120"/>
        <w:ind w:left="0"/>
        <w:rPr>
          <w:rFonts w:ascii="Times New Roman" w:hAnsi="Times New Roman" w:cs="Times New Roman"/>
          <w:sz w:val="24"/>
          <w:szCs w:val="24"/>
        </w:rPr>
      </w:pPr>
    </w:p>
    <w:p w:rsidR="0092664D" w:rsidRDefault="0092664D" w:rsidP="00304FB2">
      <w:pPr>
        <w:spacing w:after="120"/>
        <w:ind w:left="0"/>
        <w:rPr>
          <w:rFonts w:ascii="Times New Roman" w:hAnsi="Times New Roman" w:cs="Times New Roman"/>
          <w:sz w:val="24"/>
          <w:szCs w:val="24"/>
        </w:rPr>
      </w:pPr>
      <w:r>
        <w:rPr>
          <w:rFonts w:ascii="Times New Roman" w:hAnsi="Times New Roman" w:cs="Times New Roman"/>
          <w:sz w:val="24"/>
          <w:szCs w:val="24"/>
        </w:rPr>
        <w:t xml:space="preserve"> </w:t>
      </w:r>
    </w:p>
    <w:p w:rsidR="00CF7821" w:rsidRDefault="00CF7821" w:rsidP="00304FB2">
      <w:pPr>
        <w:spacing w:after="120"/>
        <w:ind w:left="0"/>
        <w:rPr>
          <w:rFonts w:ascii="Times New Roman" w:hAnsi="Times New Roman" w:cs="Times New Roman"/>
          <w:sz w:val="24"/>
          <w:szCs w:val="24"/>
        </w:rPr>
      </w:pPr>
      <w:r>
        <w:rPr>
          <w:noProof/>
          <w:lang w:val="en-US"/>
        </w:rPr>
        <mc:AlternateContent>
          <mc:Choice Requires="wps">
            <w:drawing>
              <wp:anchor distT="0" distB="0" distL="114300" distR="114300" simplePos="0" relativeHeight="251661312" behindDoc="0" locked="0" layoutInCell="1" allowOverlap="1" wp14:anchorId="4D3D8B4A" wp14:editId="4D1570FF">
                <wp:simplePos x="0" y="0"/>
                <wp:positionH relativeFrom="column">
                  <wp:posOffset>0</wp:posOffset>
                </wp:positionH>
                <wp:positionV relativeFrom="paragraph">
                  <wp:posOffset>44277</wp:posOffset>
                </wp:positionV>
                <wp:extent cx="5735782" cy="474980"/>
                <wp:effectExtent l="0" t="0" r="17780" b="2032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782" cy="474980"/>
                        </a:xfrm>
                        <a:prstGeom prst="rect">
                          <a:avLst/>
                        </a:prstGeom>
                        <a:solidFill>
                          <a:schemeClr val="bg1"/>
                        </a:solidFill>
                        <a:ln w="9525">
                          <a:solidFill>
                            <a:srgbClr val="000000"/>
                          </a:solidFill>
                          <a:miter lim="800000"/>
                          <a:headEnd/>
                          <a:tailEnd/>
                        </a:ln>
                      </wps:spPr>
                      <wps:txbx>
                        <w:txbxContent>
                          <w:p w:rsidR="002E1778" w:rsidRDefault="002E1778" w:rsidP="00CF7821">
                            <w:pPr>
                              <w:spacing w:before="0"/>
                              <w:ind w:left="360"/>
                              <w:jc w:val="center"/>
                              <w:rPr>
                                <w:b/>
                                <w:lang w:val="es-AR"/>
                              </w:rPr>
                            </w:pPr>
                            <w:r w:rsidRPr="009923F2">
                              <w:rPr>
                                <w:b/>
                                <w:lang w:val="es-AR"/>
                              </w:rPr>
                              <w:t>Gr</w:t>
                            </w:r>
                            <w:r>
                              <w:rPr>
                                <w:b/>
                                <w:lang w:val="es-AR"/>
                              </w:rPr>
                              <w:t>á</w:t>
                            </w:r>
                            <w:r w:rsidRPr="0062039C">
                              <w:rPr>
                                <w:b/>
                                <w:lang w:val="es-AR"/>
                              </w:rPr>
                              <w:t>fico</w:t>
                            </w:r>
                            <w:r w:rsidRPr="00EE3455">
                              <w:rPr>
                                <w:b/>
                                <w:lang w:val="es-AR"/>
                              </w:rPr>
                              <w:t xml:space="preserve"> </w:t>
                            </w:r>
                            <w:r>
                              <w:rPr>
                                <w:b/>
                                <w:lang w:val="es-AR"/>
                              </w:rPr>
                              <w:t>I</w:t>
                            </w:r>
                            <w:r w:rsidRPr="00EE3455">
                              <w:rPr>
                                <w:b/>
                                <w:lang w:val="es-AR"/>
                              </w:rPr>
                              <w:t xml:space="preserve">I: </w:t>
                            </w:r>
                            <w:r>
                              <w:rPr>
                                <w:b/>
                                <w:lang w:val="es-AR"/>
                              </w:rPr>
                              <w:t>Tasa de Desempleo</w:t>
                            </w:r>
                          </w:p>
                          <w:p w:rsidR="002E1778" w:rsidRPr="00EE3455" w:rsidRDefault="002E1778" w:rsidP="00CF7821">
                            <w:pPr>
                              <w:spacing w:before="0"/>
                              <w:ind w:left="360"/>
                              <w:jc w:val="center"/>
                              <w:rPr>
                                <w:b/>
                                <w:lang w:val="es-AR"/>
                              </w:rPr>
                            </w:pPr>
                            <w:r>
                              <w:rPr>
                                <w:b/>
                                <w:lang w:val="es-AR"/>
                              </w:rPr>
                              <w:t>Total País</w:t>
                            </w:r>
                          </w:p>
                          <w:p w:rsidR="002E1778" w:rsidRPr="00EE3455" w:rsidRDefault="002E1778" w:rsidP="00CF7821">
                            <w:pPr>
                              <w:spacing w:before="0"/>
                              <w:ind w:left="360"/>
                              <w:jc w:val="center"/>
                              <w:rPr>
                                <w:lang w:val="es-AR"/>
                              </w:rPr>
                            </w:pPr>
                            <w:r>
                              <w:rPr>
                                <w:lang w:val="es-AR"/>
                              </w:rPr>
                              <w:t xml:space="preserve">Total País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0;margin-top:3.5pt;width:451.65pt;height:3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" fillcolor="white [3212]">
                <v:textbox>
                  <w:txbxContent>
                    <w:p w:rsidR="002E1778" w:rsidRDefault="002E1778" w:rsidP="00CF7821">
                      <w:pPr>
                        <w:spacing w:before="0"/>
                        <w:ind w:left="360"/>
                        <w:jc w:val="center"/>
                        <w:rPr>
                          <w:b/>
                          <w:lang w:val="es-AR"/>
                        </w:rPr>
                      </w:pPr>
                      <w:r w:rsidRPr="009923F2">
                        <w:rPr>
                          <w:b/>
                          <w:lang w:val="es-AR"/>
                        </w:rPr>
                        <w:t>Gr</w:t>
                      </w:r>
                      <w:r>
                        <w:rPr>
                          <w:b/>
                          <w:lang w:val="es-AR"/>
                        </w:rPr>
                        <w:t>á</w:t>
                      </w:r>
                      <w:r w:rsidRPr="0062039C">
                        <w:rPr>
                          <w:b/>
                          <w:lang w:val="es-AR"/>
                        </w:rPr>
                        <w:t>fico</w:t>
                      </w:r>
                      <w:r w:rsidRPr="00EE3455">
                        <w:rPr>
                          <w:b/>
                          <w:lang w:val="es-AR"/>
                        </w:rPr>
                        <w:t xml:space="preserve"> </w:t>
                      </w:r>
                      <w:r>
                        <w:rPr>
                          <w:b/>
                          <w:lang w:val="es-AR"/>
                        </w:rPr>
                        <w:t>I</w:t>
                      </w:r>
                      <w:r w:rsidRPr="00EE3455">
                        <w:rPr>
                          <w:b/>
                          <w:lang w:val="es-AR"/>
                        </w:rPr>
                        <w:t xml:space="preserve">I: </w:t>
                      </w:r>
                      <w:r>
                        <w:rPr>
                          <w:b/>
                          <w:lang w:val="es-AR"/>
                        </w:rPr>
                        <w:t>Tasa de Desempleo</w:t>
                      </w:r>
                    </w:p>
                    <w:p w:rsidR="002E1778" w:rsidRPr="00EE3455" w:rsidRDefault="002E1778" w:rsidP="00CF7821">
                      <w:pPr>
                        <w:spacing w:before="0"/>
                        <w:ind w:left="360"/>
                        <w:jc w:val="center"/>
                        <w:rPr>
                          <w:b/>
                          <w:lang w:val="es-AR"/>
                        </w:rPr>
                      </w:pPr>
                      <w:r>
                        <w:rPr>
                          <w:b/>
                          <w:lang w:val="es-AR"/>
                        </w:rPr>
                        <w:t>Total País</w:t>
                      </w:r>
                    </w:p>
                    <w:p w:rsidR="002E1778" w:rsidRPr="00EE3455" w:rsidRDefault="002E1778" w:rsidP="00CF7821">
                      <w:pPr>
                        <w:spacing w:before="0"/>
                        <w:ind w:left="360"/>
                        <w:jc w:val="center"/>
                        <w:rPr>
                          <w:lang w:val="es-AR"/>
                        </w:rPr>
                      </w:pPr>
                      <w:r>
                        <w:rPr>
                          <w:lang w:val="es-AR"/>
                        </w:rPr>
                        <w:t xml:space="preserve">Total País </w:t>
                      </w:r>
                    </w:p>
                  </w:txbxContent>
                </v:textbox>
              </v:shape>
            </w:pict>
          </mc:Fallback>
        </mc:AlternateContent>
      </w:r>
    </w:p>
    <w:p w:rsidR="00CF7821" w:rsidRDefault="00CF7821" w:rsidP="00304FB2">
      <w:pPr>
        <w:spacing w:after="120"/>
        <w:ind w:left="0"/>
        <w:rPr>
          <w:rFonts w:ascii="Times New Roman" w:hAnsi="Times New Roman" w:cs="Times New Roman"/>
          <w:sz w:val="24"/>
          <w:szCs w:val="24"/>
        </w:rPr>
      </w:pPr>
      <w:r>
        <w:rPr>
          <w:noProof/>
          <w:lang w:val="en-US"/>
        </w:rPr>
        <w:drawing>
          <wp:inline distT="0" distB="0" distL="0" distR="0" wp14:anchorId="106D45AA" wp14:editId="4B164115">
            <wp:extent cx="5731510" cy="3484219"/>
            <wp:effectExtent l="0" t="0" r="21590" b="215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E1778" w:rsidRPr="00EE3455" w:rsidRDefault="002E1778" w:rsidP="002E1778">
      <w:pPr>
        <w:spacing w:after="120"/>
        <w:ind w:left="0"/>
        <w:rPr>
          <w:rFonts w:ascii="Times New Roman" w:hAnsi="Times New Roman" w:cs="Times New Roman"/>
          <w:sz w:val="16"/>
          <w:szCs w:val="16"/>
        </w:rPr>
      </w:pPr>
      <w:r w:rsidRPr="00EE3455">
        <w:rPr>
          <w:rFonts w:ascii="Times New Roman" w:hAnsi="Times New Roman" w:cs="Times New Roman"/>
          <w:sz w:val="16"/>
          <w:szCs w:val="16"/>
        </w:rPr>
        <w:t xml:space="preserve">Fuente: </w:t>
      </w:r>
      <w:r>
        <w:rPr>
          <w:rFonts w:ascii="Times New Roman" w:hAnsi="Times New Roman" w:cs="Times New Roman"/>
          <w:sz w:val="16"/>
          <w:szCs w:val="16"/>
        </w:rPr>
        <w:t xml:space="preserve">Instituto Nacional de </w:t>
      </w:r>
      <w:r w:rsidR="00621425">
        <w:rPr>
          <w:rFonts w:ascii="Times New Roman" w:hAnsi="Times New Roman" w:cs="Times New Roman"/>
          <w:sz w:val="16"/>
          <w:szCs w:val="16"/>
        </w:rPr>
        <w:t>Estadísticas</w:t>
      </w:r>
      <w:r>
        <w:rPr>
          <w:rFonts w:ascii="Times New Roman" w:hAnsi="Times New Roman" w:cs="Times New Roman"/>
          <w:sz w:val="16"/>
          <w:szCs w:val="16"/>
        </w:rPr>
        <w:t xml:space="preserve"> y Censos</w:t>
      </w:r>
    </w:p>
    <w:p w:rsidR="00CF7821" w:rsidRDefault="00CF7821" w:rsidP="00304FB2">
      <w:pPr>
        <w:spacing w:after="120"/>
        <w:ind w:left="0"/>
        <w:rPr>
          <w:rFonts w:ascii="Times New Roman" w:hAnsi="Times New Roman" w:cs="Times New Roman"/>
          <w:sz w:val="24"/>
          <w:szCs w:val="24"/>
        </w:rPr>
      </w:pPr>
    </w:p>
    <w:p w:rsidR="000070FE" w:rsidRDefault="000070FE" w:rsidP="000070FE">
      <w:pPr>
        <w:spacing w:after="120"/>
        <w:ind w:left="0"/>
        <w:rPr>
          <w:rFonts w:ascii="Times New Roman" w:hAnsi="Times New Roman" w:cs="Times New Roman"/>
          <w:sz w:val="24"/>
          <w:szCs w:val="24"/>
        </w:rPr>
      </w:pPr>
      <w:r w:rsidRPr="00CB5619">
        <w:rPr>
          <w:rFonts w:ascii="Times New Roman" w:hAnsi="Times New Roman" w:cs="Times New Roman"/>
          <w:sz w:val="24"/>
          <w:szCs w:val="24"/>
        </w:rPr>
        <w:t>Por otro lado, desde la perspectiva más general de la literatura económica, las firmas multinacionales pueden adoptar prácticas organizacionales y de negocios, programas de capacitación de personal y métodos de producción y tecnologías superiores que pueden resultan en incrementos de la productividad, que a su vez pueden diseminarse al resto de la economía. En este sentido, la evidencia empírica disponible sugiere que la IED puede redundar en aumentos de productividad en el país receptor en virtud de circulación de empleados –especialmente de aquellos con elevado nivel de capacitación- (Balsvik, 2011; Poole, 2013), el establecimiento de nuevas empresas por parte de individuos que trabajaron previamente en empresas multinacionales (Muendler, Rauch, and Tocoian, 2012) y los encadenamientos productivos verticales entre dichas empresas y empresas locales en sectores proveedores de insumos (Aitken, Hanson, and Harrison, 1997; Javorcik, 2004; Alfaro and Rodríguez-Clare, 2004).</w:t>
      </w:r>
    </w:p>
    <w:p w:rsidR="002E1778" w:rsidRDefault="002E1778" w:rsidP="00304FB2">
      <w:pPr>
        <w:spacing w:after="120"/>
        <w:ind w:left="0"/>
        <w:rPr>
          <w:rFonts w:ascii="Times New Roman" w:hAnsi="Times New Roman" w:cs="Times New Roman"/>
          <w:sz w:val="24"/>
          <w:szCs w:val="24"/>
        </w:rPr>
      </w:pPr>
      <w:r w:rsidRPr="00EE3455">
        <w:rPr>
          <w:rFonts w:ascii="Times New Roman" w:hAnsi="Times New Roman" w:cs="Times New Roman"/>
          <w:sz w:val="24"/>
          <w:szCs w:val="24"/>
        </w:rPr>
        <w:t xml:space="preserve">Se podría evaluar el beneficio económico desde </w:t>
      </w:r>
      <w:r>
        <w:rPr>
          <w:rFonts w:ascii="Times New Roman" w:hAnsi="Times New Roman" w:cs="Times New Roman"/>
          <w:sz w:val="24"/>
          <w:szCs w:val="24"/>
        </w:rPr>
        <w:t>otras</w:t>
      </w:r>
      <w:r w:rsidRPr="00EE3455">
        <w:rPr>
          <w:rFonts w:ascii="Times New Roman" w:hAnsi="Times New Roman" w:cs="Times New Roman"/>
          <w:sz w:val="24"/>
          <w:szCs w:val="24"/>
        </w:rPr>
        <w:t xml:space="preserve"> perspectivas. Por ejemplo, se podría determinar el valor económico de nuevos puestos de trabajo creados, del aumento de las exportaciones o directamente asumir aumentos en la productividad total de los factores.</w:t>
      </w:r>
      <w:r>
        <w:rPr>
          <w:rFonts w:ascii="Times New Roman" w:hAnsi="Times New Roman" w:cs="Times New Roman"/>
          <w:sz w:val="24"/>
          <w:szCs w:val="24"/>
        </w:rPr>
        <w:t xml:space="preserve"> Como ya se planteó, en la situación actual del mercado de trabajo es probable que mayores inversiones no redunden en nuevos puestos de trabajo creados sino en una utilización más eficiente de la fuerza laboral actualmente empleada</w:t>
      </w:r>
    </w:p>
    <w:p w:rsidR="005E7958" w:rsidRDefault="0092664D" w:rsidP="00304FB2">
      <w:pPr>
        <w:spacing w:after="120"/>
        <w:ind w:left="0"/>
        <w:rPr>
          <w:rFonts w:ascii="Times New Roman" w:hAnsi="Times New Roman" w:cs="Times New Roman"/>
          <w:sz w:val="24"/>
          <w:szCs w:val="24"/>
        </w:rPr>
      </w:pPr>
      <w:r>
        <w:rPr>
          <w:rFonts w:ascii="Times New Roman" w:hAnsi="Times New Roman" w:cs="Times New Roman"/>
          <w:sz w:val="24"/>
          <w:szCs w:val="24"/>
        </w:rPr>
        <w:t>Asimismo, la evaluación económica del aumento de las exportaciones debería tener en c</w:t>
      </w:r>
      <w:r w:rsidR="007D64D1">
        <w:rPr>
          <w:rFonts w:ascii="Times New Roman" w:hAnsi="Times New Roman" w:cs="Times New Roman"/>
          <w:sz w:val="24"/>
          <w:szCs w:val="24"/>
        </w:rPr>
        <w:t>uenta cuanto en primer lugar cuá</w:t>
      </w:r>
      <w:r>
        <w:rPr>
          <w:rFonts w:ascii="Times New Roman" w:hAnsi="Times New Roman" w:cs="Times New Roman"/>
          <w:sz w:val="24"/>
          <w:szCs w:val="24"/>
        </w:rPr>
        <w:t>nto es el valor agregado doméstico de dicha exportación, puesto que las exportaciones brutas contienen, principalmente en países como Uruguay</w:t>
      </w:r>
      <w:r w:rsidR="00F34095">
        <w:rPr>
          <w:rFonts w:ascii="Times New Roman" w:hAnsi="Times New Roman" w:cs="Times New Roman"/>
          <w:sz w:val="24"/>
          <w:szCs w:val="24"/>
        </w:rPr>
        <w:t xml:space="preserve"> que buscan posicionarse como Hubs logísticos regionales</w:t>
      </w:r>
      <w:r>
        <w:rPr>
          <w:rFonts w:ascii="Times New Roman" w:hAnsi="Times New Roman" w:cs="Times New Roman"/>
          <w:sz w:val="24"/>
          <w:szCs w:val="24"/>
        </w:rPr>
        <w:t xml:space="preserve">, un alto componente de importaciones. </w:t>
      </w:r>
      <w:r w:rsidR="005E7958">
        <w:rPr>
          <w:rFonts w:ascii="Times New Roman" w:hAnsi="Times New Roman" w:cs="Times New Roman"/>
          <w:sz w:val="24"/>
          <w:szCs w:val="24"/>
        </w:rPr>
        <w:t>Adicionalmente, el valor agregado doméstico se debería dividir (de forma simplificada) en remuneraciones al capital y al trabajo, y siendo el capital de origen extranjero es razonable medir el beneficio económico de las exportaciones tomando en cuenta la remuneración al trabajo, que es justamente lo que se realiza en este trabajo.</w:t>
      </w:r>
      <w:r w:rsidR="00C025B8">
        <w:rPr>
          <w:rFonts w:ascii="Times New Roman" w:hAnsi="Times New Roman" w:cs="Times New Roman"/>
          <w:sz w:val="24"/>
          <w:szCs w:val="24"/>
        </w:rPr>
        <w:t xml:space="preserve"> </w:t>
      </w:r>
    </w:p>
    <w:p w:rsidR="00304FB2" w:rsidRPr="00304FB2" w:rsidRDefault="002E1778" w:rsidP="00304FB2">
      <w:pPr>
        <w:spacing w:after="120"/>
        <w:ind w:left="0"/>
        <w:rPr>
          <w:rFonts w:ascii="Times New Roman" w:hAnsi="Times New Roman" w:cs="Times New Roman"/>
          <w:sz w:val="24"/>
          <w:szCs w:val="24"/>
        </w:rPr>
      </w:pPr>
      <w:r>
        <w:rPr>
          <w:rFonts w:ascii="Times New Roman" w:hAnsi="Times New Roman" w:cs="Times New Roman"/>
          <w:sz w:val="24"/>
          <w:szCs w:val="24"/>
        </w:rPr>
        <w:t xml:space="preserve">Como se </w:t>
      </w:r>
      <w:r w:rsidR="00F34095">
        <w:rPr>
          <w:rFonts w:ascii="Times New Roman" w:hAnsi="Times New Roman" w:cs="Times New Roman"/>
          <w:sz w:val="24"/>
          <w:szCs w:val="24"/>
        </w:rPr>
        <w:t>señaló</w:t>
      </w:r>
      <w:r>
        <w:rPr>
          <w:rFonts w:ascii="Times New Roman" w:hAnsi="Times New Roman" w:cs="Times New Roman"/>
          <w:sz w:val="24"/>
          <w:szCs w:val="24"/>
        </w:rPr>
        <w:t xml:space="preserve"> anteriormente, s</w:t>
      </w:r>
      <w:r w:rsidR="00304FB2" w:rsidRPr="00304FB2">
        <w:rPr>
          <w:rFonts w:ascii="Times New Roman" w:hAnsi="Times New Roman" w:cs="Times New Roman"/>
          <w:sz w:val="24"/>
          <w:szCs w:val="24"/>
        </w:rPr>
        <w:t xml:space="preserve">i bien la mayor inversión extranjera directa también </w:t>
      </w:r>
      <w:r w:rsidR="00C025B8">
        <w:rPr>
          <w:rFonts w:ascii="Times New Roman" w:hAnsi="Times New Roman" w:cs="Times New Roman"/>
          <w:sz w:val="24"/>
          <w:szCs w:val="24"/>
        </w:rPr>
        <w:t>puede ser</w:t>
      </w:r>
      <w:r w:rsidR="00C025B8" w:rsidRPr="00304FB2">
        <w:rPr>
          <w:rFonts w:ascii="Times New Roman" w:hAnsi="Times New Roman" w:cs="Times New Roman"/>
          <w:sz w:val="24"/>
          <w:szCs w:val="24"/>
        </w:rPr>
        <w:t xml:space="preserve"> </w:t>
      </w:r>
      <w:r w:rsidR="00304FB2" w:rsidRPr="00304FB2">
        <w:rPr>
          <w:rFonts w:ascii="Times New Roman" w:hAnsi="Times New Roman" w:cs="Times New Roman"/>
          <w:sz w:val="24"/>
          <w:szCs w:val="24"/>
        </w:rPr>
        <w:t>fuente de ganancias de productividad vía introducción de mejor tecnología</w:t>
      </w:r>
      <w:r w:rsidR="00304FB2">
        <w:rPr>
          <w:rFonts w:ascii="Times New Roman" w:hAnsi="Times New Roman" w:cs="Times New Roman"/>
          <w:sz w:val="24"/>
          <w:szCs w:val="24"/>
        </w:rPr>
        <w:t xml:space="preserve"> o mejores prácticas, el</w:t>
      </w:r>
      <w:r w:rsidR="00304FB2" w:rsidRPr="00304FB2">
        <w:rPr>
          <w:rFonts w:ascii="Times New Roman" w:hAnsi="Times New Roman" w:cs="Times New Roman"/>
          <w:sz w:val="24"/>
          <w:szCs w:val="24"/>
        </w:rPr>
        <w:t xml:space="preserve"> impacto a estimar se va a circunscribir al efecto estándar de una mayor dotación de capital por trabajador, sin considerar los efectos que la inversión puede tener sobre la productividad total de los factores, externalidades sobre la inversión en capital humano, mejoras derivadas de mayor inclusión social, incidencia sobre la efectividad de la innovación nacional o efectos sobre la dotación conocida de recursos naturales. Todos estos efectos, por demás importantes y que forman parte de los impactos esperados del programa, son de muy difícil cuantificación ex-ante.</w:t>
      </w:r>
    </w:p>
    <w:p w:rsidR="00304FB2" w:rsidRPr="00304FB2" w:rsidRDefault="00304FB2" w:rsidP="00304FB2">
      <w:pPr>
        <w:spacing w:after="120"/>
        <w:ind w:left="0"/>
        <w:rPr>
          <w:rFonts w:ascii="Times New Roman" w:hAnsi="Times New Roman" w:cs="Times New Roman"/>
          <w:sz w:val="24"/>
          <w:szCs w:val="24"/>
        </w:rPr>
      </w:pPr>
      <w:r w:rsidRPr="00304FB2">
        <w:rPr>
          <w:rFonts w:ascii="Times New Roman" w:hAnsi="Times New Roman" w:cs="Times New Roman"/>
          <w:sz w:val="24"/>
          <w:szCs w:val="24"/>
        </w:rPr>
        <w:t>A su vez, la modalidad del instrumento financiero que se utiliza en este proyecto</w:t>
      </w:r>
      <w:r w:rsidR="00E2213D">
        <w:rPr>
          <w:rFonts w:ascii="Times New Roman" w:hAnsi="Times New Roman" w:cs="Times New Roman"/>
          <w:sz w:val="24"/>
          <w:szCs w:val="24"/>
        </w:rPr>
        <w:t xml:space="preserve"> que incluye la </w:t>
      </w:r>
      <w:r w:rsidRPr="00304FB2">
        <w:rPr>
          <w:rFonts w:ascii="Times New Roman" w:hAnsi="Times New Roman" w:cs="Times New Roman"/>
          <w:sz w:val="24"/>
          <w:szCs w:val="24"/>
        </w:rPr>
        <w:t xml:space="preserve">opción de desembolso diferido constituye un instrumento de financiamiento “precautorio” que permitirá reducir la vulnerabilidad de la economía ante un posible deterioro en las condiciones externas fruto de un empeoramiento de la crisis internacional. </w:t>
      </w:r>
      <w:r w:rsidR="009923F2">
        <w:rPr>
          <w:rFonts w:ascii="Times New Roman" w:hAnsi="Times New Roman" w:cs="Times New Roman"/>
          <w:sz w:val="24"/>
          <w:szCs w:val="24"/>
        </w:rPr>
        <w:t>Esta reducción de la vulnerabilidad externa debería repercutir en mayores flujos de inversión</w:t>
      </w:r>
      <w:r>
        <w:rPr>
          <w:rFonts w:ascii="Times New Roman" w:hAnsi="Times New Roman" w:cs="Times New Roman"/>
          <w:sz w:val="24"/>
          <w:szCs w:val="24"/>
        </w:rPr>
        <w:t>.</w:t>
      </w:r>
    </w:p>
    <w:p w:rsidR="00304FB2" w:rsidRPr="00304FB2" w:rsidRDefault="009923F2" w:rsidP="00304FB2">
      <w:pPr>
        <w:spacing w:after="120"/>
        <w:ind w:left="0"/>
        <w:rPr>
          <w:rFonts w:ascii="Times New Roman" w:hAnsi="Times New Roman" w:cs="Times New Roman"/>
          <w:sz w:val="24"/>
          <w:szCs w:val="24"/>
        </w:rPr>
      </w:pPr>
      <w:r>
        <w:rPr>
          <w:rFonts w:ascii="Times New Roman" w:hAnsi="Times New Roman" w:cs="Times New Roman"/>
          <w:sz w:val="24"/>
          <w:szCs w:val="24"/>
        </w:rPr>
        <w:t xml:space="preserve">En resumen, </w:t>
      </w:r>
      <w:r w:rsidR="00304FB2" w:rsidRPr="00304FB2">
        <w:rPr>
          <w:rFonts w:ascii="Times New Roman" w:hAnsi="Times New Roman" w:cs="Times New Roman"/>
          <w:sz w:val="24"/>
          <w:szCs w:val="24"/>
        </w:rPr>
        <w:t xml:space="preserve">la estimación de los beneficios del programa </w:t>
      </w:r>
      <w:r>
        <w:rPr>
          <w:rFonts w:ascii="Times New Roman" w:hAnsi="Times New Roman" w:cs="Times New Roman"/>
          <w:sz w:val="24"/>
          <w:szCs w:val="24"/>
        </w:rPr>
        <w:t xml:space="preserve">se concentran </w:t>
      </w:r>
      <w:r w:rsidR="00304FB2" w:rsidRPr="00304FB2">
        <w:rPr>
          <w:rFonts w:ascii="Times New Roman" w:hAnsi="Times New Roman" w:cs="Times New Roman"/>
          <w:sz w:val="24"/>
          <w:szCs w:val="24"/>
        </w:rPr>
        <w:t xml:space="preserve">solamente en el impacto de la inversión sobre los salarios promedio de la economía y las ganancias de productividad laboral, aunque somos conscientes de que existe una serie adicional de beneficios que no se cuantifican en la presente estimación debido a la dificultad intrínseca de realizarla. </w:t>
      </w:r>
    </w:p>
    <w:p w:rsidR="009923F2" w:rsidRDefault="009923F2" w:rsidP="00F615AC">
      <w:pPr>
        <w:spacing w:after="120"/>
        <w:ind w:left="0" w:firstLine="708"/>
        <w:rPr>
          <w:rFonts w:ascii="Times New Roman" w:hAnsi="Times New Roman" w:cs="Times New Roman"/>
          <w:b/>
          <w:sz w:val="24"/>
          <w:szCs w:val="24"/>
        </w:rPr>
      </w:pPr>
    </w:p>
    <w:p w:rsidR="00F615AC" w:rsidRPr="00E35BBD" w:rsidRDefault="00F615AC" w:rsidP="00F615AC">
      <w:pPr>
        <w:spacing w:after="120"/>
        <w:ind w:left="0" w:firstLine="708"/>
        <w:rPr>
          <w:rFonts w:ascii="Times New Roman" w:hAnsi="Times New Roman" w:cs="Times New Roman"/>
          <w:b/>
          <w:sz w:val="24"/>
          <w:szCs w:val="24"/>
        </w:rPr>
      </w:pPr>
      <w:r>
        <w:rPr>
          <w:rFonts w:ascii="Times New Roman" w:hAnsi="Times New Roman" w:cs="Times New Roman"/>
          <w:b/>
          <w:sz w:val="24"/>
          <w:szCs w:val="24"/>
        </w:rPr>
        <w:t>2.1)</w:t>
      </w:r>
      <w:r>
        <w:rPr>
          <w:rFonts w:ascii="Times New Roman" w:hAnsi="Times New Roman" w:cs="Times New Roman"/>
          <w:b/>
          <w:sz w:val="24"/>
          <w:szCs w:val="24"/>
        </w:rPr>
        <w:tab/>
      </w:r>
      <w:r w:rsidRPr="00E35BBD">
        <w:rPr>
          <w:rFonts w:ascii="Times New Roman" w:hAnsi="Times New Roman" w:cs="Times New Roman"/>
          <w:b/>
          <w:sz w:val="24"/>
          <w:szCs w:val="24"/>
        </w:rPr>
        <w:t>Marco Teórico</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Partiendo del modelo de Ramsey – Cass – Koopmans</w:t>
      </w:r>
      <w:r>
        <w:rPr>
          <w:rStyle w:val="FootnoteReference"/>
          <w:rFonts w:ascii="Times New Roman" w:hAnsi="Times New Roman" w:cs="Times New Roman"/>
          <w:sz w:val="24"/>
          <w:szCs w:val="24"/>
        </w:rPr>
        <w:footnoteReference w:id="1"/>
      </w:r>
      <w:r w:rsidRPr="006A124F">
        <w:rPr>
          <w:rFonts w:ascii="Times New Roman" w:hAnsi="Times New Roman" w:cs="Times New Roman"/>
          <w:sz w:val="24"/>
          <w:szCs w:val="24"/>
        </w:rPr>
        <w:t>, que  es una referencia en la literatura sobre crecimiento económico, se establece como endógena la tasa de ahorro y se determina el equilibrio de estado estacionario para las trayectorias del capital y consumo, entre otra</w:t>
      </w:r>
      <w:r>
        <w:rPr>
          <w:rFonts w:ascii="Times New Roman" w:hAnsi="Times New Roman" w:cs="Times New Roman"/>
          <w:sz w:val="24"/>
          <w:szCs w:val="24"/>
        </w:rPr>
        <w:t xml:space="preserve">s </w:t>
      </w:r>
      <w:r w:rsidRPr="006A124F">
        <w:rPr>
          <w:rFonts w:ascii="Times New Roman" w:hAnsi="Times New Roman" w:cs="Times New Roman"/>
          <w:sz w:val="24"/>
          <w:szCs w:val="24"/>
        </w:rPr>
        <w:t xml:space="preserve">variables. </w:t>
      </w:r>
      <w:r>
        <w:rPr>
          <w:rFonts w:ascii="Times New Roman" w:hAnsi="Times New Roman" w:cs="Times New Roman"/>
          <w:sz w:val="24"/>
          <w:szCs w:val="24"/>
        </w:rPr>
        <w:t xml:space="preserve">Este modelo postula que, en el estado estacionario, el capital por trabajador es constante, y por lo tanto el salario por trabajador efectivo crece a una tasa contante, equivalente al incremento en la productividad total de los factores. </w:t>
      </w:r>
      <w:r w:rsidRPr="006A124F">
        <w:rPr>
          <w:rFonts w:ascii="Times New Roman" w:hAnsi="Times New Roman" w:cs="Times New Roman"/>
          <w:sz w:val="24"/>
          <w:szCs w:val="24"/>
        </w:rPr>
        <w:t xml:space="preserve">Utilizando una función de producción </w:t>
      </w:r>
      <w:r>
        <w:rPr>
          <w:rFonts w:ascii="Times New Roman" w:hAnsi="Times New Roman" w:cs="Times New Roman"/>
          <w:sz w:val="24"/>
          <w:szCs w:val="24"/>
        </w:rPr>
        <w:t xml:space="preserve">del tipo </w:t>
      </w:r>
      <w:r w:rsidRPr="006A124F">
        <w:rPr>
          <w:rFonts w:ascii="Times New Roman" w:hAnsi="Times New Roman" w:cs="Times New Roman"/>
          <w:sz w:val="24"/>
          <w:szCs w:val="24"/>
        </w:rPr>
        <w:t xml:space="preserve">Cobb Douglas se puede estimar la relación entre la variación del salario y la variación del capital por trabajador. </w:t>
      </w:r>
      <w:r>
        <w:rPr>
          <w:rFonts w:ascii="Times New Roman" w:hAnsi="Times New Roman" w:cs="Times New Roman"/>
          <w:sz w:val="24"/>
          <w:szCs w:val="24"/>
        </w:rPr>
        <w:tab/>
      </w:r>
    </w:p>
    <w:p w:rsidR="00F615AC" w:rsidRDefault="008A532A" w:rsidP="00F615AC">
      <w:pPr>
        <w:spacing w:after="120"/>
        <w:ind w:left="0"/>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e>
          <m:sup>
            <m:r>
              <w:rPr>
                <w:rFonts w:ascii="Cambria Math" w:hAnsi="Cambria Math" w:cs="Times New Roman"/>
                <w:sz w:val="24"/>
                <w:szCs w:val="24"/>
              </w:rPr>
              <m:t>∝</m:t>
            </m:r>
          </m:sup>
        </m:sSup>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r>
              <w:rPr>
                <w:rFonts w:ascii="Cambria Math" w:hAnsi="Cambria Math" w:cs="Times New Roman"/>
                <w:sz w:val="24"/>
                <w:szCs w:val="24"/>
              </w:rPr>
              <m:t>)</m:t>
            </m:r>
          </m:e>
          <m:sup>
            <m:r>
              <w:rPr>
                <w:rFonts w:ascii="Cambria Math" w:hAnsi="Cambria Math" w:cs="Times New Roman"/>
                <w:sz w:val="24"/>
                <w:szCs w:val="24"/>
              </w:rPr>
              <m:t>1-∝</m:t>
            </m:r>
          </m:sup>
        </m:sSup>
      </m:oMath>
      <w:r w:rsidR="00F615AC">
        <w:rPr>
          <w:rFonts w:ascii="Times New Roman" w:eastAsiaTheme="minorEastAsia" w:hAnsi="Times New Roman" w:cs="Times New Roman"/>
          <w:sz w:val="24"/>
          <w:szCs w:val="24"/>
        </w:rPr>
        <w:tab/>
        <w:t xml:space="preserve">                                                     </w:t>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 xml:space="preserve">     </w:t>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(1)</w:t>
      </w:r>
    </w:p>
    <w:p w:rsidR="00F615AC" w:rsidRPr="006A124F" w:rsidRDefault="00F615AC" w:rsidP="00F615AC">
      <w:pPr>
        <w:spacing w:after="120"/>
        <w:ind w:left="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Donde </w:t>
      </w:r>
      <w:r>
        <w:rPr>
          <w:rFonts w:ascii="Times New Roman" w:eastAsiaTheme="minorEastAsia"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es la productividad total de los factores, </w:t>
      </w:r>
      <w:r>
        <w:rPr>
          <w:rFonts w:ascii="Times New Roman" w:eastAsiaTheme="minorEastAsia"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es el capital físico,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r>
          <w:rPr>
            <w:rFonts w:ascii="Cambria Math" w:hAnsi="Cambria Math" w:cs="Times New Roman"/>
            <w:sz w:val="24"/>
            <w:szCs w:val="24"/>
          </w:rPr>
          <m:t xml:space="preserve"> </m:t>
        </m:r>
      </m:oMath>
      <w:r>
        <w:rPr>
          <w:rFonts w:ascii="Times New Roman" w:eastAsiaTheme="minorEastAsia" w:hAnsi="Times New Roman" w:cs="Times New Roman"/>
          <w:sz w:val="24"/>
          <w:szCs w:val="24"/>
        </w:rPr>
        <w:t xml:space="preserve">es la efectividad del trabajo, </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es el capital humano y </w:t>
      </w:r>
      <m:oMath>
        <m:r>
          <w:rPr>
            <w:rFonts w:ascii="Cambria Math" w:hAnsi="Cambria Math" w:cs="Times New Roman"/>
            <w:sz w:val="24"/>
            <w:szCs w:val="24"/>
          </w:rPr>
          <m:t>α</m:t>
        </m:r>
      </m:oMath>
      <w:r>
        <w:rPr>
          <w:rFonts w:ascii="Times New Roman" w:eastAsiaTheme="minorEastAsia" w:hAnsi="Times New Roman" w:cs="Times New Roman"/>
          <w:sz w:val="24"/>
          <w:szCs w:val="24"/>
        </w:rPr>
        <w:t xml:space="preserve"> es la participación del capital en el producto. </w:t>
      </w:r>
    </w:p>
    <w:p w:rsidR="00F615AC" w:rsidRDefault="00F615AC" w:rsidP="00F615AC">
      <w:pPr>
        <w:spacing w:after="120"/>
        <w:ind w:left="0"/>
        <w:rPr>
          <w:rFonts w:ascii="Times New Roman" w:eastAsiaTheme="minorEastAsia" w:hAnsi="Times New Roman" w:cs="Times New Roman"/>
          <w:sz w:val="24"/>
          <w:szCs w:val="24"/>
        </w:rPr>
      </w:pPr>
      <w:r w:rsidRPr="006A124F">
        <w:rPr>
          <w:rFonts w:ascii="Times New Roman" w:eastAsiaTheme="minorEastAsia" w:hAnsi="Times New Roman" w:cs="Times New Roman"/>
          <w:sz w:val="24"/>
          <w:szCs w:val="24"/>
        </w:rPr>
        <w:t>Derivando las condiciones de primer orden para el trabajo y el capital y sustituyendo, tenemos</w:t>
      </w:r>
      <w:r>
        <w:rPr>
          <w:rFonts w:ascii="Times New Roman" w:eastAsiaTheme="minorEastAsia" w:hAnsi="Times New Roman" w:cs="Times New Roman"/>
          <w:sz w:val="24"/>
          <w:szCs w:val="24"/>
        </w:rPr>
        <w:t xml:space="preserve"> la ecuación de formación de los salarios:  </w:t>
      </w:r>
    </w:p>
    <w:p w:rsidR="00F615AC" w:rsidRPr="006A124F" w:rsidRDefault="008A532A" w:rsidP="00F615AC">
      <w:pPr>
        <w:spacing w:after="120"/>
        <w:ind w:left="0"/>
        <w:rPr>
          <w:rFonts w:ascii="Times New Roman" w:hAnsi="Times New Roman" w:cs="Times New Roman"/>
          <w:sz w:val="24"/>
          <w:szCs w:val="24"/>
        </w:rPr>
      </w:pPr>
      <m:oMath>
        <m:sSub>
          <m:sSubPr>
            <m:ctrlPr>
              <w:rPr>
                <w:rFonts w:ascii="Cambria Math" w:hAnsi="Cambria Math" w:cs="Times New Roman"/>
                <w:i/>
                <w:sz w:val="24"/>
                <w:szCs w:val="24"/>
              </w:rPr>
            </m:ctrlPr>
          </m:sSubPr>
          <m:e>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∂L</m:t>
                </m:r>
              </m:den>
            </m:f>
            <m:r>
              <w:rPr>
                <w:rFonts w:ascii="Cambria Math" w:hAnsi="Cambria Math" w:cs="Times New Roman"/>
                <w:sz w:val="24"/>
                <w:szCs w:val="24"/>
              </w:rPr>
              <m:t>=0→</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∂L</m:t>
                </m:r>
              </m:den>
            </m:f>
            <m:r>
              <w:rPr>
                <w:rFonts w:ascii="Cambria Math" w:hAnsi="Cambria Math" w:cs="Times New Roman"/>
                <w:sz w:val="24"/>
                <w:szCs w:val="24"/>
              </w:rPr>
              <m:t>-W=0→W</m:t>
            </m:r>
          </m:e>
          <m:sub>
            <m:r>
              <w:rPr>
                <w:rFonts w:ascii="Cambria Math" w:hAnsi="Cambria Math" w:cs="Times New Roman"/>
                <w:sz w:val="24"/>
                <w:szCs w:val="24"/>
              </w:rPr>
              <m:t>t</m:t>
            </m:r>
          </m:sub>
        </m:sSub>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den>
                </m:f>
              </m:e>
            </m:d>
          </m:e>
          <m:sup>
            <m:r>
              <w:rPr>
                <w:rFonts w:ascii="Cambria Math" w:hAnsi="Cambria Math" w:cs="Times New Roman"/>
                <w:sz w:val="24"/>
                <w:szCs w:val="24"/>
              </w:rPr>
              <m:t>∝</m:t>
            </m:r>
          </m:sup>
        </m:sSup>
      </m:oMath>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(2)</w:t>
      </w:r>
    </w:p>
    <w:p w:rsidR="00F615AC" w:rsidRPr="006A124F" w:rsidRDefault="00F615AC" w:rsidP="00F615AC">
      <w:pPr>
        <w:spacing w:after="120"/>
        <w:ind w:left="0"/>
        <w:rPr>
          <w:rFonts w:ascii="Times New Roman" w:hAnsi="Times New Roman" w:cs="Times New Roman"/>
          <w:sz w:val="24"/>
          <w:szCs w:val="24"/>
        </w:rPr>
      </w:pPr>
      <w:r>
        <w:rPr>
          <w:rFonts w:ascii="Times New Roman" w:eastAsiaTheme="minorEastAsia" w:hAnsi="Times New Roman" w:cs="Times New Roman"/>
          <w:sz w:val="24"/>
          <w:szCs w:val="24"/>
        </w:rPr>
        <w:t>Dado que en esta función tenemos dos fuentes de cambios tecnológicos (</w:t>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 xml:space="preserve"> y h</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es útil definir la ecuación de formación del salario por unidad de trabajo efectivo: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t</m:t>
            </m:r>
          </m:sub>
        </m:sSub>
        <m:r>
          <w:rPr>
            <w:rFonts w:ascii="Cambria Math" w:eastAsiaTheme="minorEastAsia" w:hAnsi="Cambria Math" w:cs="Times New Roman"/>
            <w:sz w:val="24"/>
            <w:szCs w:val="24"/>
          </w:rPr>
          <m:t>=</m:t>
        </m:r>
        <m:f>
          <m:fPr>
            <m:type m:val="skw"/>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t</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t</m:t>
                </m:r>
              </m:sub>
            </m:sSub>
          </m:den>
        </m:f>
      </m:oMath>
      <w:r>
        <w:rPr>
          <w:rFonts w:ascii="Times New Roman" w:eastAsiaTheme="minorEastAsia" w:hAnsi="Times New Roman" w:cs="Times New Roman"/>
          <w:sz w:val="24"/>
          <w:szCs w:val="24"/>
        </w:rPr>
        <w:t>;</w:t>
      </w:r>
    </w:p>
    <w:p w:rsidR="00F615AC" w:rsidRDefault="008A532A" w:rsidP="00F615AC">
      <w:pPr>
        <w:spacing w:after="120"/>
        <w:ind w:left="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m:t>
            </m:r>
          </m:sub>
        </m:sSub>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den>
                </m:f>
              </m:e>
            </m:d>
          </m:e>
          <m:sup>
            <m:r>
              <w:rPr>
                <w:rFonts w:ascii="Cambria Math" w:hAnsi="Cambria Math" w:cs="Times New Roman"/>
                <w:sz w:val="24"/>
                <w:szCs w:val="24"/>
              </w:rPr>
              <m:t>∝</m:t>
            </m:r>
          </m:sup>
        </m:sSup>
      </m:oMath>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(3)</w:t>
      </w:r>
    </w:p>
    <w:p w:rsidR="00F615AC" w:rsidRPr="006A124F"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De esta manera, cambios en el capital por trabajador efectivo determinarán aumentos en el salario por trabajador efectivo. Si expresamos esta ecuación en tasa de crecimiento, tenemos que:</w:t>
      </w:r>
    </w:p>
    <w:p w:rsidR="00F615AC" w:rsidRPr="006A124F" w:rsidRDefault="008A532A" w:rsidP="00F615AC">
      <w:pPr>
        <w:spacing w:after="120"/>
        <w:ind w:left="0"/>
        <w:rPr>
          <w:rFonts w:ascii="Times New Roman" w:hAnsi="Times New Roman" w:cs="Times New Roman"/>
          <w:sz w:val="24"/>
          <w:szCs w:val="24"/>
        </w:rPr>
      </w:pPr>
      <m:oMath>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m:t>
                    </m:r>
                  </m:sub>
                </m:sSub>
              </m:e>
            </m:d>
            <m:ctrlPr>
              <w:rPr>
                <w:rFonts w:ascii="Cambria Math" w:hAnsi="Cambria Math" w:cs="Times New Roman"/>
                <w:i/>
                <w:sz w:val="24"/>
                <w:szCs w:val="24"/>
              </w:rPr>
            </m:ctrlPr>
          </m:e>
        </m:func>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t-1</m:t>
                    </m:r>
                  </m:sub>
                </m:sSub>
              </m:e>
            </m:d>
            <m:ctrlPr>
              <w:rPr>
                <w:rFonts w:ascii="Cambria Math" w:hAnsi="Cambria Math" w:cs="Times New Roman"/>
                <w:i/>
                <w:sz w:val="24"/>
                <w:szCs w:val="24"/>
              </w:rPr>
            </m:ctrlPr>
          </m:e>
        </m:func>
        <m:r>
          <w:rPr>
            <w:rFonts w:ascii="Cambria Math" w:hAnsi="Cambria Math" w:cs="Times New Roman"/>
            <w:sz w:val="24"/>
            <w:szCs w:val="24"/>
          </w:rPr>
          <m:t>=</m:t>
        </m:r>
        <m:r>
          <m:rPr>
            <m:sty m:val="p"/>
          </m:rPr>
          <w:rPr>
            <w:rFonts w:ascii="Cambria Math" w:hAnsi="Cambria Math" w:cs="Times New Roman"/>
            <w:sz w:val="24"/>
            <w:szCs w:val="24"/>
          </w:rPr>
          <m:t>lg</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r>
          <w:rPr>
            <w:rFonts w:ascii="Cambria Math" w:hAnsi="Cambria Math" w:cs="Times New Roman"/>
            <w:sz w:val="24"/>
            <w:szCs w:val="24"/>
          </w:rPr>
          <m:t>-</m:t>
        </m:r>
        <m:r>
          <m:rPr>
            <m:sty m:val="p"/>
          </m:rPr>
          <w:rPr>
            <w:rFonts w:ascii="Cambria Math" w:hAnsi="Cambria Math" w:cs="Times New Roman"/>
            <w:sz w:val="24"/>
            <w:szCs w:val="24"/>
          </w:rPr>
          <m:t>lg</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t-1</m:t>
            </m:r>
          </m:sub>
        </m:sSub>
        <m:sSup>
          <m:sSupPr>
            <m:ctrlPr>
              <w:rPr>
                <w:rFonts w:ascii="Cambria Math" w:hAnsi="Cambria Math" w:cs="Times New Roman"/>
                <w:i/>
                <w:sz w:val="24"/>
                <w:szCs w:val="24"/>
              </w:rPr>
            </m:ctrlPr>
          </m:sSupPr>
          <m:e>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lg</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den>
                    </m:f>
                  </m:e>
                </m:d>
                <m:r>
                  <w:rPr>
                    <w:rFonts w:ascii="Cambria Math" w:hAnsi="Cambria Math" w:cs="Times New Roman"/>
                    <w:sz w:val="24"/>
                    <w:szCs w:val="24"/>
                  </w:rPr>
                  <m:t>-</m:t>
                </m:r>
                <m:r>
                  <m:rPr>
                    <m:sty m:val="p"/>
                  </m:rPr>
                  <w:rPr>
                    <w:rFonts w:ascii="Cambria Math" w:hAnsi="Cambria Math" w:cs="Times New Roman"/>
                    <w:sz w:val="24"/>
                    <w:szCs w:val="24"/>
                  </w:rPr>
                  <m:t>lg</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t-1</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t-1</m:t>
                            </m:r>
                          </m:sub>
                        </m:sSub>
                      </m:den>
                    </m:f>
                  </m:e>
                </m:d>
              </m:e>
            </m:d>
          </m:e>
          <m:sup/>
        </m:sSup>
      </m:oMath>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(4)</w:t>
      </w:r>
    </w:p>
    <w:p w:rsidR="00F615AC" w:rsidRDefault="00F615AC" w:rsidP="00F615AC">
      <w:pPr>
        <w:spacing w:after="120"/>
        <w:ind w:left="0"/>
        <w:rPr>
          <w:rFonts w:ascii="Times New Roman" w:eastAsiaTheme="minorEastAsia" w:hAnsi="Times New Roman" w:cs="Times New Roman"/>
          <w:sz w:val="24"/>
          <w:szCs w:val="24"/>
        </w:rPr>
      </w:pPr>
      <w:r>
        <w:rPr>
          <w:rFonts w:ascii="Times New Roman" w:hAnsi="Times New Roman" w:cs="Times New Roman"/>
          <w:sz w:val="24"/>
          <w:szCs w:val="24"/>
        </w:rPr>
        <w:t xml:space="preserve">En equilibrio de largo plazo </w:t>
      </w:r>
      <w:r w:rsidRPr="006A124F">
        <w:rPr>
          <w:rFonts w:ascii="Times New Roman" w:hAnsi="Times New Roman" w:cs="Times New Roman"/>
          <w:sz w:val="24"/>
          <w:szCs w:val="24"/>
        </w:rPr>
        <w:t xml:space="preserve">el salario </w:t>
      </w:r>
      <w:r>
        <w:rPr>
          <w:rFonts w:ascii="Times New Roman" w:hAnsi="Times New Roman" w:cs="Times New Roman"/>
          <w:sz w:val="24"/>
          <w:szCs w:val="24"/>
        </w:rPr>
        <w:t>por unidad de trabajo efectivo</w:t>
      </w:r>
      <w:r w:rsidRPr="006A124F">
        <w:rPr>
          <w:rFonts w:ascii="Times New Roman" w:hAnsi="Times New Roman" w:cs="Times New Roman"/>
          <w:sz w:val="24"/>
          <w:szCs w:val="24"/>
        </w:rPr>
        <w:t xml:space="preserve"> crecerá a la tasa de crecimiento de la productividad total de los factores</w:t>
      </w:r>
      <w:r>
        <w:rPr>
          <w:rFonts w:ascii="Times New Roman" w:hAnsi="Times New Roman" w:cs="Times New Roman"/>
          <w:sz w:val="24"/>
          <w:szCs w:val="24"/>
        </w:rPr>
        <w:t xml:space="preserve"> (PTF)</w:t>
      </w:r>
      <w:r w:rsidRPr="006A124F">
        <w:rPr>
          <w:rFonts w:ascii="Times New Roman" w:hAnsi="Times New Roman" w:cs="Times New Roman"/>
          <w:sz w:val="24"/>
          <w:szCs w:val="24"/>
        </w:rPr>
        <w:t xml:space="preserve">: </w:t>
      </w:r>
      <m:oMath>
        <m:r>
          <w:rPr>
            <w:rFonts w:ascii="Cambria Math" w:hAnsi="Cambria Math" w:cs="Times New Roman"/>
            <w:sz w:val="24"/>
            <w:szCs w:val="24"/>
          </w:rPr>
          <m:t>δ=</m:t>
        </m:r>
        <m:r>
          <m:rPr>
            <m:sty m:val="p"/>
          </m:rPr>
          <w:rPr>
            <w:rFonts w:ascii="Cambria Math" w:hAnsi="Cambria Math" w:cs="Times New Roman"/>
            <w:sz w:val="24"/>
            <w:szCs w:val="24"/>
          </w:rPr>
          <m:t>lg</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r>
          <w:rPr>
            <w:rFonts w:ascii="Cambria Math" w:hAnsi="Cambria Math" w:cs="Times New Roman"/>
            <w:sz w:val="24"/>
            <w:szCs w:val="24"/>
          </w:rPr>
          <m:t>-</m:t>
        </m:r>
        <m:r>
          <m:rPr>
            <m:sty m:val="p"/>
          </m:rPr>
          <w:rPr>
            <w:rFonts w:ascii="Cambria Math" w:hAnsi="Cambria Math" w:cs="Times New Roman"/>
            <w:sz w:val="24"/>
            <w:szCs w:val="24"/>
          </w:rPr>
          <m:t>lg</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t-1</m:t>
            </m:r>
          </m:sub>
        </m:sSub>
      </m:oMath>
      <w:r w:rsidRPr="006A124F">
        <w:rPr>
          <w:rFonts w:ascii="Times New Roman" w:eastAsiaTheme="minorEastAsia" w:hAnsi="Times New Roman" w:cs="Times New Roman"/>
          <w:sz w:val="24"/>
          <w:szCs w:val="24"/>
        </w:rPr>
        <w:t xml:space="preserve">. </w:t>
      </w:r>
    </w:p>
    <w:p w:rsidR="00F615AC" w:rsidRPr="006A124F" w:rsidRDefault="00F615AC" w:rsidP="00F615AC">
      <w:pPr>
        <w:spacing w:after="120"/>
        <w:ind w:left="0"/>
        <w:rPr>
          <w:rFonts w:ascii="Times New Roman" w:hAnsi="Times New Roman" w:cs="Times New Roman"/>
          <w:sz w:val="24"/>
          <w:szCs w:val="24"/>
        </w:rPr>
      </w:pPr>
      <w:r>
        <w:rPr>
          <w:rFonts w:ascii="Times New Roman" w:eastAsiaTheme="minorEastAsia" w:hAnsi="Times New Roman" w:cs="Times New Roman"/>
          <w:sz w:val="24"/>
          <w:szCs w:val="24"/>
        </w:rPr>
        <w:t>La</w:t>
      </w:r>
      <w:r w:rsidRPr="006A124F">
        <w:rPr>
          <w:rFonts w:ascii="Times New Roman" w:eastAsiaTheme="minorEastAsia" w:hAnsi="Times New Roman" w:cs="Times New Roman"/>
          <w:sz w:val="24"/>
          <w:szCs w:val="24"/>
        </w:rPr>
        <w:t xml:space="preserve"> ecuación </w:t>
      </w:r>
      <w:r>
        <w:rPr>
          <w:rFonts w:ascii="Times New Roman" w:eastAsiaTheme="minorEastAsia" w:hAnsi="Times New Roman" w:cs="Times New Roman"/>
          <w:sz w:val="24"/>
          <w:szCs w:val="24"/>
        </w:rPr>
        <w:t xml:space="preserve">(4) </w:t>
      </w:r>
      <w:r w:rsidRPr="006A124F">
        <w:rPr>
          <w:rFonts w:ascii="Times New Roman" w:eastAsiaTheme="minorEastAsia" w:hAnsi="Times New Roman" w:cs="Times New Roman"/>
          <w:sz w:val="24"/>
          <w:szCs w:val="24"/>
        </w:rPr>
        <w:t xml:space="preserve">muestra </w:t>
      </w:r>
      <w:r>
        <w:rPr>
          <w:rFonts w:ascii="Times New Roman" w:eastAsiaTheme="minorEastAsia" w:hAnsi="Times New Roman" w:cs="Times New Roman"/>
          <w:sz w:val="24"/>
          <w:szCs w:val="24"/>
        </w:rPr>
        <w:t>que el salario por unidad de trabajo efectivo crece por dos factores, cambios en la PTF y aumentos en la relación entre el capital y el trabajo efectivo.</w:t>
      </w:r>
      <w:r w:rsidRPr="006A124F">
        <w:rPr>
          <w:rFonts w:ascii="Times New Roman" w:eastAsiaTheme="minorEastAsia" w:hAnsi="Times New Roman" w:cs="Times New Roman"/>
          <w:sz w:val="24"/>
          <w:szCs w:val="24"/>
        </w:rPr>
        <w:t xml:space="preserve"> </w:t>
      </w:r>
      <w:r w:rsidR="007D64D1">
        <w:rPr>
          <w:rFonts w:ascii="Times New Roman" w:eastAsiaTheme="minorEastAsia" w:hAnsi="Times New Roman" w:cs="Times New Roman"/>
          <w:sz w:val="24"/>
          <w:szCs w:val="24"/>
        </w:rPr>
        <w:t xml:space="preserve">En dicho modelo, cambios en la dotación de capital aumenta la remuneración al factor trabajo. </w:t>
      </w:r>
    </w:p>
    <w:p w:rsidR="00784369" w:rsidRDefault="00784369" w:rsidP="00EE3455">
      <w:pPr>
        <w:spacing w:after="120"/>
        <w:ind w:left="0" w:firstLine="708"/>
        <w:rPr>
          <w:rFonts w:ascii="Times New Roman" w:hAnsi="Times New Roman" w:cs="Times New Roman"/>
          <w:b/>
          <w:sz w:val="24"/>
          <w:szCs w:val="24"/>
        </w:rPr>
      </w:pPr>
    </w:p>
    <w:p w:rsidR="00784369" w:rsidRDefault="00F615AC" w:rsidP="00EE3455">
      <w:pPr>
        <w:spacing w:after="120"/>
        <w:ind w:left="0" w:firstLine="708"/>
        <w:rPr>
          <w:rFonts w:ascii="Times New Roman" w:hAnsi="Times New Roman" w:cs="Times New Roman"/>
          <w:b/>
          <w:sz w:val="24"/>
          <w:szCs w:val="24"/>
        </w:rPr>
      </w:pPr>
      <w:r w:rsidRPr="00E35BBD">
        <w:rPr>
          <w:rFonts w:ascii="Times New Roman" w:hAnsi="Times New Roman" w:cs="Times New Roman"/>
          <w:b/>
          <w:sz w:val="24"/>
          <w:szCs w:val="24"/>
        </w:rPr>
        <w:t>2.2 Escenarios</w:t>
      </w:r>
      <w:r>
        <w:rPr>
          <w:rFonts w:ascii="Times New Roman" w:hAnsi="Times New Roman" w:cs="Times New Roman"/>
          <w:b/>
          <w:sz w:val="24"/>
          <w:szCs w:val="24"/>
        </w:rPr>
        <w:t xml:space="preserve"> a considerar</w:t>
      </w:r>
    </w:p>
    <w:p w:rsidR="00B4013E" w:rsidRDefault="00F615AC" w:rsidP="00F615AC">
      <w:pPr>
        <w:spacing w:after="120"/>
        <w:ind w:left="0"/>
        <w:rPr>
          <w:rFonts w:ascii="Times New Roman" w:hAnsi="Times New Roman" w:cs="Times New Roman"/>
          <w:sz w:val="24"/>
          <w:szCs w:val="24"/>
        </w:rPr>
      </w:pPr>
      <w:r>
        <w:rPr>
          <w:rFonts w:ascii="Times New Roman" w:eastAsiaTheme="minorEastAsia" w:hAnsi="Times New Roman" w:cs="Times New Roman"/>
          <w:sz w:val="24"/>
          <w:szCs w:val="24"/>
        </w:rPr>
        <w:t xml:space="preserve">Como se señala </w:t>
      </w:r>
      <w:r w:rsidR="009923F2">
        <w:rPr>
          <w:rFonts w:ascii="Times New Roman" w:eastAsiaTheme="minorEastAsia" w:hAnsi="Times New Roman" w:cs="Times New Roman"/>
          <w:sz w:val="24"/>
          <w:szCs w:val="24"/>
        </w:rPr>
        <w:t>anteriormente,</w:t>
      </w:r>
      <w:r>
        <w:rPr>
          <w:rFonts w:ascii="Times New Roman" w:eastAsiaTheme="minorEastAsia" w:hAnsi="Times New Roman" w:cs="Times New Roman"/>
          <w:sz w:val="24"/>
          <w:szCs w:val="24"/>
        </w:rPr>
        <w:t xml:space="preserve"> la acumulación factorial actual indica que</w:t>
      </w:r>
      <w:r w:rsidRPr="006A124F">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para Uruguay </w:t>
      </w:r>
      <w:r w:rsidRPr="006A124F">
        <w:rPr>
          <w:rFonts w:ascii="Times New Roman" w:eastAsiaTheme="minorEastAsia" w:hAnsi="Times New Roman" w:cs="Times New Roman"/>
          <w:sz w:val="24"/>
          <w:szCs w:val="24"/>
        </w:rPr>
        <w:t xml:space="preserve">existe aún un margen para el crecimiento debido a incrementos </w:t>
      </w:r>
      <w:r>
        <w:rPr>
          <w:rFonts w:ascii="Times New Roman" w:eastAsiaTheme="minorEastAsia" w:hAnsi="Times New Roman" w:cs="Times New Roman"/>
          <w:sz w:val="24"/>
          <w:szCs w:val="24"/>
        </w:rPr>
        <w:t xml:space="preserve">en la dotación de </w:t>
      </w:r>
      <w:r w:rsidRPr="006A124F">
        <w:rPr>
          <w:rFonts w:ascii="Times New Roman" w:eastAsiaTheme="minorEastAsia" w:hAnsi="Times New Roman" w:cs="Times New Roman"/>
          <w:sz w:val="24"/>
          <w:szCs w:val="24"/>
        </w:rPr>
        <w:t>capital.</w:t>
      </w:r>
      <w:r>
        <w:rPr>
          <w:rFonts w:ascii="Times New Roman" w:eastAsiaTheme="minorEastAsia" w:hAnsi="Times New Roman" w:cs="Times New Roman"/>
          <w:sz w:val="24"/>
          <w:szCs w:val="24"/>
        </w:rPr>
        <w:t xml:space="preserve"> Al calibrar un modelo de crecimiento de largo plazo para la economía uruguaya </w:t>
      </w:r>
      <w:r w:rsidRPr="0066204B">
        <w:rPr>
          <w:rFonts w:ascii="Times New Roman" w:eastAsiaTheme="minorEastAsia" w:hAnsi="Times New Roman" w:cs="Times New Roman"/>
          <w:sz w:val="24"/>
          <w:szCs w:val="24"/>
        </w:rPr>
        <w:t>(Ver Enlace Electrónico Opcional 3</w:t>
      </w:r>
      <w:r w:rsidRPr="0066204B">
        <w:rPr>
          <w:rFonts w:ascii="Times New Roman" w:hAnsi="Times New Roman" w:cs="Times New Roman"/>
          <w:sz w:val="24"/>
          <w:szCs w:val="24"/>
        </w:rPr>
        <w:t>)</w:t>
      </w:r>
      <w:r>
        <w:rPr>
          <w:rFonts w:ascii="Times New Roman" w:hAnsi="Times New Roman" w:cs="Times New Roman"/>
          <w:sz w:val="24"/>
          <w:szCs w:val="24"/>
        </w:rPr>
        <w:t xml:space="preserve"> se puede observar que </w:t>
      </w:r>
      <w:r w:rsidRPr="006A124F">
        <w:rPr>
          <w:rFonts w:ascii="Times New Roman" w:hAnsi="Times New Roman" w:cs="Times New Roman"/>
          <w:sz w:val="24"/>
          <w:szCs w:val="24"/>
        </w:rPr>
        <w:t xml:space="preserve">trayectoria actual de capital a producto haría </w:t>
      </w:r>
      <w:r w:rsidR="00F34095">
        <w:rPr>
          <w:rFonts w:ascii="Times New Roman" w:hAnsi="Times New Roman" w:cs="Times New Roman"/>
          <w:sz w:val="24"/>
          <w:szCs w:val="24"/>
        </w:rPr>
        <w:t xml:space="preserve">quela </w:t>
      </w:r>
      <w:r w:rsidRPr="006A124F">
        <w:rPr>
          <w:rFonts w:ascii="Times New Roman" w:hAnsi="Times New Roman" w:cs="Times New Roman"/>
          <w:sz w:val="24"/>
          <w:szCs w:val="24"/>
        </w:rPr>
        <w:t xml:space="preserve">llegada al nivel de estado estacionario </w:t>
      </w:r>
      <w:r w:rsidR="00F34095">
        <w:rPr>
          <w:rFonts w:ascii="Times New Roman" w:hAnsi="Times New Roman" w:cs="Times New Roman"/>
          <w:sz w:val="24"/>
          <w:szCs w:val="24"/>
        </w:rPr>
        <w:t xml:space="preserve">en un periodo muy prolongado, en la medida que se quiera converger de manera </w:t>
      </w:r>
      <w:r w:rsidR="00CF4C2B">
        <w:rPr>
          <w:rFonts w:ascii="Times New Roman" w:hAnsi="Times New Roman" w:cs="Times New Roman"/>
          <w:sz w:val="24"/>
          <w:szCs w:val="24"/>
        </w:rPr>
        <w:t>más</w:t>
      </w:r>
      <w:r w:rsidR="00F34095">
        <w:rPr>
          <w:rFonts w:ascii="Times New Roman" w:hAnsi="Times New Roman" w:cs="Times New Roman"/>
          <w:sz w:val="24"/>
          <w:szCs w:val="24"/>
        </w:rPr>
        <w:t xml:space="preserve"> rápido a este nivel, </w:t>
      </w:r>
      <w:r w:rsidRPr="006A124F">
        <w:rPr>
          <w:rFonts w:ascii="Times New Roman" w:hAnsi="Times New Roman" w:cs="Times New Roman"/>
          <w:sz w:val="24"/>
          <w:szCs w:val="24"/>
        </w:rPr>
        <w:t>es necesario un esfuerzo inversor adicional para generar una trayectoria que lleve a la economía al nivel de equi</w:t>
      </w:r>
      <w:r>
        <w:rPr>
          <w:rFonts w:ascii="Times New Roman" w:hAnsi="Times New Roman" w:cs="Times New Roman"/>
          <w:sz w:val="24"/>
          <w:szCs w:val="24"/>
        </w:rPr>
        <w:t>librio que indican</w:t>
      </w:r>
      <w:r w:rsidRPr="006A124F">
        <w:rPr>
          <w:rFonts w:ascii="Times New Roman" w:hAnsi="Times New Roman" w:cs="Times New Roman"/>
          <w:sz w:val="24"/>
          <w:szCs w:val="24"/>
        </w:rPr>
        <w:t xml:space="preserve"> sus fundamentos.</w:t>
      </w:r>
      <w:r>
        <w:rPr>
          <w:rFonts w:ascii="Times New Roman" w:hAnsi="Times New Roman" w:cs="Times New Roman"/>
          <w:sz w:val="24"/>
          <w:szCs w:val="24"/>
        </w:rPr>
        <w:t xml:space="preserve"> </w:t>
      </w:r>
      <w:r w:rsidR="00B4013E">
        <w:rPr>
          <w:rFonts w:ascii="Times New Roman" w:hAnsi="Times New Roman" w:cs="Times New Roman"/>
          <w:sz w:val="24"/>
          <w:szCs w:val="24"/>
        </w:rPr>
        <w:t>El siguiente cuadro muestra el esfuerzo adicional en inversión que habría que hacer para alcanzar al estado estacionario en un número determinado de años.</w:t>
      </w:r>
    </w:p>
    <w:p w:rsidR="009923F2" w:rsidRDefault="009923F2" w:rsidP="00F615AC">
      <w:pPr>
        <w:spacing w:after="120"/>
        <w:ind w:left="0"/>
        <w:rPr>
          <w:rFonts w:ascii="Times New Roman" w:hAnsi="Times New Roman" w:cs="Times New Roman"/>
          <w:sz w:val="24"/>
          <w:szCs w:val="24"/>
        </w:rPr>
      </w:pPr>
    </w:p>
    <w:p w:rsidR="009923F2" w:rsidRDefault="009923F2">
      <w:pPr>
        <w:rPr>
          <w:rFonts w:ascii="Times New Roman" w:hAnsi="Times New Roman" w:cs="Times New Roman"/>
          <w:b/>
          <w:sz w:val="24"/>
          <w:szCs w:val="24"/>
        </w:rPr>
      </w:pPr>
      <w:r>
        <w:rPr>
          <w:rFonts w:ascii="Times New Roman" w:hAnsi="Times New Roman" w:cs="Times New Roman"/>
          <w:b/>
          <w:sz w:val="24"/>
          <w:szCs w:val="24"/>
        </w:rPr>
        <w:br w:type="page"/>
      </w:r>
    </w:p>
    <w:p w:rsidR="00B4013E" w:rsidRPr="00B4013E" w:rsidRDefault="00B4013E" w:rsidP="00B4013E">
      <w:pPr>
        <w:spacing w:after="120"/>
        <w:ind w:left="0"/>
        <w:jc w:val="center"/>
        <w:rPr>
          <w:rFonts w:ascii="Times New Roman" w:hAnsi="Times New Roman" w:cs="Times New Roman"/>
          <w:b/>
          <w:sz w:val="24"/>
          <w:szCs w:val="24"/>
        </w:rPr>
      </w:pPr>
      <w:r w:rsidRPr="00B4013E">
        <w:rPr>
          <w:rFonts w:ascii="Times New Roman" w:hAnsi="Times New Roman" w:cs="Times New Roman"/>
          <w:b/>
          <w:sz w:val="24"/>
          <w:szCs w:val="24"/>
        </w:rPr>
        <w:t xml:space="preserve">Esfuerzo adicional de inversión </w:t>
      </w:r>
      <w:r>
        <w:rPr>
          <w:rFonts w:ascii="Times New Roman" w:hAnsi="Times New Roman" w:cs="Times New Roman"/>
          <w:b/>
          <w:sz w:val="24"/>
          <w:szCs w:val="24"/>
        </w:rPr>
        <w:t xml:space="preserve">en la economía uruguaya </w:t>
      </w:r>
      <w:r w:rsidRPr="00B4013E">
        <w:rPr>
          <w:rFonts w:ascii="Times New Roman" w:hAnsi="Times New Roman" w:cs="Times New Roman"/>
          <w:b/>
          <w:sz w:val="24"/>
          <w:szCs w:val="24"/>
        </w:rPr>
        <w:t xml:space="preserve">que se requiere para alcanzar el estado estacionario </w:t>
      </w:r>
      <w:r>
        <w:rPr>
          <w:rFonts w:ascii="Times New Roman" w:hAnsi="Times New Roman" w:cs="Times New Roman"/>
          <w:b/>
          <w:sz w:val="24"/>
          <w:szCs w:val="24"/>
        </w:rPr>
        <w:t>según año de convergencia</w:t>
      </w:r>
    </w:p>
    <w:tbl>
      <w:tblPr>
        <w:tblStyle w:val="LightShading-Accent3"/>
        <w:tblW w:w="2400" w:type="dxa"/>
        <w:jc w:val="center"/>
        <w:tblLook w:val="04A0" w:firstRow="1" w:lastRow="0" w:firstColumn="1" w:lastColumn="0" w:noHBand="0" w:noVBand="1"/>
      </w:tblPr>
      <w:tblGrid>
        <w:gridCol w:w="1200"/>
        <w:gridCol w:w="1451"/>
      </w:tblGrid>
      <w:tr w:rsidR="009923F2" w:rsidRPr="00B4013E" w:rsidTr="00EE3455">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784369" w:rsidRDefault="002E1778" w:rsidP="002E1778">
            <w:pPr>
              <w:ind w:left="0"/>
              <w:jc w:val="center"/>
              <w:rPr>
                <w:rFonts w:ascii="Times New Roman" w:eastAsia="Times New Roman" w:hAnsi="Times New Roman" w:cs="Times New Roman"/>
                <w:b w:val="0"/>
                <w:bCs w:val="0"/>
                <w:color w:val="000000"/>
                <w:lang w:val="en-US"/>
              </w:rPr>
            </w:pPr>
            <w:r>
              <w:rPr>
                <w:rFonts w:ascii="Times New Roman" w:eastAsia="Times New Roman" w:hAnsi="Times New Roman" w:cs="Times New Roman"/>
                <w:color w:val="000000"/>
                <w:lang w:val="en-US"/>
              </w:rPr>
              <w:t>I</w:t>
            </w:r>
            <w:r w:rsidR="009923F2">
              <w:rPr>
                <w:rFonts w:ascii="Times New Roman" w:eastAsia="Times New Roman" w:hAnsi="Times New Roman" w:cs="Times New Roman"/>
                <w:color w:val="000000"/>
                <w:lang w:val="en-US"/>
              </w:rPr>
              <w:t>nversió</w:t>
            </w:r>
            <w:r w:rsidR="009923F2" w:rsidRPr="00B4013E">
              <w:rPr>
                <w:rFonts w:ascii="Times New Roman" w:eastAsia="Times New Roman" w:hAnsi="Times New Roman" w:cs="Times New Roman"/>
                <w:color w:val="000000"/>
                <w:lang w:val="en-US"/>
              </w:rPr>
              <w:t>n adicional</w:t>
            </w:r>
          </w:p>
        </w:tc>
        <w:tc>
          <w:tcPr>
            <w:tcW w:w="1200" w:type="dxa"/>
          </w:tcPr>
          <w:p w:rsidR="00784369" w:rsidRDefault="009923F2" w:rsidP="00EE3455">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lang w:val="en-US"/>
              </w:rPr>
            </w:pPr>
            <w:r>
              <w:rPr>
                <w:rFonts w:ascii="Times New Roman" w:eastAsia="Times New Roman" w:hAnsi="Times New Roman" w:cs="Times New Roman"/>
                <w:color w:val="000000"/>
                <w:lang w:val="en-US"/>
              </w:rPr>
              <w:t>A</w:t>
            </w:r>
            <w:r w:rsidRPr="00B4013E">
              <w:rPr>
                <w:rFonts w:ascii="Times New Roman" w:eastAsia="Times New Roman" w:hAnsi="Times New Roman" w:cs="Times New Roman"/>
                <w:color w:val="000000"/>
                <w:lang w:val="en-US"/>
              </w:rPr>
              <w:t>ño de convergencia</w:t>
            </w:r>
          </w:p>
        </w:tc>
      </w:tr>
      <w:tr w:rsidR="009923F2" w:rsidRPr="00B4013E" w:rsidTr="00EE345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3.62%</w:t>
            </w:r>
          </w:p>
        </w:tc>
        <w:tc>
          <w:tcPr>
            <w:tcW w:w="1200" w:type="dxa"/>
          </w:tcPr>
          <w:p w:rsidR="009923F2" w:rsidRPr="0062039C" w:rsidRDefault="009923F2" w:rsidP="00B4013E">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5</w:t>
            </w:r>
          </w:p>
        </w:tc>
      </w:tr>
      <w:tr w:rsidR="009923F2" w:rsidRPr="00B4013E" w:rsidTr="00EE3455">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2,09%</w:t>
            </w:r>
          </w:p>
        </w:tc>
        <w:tc>
          <w:tcPr>
            <w:tcW w:w="1200" w:type="dxa"/>
          </w:tcPr>
          <w:p w:rsidR="009923F2" w:rsidRPr="0062039C" w:rsidRDefault="009923F2" w:rsidP="00B4013E">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8</w:t>
            </w:r>
          </w:p>
        </w:tc>
      </w:tr>
      <w:tr w:rsidR="009923F2" w:rsidRPr="00B4013E" w:rsidTr="00EE345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1.60%</w:t>
            </w:r>
          </w:p>
        </w:tc>
        <w:tc>
          <w:tcPr>
            <w:tcW w:w="1200" w:type="dxa"/>
          </w:tcPr>
          <w:p w:rsidR="009923F2" w:rsidRPr="0062039C" w:rsidRDefault="009923F2" w:rsidP="00B4013E">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10</w:t>
            </w:r>
          </w:p>
        </w:tc>
      </w:tr>
      <w:tr w:rsidR="009923F2" w:rsidRPr="00B4013E" w:rsidTr="00EE3455">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1.00%</w:t>
            </w:r>
          </w:p>
        </w:tc>
        <w:tc>
          <w:tcPr>
            <w:tcW w:w="1200" w:type="dxa"/>
          </w:tcPr>
          <w:p w:rsidR="009923F2" w:rsidRPr="0062039C" w:rsidRDefault="009923F2" w:rsidP="00B4013E">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15</w:t>
            </w:r>
          </w:p>
        </w:tc>
      </w:tr>
      <w:tr w:rsidR="009923F2" w:rsidRPr="00B4013E" w:rsidTr="00EE345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0.75%</w:t>
            </w:r>
          </w:p>
        </w:tc>
        <w:tc>
          <w:tcPr>
            <w:tcW w:w="1200" w:type="dxa"/>
          </w:tcPr>
          <w:p w:rsidR="009923F2" w:rsidRPr="0062039C" w:rsidRDefault="009923F2" w:rsidP="00B4013E">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20</w:t>
            </w:r>
          </w:p>
        </w:tc>
      </w:tr>
      <w:tr w:rsidR="009923F2" w:rsidRPr="00B4013E" w:rsidTr="00EE3455">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rsidR="009923F2" w:rsidRPr="009923F2" w:rsidRDefault="00685ADB" w:rsidP="00B4013E">
            <w:pPr>
              <w:spacing w:before="120" w:line="276" w:lineRule="auto"/>
              <w:ind w:left="0"/>
              <w:jc w:val="right"/>
              <w:rPr>
                <w:rFonts w:ascii="Times New Roman" w:eastAsia="Times New Roman" w:hAnsi="Times New Roman" w:cs="Times New Roman"/>
                <w:b w:val="0"/>
                <w:color w:val="000000"/>
                <w:lang w:val="en-US"/>
              </w:rPr>
            </w:pPr>
            <w:r>
              <w:rPr>
                <w:rFonts w:ascii="Times New Roman" w:eastAsia="Times New Roman" w:hAnsi="Times New Roman" w:cs="Times New Roman"/>
                <w:color w:val="000000"/>
                <w:lang w:val="en-US"/>
              </w:rPr>
              <w:t>0.62%</w:t>
            </w:r>
          </w:p>
        </w:tc>
        <w:tc>
          <w:tcPr>
            <w:tcW w:w="1200" w:type="dxa"/>
          </w:tcPr>
          <w:p w:rsidR="009923F2" w:rsidRPr="0062039C" w:rsidRDefault="009923F2" w:rsidP="00B4013E">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val="en-US"/>
              </w:rPr>
            </w:pPr>
            <w:r w:rsidRPr="0062039C">
              <w:rPr>
                <w:rFonts w:ascii="Times New Roman" w:eastAsia="Times New Roman" w:hAnsi="Times New Roman" w:cs="Times New Roman"/>
                <w:color w:val="000000"/>
                <w:lang w:val="en-US"/>
              </w:rPr>
              <w:t>25</w:t>
            </w:r>
          </w:p>
        </w:tc>
      </w:tr>
    </w:tbl>
    <w:p w:rsidR="00784369" w:rsidRPr="00EE3455" w:rsidRDefault="00685ADB" w:rsidP="00EE3455">
      <w:pPr>
        <w:spacing w:after="120"/>
        <w:ind w:left="708" w:firstLine="708"/>
        <w:jc w:val="center"/>
        <w:rPr>
          <w:rFonts w:ascii="Times New Roman" w:hAnsi="Times New Roman" w:cs="Times New Roman"/>
          <w:sz w:val="20"/>
          <w:szCs w:val="20"/>
        </w:rPr>
      </w:pPr>
      <w:r w:rsidRPr="00EE3455">
        <w:rPr>
          <w:rFonts w:ascii="Times New Roman" w:hAnsi="Times New Roman" w:cs="Times New Roman"/>
          <w:sz w:val="20"/>
          <w:szCs w:val="20"/>
        </w:rPr>
        <w:t xml:space="preserve">Fuente: </w:t>
      </w:r>
      <w:r w:rsidR="009923F2" w:rsidRPr="0062039C">
        <w:rPr>
          <w:rFonts w:ascii="Times New Roman" w:hAnsi="Times New Roman" w:cs="Times New Roman"/>
          <w:sz w:val="20"/>
          <w:szCs w:val="20"/>
        </w:rPr>
        <w:t>Elaboración</w:t>
      </w:r>
      <w:r w:rsidRPr="00EE3455">
        <w:rPr>
          <w:rFonts w:ascii="Times New Roman" w:hAnsi="Times New Roman" w:cs="Times New Roman"/>
          <w:sz w:val="20"/>
          <w:szCs w:val="20"/>
        </w:rPr>
        <w:t xml:space="preserve"> propia en base a la calibración del modelo de crecimiento incluido en el Enlace Electrónico Opcional 3.</w:t>
      </w:r>
    </w:p>
    <w:p w:rsidR="00F34095" w:rsidRDefault="00F34095" w:rsidP="00F615AC">
      <w:pPr>
        <w:spacing w:after="120"/>
        <w:ind w:left="0"/>
        <w:rPr>
          <w:rFonts w:ascii="Times New Roman" w:hAnsi="Times New Roman" w:cs="Times New Roman"/>
          <w:sz w:val="24"/>
          <w:szCs w:val="24"/>
        </w:rPr>
      </w:pPr>
    </w:p>
    <w:p w:rsidR="00C2613E" w:rsidRDefault="00F34095">
      <w:pPr>
        <w:spacing w:after="120"/>
        <w:ind w:left="0"/>
        <w:rPr>
          <w:rFonts w:ascii="Times New Roman" w:hAnsi="Times New Roman" w:cs="Times New Roman"/>
          <w:sz w:val="24"/>
          <w:szCs w:val="24"/>
        </w:rPr>
      </w:pPr>
      <w:r>
        <w:rPr>
          <w:rFonts w:ascii="Times New Roman" w:hAnsi="Times New Roman" w:cs="Times New Roman"/>
          <w:sz w:val="24"/>
          <w:szCs w:val="24"/>
        </w:rPr>
        <w:t>Teniendo en cuenta lo anterior, p</w:t>
      </w:r>
      <w:r w:rsidR="00C2613E">
        <w:rPr>
          <w:rFonts w:ascii="Times New Roman" w:hAnsi="Times New Roman" w:cs="Times New Roman"/>
          <w:sz w:val="24"/>
          <w:szCs w:val="24"/>
        </w:rPr>
        <w:t>ara evaluar la situación con y sin proyecto se utilizan los siguientes escenarios:</w:t>
      </w:r>
    </w:p>
    <w:p w:rsidR="00C2613E" w:rsidRDefault="00C2613E" w:rsidP="00F615AC">
      <w:pPr>
        <w:spacing w:after="120"/>
        <w:ind w:left="0"/>
        <w:rPr>
          <w:rFonts w:ascii="Times New Roman" w:hAnsi="Times New Roman" w:cs="Times New Roman"/>
          <w:sz w:val="24"/>
          <w:szCs w:val="24"/>
        </w:rPr>
      </w:pPr>
      <w:r w:rsidRPr="00103461">
        <w:rPr>
          <w:rFonts w:ascii="Times New Roman" w:hAnsi="Times New Roman" w:cs="Times New Roman"/>
          <w:b/>
          <w:sz w:val="24"/>
          <w:szCs w:val="24"/>
        </w:rPr>
        <w:t xml:space="preserve">Escenario </w:t>
      </w:r>
      <w:r>
        <w:rPr>
          <w:rFonts w:ascii="Times New Roman" w:hAnsi="Times New Roman" w:cs="Times New Roman"/>
          <w:b/>
          <w:sz w:val="24"/>
          <w:szCs w:val="24"/>
        </w:rPr>
        <w:t xml:space="preserve">base sin </w:t>
      </w:r>
      <w:r w:rsidRPr="00103461">
        <w:rPr>
          <w:rFonts w:ascii="Times New Roman" w:hAnsi="Times New Roman" w:cs="Times New Roman"/>
          <w:b/>
          <w:sz w:val="24"/>
          <w:szCs w:val="24"/>
        </w:rPr>
        <w:t>proyecto:</w:t>
      </w:r>
      <w:r>
        <w:rPr>
          <w:rFonts w:ascii="Times New Roman" w:hAnsi="Times New Roman" w:cs="Times New Roman"/>
          <w:b/>
          <w:sz w:val="24"/>
          <w:szCs w:val="24"/>
        </w:rPr>
        <w:t xml:space="preserve"> </w:t>
      </w:r>
      <w:r w:rsidRPr="006A124F">
        <w:rPr>
          <w:rFonts w:ascii="Times New Roman" w:hAnsi="Times New Roman" w:cs="Times New Roman"/>
          <w:sz w:val="24"/>
          <w:szCs w:val="24"/>
        </w:rPr>
        <w:t xml:space="preserve">Un escenario sin proyecto </w:t>
      </w:r>
      <w:r>
        <w:rPr>
          <w:rFonts w:ascii="Times New Roman" w:hAnsi="Times New Roman" w:cs="Times New Roman"/>
          <w:sz w:val="24"/>
          <w:szCs w:val="24"/>
        </w:rPr>
        <w:t>la tasa de inversión mantiene su nivel tendencial, aumentando 0,5% del producto.</w:t>
      </w:r>
    </w:p>
    <w:p w:rsidR="00F615AC" w:rsidRPr="005E4F1C" w:rsidRDefault="00F615AC" w:rsidP="00F615AC">
      <w:pPr>
        <w:spacing w:after="120"/>
        <w:ind w:left="0"/>
        <w:rPr>
          <w:rFonts w:ascii="Times New Roman" w:eastAsiaTheme="minorEastAsia" w:hAnsi="Times New Roman" w:cs="Times New Roman"/>
          <w:sz w:val="24"/>
          <w:szCs w:val="24"/>
        </w:rPr>
      </w:pPr>
      <w:r w:rsidRPr="00103461">
        <w:rPr>
          <w:rFonts w:ascii="Times New Roman" w:hAnsi="Times New Roman" w:cs="Times New Roman"/>
          <w:b/>
          <w:sz w:val="24"/>
          <w:szCs w:val="24"/>
        </w:rPr>
        <w:t xml:space="preserve">Escenario </w:t>
      </w:r>
      <w:r>
        <w:rPr>
          <w:rFonts w:ascii="Times New Roman" w:hAnsi="Times New Roman" w:cs="Times New Roman"/>
          <w:b/>
          <w:sz w:val="24"/>
          <w:szCs w:val="24"/>
        </w:rPr>
        <w:t xml:space="preserve">base </w:t>
      </w:r>
      <w:r w:rsidRPr="00103461">
        <w:rPr>
          <w:rFonts w:ascii="Times New Roman" w:hAnsi="Times New Roman" w:cs="Times New Roman"/>
          <w:b/>
          <w:sz w:val="24"/>
          <w:szCs w:val="24"/>
        </w:rPr>
        <w:t>con proyecto:</w:t>
      </w:r>
      <w:r>
        <w:rPr>
          <w:rFonts w:ascii="Times New Roman" w:hAnsi="Times New Roman" w:cs="Times New Roman"/>
          <w:sz w:val="24"/>
          <w:szCs w:val="24"/>
        </w:rPr>
        <w:t xml:space="preserve"> El escenario base con proyecto surge de asumir que en la situación con proyecto el país podrá impulsar un crecimiento de la inversión </w:t>
      </w:r>
      <w:r w:rsidR="00EC5958">
        <w:rPr>
          <w:rFonts w:ascii="Times New Roman" w:hAnsi="Times New Roman" w:cs="Times New Roman"/>
          <w:sz w:val="24"/>
          <w:szCs w:val="24"/>
        </w:rPr>
        <w:t xml:space="preserve">equivalente a </w:t>
      </w:r>
      <w:r w:rsidR="005E4F1C">
        <w:rPr>
          <w:rFonts w:ascii="Times New Roman" w:hAnsi="Times New Roman" w:cs="Times New Roman"/>
          <w:sz w:val="24"/>
          <w:szCs w:val="24"/>
        </w:rPr>
        <w:t>2.</w:t>
      </w:r>
      <w:r w:rsidR="00EC5958">
        <w:rPr>
          <w:rFonts w:ascii="Times New Roman" w:hAnsi="Times New Roman" w:cs="Times New Roman"/>
          <w:sz w:val="24"/>
          <w:szCs w:val="24"/>
        </w:rPr>
        <w:t>1</w:t>
      </w:r>
      <w:r w:rsidRPr="006A124F">
        <w:rPr>
          <w:rFonts w:ascii="Times New Roman" w:hAnsi="Times New Roman" w:cs="Times New Roman"/>
          <w:sz w:val="24"/>
          <w:szCs w:val="24"/>
        </w:rPr>
        <w:t>%</w:t>
      </w:r>
      <w:r>
        <w:rPr>
          <w:rFonts w:ascii="Times New Roman" w:hAnsi="Times New Roman" w:cs="Times New Roman"/>
          <w:sz w:val="24"/>
          <w:szCs w:val="24"/>
        </w:rPr>
        <w:t xml:space="preserve"> del producto</w:t>
      </w:r>
      <w:r w:rsidR="005E4F1C">
        <w:rPr>
          <w:rFonts w:ascii="Times New Roman" w:hAnsi="Times New Roman" w:cs="Times New Roman"/>
          <w:sz w:val="24"/>
          <w:szCs w:val="24"/>
        </w:rPr>
        <w:t>.</w:t>
      </w:r>
    </w:p>
    <w:p w:rsidR="00DB2B36" w:rsidRDefault="00685ADB" w:rsidP="00F615AC">
      <w:pPr>
        <w:spacing w:after="120"/>
        <w:ind w:left="0"/>
        <w:rPr>
          <w:rFonts w:ascii="Times New Roman" w:hAnsi="Times New Roman" w:cs="Times New Roman"/>
          <w:sz w:val="24"/>
          <w:szCs w:val="24"/>
        </w:rPr>
      </w:pPr>
      <w:r w:rsidRPr="00EE3455">
        <w:rPr>
          <w:rFonts w:ascii="Times New Roman" w:hAnsi="Times New Roman" w:cs="Times New Roman"/>
          <w:sz w:val="24"/>
          <w:szCs w:val="24"/>
        </w:rPr>
        <w:t>E</w:t>
      </w:r>
      <w:r w:rsidR="00C2613E">
        <w:rPr>
          <w:rFonts w:ascii="Times New Roman" w:hAnsi="Times New Roman" w:cs="Times New Roman"/>
          <w:sz w:val="24"/>
          <w:szCs w:val="24"/>
        </w:rPr>
        <w:t xml:space="preserve">n el </w:t>
      </w:r>
      <w:r w:rsidRPr="00EE3455">
        <w:rPr>
          <w:rFonts w:ascii="Times New Roman" w:hAnsi="Times New Roman" w:cs="Times New Roman"/>
          <w:sz w:val="24"/>
          <w:szCs w:val="24"/>
        </w:rPr>
        <w:t xml:space="preserve">escenario con proyecto </w:t>
      </w:r>
      <w:r w:rsidR="00C2613E">
        <w:rPr>
          <w:rFonts w:ascii="Times New Roman" w:hAnsi="Times New Roman" w:cs="Times New Roman"/>
          <w:sz w:val="24"/>
          <w:szCs w:val="24"/>
        </w:rPr>
        <w:t>la</w:t>
      </w:r>
      <w:r w:rsidR="00DB2B36">
        <w:rPr>
          <w:rFonts w:ascii="Times New Roman" w:hAnsi="Times New Roman" w:cs="Times New Roman"/>
          <w:sz w:val="24"/>
          <w:szCs w:val="24"/>
        </w:rPr>
        <w:t xml:space="preserve"> inversión</w:t>
      </w:r>
      <w:r w:rsidR="00C2613E">
        <w:rPr>
          <w:rFonts w:ascii="Times New Roman" w:hAnsi="Times New Roman" w:cs="Times New Roman"/>
          <w:sz w:val="24"/>
          <w:szCs w:val="24"/>
        </w:rPr>
        <w:t xml:space="preserve"> adicional </w:t>
      </w:r>
      <w:r w:rsidR="00DB2B36">
        <w:rPr>
          <w:rFonts w:ascii="Times New Roman" w:hAnsi="Times New Roman" w:cs="Times New Roman"/>
          <w:sz w:val="24"/>
          <w:szCs w:val="24"/>
        </w:rPr>
        <w:t xml:space="preserve">que se asume </w:t>
      </w:r>
      <w:r w:rsidR="00C2613E">
        <w:rPr>
          <w:rFonts w:ascii="Times New Roman" w:hAnsi="Times New Roman" w:cs="Times New Roman"/>
          <w:sz w:val="24"/>
          <w:szCs w:val="24"/>
        </w:rPr>
        <w:t xml:space="preserve">implicaría que la tasa de inversión promedio para el </w:t>
      </w:r>
      <w:r w:rsidR="00DB2B36">
        <w:rPr>
          <w:rFonts w:ascii="Times New Roman" w:hAnsi="Times New Roman" w:cs="Times New Roman"/>
          <w:sz w:val="24"/>
          <w:szCs w:val="24"/>
        </w:rPr>
        <w:t>periodo</w:t>
      </w:r>
      <w:r w:rsidR="00C2613E">
        <w:rPr>
          <w:rFonts w:ascii="Times New Roman" w:hAnsi="Times New Roman" w:cs="Times New Roman"/>
          <w:sz w:val="24"/>
          <w:szCs w:val="24"/>
        </w:rPr>
        <w:t xml:space="preserve"> 2014-2016 </w:t>
      </w:r>
      <w:r w:rsidR="00DB2B36">
        <w:rPr>
          <w:rFonts w:ascii="Times New Roman" w:hAnsi="Times New Roman" w:cs="Times New Roman"/>
          <w:sz w:val="24"/>
          <w:szCs w:val="24"/>
        </w:rPr>
        <w:t>llegaría</w:t>
      </w:r>
      <w:r w:rsidR="00C2613E">
        <w:rPr>
          <w:rFonts w:ascii="Times New Roman" w:hAnsi="Times New Roman" w:cs="Times New Roman"/>
          <w:sz w:val="24"/>
          <w:szCs w:val="24"/>
        </w:rPr>
        <w:t xml:space="preserve"> al 22%</w:t>
      </w:r>
      <w:r w:rsidR="00DB2B36">
        <w:rPr>
          <w:rFonts w:ascii="Times New Roman" w:hAnsi="Times New Roman" w:cs="Times New Roman"/>
          <w:sz w:val="24"/>
          <w:szCs w:val="24"/>
        </w:rPr>
        <w:t xml:space="preserve"> del PIB </w:t>
      </w:r>
      <w:r w:rsidR="00C2613E">
        <w:rPr>
          <w:rFonts w:ascii="Times New Roman" w:hAnsi="Times New Roman" w:cs="Times New Roman"/>
          <w:sz w:val="24"/>
          <w:szCs w:val="24"/>
        </w:rPr>
        <w:t xml:space="preserve">tal como se estipula en la matriz de resultados del proyecto. Esta tasa de inversión es la que se ha planteado el gobierno como meta de política a mediano plazo y </w:t>
      </w:r>
      <w:r w:rsidR="00DB2B36">
        <w:rPr>
          <w:rFonts w:ascii="Times New Roman" w:hAnsi="Times New Roman" w:cs="Times New Roman"/>
          <w:sz w:val="24"/>
          <w:szCs w:val="24"/>
        </w:rPr>
        <w:t xml:space="preserve">resulta </w:t>
      </w:r>
      <w:r w:rsidR="00C2613E">
        <w:rPr>
          <w:rFonts w:ascii="Times New Roman" w:hAnsi="Times New Roman" w:cs="Times New Roman"/>
          <w:sz w:val="24"/>
          <w:szCs w:val="24"/>
        </w:rPr>
        <w:t>razonable en función de la trayectoria y de las reformas que ha impulsado el país</w:t>
      </w:r>
      <w:r w:rsidR="00DB2B36">
        <w:rPr>
          <w:rStyle w:val="FootnoteReference"/>
          <w:rFonts w:ascii="Times New Roman" w:hAnsi="Times New Roman" w:cs="Times New Roman"/>
          <w:sz w:val="24"/>
          <w:szCs w:val="24"/>
        </w:rPr>
        <w:footnoteReference w:id="2"/>
      </w:r>
      <w:r w:rsidR="00C2613E">
        <w:rPr>
          <w:rFonts w:ascii="Times New Roman" w:hAnsi="Times New Roman" w:cs="Times New Roman"/>
          <w:sz w:val="24"/>
          <w:szCs w:val="24"/>
        </w:rPr>
        <w:t>.</w:t>
      </w:r>
      <w:r w:rsidR="00F34095">
        <w:rPr>
          <w:rFonts w:ascii="Times New Roman" w:hAnsi="Times New Roman" w:cs="Times New Roman"/>
          <w:sz w:val="24"/>
          <w:szCs w:val="24"/>
        </w:rPr>
        <w:t xml:space="preserve"> </w:t>
      </w:r>
    </w:p>
    <w:p w:rsidR="00F615AC" w:rsidRPr="006A124F" w:rsidRDefault="00DB2B36" w:rsidP="00F615AC">
      <w:pPr>
        <w:spacing w:after="120"/>
        <w:ind w:left="0"/>
        <w:rPr>
          <w:rFonts w:ascii="Times New Roman" w:hAnsi="Times New Roman" w:cs="Times New Roman"/>
          <w:sz w:val="24"/>
          <w:szCs w:val="24"/>
        </w:rPr>
      </w:pPr>
      <w:r>
        <w:rPr>
          <w:rFonts w:ascii="Times New Roman" w:hAnsi="Times New Roman" w:cs="Times New Roman"/>
          <w:sz w:val="24"/>
          <w:szCs w:val="24"/>
        </w:rPr>
        <w:t>A continuación, p</w:t>
      </w:r>
      <w:r w:rsidR="00F615AC" w:rsidRPr="006A124F">
        <w:rPr>
          <w:rFonts w:ascii="Times New Roman" w:hAnsi="Times New Roman" w:cs="Times New Roman"/>
          <w:sz w:val="24"/>
          <w:szCs w:val="24"/>
        </w:rPr>
        <w:t xml:space="preserve">ara simplificar el análisis, se asume que la inversión adicional se realiza exclusivamente en capital físico y no en capital humano. De esta manera, los crecimientos en el capital total (físico y humano) a producto se explican por incrementos exclusivamente en el capital físico. Retomando la ecuación de crecimiento de los salarios </w:t>
      </w:r>
      <w:r w:rsidR="00F615AC">
        <w:rPr>
          <w:rFonts w:ascii="Times New Roman" w:hAnsi="Times New Roman" w:cs="Times New Roman"/>
          <w:sz w:val="24"/>
          <w:szCs w:val="24"/>
        </w:rPr>
        <w:t xml:space="preserve">y multiplicando y dividiendo por el producto </w:t>
      </w:r>
      <w:r w:rsidR="00F615AC" w:rsidRPr="006A124F">
        <w:rPr>
          <w:rFonts w:ascii="Times New Roman" w:hAnsi="Times New Roman" w:cs="Times New Roman"/>
          <w:sz w:val="24"/>
          <w:szCs w:val="24"/>
        </w:rPr>
        <w:t xml:space="preserve">tenemos que: </w:t>
      </w:r>
    </w:p>
    <w:p w:rsidR="00F615AC" w:rsidRPr="006A124F" w:rsidRDefault="008A532A" w:rsidP="00F615AC">
      <w:pPr>
        <w:spacing w:before="240" w:after="240"/>
        <w:ind w:left="0"/>
        <w:rPr>
          <w:rFonts w:ascii="Times New Roman" w:eastAsiaTheme="minorEastAsia" w:hAnsi="Times New Roman" w:cs="Times New Roman"/>
          <w:sz w:val="24"/>
          <w:szCs w:val="24"/>
        </w:rPr>
      </w:pPr>
      <m:oMath>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m:t>
                    </m:r>
                  </m:sub>
                </m:sSub>
              </m:e>
            </m:d>
            <m:ctrlPr>
              <w:rPr>
                <w:rFonts w:ascii="Cambria Math" w:hAnsi="Cambria Math" w:cs="Times New Roman"/>
                <w:i/>
                <w:sz w:val="24"/>
                <w:szCs w:val="24"/>
              </w:rPr>
            </m:ctrlPr>
          </m:e>
        </m:func>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t-1</m:t>
                    </m:r>
                  </m:sub>
                </m:sSub>
              </m:e>
            </m:d>
            <m:ctrlPr>
              <w:rPr>
                <w:rFonts w:ascii="Cambria Math" w:hAnsi="Cambria Math" w:cs="Times New Roman"/>
                <w:i/>
                <w:sz w:val="24"/>
                <w:szCs w:val="24"/>
              </w:rPr>
            </m:ctrlPr>
          </m:e>
        </m:func>
        <m:r>
          <w:rPr>
            <w:rFonts w:ascii="Cambria Math" w:hAnsi="Cambria Math" w:cs="Times New Roman"/>
            <w:sz w:val="24"/>
            <w:szCs w:val="24"/>
          </w:rPr>
          <m:t>=δ</m:t>
        </m:r>
        <m:sSup>
          <m:sSupPr>
            <m:ctrlPr>
              <w:rPr>
                <w:rFonts w:ascii="Cambria Math" w:hAnsi="Cambria Math" w:cs="Times New Roman"/>
                <w:i/>
                <w:sz w:val="24"/>
                <w:szCs w:val="24"/>
              </w:rPr>
            </m:ctrlPr>
          </m:sSupPr>
          <m:e>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lg</m:t>
                </m:r>
                <m:d>
                  <m:dPr>
                    <m:ctrlPr>
                      <w:rPr>
                        <w:rFonts w:ascii="Cambria Math" w:hAnsi="Cambria Math" w:cs="Times New Roman"/>
                        <w:i/>
                        <w:sz w:val="24"/>
                        <w:szCs w:val="24"/>
                      </w:rPr>
                    </m:ctrlPr>
                  </m:dPr>
                  <m:e>
                    <m:f>
                      <m:fPr>
                        <m:ctrlPr>
                          <w:rPr>
                            <w:rFonts w:ascii="Cambria Math" w:hAnsi="Cambria Math" w:cs="Times New Roman"/>
                            <w:i/>
                            <w:sz w:val="24"/>
                            <w:szCs w:val="24"/>
                          </w:rPr>
                        </m:ctrlPr>
                      </m:fPr>
                      <m:num>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num>
                      <m:den>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den>
                    </m:f>
                  </m:e>
                </m:d>
                <m:r>
                  <w:rPr>
                    <w:rFonts w:ascii="Cambria Math" w:hAnsi="Cambria Math" w:cs="Times New Roman"/>
                    <w:sz w:val="24"/>
                    <w:szCs w:val="24"/>
                  </w:rPr>
                  <m:t>-</m:t>
                </m:r>
                <m:r>
                  <m:rPr>
                    <m:sty m:val="p"/>
                  </m:rPr>
                  <w:rPr>
                    <w:rFonts w:ascii="Cambria Math" w:hAnsi="Cambria Math" w:cs="Times New Roman"/>
                    <w:sz w:val="24"/>
                    <w:szCs w:val="24"/>
                  </w:rPr>
                  <m:t>lg</m:t>
                </m:r>
                <m:d>
                  <m:dPr>
                    <m:ctrlPr>
                      <w:rPr>
                        <w:rFonts w:ascii="Cambria Math" w:hAnsi="Cambria Math" w:cs="Times New Roman"/>
                        <w:i/>
                        <w:sz w:val="24"/>
                        <w:szCs w:val="24"/>
                      </w:rPr>
                    </m:ctrlPr>
                  </m:dPr>
                  <m:e>
                    <m:f>
                      <m:fPr>
                        <m:ctrlPr>
                          <w:rPr>
                            <w:rFonts w:ascii="Cambria Math" w:hAnsi="Cambria Math" w:cs="Times New Roman"/>
                            <w:i/>
                            <w:sz w:val="24"/>
                            <w:szCs w:val="24"/>
                          </w:rPr>
                        </m:ctrlPr>
                      </m:fPr>
                      <m:num>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t-1</m:t>
                                </m:r>
                              </m:sub>
                            </m:sSub>
                          </m:den>
                        </m:f>
                      </m:num>
                      <m:den>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t-1</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t-1</m:t>
                                </m:r>
                              </m:sub>
                            </m:sSub>
                          </m:den>
                        </m:f>
                      </m:den>
                    </m:f>
                  </m:e>
                </m:d>
              </m:e>
            </m:d>
          </m:e>
          <m:sup/>
        </m:sSup>
      </m:oMath>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(5)</w:t>
      </w:r>
    </w:p>
    <w:p w:rsidR="004C108D" w:rsidRDefault="004C108D" w:rsidP="00F615AC">
      <w:pPr>
        <w:spacing w:before="240" w:after="240"/>
        <w:ind w:left="0"/>
        <w:rPr>
          <w:rFonts w:ascii="Times New Roman" w:eastAsiaTheme="minorEastAsia" w:hAnsi="Times New Roman" w:cs="Times New Roman"/>
          <w:sz w:val="24"/>
          <w:szCs w:val="24"/>
        </w:rPr>
      </w:pPr>
    </w:p>
    <w:p w:rsidR="00D13D66" w:rsidRDefault="00F615AC" w:rsidP="00F615AC">
      <w:pPr>
        <w:spacing w:before="240" w:after="240"/>
        <w:ind w:left="0"/>
        <w:rPr>
          <w:rFonts w:ascii="Times New Roman" w:eastAsiaTheme="minorEastAsia" w:hAnsi="Times New Roman" w:cs="Times New Roman"/>
          <w:sz w:val="24"/>
          <w:szCs w:val="24"/>
        </w:rPr>
      </w:pPr>
      <w:r w:rsidRPr="006A124F">
        <w:rPr>
          <w:rFonts w:ascii="Times New Roman" w:eastAsiaTheme="minorEastAsia" w:hAnsi="Times New Roman" w:cs="Times New Roman"/>
          <w:sz w:val="24"/>
          <w:szCs w:val="24"/>
        </w:rPr>
        <w:t xml:space="preserve">Como el ratio de capital humano </w:t>
      </w:r>
      <w:r>
        <w:rPr>
          <w:rFonts w:ascii="Times New Roman" w:eastAsiaTheme="minorEastAsia" w:hAnsi="Times New Roman" w:cs="Times New Roman"/>
          <w:sz w:val="24"/>
          <w:szCs w:val="24"/>
        </w:rPr>
        <w:t xml:space="preserve">a producto </w:t>
      </w:r>
      <w:r w:rsidRPr="006A124F">
        <w:rPr>
          <w:rFonts w:ascii="Times New Roman" w:eastAsiaTheme="minorEastAsia" w:hAnsi="Times New Roman" w:cs="Times New Roman"/>
          <w:sz w:val="24"/>
          <w:szCs w:val="24"/>
        </w:rPr>
        <w:t>se asume constante en el tiempo</w:t>
      </w:r>
    </w:p>
    <w:p w:rsidR="00F615AC" w:rsidRPr="006A124F" w:rsidRDefault="00F615AC" w:rsidP="00F615AC">
      <w:pPr>
        <w:spacing w:before="240" w:after="240"/>
        <w:ind w:left="0"/>
        <w:rPr>
          <w:rFonts w:ascii="Times New Roman" w:eastAsiaTheme="minorEastAsia" w:hAnsi="Times New Roman" w:cs="Times New Roman"/>
          <w:sz w:val="24"/>
          <w:szCs w:val="24"/>
        </w:rPr>
      </w:pPr>
      <w:r w:rsidRPr="006A124F">
        <w:rPr>
          <w:rFonts w:ascii="Times New Roman" w:eastAsiaTheme="minorEastAsia" w:hAnsi="Times New Roman" w:cs="Times New Roman"/>
          <w:sz w:val="24"/>
          <w:szCs w:val="24"/>
        </w:rPr>
        <w:t xml:space="preserve"> </w:t>
      </w:r>
      <m:oMath>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r>
              <w:rPr>
                <w:rFonts w:ascii="Cambria Math" w:hAnsi="Cambria Math" w:cs="Times New Roman"/>
                <w:sz w:val="24"/>
                <w:szCs w:val="24"/>
              </w:rPr>
              <m:t>=</m:t>
            </m:r>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t-1</m:t>
                    </m:r>
                  </m:sub>
                </m:sSub>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t-1</m:t>
                    </m:r>
                  </m:sub>
                </m:sSub>
              </m:den>
            </m:f>
          </m:e>
        </m:d>
        <m:r>
          <w:rPr>
            <w:rFonts w:ascii="Cambria Math" w:hAnsi="Cambria Math" w:cs="Times New Roman"/>
            <w:sz w:val="24"/>
            <w:szCs w:val="24"/>
          </w:rPr>
          <m:t xml:space="preserve">  </m:t>
        </m:r>
      </m:oMath>
      <w:r w:rsidRPr="006A124F">
        <w:rPr>
          <w:rFonts w:ascii="Times New Roman" w:eastAsiaTheme="minorEastAsia" w:hAnsi="Times New Roman" w:cs="Times New Roman"/>
          <w:sz w:val="24"/>
          <w:szCs w:val="24"/>
        </w:rPr>
        <w:t xml:space="preserve">tenemos que: </w:t>
      </w:r>
    </w:p>
    <w:p w:rsidR="00F615AC" w:rsidRPr="006A124F" w:rsidRDefault="008A532A" w:rsidP="00F615AC">
      <w:pPr>
        <w:spacing w:before="240" w:after="240"/>
        <w:ind w:left="0"/>
        <w:rPr>
          <w:rFonts w:ascii="Times New Roman" w:eastAsiaTheme="minorEastAsia" w:hAnsi="Times New Roman" w:cs="Times New Roman"/>
          <w:sz w:val="24"/>
          <w:szCs w:val="24"/>
        </w:rPr>
      </w:pPr>
      <m:oMath>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m:t>
                    </m:r>
                  </m:sub>
                </m:sSub>
              </m:e>
            </m:d>
            <m:ctrlPr>
              <w:rPr>
                <w:rFonts w:ascii="Cambria Math" w:hAnsi="Cambria Math" w:cs="Times New Roman"/>
                <w:i/>
                <w:sz w:val="24"/>
                <w:szCs w:val="24"/>
              </w:rPr>
            </m:ctrlPr>
          </m:e>
        </m:func>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lg</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t-1</m:t>
                    </m:r>
                  </m:sub>
                </m:sSub>
              </m:e>
            </m:d>
            <m:ctrlPr>
              <w:rPr>
                <w:rFonts w:ascii="Cambria Math" w:hAnsi="Cambria Math" w:cs="Times New Roman"/>
                <w:i/>
                <w:sz w:val="24"/>
                <w:szCs w:val="24"/>
              </w:rPr>
            </m:ctrlPr>
          </m:e>
        </m:func>
        <m:r>
          <w:rPr>
            <w:rFonts w:ascii="Cambria Math" w:hAnsi="Cambria Math" w:cs="Times New Roman"/>
            <w:sz w:val="24"/>
            <w:szCs w:val="24"/>
          </w:rPr>
          <m:t>=δ</m:t>
        </m:r>
        <m:sSup>
          <m:sSupPr>
            <m:ctrlPr>
              <w:rPr>
                <w:rFonts w:ascii="Cambria Math" w:hAnsi="Cambria Math" w:cs="Times New Roman"/>
                <w:i/>
                <w:sz w:val="24"/>
                <w:szCs w:val="24"/>
              </w:rPr>
            </m:ctrlPr>
          </m:sSupPr>
          <m:e>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lg</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e>
                </m:d>
                <m:r>
                  <w:rPr>
                    <w:rFonts w:ascii="Cambria Math" w:hAnsi="Cambria Math" w:cs="Times New Roman"/>
                    <w:sz w:val="24"/>
                    <w:szCs w:val="24"/>
                  </w:rPr>
                  <m:t>-</m:t>
                </m:r>
                <m:r>
                  <m:rPr>
                    <m:sty m:val="p"/>
                  </m:rPr>
                  <w:rPr>
                    <w:rFonts w:ascii="Cambria Math" w:hAnsi="Cambria Math" w:cs="Times New Roman"/>
                    <w:sz w:val="24"/>
                    <w:szCs w:val="24"/>
                  </w:rPr>
                  <m:t>lg</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t-1</m:t>
                            </m:r>
                          </m:sub>
                        </m:sSub>
                      </m:den>
                    </m:f>
                  </m:e>
                </m:d>
              </m:e>
            </m:d>
          </m:e>
          <m:sup/>
        </m:sSup>
      </m:oMath>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r>
      <w:r w:rsidR="00F615AC">
        <w:rPr>
          <w:rFonts w:ascii="Times New Roman" w:eastAsiaTheme="minorEastAsia" w:hAnsi="Times New Roman" w:cs="Times New Roman"/>
          <w:sz w:val="24"/>
          <w:szCs w:val="24"/>
        </w:rPr>
        <w:tab/>
        <w:t>(6)</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Esta última ecuación permite determinar la ganancia por incrementos e</w:t>
      </w:r>
      <w:r>
        <w:rPr>
          <w:rFonts w:ascii="Times New Roman" w:hAnsi="Times New Roman" w:cs="Times New Roman"/>
          <w:sz w:val="24"/>
          <w:szCs w:val="24"/>
        </w:rPr>
        <w:t>n la productividad del trabajo.</w:t>
      </w:r>
    </w:p>
    <w:p w:rsidR="00F615AC" w:rsidRPr="006A124F" w:rsidRDefault="00F615AC"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Mientras la economía no esté en el estado estacionario, la trayectoria de </w:t>
      </w:r>
      <m:oMath>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KT</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oMath>
      <w:r>
        <w:rPr>
          <w:rFonts w:ascii="Times New Roman" w:eastAsiaTheme="minorEastAsia" w:hAnsi="Times New Roman" w:cs="Times New Roman"/>
          <w:sz w:val="24"/>
          <w:szCs w:val="24"/>
        </w:rPr>
        <w:t xml:space="preserve">está determinada por la ecuación </w:t>
      </w:r>
      <m:oMath>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KT</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t</m:t>
            </m:r>
          </m:sub>
        </m:sSub>
        <m:r>
          <w:rPr>
            <w:rFonts w:ascii="Cambria Math" w:hAnsi="Cambria Math" w:cs="Times New Roman"/>
            <w:sz w:val="24"/>
            <w:szCs w:val="24"/>
          </w:rPr>
          <m:t>+φ</m:t>
        </m:r>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KT</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t-1</m:t>
                </m:r>
              </m:sub>
            </m:sSub>
          </m:den>
        </m:f>
      </m:oMath>
      <w:r>
        <w:rPr>
          <w:rFonts w:ascii="Times New Roman" w:eastAsiaTheme="minorEastAsia" w:hAnsi="Times New Roman" w:cs="Times New Roman"/>
          <w:sz w:val="24"/>
          <w:szCs w:val="24"/>
        </w:rPr>
        <w:t xml:space="preserve">, donde </w:t>
      </w:r>
      <m:oMath>
        <m:sSub>
          <m:sSubPr>
            <m:ctrlPr>
              <w:rPr>
                <w:rFonts w:ascii="Cambria Math" w:hAnsi="Cambria Math" w:cs="Times New Roman"/>
                <w:i/>
                <w:sz w:val="24"/>
                <w:szCs w:val="24"/>
              </w:rPr>
            </m:ctrlPr>
          </m:sSubPr>
          <m:e>
            <m:r>
              <w:rPr>
                <w:rFonts w:ascii="Cambria Math" w:hAnsi="Cambria Math" w:cs="Times New Roman"/>
                <w:sz w:val="24"/>
                <w:szCs w:val="24"/>
              </w:rPr>
              <m:t>KT</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es el capital total (físico y humano),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es la inversión (en capital físico y humano) y </w:t>
      </w:r>
      <m:oMath>
        <m:r>
          <w:rPr>
            <w:rFonts w:ascii="Cambria Math" w:hAnsi="Cambria Math" w:cs="Times New Roman"/>
            <w:sz w:val="24"/>
            <w:szCs w:val="24"/>
          </w:rPr>
          <m:t>φ</m:t>
        </m:r>
      </m:oMath>
      <w:r>
        <w:rPr>
          <w:rFonts w:ascii="Times New Roman" w:eastAsiaTheme="minorEastAsia" w:hAnsi="Times New Roman" w:cs="Times New Roman"/>
          <w:sz w:val="24"/>
          <w:szCs w:val="24"/>
        </w:rPr>
        <w:t xml:space="preserve"> es un coeficiente que mide la persistencia y depende del incremento en la PTF y la tasa de depreciación del capital. Los incrementos en el capital total a producto generan aumentos en la relación entre el capital y el trabajo efectivo, de forma de aumentar, hasta el estado estacionario, el monto de capital por trabajador. </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El beneficio, que naturalmente se mide como la diferencia de ganancias con proyecto y s</w:t>
      </w:r>
      <w:r>
        <w:rPr>
          <w:rFonts w:ascii="Times New Roman" w:hAnsi="Times New Roman" w:cs="Times New Roman"/>
          <w:sz w:val="24"/>
          <w:szCs w:val="24"/>
        </w:rPr>
        <w:t xml:space="preserve">in proyecto, en este caso opera </w:t>
      </w:r>
      <w:r w:rsidRPr="006A124F">
        <w:rPr>
          <w:rFonts w:ascii="Times New Roman" w:hAnsi="Times New Roman" w:cs="Times New Roman"/>
          <w:sz w:val="24"/>
          <w:szCs w:val="24"/>
        </w:rPr>
        <w:t xml:space="preserve">porque el proyecto aumenta la tasa de inversión y permite alcanzar la trayectoria óptima de </w:t>
      </w:r>
      <w:r>
        <w:rPr>
          <w:rFonts w:ascii="Times New Roman" w:hAnsi="Times New Roman" w:cs="Times New Roman"/>
          <w:sz w:val="24"/>
          <w:szCs w:val="24"/>
        </w:rPr>
        <w:t>capital por trabajador</w:t>
      </w:r>
      <w:r w:rsidRPr="006A124F">
        <w:rPr>
          <w:rFonts w:ascii="Times New Roman" w:hAnsi="Times New Roman" w:cs="Times New Roman"/>
          <w:sz w:val="24"/>
          <w:szCs w:val="24"/>
        </w:rPr>
        <w:t xml:space="preserve"> antes</w:t>
      </w:r>
      <w:r>
        <w:rPr>
          <w:rFonts w:ascii="Times New Roman" w:hAnsi="Times New Roman" w:cs="Times New Roman"/>
          <w:sz w:val="24"/>
          <w:szCs w:val="24"/>
        </w:rPr>
        <w:t xml:space="preserve"> en el tiempo. El beneficio es creciente con la diferencia entre el capital por trabajador. Si el escenario con proyecto y el escenario sin proyecto ambos llegaron al estado estacionario, el beneficio es nulo, ya que no hay margen para el crecimiento por acumulación de factores.</w:t>
      </w:r>
    </w:p>
    <w:p w:rsidR="00DB2B36" w:rsidRDefault="00DB2B36" w:rsidP="00F615AC">
      <w:pPr>
        <w:spacing w:after="120"/>
        <w:ind w:left="0"/>
        <w:rPr>
          <w:rFonts w:ascii="Times New Roman" w:hAnsi="Times New Roman" w:cs="Times New Roman"/>
          <w:sz w:val="24"/>
          <w:szCs w:val="24"/>
        </w:rPr>
      </w:pPr>
    </w:p>
    <w:p w:rsidR="00F615AC" w:rsidRPr="00840F12" w:rsidRDefault="00F615AC" w:rsidP="00840F12">
      <w:pPr>
        <w:pStyle w:val="ListParagraph"/>
        <w:numPr>
          <w:ilvl w:val="1"/>
          <w:numId w:val="19"/>
        </w:numPr>
        <w:spacing w:after="120"/>
        <w:rPr>
          <w:rFonts w:ascii="Times New Roman" w:hAnsi="Times New Roman" w:cs="Times New Roman"/>
          <w:b/>
          <w:sz w:val="24"/>
          <w:szCs w:val="24"/>
        </w:rPr>
      </w:pPr>
      <w:r w:rsidRPr="00840F12">
        <w:rPr>
          <w:rFonts w:ascii="Times New Roman" w:hAnsi="Times New Roman" w:cs="Times New Roman"/>
          <w:b/>
          <w:sz w:val="24"/>
          <w:szCs w:val="24"/>
        </w:rPr>
        <w:t>Masa salarial en el período inicial.</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 xml:space="preserve">Para estimar la trayectoria de la masa salarial, a precios constantes, es preciso establecer un punto de partida. Existen diversas formas de medir este valor. </w:t>
      </w:r>
      <w:r w:rsidR="00924AC6">
        <w:rPr>
          <w:rFonts w:ascii="Times New Roman" w:hAnsi="Times New Roman" w:cs="Times New Roman"/>
          <w:sz w:val="24"/>
          <w:szCs w:val="24"/>
        </w:rPr>
        <w:t>La</w:t>
      </w:r>
      <w:r w:rsidRPr="006A124F">
        <w:rPr>
          <w:rFonts w:ascii="Times New Roman" w:hAnsi="Times New Roman" w:cs="Times New Roman"/>
          <w:sz w:val="24"/>
          <w:szCs w:val="24"/>
        </w:rPr>
        <w:t xml:space="preserve"> Dirección General Impositiva publicó una muestra representativa de los ingresos incluidos en las declaraciones juradas del </w:t>
      </w:r>
      <w:r>
        <w:rPr>
          <w:rFonts w:ascii="Times New Roman" w:hAnsi="Times New Roman" w:cs="Times New Roman"/>
          <w:sz w:val="24"/>
          <w:szCs w:val="24"/>
        </w:rPr>
        <w:t>Impuesto a las Rentas de Personas Físicas (</w:t>
      </w:r>
      <w:r w:rsidRPr="006A124F">
        <w:rPr>
          <w:rFonts w:ascii="Times New Roman" w:hAnsi="Times New Roman" w:cs="Times New Roman"/>
          <w:sz w:val="24"/>
          <w:szCs w:val="24"/>
        </w:rPr>
        <w:t>IRPF</w:t>
      </w:r>
      <w:r>
        <w:rPr>
          <w:rFonts w:ascii="Times New Roman" w:hAnsi="Times New Roman" w:cs="Times New Roman"/>
          <w:sz w:val="24"/>
          <w:szCs w:val="24"/>
        </w:rPr>
        <w:t>)</w:t>
      </w:r>
      <w:r w:rsidRPr="006A124F">
        <w:rPr>
          <w:rFonts w:ascii="Times New Roman" w:hAnsi="Times New Roman" w:cs="Times New Roman"/>
          <w:sz w:val="24"/>
          <w:szCs w:val="24"/>
        </w:rPr>
        <w:t xml:space="preserve"> para categoría 2 (rentas del trabajo), correspondiendo al año 2009</w:t>
      </w:r>
      <w:r w:rsidRPr="006A124F">
        <w:rPr>
          <w:rStyle w:val="FootnoteReference"/>
          <w:rFonts w:ascii="Times New Roman" w:hAnsi="Times New Roman" w:cs="Times New Roman"/>
          <w:sz w:val="24"/>
          <w:szCs w:val="24"/>
        </w:rPr>
        <w:footnoteReference w:id="3"/>
      </w:r>
      <w:r w:rsidRPr="006A124F">
        <w:rPr>
          <w:rFonts w:ascii="Times New Roman" w:hAnsi="Times New Roman" w:cs="Times New Roman"/>
          <w:sz w:val="24"/>
          <w:szCs w:val="24"/>
        </w:rPr>
        <w:t xml:space="preserve">. </w:t>
      </w:r>
      <w:r>
        <w:rPr>
          <w:rFonts w:ascii="Times New Roman" w:hAnsi="Times New Roman" w:cs="Times New Roman"/>
          <w:sz w:val="24"/>
          <w:szCs w:val="24"/>
        </w:rPr>
        <w:t>Esos valores se actualizaron a</w:t>
      </w:r>
      <w:r w:rsidRPr="006A124F">
        <w:rPr>
          <w:rFonts w:ascii="Times New Roman" w:hAnsi="Times New Roman" w:cs="Times New Roman"/>
          <w:sz w:val="24"/>
          <w:szCs w:val="24"/>
        </w:rPr>
        <w:t xml:space="preserve"> </w:t>
      </w:r>
      <w:r w:rsidR="00B4013E">
        <w:rPr>
          <w:rFonts w:ascii="Times New Roman" w:hAnsi="Times New Roman" w:cs="Times New Roman"/>
          <w:sz w:val="24"/>
          <w:szCs w:val="24"/>
        </w:rPr>
        <w:t>valores de 2013</w:t>
      </w:r>
      <w:r>
        <w:rPr>
          <w:rFonts w:ascii="Times New Roman" w:hAnsi="Times New Roman" w:cs="Times New Roman"/>
          <w:sz w:val="24"/>
          <w:szCs w:val="24"/>
        </w:rPr>
        <w:t xml:space="preserve"> mediante el índice Medio de Salarios publicado por el Instituto Nacional de Estadística (INE) y se convirtieron a dólares utilizando </w:t>
      </w:r>
      <w:r w:rsidR="00DD1E8A">
        <w:rPr>
          <w:rFonts w:ascii="Times New Roman" w:hAnsi="Times New Roman" w:cs="Times New Roman"/>
          <w:sz w:val="24"/>
          <w:szCs w:val="24"/>
        </w:rPr>
        <w:t>la cotización</w:t>
      </w:r>
      <w:r>
        <w:rPr>
          <w:rFonts w:ascii="Times New Roman" w:hAnsi="Times New Roman" w:cs="Times New Roman"/>
          <w:sz w:val="24"/>
          <w:szCs w:val="24"/>
        </w:rPr>
        <w:t xml:space="preserve"> intercambiari</w:t>
      </w:r>
      <w:r w:rsidR="00DD1E8A">
        <w:rPr>
          <w:rFonts w:ascii="Times New Roman" w:hAnsi="Times New Roman" w:cs="Times New Roman"/>
          <w:sz w:val="24"/>
          <w:szCs w:val="24"/>
        </w:rPr>
        <w:t>a publicada</w:t>
      </w:r>
      <w:r>
        <w:rPr>
          <w:rFonts w:ascii="Times New Roman" w:hAnsi="Times New Roman" w:cs="Times New Roman"/>
          <w:sz w:val="24"/>
          <w:szCs w:val="24"/>
        </w:rPr>
        <w:t xml:space="preserve"> por el Banco Central, también disponible en el INE. E</w:t>
      </w:r>
      <w:r w:rsidRPr="006A124F">
        <w:rPr>
          <w:rFonts w:ascii="Times New Roman" w:hAnsi="Times New Roman" w:cs="Times New Roman"/>
          <w:sz w:val="24"/>
          <w:szCs w:val="24"/>
        </w:rPr>
        <w:t xml:space="preserve">l monto total de pagos al factor trabajo de la economía ascendió a </w:t>
      </w:r>
      <w:r>
        <w:rPr>
          <w:rFonts w:ascii="Times New Roman" w:hAnsi="Times New Roman" w:cs="Times New Roman"/>
          <w:sz w:val="24"/>
          <w:szCs w:val="24"/>
        </w:rPr>
        <w:t>U$</w:t>
      </w:r>
      <w:r w:rsidR="00B4013E">
        <w:rPr>
          <w:rFonts w:ascii="Times New Roman" w:hAnsi="Times New Roman" w:cs="Times New Roman"/>
          <w:sz w:val="24"/>
          <w:szCs w:val="24"/>
        </w:rPr>
        <w:t>16</w:t>
      </w:r>
      <w:r>
        <w:rPr>
          <w:rFonts w:ascii="Times New Roman" w:hAnsi="Times New Roman" w:cs="Times New Roman"/>
          <w:sz w:val="24"/>
          <w:szCs w:val="24"/>
        </w:rPr>
        <w:t>.</w:t>
      </w:r>
      <w:r w:rsidR="00B4013E">
        <w:rPr>
          <w:rFonts w:ascii="Times New Roman" w:hAnsi="Times New Roman" w:cs="Times New Roman"/>
          <w:sz w:val="24"/>
          <w:szCs w:val="24"/>
        </w:rPr>
        <w:t>042</w:t>
      </w:r>
      <w:r w:rsidRPr="006A124F">
        <w:rPr>
          <w:rFonts w:ascii="Times New Roman" w:hAnsi="Times New Roman" w:cs="Times New Roman"/>
          <w:sz w:val="24"/>
          <w:szCs w:val="24"/>
        </w:rPr>
        <w:t xml:space="preserve"> millones. El </w:t>
      </w:r>
      <w:r>
        <w:rPr>
          <w:rFonts w:ascii="Times New Roman" w:hAnsi="Times New Roman" w:cs="Times New Roman"/>
          <w:sz w:val="24"/>
          <w:szCs w:val="24"/>
        </w:rPr>
        <w:t>v</w:t>
      </w:r>
      <w:r w:rsidRPr="006A124F">
        <w:rPr>
          <w:rFonts w:ascii="Times New Roman" w:hAnsi="Times New Roman" w:cs="Times New Roman"/>
          <w:sz w:val="24"/>
          <w:szCs w:val="24"/>
        </w:rPr>
        <w:t>alor de la remuneración al factor trabajo estimado de esta manera es consistente con el de otros estudios</w:t>
      </w:r>
      <w:r w:rsidRPr="006A124F">
        <w:rPr>
          <w:rStyle w:val="FootnoteReference"/>
          <w:rFonts w:ascii="Times New Roman" w:hAnsi="Times New Roman" w:cs="Times New Roman"/>
          <w:sz w:val="24"/>
          <w:szCs w:val="24"/>
        </w:rPr>
        <w:footnoteReference w:id="4"/>
      </w:r>
      <w:r w:rsidRPr="006A124F">
        <w:rPr>
          <w:rFonts w:ascii="Times New Roman" w:hAnsi="Times New Roman" w:cs="Times New Roman"/>
          <w:sz w:val="24"/>
          <w:szCs w:val="24"/>
        </w:rPr>
        <w:t xml:space="preserve">. </w:t>
      </w:r>
    </w:p>
    <w:p w:rsidR="00DB2B36" w:rsidRDefault="00DB2B36" w:rsidP="00F615AC">
      <w:pPr>
        <w:spacing w:after="120"/>
        <w:ind w:left="0"/>
        <w:rPr>
          <w:rFonts w:ascii="Times New Roman" w:hAnsi="Times New Roman" w:cs="Times New Roman"/>
          <w:sz w:val="24"/>
          <w:szCs w:val="24"/>
        </w:rPr>
      </w:pPr>
    </w:p>
    <w:p w:rsidR="00F34095" w:rsidRPr="006A124F" w:rsidRDefault="00F34095" w:rsidP="00F615AC">
      <w:pPr>
        <w:spacing w:after="120"/>
        <w:ind w:left="0"/>
        <w:rPr>
          <w:rFonts w:ascii="Times New Roman" w:hAnsi="Times New Roman" w:cs="Times New Roman"/>
          <w:sz w:val="24"/>
          <w:szCs w:val="24"/>
        </w:rPr>
      </w:pPr>
    </w:p>
    <w:p w:rsidR="00F615AC" w:rsidRPr="00B32FE4" w:rsidRDefault="00F615AC" w:rsidP="00F615AC">
      <w:pPr>
        <w:pStyle w:val="ListParagraph"/>
        <w:numPr>
          <w:ilvl w:val="0"/>
          <w:numId w:val="1"/>
        </w:numPr>
        <w:spacing w:after="120"/>
        <w:rPr>
          <w:rFonts w:ascii="Times New Roman" w:hAnsi="Times New Roman" w:cs="Times New Roman"/>
          <w:b/>
          <w:sz w:val="24"/>
          <w:szCs w:val="24"/>
        </w:rPr>
      </w:pPr>
      <w:r w:rsidRPr="00B32FE4">
        <w:rPr>
          <w:rFonts w:ascii="Times New Roman" w:hAnsi="Times New Roman" w:cs="Times New Roman"/>
          <w:b/>
          <w:sz w:val="24"/>
          <w:szCs w:val="24"/>
        </w:rPr>
        <w:t>Beneficios</w:t>
      </w:r>
      <w:r w:rsidR="00041C87">
        <w:rPr>
          <w:rFonts w:ascii="Times New Roman" w:hAnsi="Times New Roman" w:cs="Times New Roman"/>
          <w:b/>
          <w:sz w:val="24"/>
          <w:szCs w:val="24"/>
        </w:rPr>
        <w:t xml:space="preserve"> del proyecto</w:t>
      </w:r>
    </w:p>
    <w:p w:rsidR="00F615AC" w:rsidRPr="006A124F"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El siguiente cuadro refleja el flujo de beneficios</w:t>
      </w:r>
      <w:r>
        <w:rPr>
          <w:rFonts w:ascii="Times New Roman" w:hAnsi="Times New Roman" w:cs="Times New Roman"/>
          <w:sz w:val="24"/>
          <w:szCs w:val="24"/>
        </w:rPr>
        <w:t>,</w:t>
      </w:r>
      <w:r w:rsidRPr="006A124F">
        <w:rPr>
          <w:rFonts w:ascii="Times New Roman" w:hAnsi="Times New Roman" w:cs="Times New Roman"/>
          <w:sz w:val="24"/>
          <w:szCs w:val="24"/>
        </w:rPr>
        <w:t xml:space="preserve"> con proyecto y sin proyecto</w:t>
      </w:r>
      <w:r>
        <w:rPr>
          <w:rFonts w:ascii="Times New Roman" w:hAnsi="Times New Roman" w:cs="Times New Roman"/>
          <w:sz w:val="24"/>
          <w:szCs w:val="24"/>
        </w:rPr>
        <w:t xml:space="preserve">, esto son el resultado de estimar la metodología antes descripta utilizando los parámetros del modelo de crecimiento calibrado en el </w:t>
      </w:r>
      <w:r w:rsidRPr="0066204B">
        <w:rPr>
          <w:rFonts w:ascii="Times New Roman" w:eastAsiaTheme="minorEastAsia" w:hAnsi="Times New Roman" w:cs="Times New Roman"/>
          <w:sz w:val="24"/>
          <w:szCs w:val="24"/>
        </w:rPr>
        <w:t>(Ver Enlace Electrónico Opcional 3</w:t>
      </w:r>
      <w:r w:rsidRPr="0066204B">
        <w:rPr>
          <w:rFonts w:ascii="Times New Roman" w:hAnsi="Times New Roman" w:cs="Times New Roman"/>
          <w:sz w:val="24"/>
          <w:szCs w:val="24"/>
        </w:rPr>
        <w:t>)</w:t>
      </w:r>
      <w:r w:rsidRPr="008673A7">
        <w:rPr>
          <w:rFonts w:ascii="Times New Roman" w:hAnsi="Times New Roman" w:cs="Times New Roman"/>
          <w:sz w:val="24"/>
          <w:szCs w:val="24"/>
        </w:rPr>
        <w:t xml:space="preserve">. </w:t>
      </w:r>
      <w:r>
        <w:rPr>
          <w:rFonts w:ascii="Times New Roman" w:hAnsi="Times New Roman" w:cs="Times New Roman"/>
          <w:sz w:val="24"/>
          <w:szCs w:val="24"/>
        </w:rPr>
        <w:t>Esta metodología se calibró</w:t>
      </w:r>
      <w:r w:rsidRPr="00770EDF">
        <w:rPr>
          <w:rFonts w:ascii="Times New Roman" w:hAnsi="Times New Roman" w:cs="Times New Roman"/>
          <w:sz w:val="24"/>
          <w:szCs w:val="24"/>
        </w:rPr>
        <w:t xml:space="preserve"> para el escenario base con y sin proyecto</w:t>
      </w:r>
      <w:r>
        <w:rPr>
          <w:rFonts w:ascii="Times New Roman" w:hAnsi="Times New Roman" w:cs="Times New Roman"/>
          <w:sz w:val="24"/>
          <w:szCs w:val="24"/>
        </w:rPr>
        <w:t>,</w:t>
      </w:r>
      <w:r w:rsidRPr="00770EDF">
        <w:rPr>
          <w:rFonts w:ascii="Times New Roman" w:hAnsi="Times New Roman" w:cs="Times New Roman"/>
          <w:sz w:val="24"/>
          <w:szCs w:val="24"/>
        </w:rPr>
        <w:t xml:space="preserve"> y también se replicó para los distintos </w:t>
      </w:r>
      <w:r>
        <w:rPr>
          <w:rFonts w:ascii="Times New Roman" w:hAnsi="Times New Roman" w:cs="Times New Roman"/>
          <w:sz w:val="24"/>
          <w:szCs w:val="24"/>
        </w:rPr>
        <w:t>análisis de sens</w:t>
      </w:r>
      <w:r w:rsidRPr="00770EDF">
        <w:rPr>
          <w:rFonts w:ascii="Times New Roman" w:hAnsi="Times New Roman" w:cs="Times New Roman"/>
          <w:sz w:val="24"/>
          <w:szCs w:val="24"/>
        </w:rPr>
        <w:t>ibilidad que se presentan en la siguiente sección.</w:t>
      </w:r>
    </w:p>
    <w:p w:rsidR="00F615AC" w:rsidRDefault="00F615AC" w:rsidP="00F615AC">
      <w:pPr>
        <w:spacing w:before="0"/>
        <w:ind w:left="0"/>
        <w:jc w:val="center"/>
        <w:rPr>
          <w:rFonts w:ascii="Times New Roman" w:hAnsi="Times New Roman" w:cs="Times New Roman"/>
          <w:b/>
          <w:sz w:val="24"/>
          <w:szCs w:val="24"/>
        </w:rPr>
      </w:pPr>
      <w:r w:rsidRPr="00D81A31">
        <w:rPr>
          <w:rFonts w:ascii="Times New Roman" w:hAnsi="Times New Roman" w:cs="Times New Roman"/>
          <w:b/>
          <w:sz w:val="24"/>
          <w:szCs w:val="24"/>
        </w:rPr>
        <w:t xml:space="preserve">Remuneraciones al factor trabajo. </w:t>
      </w:r>
    </w:p>
    <w:p w:rsidR="00F615AC" w:rsidRPr="00F00CC5" w:rsidRDefault="00F615AC" w:rsidP="00F615AC">
      <w:pPr>
        <w:spacing w:before="0"/>
        <w:ind w:left="0"/>
        <w:jc w:val="center"/>
        <w:rPr>
          <w:rFonts w:ascii="Times New Roman" w:hAnsi="Times New Roman" w:cs="Times New Roman"/>
          <w:sz w:val="24"/>
          <w:szCs w:val="24"/>
        </w:rPr>
      </w:pPr>
      <w:r w:rsidRPr="00F00CC5">
        <w:rPr>
          <w:rFonts w:ascii="Times New Roman" w:hAnsi="Times New Roman" w:cs="Times New Roman"/>
          <w:sz w:val="24"/>
          <w:szCs w:val="24"/>
        </w:rPr>
        <w:t>En millones de dólares</w:t>
      </w:r>
    </w:p>
    <w:tbl>
      <w:tblPr>
        <w:tblStyle w:val="LightShading-Accent3"/>
        <w:tblW w:w="6879" w:type="dxa"/>
        <w:jc w:val="center"/>
        <w:tblLook w:val="04A0" w:firstRow="1" w:lastRow="0" w:firstColumn="1" w:lastColumn="0" w:noHBand="0" w:noVBand="1"/>
      </w:tblPr>
      <w:tblGrid>
        <w:gridCol w:w="643"/>
        <w:gridCol w:w="2715"/>
        <w:gridCol w:w="2430"/>
        <w:gridCol w:w="1243"/>
      </w:tblGrid>
      <w:tr w:rsidR="00F615AC" w:rsidRPr="00770EDF" w:rsidTr="00D66C3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F615AC" w:rsidRPr="00770EDF" w:rsidRDefault="00F615AC" w:rsidP="00D66C30">
            <w:pPr>
              <w:ind w:left="0"/>
              <w:jc w:val="center"/>
              <w:rPr>
                <w:rFonts w:ascii="Times New Roman" w:eastAsia="Times New Roman" w:hAnsi="Times New Roman" w:cs="Times New Roman"/>
                <w:b w:val="0"/>
                <w:color w:val="000000"/>
                <w:sz w:val="24"/>
                <w:szCs w:val="24"/>
                <w:lang w:eastAsia="es-UY"/>
              </w:rPr>
            </w:pPr>
            <w:r>
              <w:rPr>
                <w:rFonts w:ascii="Times New Roman" w:eastAsia="Times New Roman" w:hAnsi="Times New Roman" w:cs="Times New Roman"/>
                <w:color w:val="000000"/>
                <w:sz w:val="24"/>
                <w:szCs w:val="24"/>
                <w:lang w:eastAsia="es-UY"/>
              </w:rPr>
              <w:t>A</w:t>
            </w:r>
            <w:r w:rsidRPr="00770EDF">
              <w:rPr>
                <w:rFonts w:ascii="Times New Roman" w:eastAsia="Times New Roman" w:hAnsi="Times New Roman" w:cs="Times New Roman"/>
                <w:color w:val="000000"/>
                <w:sz w:val="24"/>
                <w:szCs w:val="24"/>
                <w:lang w:eastAsia="es-UY"/>
              </w:rPr>
              <w:t>ño</w:t>
            </w:r>
          </w:p>
        </w:tc>
        <w:tc>
          <w:tcPr>
            <w:tcW w:w="2715" w:type="dxa"/>
            <w:noWrap/>
            <w:hideMark/>
          </w:tcPr>
          <w:p w:rsidR="00F615AC" w:rsidRPr="00770EDF" w:rsidRDefault="00F615AC"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es-UY"/>
              </w:rPr>
            </w:pPr>
            <w:r w:rsidRPr="00770EDF">
              <w:rPr>
                <w:rFonts w:ascii="Times New Roman" w:eastAsia="Times New Roman" w:hAnsi="Times New Roman" w:cs="Times New Roman"/>
                <w:color w:val="000000"/>
                <w:sz w:val="24"/>
                <w:szCs w:val="24"/>
                <w:lang w:eastAsia="es-UY"/>
              </w:rPr>
              <w:t>Situación con proyecto</w:t>
            </w:r>
          </w:p>
        </w:tc>
        <w:tc>
          <w:tcPr>
            <w:tcW w:w="2430" w:type="dxa"/>
            <w:noWrap/>
            <w:hideMark/>
          </w:tcPr>
          <w:p w:rsidR="00F615AC" w:rsidRPr="00770EDF" w:rsidRDefault="00F615AC"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es-UY"/>
              </w:rPr>
            </w:pPr>
            <w:r w:rsidRPr="00770EDF">
              <w:rPr>
                <w:rFonts w:ascii="Times New Roman" w:eastAsia="Times New Roman" w:hAnsi="Times New Roman" w:cs="Times New Roman"/>
                <w:color w:val="000000"/>
                <w:sz w:val="24"/>
                <w:szCs w:val="24"/>
                <w:lang w:eastAsia="es-UY"/>
              </w:rPr>
              <w:t>Situación sin proyecto</w:t>
            </w:r>
          </w:p>
        </w:tc>
        <w:tc>
          <w:tcPr>
            <w:tcW w:w="1167" w:type="dxa"/>
          </w:tcPr>
          <w:p w:rsidR="00F615AC" w:rsidRPr="00770EDF" w:rsidRDefault="00F615AC"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es-UY"/>
              </w:rPr>
            </w:pPr>
            <w:r w:rsidRPr="00770EDF">
              <w:rPr>
                <w:rFonts w:ascii="Times New Roman" w:eastAsia="Times New Roman" w:hAnsi="Times New Roman" w:cs="Times New Roman"/>
                <w:color w:val="000000"/>
                <w:sz w:val="24"/>
                <w:szCs w:val="24"/>
                <w:lang w:eastAsia="es-UY"/>
              </w:rPr>
              <w:t>diferencia</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71"/>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0</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16042</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16042</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0</w:t>
            </w:r>
          </w:p>
        </w:tc>
      </w:tr>
      <w:tr w:rsidR="00B4013E" w:rsidRPr="00F00CC5" w:rsidTr="00D66C30">
        <w:trPr>
          <w:trHeight w:val="197"/>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16524</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16489</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35</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17005</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16938</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67</w:t>
            </w:r>
          </w:p>
        </w:tc>
      </w:tr>
      <w:tr w:rsidR="00B4013E" w:rsidRPr="00F00CC5" w:rsidTr="00D66C30">
        <w:trPr>
          <w:trHeight w:val="22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3</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17486</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17390</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96</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4</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17969</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17846</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123</w:t>
            </w:r>
          </w:p>
        </w:tc>
      </w:tr>
      <w:tr w:rsidR="00B4013E" w:rsidRPr="00F00CC5" w:rsidTr="00D66C30">
        <w:trPr>
          <w:trHeight w:val="143"/>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5</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18454</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18306</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148</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6</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18942</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18771</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171</w:t>
            </w:r>
          </w:p>
        </w:tc>
      </w:tr>
      <w:tr w:rsidR="00B4013E" w:rsidRPr="00F00CC5" w:rsidTr="00D66C30">
        <w:trPr>
          <w:trHeight w:val="152"/>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7</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19435</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19243</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192</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8</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19933</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19720</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213</w:t>
            </w:r>
          </w:p>
        </w:tc>
      </w:tr>
      <w:tr w:rsidR="00B4013E" w:rsidRPr="00F00CC5" w:rsidTr="00D66C30">
        <w:trPr>
          <w:trHeight w:val="71"/>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9</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20437</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20205</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232</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25"/>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10</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20947</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20697</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250</w:t>
            </w:r>
          </w:p>
        </w:tc>
      </w:tr>
      <w:tr w:rsidR="00B4013E" w:rsidRPr="00F00CC5" w:rsidTr="00D66C30">
        <w:trPr>
          <w:trHeight w:val="170"/>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11</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21424</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21198</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226</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2E1778">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12</w:t>
            </w:r>
          </w:p>
        </w:tc>
        <w:tc>
          <w:tcPr>
            <w:tcW w:w="2715" w:type="dxa"/>
            <w:noWrap/>
            <w:hideMark/>
          </w:tcPr>
          <w:p w:rsidR="00B4013E" w:rsidRPr="00B4013E" w:rsidRDefault="00B4013E" w:rsidP="002E1778">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21911</w:t>
            </w:r>
          </w:p>
        </w:tc>
        <w:tc>
          <w:tcPr>
            <w:tcW w:w="2430" w:type="dxa"/>
            <w:noWrap/>
            <w:hideMark/>
          </w:tcPr>
          <w:p w:rsidR="00B4013E" w:rsidRPr="00B4013E" w:rsidRDefault="00B4013E" w:rsidP="002E1778">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21707</w:t>
            </w:r>
          </w:p>
        </w:tc>
        <w:tc>
          <w:tcPr>
            <w:tcW w:w="1167" w:type="dxa"/>
            <w:noWrap/>
            <w:hideMark/>
          </w:tcPr>
          <w:p w:rsidR="00B4013E" w:rsidRPr="00B4013E" w:rsidRDefault="00B4013E" w:rsidP="002E1778">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205</w:t>
            </w:r>
          </w:p>
        </w:tc>
      </w:tr>
      <w:tr w:rsidR="00B4013E" w:rsidRPr="00F00CC5" w:rsidTr="00D66C30">
        <w:trPr>
          <w:trHeight w:val="179"/>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13</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22410</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22225</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185</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14</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22920</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22752</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168</w:t>
            </w:r>
          </w:p>
        </w:tc>
      </w:tr>
      <w:tr w:rsidR="00B4013E" w:rsidRPr="00F00CC5" w:rsidTr="00D66C30">
        <w:trPr>
          <w:trHeight w:val="107"/>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15</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23441</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23290</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152</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52"/>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16</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23975</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23837</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137</w:t>
            </w:r>
          </w:p>
        </w:tc>
      </w:tr>
      <w:tr w:rsidR="00B4013E" w:rsidRPr="00F00CC5" w:rsidTr="00D66C30">
        <w:trPr>
          <w:trHeight w:val="206"/>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17</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24520</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24396</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124</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18</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25078</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24966</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112</w:t>
            </w:r>
          </w:p>
        </w:tc>
      </w:tr>
      <w:tr w:rsidR="00B4013E" w:rsidRPr="00F00CC5" w:rsidTr="00D66C30">
        <w:trPr>
          <w:trHeight w:val="5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19</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25649</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25547</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102</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20</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26233</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26141</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92</w:t>
            </w:r>
          </w:p>
        </w:tc>
      </w:tr>
      <w:tr w:rsidR="00B4013E" w:rsidRPr="00F00CC5" w:rsidTr="00D66C30">
        <w:trPr>
          <w:trHeight w:val="13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21</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26830</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26746</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83</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22</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27440</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27365</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75</w:t>
            </w:r>
          </w:p>
        </w:tc>
      </w:tr>
      <w:tr w:rsidR="00B4013E" w:rsidRPr="00F00CC5" w:rsidTr="00D66C30">
        <w:trPr>
          <w:trHeight w:val="143"/>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23</w:t>
            </w:r>
          </w:p>
        </w:tc>
        <w:tc>
          <w:tcPr>
            <w:tcW w:w="2715"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28064</w:t>
            </w:r>
          </w:p>
        </w:tc>
        <w:tc>
          <w:tcPr>
            <w:tcW w:w="2430"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27997</w:t>
            </w:r>
          </w:p>
        </w:tc>
        <w:tc>
          <w:tcPr>
            <w:tcW w:w="1167" w:type="dxa"/>
            <w:noWrap/>
            <w:hideMark/>
          </w:tcPr>
          <w:p w:rsidR="00B4013E" w:rsidRPr="00B4013E"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68</w:t>
            </w:r>
          </w:p>
        </w:tc>
      </w:tr>
      <w:tr w:rsidR="00B4013E" w:rsidRPr="00F00CC5" w:rsidTr="00D66C30">
        <w:trPr>
          <w:cnfStyle w:val="000000100000" w:firstRow="0" w:lastRow="0" w:firstColumn="0" w:lastColumn="0" w:oddVBand="0" w:evenVBand="0" w:oddHBand="1" w:evenHBand="0"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B4013E" w:rsidRPr="00F00CC5" w:rsidRDefault="00B4013E"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24</w:t>
            </w:r>
          </w:p>
        </w:tc>
        <w:tc>
          <w:tcPr>
            <w:tcW w:w="2715"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28703</w:t>
            </w:r>
          </w:p>
        </w:tc>
        <w:tc>
          <w:tcPr>
            <w:tcW w:w="2430"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28642</w:t>
            </w:r>
          </w:p>
        </w:tc>
        <w:tc>
          <w:tcPr>
            <w:tcW w:w="1167" w:type="dxa"/>
            <w:noWrap/>
            <w:hideMark/>
          </w:tcPr>
          <w:p w:rsidR="00B4013E" w:rsidRPr="00B4013E" w:rsidRDefault="00B4013E"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B4013E">
              <w:rPr>
                <w:rFonts w:ascii="Times New Roman" w:eastAsia="Times New Roman" w:hAnsi="Times New Roman" w:cs="Times New Roman"/>
                <w:color w:val="000000"/>
                <w:sz w:val="20"/>
                <w:szCs w:val="20"/>
                <w:lang w:eastAsia="es-UY"/>
              </w:rPr>
              <w:t>61</w:t>
            </w:r>
          </w:p>
        </w:tc>
      </w:tr>
      <w:tr w:rsidR="00F615AC" w:rsidRPr="00F00CC5" w:rsidTr="00D66C30">
        <w:trPr>
          <w:trHeight w:val="62"/>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F615AC" w:rsidRPr="00F00CC5" w:rsidRDefault="00F615AC" w:rsidP="00D66C30">
            <w:pPr>
              <w:ind w:left="0"/>
              <w:jc w:val="center"/>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25</w:t>
            </w:r>
          </w:p>
        </w:tc>
        <w:tc>
          <w:tcPr>
            <w:tcW w:w="2715" w:type="dxa"/>
            <w:noWrap/>
            <w:hideMark/>
          </w:tcPr>
          <w:p w:rsidR="00F615AC" w:rsidRPr="00F00CC5"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29356</w:t>
            </w:r>
          </w:p>
        </w:tc>
        <w:tc>
          <w:tcPr>
            <w:tcW w:w="2430" w:type="dxa"/>
            <w:noWrap/>
            <w:hideMark/>
          </w:tcPr>
          <w:p w:rsidR="00F615AC" w:rsidRPr="00F00CC5" w:rsidRDefault="00F615AC"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sidRPr="00F00CC5">
              <w:rPr>
                <w:rFonts w:ascii="Times New Roman" w:eastAsia="Times New Roman" w:hAnsi="Times New Roman" w:cs="Times New Roman"/>
                <w:color w:val="000000"/>
                <w:sz w:val="20"/>
                <w:szCs w:val="20"/>
                <w:lang w:eastAsia="es-UY"/>
              </w:rPr>
              <w:t>2</w:t>
            </w:r>
            <w:r w:rsidR="00B4013E">
              <w:rPr>
                <w:rFonts w:ascii="Times New Roman" w:eastAsia="Times New Roman" w:hAnsi="Times New Roman" w:cs="Times New Roman"/>
                <w:color w:val="000000"/>
                <w:sz w:val="20"/>
                <w:szCs w:val="20"/>
                <w:lang w:eastAsia="es-UY"/>
              </w:rPr>
              <w:t>9301</w:t>
            </w:r>
          </w:p>
        </w:tc>
        <w:tc>
          <w:tcPr>
            <w:tcW w:w="1167" w:type="dxa"/>
            <w:noWrap/>
            <w:hideMark/>
          </w:tcPr>
          <w:p w:rsidR="00F615AC" w:rsidRPr="00F00CC5" w:rsidRDefault="00B4013E" w:rsidP="00D66C30">
            <w:pPr>
              <w:ind w:left="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55</w:t>
            </w:r>
          </w:p>
        </w:tc>
      </w:tr>
      <w:tr w:rsidR="00E736FB" w:rsidRPr="00F00CC5" w:rsidTr="00D66C30">
        <w:trPr>
          <w:cnfStyle w:val="000000100000" w:firstRow="0" w:lastRow="0" w:firstColumn="0" w:lastColumn="0" w:oddVBand="0" w:evenVBand="0" w:oddHBand="1"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567" w:type="dxa"/>
            <w:noWrap/>
            <w:hideMark/>
          </w:tcPr>
          <w:p w:rsidR="00E736FB" w:rsidRPr="00F00CC5" w:rsidRDefault="00E736FB" w:rsidP="00D66C30">
            <w:pPr>
              <w:ind w:left="0"/>
              <w:jc w:val="center"/>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26</w:t>
            </w:r>
          </w:p>
        </w:tc>
        <w:tc>
          <w:tcPr>
            <w:tcW w:w="2715" w:type="dxa"/>
            <w:noWrap/>
            <w:hideMark/>
          </w:tcPr>
          <w:p w:rsidR="00E736FB" w:rsidRDefault="00E736FB"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30024</w:t>
            </w:r>
          </w:p>
        </w:tc>
        <w:tc>
          <w:tcPr>
            <w:tcW w:w="2430" w:type="dxa"/>
            <w:noWrap/>
            <w:hideMark/>
          </w:tcPr>
          <w:p w:rsidR="00E736FB" w:rsidRPr="00F00CC5" w:rsidRDefault="00E736FB"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29975</w:t>
            </w:r>
          </w:p>
        </w:tc>
        <w:tc>
          <w:tcPr>
            <w:tcW w:w="1167" w:type="dxa"/>
            <w:noWrap/>
            <w:hideMark/>
          </w:tcPr>
          <w:p w:rsidR="00E736FB" w:rsidRDefault="00E736FB" w:rsidP="00D66C30">
            <w:pPr>
              <w:ind w:left="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UY"/>
              </w:rPr>
            </w:pPr>
            <w:r>
              <w:rPr>
                <w:rFonts w:ascii="Times New Roman" w:eastAsia="Times New Roman" w:hAnsi="Times New Roman" w:cs="Times New Roman"/>
                <w:color w:val="000000"/>
                <w:sz w:val="20"/>
                <w:szCs w:val="20"/>
                <w:lang w:eastAsia="es-UY"/>
              </w:rPr>
              <w:t>50</w:t>
            </w:r>
          </w:p>
        </w:tc>
      </w:tr>
    </w:tbl>
    <w:p w:rsidR="00F615AC" w:rsidRPr="00F00CC5" w:rsidRDefault="00F615AC" w:rsidP="00D66C30">
      <w:pPr>
        <w:spacing w:before="0"/>
        <w:ind w:left="1065"/>
        <w:jc w:val="left"/>
        <w:rPr>
          <w:rFonts w:ascii="Times New Roman" w:hAnsi="Times New Roman" w:cs="Times New Roman"/>
          <w:sz w:val="18"/>
          <w:szCs w:val="18"/>
        </w:rPr>
      </w:pPr>
      <w:r w:rsidRPr="00F00CC5">
        <w:rPr>
          <w:rFonts w:ascii="Times New Roman" w:hAnsi="Times New Roman" w:cs="Times New Roman"/>
          <w:sz w:val="18"/>
          <w:szCs w:val="18"/>
        </w:rPr>
        <w:t xml:space="preserve">Fuente: </w:t>
      </w:r>
      <w:r>
        <w:rPr>
          <w:rFonts w:ascii="Times New Roman" w:hAnsi="Times New Roman" w:cs="Times New Roman"/>
          <w:sz w:val="18"/>
          <w:szCs w:val="18"/>
        </w:rPr>
        <w:t>Estimaciones</w:t>
      </w:r>
      <w:r w:rsidRPr="00F00CC5">
        <w:rPr>
          <w:rFonts w:ascii="Times New Roman" w:hAnsi="Times New Roman" w:cs="Times New Roman"/>
          <w:sz w:val="18"/>
          <w:szCs w:val="18"/>
        </w:rPr>
        <w:t xml:space="preserve"> propi</w:t>
      </w:r>
      <w:r>
        <w:rPr>
          <w:rFonts w:ascii="Times New Roman" w:hAnsi="Times New Roman" w:cs="Times New Roman"/>
          <w:sz w:val="18"/>
          <w:szCs w:val="18"/>
        </w:rPr>
        <w:t>a</w:t>
      </w:r>
      <w:r w:rsidRPr="00F00CC5">
        <w:rPr>
          <w:rFonts w:ascii="Times New Roman" w:hAnsi="Times New Roman" w:cs="Times New Roman"/>
          <w:sz w:val="18"/>
          <w:szCs w:val="18"/>
        </w:rPr>
        <w:t>s</w:t>
      </w:r>
    </w:p>
    <w:p w:rsidR="0091546C" w:rsidRDefault="0091546C" w:rsidP="00F615AC">
      <w:pPr>
        <w:spacing w:after="120"/>
        <w:ind w:left="0"/>
        <w:rPr>
          <w:rFonts w:ascii="Times New Roman" w:hAnsi="Times New Roman" w:cs="Times New Roman"/>
          <w:sz w:val="24"/>
          <w:szCs w:val="24"/>
        </w:rPr>
      </w:pPr>
    </w:p>
    <w:p w:rsidR="00F615AC" w:rsidRPr="006A124F"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Asum</w:t>
      </w:r>
      <w:r w:rsidR="00B4013E">
        <w:rPr>
          <w:rFonts w:ascii="Times New Roman" w:hAnsi="Times New Roman" w:cs="Times New Roman"/>
          <w:sz w:val="24"/>
          <w:szCs w:val="24"/>
        </w:rPr>
        <w:t>iendo una tasa de descuento de 1</w:t>
      </w:r>
      <w:r w:rsidR="00866B6B">
        <w:rPr>
          <w:rFonts w:ascii="Times New Roman" w:hAnsi="Times New Roman" w:cs="Times New Roman"/>
          <w:sz w:val="24"/>
          <w:szCs w:val="24"/>
        </w:rPr>
        <w:t>2</w:t>
      </w:r>
      <w:r w:rsidRPr="006A124F">
        <w:rPr>
          <w:rFonts w:ascii="Times New Roman" w:hAnsi="Times New Roman" w:cs="Times New Roman"/>
          <w:sz w:val="24"/>
          <w:szCs w:val="24"/>
        </w:rPr>
        <w:t>%, e</w:t>
      </w:r>
      <w:r>
        <w:rPr>
          <w:rFonts w:ascii="Times New Roman" w:hAnsi="Times New Roman" w:cs="Times New Roman"/>
          <w:sz w:val="24"/>
          <w:szCs w:val="24"/>
        </w:rPr>
        <w:t xml:space="preserve">l </w:t>
      </w:r>
      <w:r w:rsidRPr="006A124F">
        <w:rPr>
          <w:rFonts w:ascii="Times New Roman" w:hAnsi="Times New Roman" w:cs="Times New Roman"/>
          <w:sz w:val="24"/>
          <w:szCs w:val="24"/>
        </w:rPr>
        <w:t xml:space="preserve">flujo de beneficios </w:t>
      </w:r>
      <w:r>
        <w:rPr>
          <w:rFonts w:ascii="Times New Roman" w:hAnsi="Times New Roman" w:cs="Times New Roman"/>
          <w:sz w:val="24"/>
          <w:szCs w:val="24"/>
        </w:rPr>
        <w:t xml:space="preserve">antes presentado </w:t>
      </w:r>
      <w:r w:rsidRPr="006A124F">
        <w:rPr>
          <w:rFonts w:ascii="Times New Roman" w:hAnsi="Times New Roman" w:cs="Times New Roman"/>
          <w:sz w:val="24"/>
          <w:szCs w:val="24"/>
        </w:rPr>
        <w:t xml:space="preserve">arroja un valor presente neto de </w:t>
      </w:r>
      <w:r>
        <w:rPr>
          <w:rFonts w:ascii="Times New Roman" w:hAnsi="Times New Roman" w:cs="Times New Roman"/>
          <w:sz w:val="24"/>
          <w:szCs w:val="24"/>
        </w:rPr>
        <w:t>U$</w:t>
      </w:r>
      <w:r w:rsidR="00866B6B">
        <w:rPr>
          <w:rFonts w:ascii="Times New Roman" w:hAnsi="Times New Roman" w:cs="Times New Roman"/>
          <w:sz w:val="24"/>
          <w:szCs w:val="24"/>
        </w:rPr>
        <w:t>1.333</w:t>
      </w:r>
      <w:r w:rsidRPr="006A124F">
        <w:rPr>
          <w:rFonts w:ascii="Times New Roman" w:hAnsi="Times New Roman" w:cs="Times New Roman"/>
          <w:sz w:val="24"/>
          <w:szCs w:val="24"/>
        </w:rPr>
        <w:t xml:space="preserve"> millones. </w:t>
      </w:r>
    </w:p>
    <w:p w:rsidR="005E4F1C" w:rsidRDefault="005E4F1C" w:rsidP="00F615AC">
      <w:pPr>
        <w:spacing w:after="120"/>
        <w:ind w:left="0"/>
        <w:rPr>
          <w:rFonts w:ascii="Times New Roman" w:hAnsi="Times New Roman" w:cs="Times New Roman"/>
          <w:sz w:val="24"/>
          <w:szCs w:val="24"/>
        </w:rPr>
      </w:pPr>
      <w:r>
        <w:rPr>
          <w:rFonts w:ascii="Times New Roman" w:hAnsi="Times New Roman" w:cs="Times New Roman"/>
          <w:sz w:val="24"/>
          <w:szCs w:val="24"/>
        </w:rPr>
        <w:t>Dado que este segundo programa no sustituye sino que agrega financiamiento al primero, se debe evaluar todo el costo, asumiendo que el GROU hace uso de todo el programa desde el año 1 de su implementación.</w:t>
      </w:r>
      <w:r w:rsidR="00C50A6E">
        <w:rPr>
          <w:rFonts w:ascii="Times New Roman" w:hAnsi="Times New Roman" w:cs="Times New Roman"/>
          <w:sz w:val="24"/>
          <w:szCs w:val="24"/>
        </w:rPr>
        <w:t xml:space="preserve"> Si hace uso del programa por un monto menor al máximo o no lo utiliza a partir del primer año, el VPN del costo del programa es menor, aunque también lo serían los beneficios esperados. </w:t>
      </w:r>
    </w:p>
    <w:p w:rsidR="00DB2B36" w:rsidRDefault="00DB2B36" w:rsidP="00F615AC">
      <w:pPr>
        <w:spacing w:after="120"/>
        <w:ind w:left="0"/>
        <w:rPr>
          <w:rFonts w:ascii="Times New Roman" w:hAnsi="Times New Roman" w:cs="Times New Roman"/>
          <w:sz w:val="24"/>
          <w:szCs w:val="24"/>
        </w:rPr>
      </w:pPr>
    </w:p>
    <w:p w:rsidR="00F34095" w:rsidRDefault="00F34095" w:rsidP="00F615AC">
      <w:pPr>
        <w:spacing w:after="120"/>
        <w:ind w:left="0"/>
        <w:rPr>
          <w:rFonts w:ascii="Times New Roman" w:hAnsi="Times New Roman" w:cs="Times New Roman"/>
          <w:sz w:val="24"/>
          <w:szCs w:val="24"/>
        </w:rPr>
      </w:pPr>
    </w:p>
    <w:p w:rsidR="00784369" w:rsidRPr="00EE3455" w:rsidRDefault="00685ADB" w:rsidP="00EE3455">
      <w:pPr>
        <w:pStyle w:val="ListParagraph"/>
        <w:numPr>
          <w:ilvl w:val="0"/>
          <w:numId w:val="1"/>
        </w:numPr>
        <w:spacing w:after="120"/>
        <w:rPr>
          <w:rFonts w:ascii="Times New Roman" w:hAnsi="Times New Roman" w:cs="Times New Roman"/>
          <w:b/>
          <w:sz w:val="24"/>
          <w:szCs w:val="24"/>
        </w:rPr>
      </w:pPr>
      <w:r w:rsidRPr="00EE3455">
        <w:rPr>
          <w:rFonts w:ascii="Times New Roman" w:hAnsi="Times New Roman" w:cs="Times New Roman"/>
          <w:b/>
          <w:sz w:val="24"/>
          <w:szCs w:val="24"/>
        </w:rPr>
        <w:t>Costos del Proyecto</w:t>
      </w:r>
    </w:p>
    <w:p w:rsidR="00041C87" w:rsidRDefault="00041C87"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La evaluación de los costos incluirá tanto a los costos </w:t>
      </w:r>
      <w:r w:rsidR="00DB2B36">
        <w:rPr>
          <w:rFonts w:ascii="Times New Roman" w:hAnsi="Times New Roman" w:cs="Times New Roman"/>
          <w:sz w:val="24"/>
          <w:szCs w:val="24"/>
        </w:rPr>
        <w:t xml:space="preserve">financieros </w:t>
      </w:r>
      <w:r>
        <w:rPr>
          <w:rFonts w:ascii="Times New Roman" w:hAnsi="Times New Roman" w:cs="Times New Roman"/>
          <w:sz w:val="24"/>
          <w:szCs w:val="24"/>
        </w:rPr>
        <w:t xml:space="preserve">asociados a </w:t>
      </w:r>
      <w:r w:rsidR="00DB2B36">
        <w:rPr>
          <w:rFonts w:ascii="Times New Roman" w:hAnsi="Times New Roman" w:cs="Times New Roman"/>
          <w:sz w:val="24"/>
          <w:szCs w:val="24"/>
        </w:rPr>
        <w:t>a</w:t>
      </w:r>
      <w:r>
        <w:rPr>
          <w:rFonts w:ascii="Times New Roman" w:hAnsi="Times New Roman" w:cs="Times New Roman"/>
          <w:sz w:val="24"/>
          <w:szCs w:val="24"/>
        </w:rPr>
        <w:t xml:space="preserve">l </w:t>
      </w:r>
      <w:r w:rsidR="00DB2B36">
        <w:rPr>
          <w:rFonts w:ascii="Times New Roman" w:hAnsi="Times New Roman" w:cs="Times New Roman"/>
          <w:sz w:val="24"/>
          <w:szCs w:val="24"/>
        </w:rPr>
        <w:t xml:space="preserve">financiamiento </w:t>
      </w:r>
      <w:r>
        <w:rPr>
          <w:rFonts w:ascii="Times New Roman" w:hAnsi="Times New Roman" w:cs="Times New Roman"/>
          <w:sz w:val="24"/>
          <w:szCs w:val="24"/>
        </w:rPr>
        <w:t xml:space="preserve">como los costos </w:t>
      </w:r>
      <w:r w:rsidR="00DB2B36">
        <w:rPr>
          <w:rFonts w:ascii="Times New Roman" w:hAnsi="Times New Roman" w:cs="Times New Roman"/>
          <w:sz w:val="24"/>
          <w:szCs w:val="24"/>
        </w:rPr>
        <w:t xml:space="preserve">adicionales </w:t>
      </w:r>
      <w:r>
        <w:rPr>
          <w:rFonts w:ascii="Times New Roman" w:hAnsi="Times New Roman" w:cs="Times New Roman"/>
          <w:sz w:val="24"/>
          <w:szCs w:val="24"/>
        </w:rPr>
        <w:t xml:space="preserve">derivados de </w:t>
      </w:r>
      <w:r w:rsidR="00DB2B36">
        <w:rPr>
          <w:rFonts w:ascii="Times New Roman" w:hAnsi="Times New Roman" w:cs="Times New Roman"/>
          <w:sz w:val="24"/>
          <w:szCs w:val="24"/>
        </w:rPr>
        <w:t xml:space="preserve">la implementación de las </w:t>
      </w:r>
      <w:r>
        <w:rPr>
          <w:rFonts w:ascii="Times New Roman" w:hAnsi="Times New Roman" w:cs="Times New Roman"/>
          <w:sz w:val="24"/>
          <w:szCs w:val="24"/>
        </w:rPr>
        <w:t xml:space="preserve">reformas. Los primeros se denominarán costos de devolución y los segundos costos de </w:t>
      </w:r>
      <w:r w:rsidR="00DB2B36">
        <w:rPr>
          <w:rFonts w:ascii="Times New Roman" w:hAnsi="Times New Roman" w:cs="Times New Roman"/>
          <w:sz w:val="24"/>
          <w:szCs w:val="24"/>
        </w:rPr>
        <w:t>implementación</w:t>
      </w:r>
      <w:r>
        <w:rPr>
          <w:rFonts w:ascii="Times New Roman" w:hAnsi="Times New Roman" w:cs="Times New Roman"/>
          <w:sz w:val="24"/>
          <w:szCs w:val="24"/>
        </w:rPr>
        <w:t>.</w:t>
      </w:r>
    </w:p>
    <w:p w:rsidR="00F34095" w:rsidRDefault="00F34095" w:rsidP="00EE3455">
      <w:pPr>
        <w:spacing w:after="120"/>
        <w:ind w:left="0" w:firstLine="708"/>
        <w:rPr>
          <w:rFonts w:ascii="Times New Roman" w:hAnsi="Times New Roman" w:cs="Times New Roman"/>
          <w:b/>
          <w:sz w:val="24"/>
          <w:szCs w:val="24"/>
        </w:rPr>
      </w:pPr>
    </w:p>
    <w:p w:rsidR="00784369" w:rsidRPr="00EE3455" w:rsidRDefault="00685ADB" w:rsidP="00EE3455">
      <w:pPr>
        <w:spacing w:after="120"/>
        <w:ind w:left="0" w:firstLine="708"/>
        <w:rPr>
          <w:rFonts w:ascii="Times New Roman" w:hAnsi="Times New Roman" w:cs="Times New Roman"/>
          <w:b/>
          <w:sz w:val="24"/>
          <w:szCs w:val="24"/>
        </w:rPr>
      </w:pPr>
      <w:r w:rsidRPr="00EE3455">
        <w:rPr>
          <w:rFonts w:ascii="Times New Roman" w:hAnsi="Times New Roman" w:cs="Times New Roman"/>
          <w:b/>
          <w:sz w:val="24"/>
          <w:szCs w:val="24"/>
        </w:rPr>
        <w:t>4.1) Costos de devolución</w:t>
      </w:r>
    </w:p>
    <w:p w:rsidR="00C50A6E"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 xml:space="preserve">El </w:t>
      </w:r>
      <w:r w:rsidR="00C50A6E">
        <w:rPr>
          <w:rFonts w:ascii="Times New Roman" w:hAnsi="Times New Roman" w:cs="Times New Roman"/>
          <w:sz w:val="24"/>
          <w:szCs w:val="24"/>
        </w:rPr>
        <w:t>primer programa (UR L1076) está c</w:t>
      </w:r>
      <w:r>
        <w:rPr>
          <w:rFonts w:ascii="Times New Roman" w:hAnsi="Times New Roman" w:cs="Times New Roman"/>
          <w:sz w:val="24"/>
          <w:szCs w:val="24"/>
        </w:rPr>
        <w:t xml:space="preserve">ompuesto </w:t>
      </w:r>
      <w:r w:rsidR="00C50A6E">
        <w:rPr>
          <w:rFonts w:ascii="Times New Roman" w:hAnsi="Times New Roman" w:cs="Times New Roman"/>
          <w:sz w:val="24"/>
          <w:szCs w:val="24"/>
        </w:rPr>
        <w:t xml:space="preserve">por </w:t>
      </w:r>
      <w:r w:rsidR="00DB2B36">
        <w:rPr>
          <w:rFonts w:ascii="Times New Roman" w:hAnsi="Times New Roman" w:cs="Times New Roman"/>
          <w:sz w:val="24"/>
          <w:szCs w:val="24"/>
        </w:rPr>
        <w:t>dos fuentes de financiamiento con una estructura de costos diferencial</w:t>
      </w:r>
      <w:r>
        <w:rPr>
          <w:rFonts w:ascii="Times New Roman" w:hAnsi="Times New Roman" w:cs="Times New Roman"/>
          <w:sz w:val="24"/>
          <w:szCs w:val="24"/>
        </w:rPr>
        <w:t>. US$ 183.75 millones corresponde</w:t>
      </w:r>
      <w:r w:rsidR="00DB2B36">
        <w:rPr>
          <w:rFonts w:ascii="Times New Roman" w:hAnsi="Times New Roman" w:cs="Times New Roman"/>
          <w:sz w:val="24"/>
          <w:szCs w:val="24"/>
        </w:rPr>
        <w:t>n</w:t>
      </w:r>
      <w:r>
        <w:rPr>
          <w:rFonts w:ascii="Times New Roman" w:hAnsi="Times New Roman" w:cs="Times New Roman"/>
          <w:sz w:val="24"/>
          <w:szCs w:val="24"/>
        </w:rPr>
        <w:t xml:space="preserve"> al cupo regular de recursos que el Banco tiene con Uruguay y se rige mediante la Facilidad de Financiamiento Flexible, estos costos se deben repagar en un período máximo de 20 años con un período de gracia que </w:t>
      </w:r>
      <w:r w:rsidRPr="00DA6CC3">
        <w:rPr>
          <w:rFonts w:ascii="Times New Roman" w:hAnsi="Times New Roman" w:cs="Times New Roman"/>
          <w:sz w:val="24"/>
          <w:szCs w:val="24"/>
        </w:rPr>
        <w:t xml:space="preserve">dependerá del </w:t>
      </w:r>
      <w:r>
        <w:rPr>
          <w:rFonts w:ascii="Times New Roman" w:hAnsi="Times New Roman" w:cs="Times New Roman"/>
          <w:sz w:val="24"/>
          <w:szCs w:val="24"/>
        </w:rPr>
        <w:t>c</w:t>
      </w:r>
      <w:r w:rsidRPr="00DA6CC3">
        <w:rPr>
          <w:rFonts w:ascii="Times New Roman" w:hAnsi="Times New Roman" w:cs="Times New Roman"/>
          <w:sz w:val="24"/>
          <w:szCs w:val="24"/>
        </w:rPr>
        <w:t xml:space="preserve">ronograma de </w:t>
      </w:r>
      <w:r>
        <w:rPr>
          <w:rFonts w:ascii="Times New Roman" w:hAnsi="Times New Roman" w:cs="Times New Roman"/>
          <w:sz w:val="24"/>
          <w:szCs w:val="24"/>
        </w:rPr>
        <w:t>a</w:t>
      </w:r>
      <w:r w:rsidRPr="00DA6CC3">
        <w:rPr>
          <w:rFonts w:ascii="Times New Roman" w:hAnsi="Times New Roman" w:cs="Times New Roman"/>
          <w:sz w:val="24"/>
          <w:szCs w:val="24"/>
        </w:rPr>
        <w:t xml:space="preserve">mortización </w:t>
      </w:r>
      <w:r>
        <w:rPr>
          <w:rFonts w:ascii="Times New Roman" w:hAnsi="Times New Roman" w:cs="Times New Roman"/>
          <w:sz w:val="24"/>
          <w:szCs w:val="24"/>
        </w:rPr>
        <w:t xml:space="preserve">que acuerde </w:t>
      </w:r>
      <w:r w:rsidRPr="00DA6CC3">
        <w:rPr>
          <w:rFonts w:ascii="Times New Roman" w:hAnsi="Times New Roman" w:cs="Times New Roman"/>
          <w:sz w:val="24"/>
          <w:szCs w:val="24"/>
        </w:rPr>
        <w:t>el Prestatario y el Banco c</w:t>
      </w:r>
      <w:r>
        <w:rPr>
          <w:rFonts w:ascii="Times New Roman" w:hAnsi="Times New Roman" w:cs="Times New Roman"/>
          <w:sz w:val="24"/>
          <w:szCs w:val="24"/>
        </w:rPr>
        <w:t>uando la s</w:t>
      </w:r>
      <w:r w:rsidRPr="00DA6CC3">
        <w:rPr>
          <w:rFonts w:ascii="Times New Roman" w:hAnsi="Times New Roman" w:cs="Times New Roman"/>
          <w:sz w:val="24"/>
          <w:szCs w:val="24"/>
        </w:rPr>
        <w:t>olicitud de desembolso se formal</w:t>
      </w:r>
      <w:r>
        <w:rPr>
          <w:rFonts w:ascii="Times New Roman" w:hAnsi="Times New Roman" w:cs="Times New Roman"/>
          <w:sz w:val="24"/>
          <w:szCs w:val="24"/>
        </w:rPr>
        <w:t>ice, para el cálculo del beneficio neto hemos supuesto que el período de gracia es de 5,5 años</w:t>
      </w:r>
      <w:r w:rsidRPr="006A124F">
        <w:rPr>
          <w:rFonts w:ascii="Times New Roman" w:hAnsi="Times New Roman" w:cs="Times New Roman"/>
          <w:sz w:val="24"/>
          <w:szCs w:val="24"/>
        </w:rPr>
        <w:t xml:space="preserve">. </w:t>
      </w:r>
      <w:r>
        <w:rPr>
          <w:rFonts w:ascii="Times New Roman" w:hAnsi="Times New Roman" w:cs="Times New Roman"/>
          <w:sz w:val="24"/>
          <w:szCs w:val="24"/>
        </w:rPr>
        <w:t xml:space="preserve">La segunda fuente de los costos es la derivada del Programa de Reasignación y asciende a US$ 366,25 millones, esta fuente cuenta con un período de amortización de 11.5 años y un período de gracia de un año. </w:t>
      </w:r>
    </w:p>
    <w:p w:rsidR="00C50A6E" w:rsidRDefault="00A47679"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La segunda y tercera operación de la serie programática cuenta con </w:t>
      </w:r>
      <w:r w:rsidR="00C50A6E">
        <w:rPr>
          <w:rFonts w:ascii="Times New Roman" w:hAnsi="Times New Roman" w:cs="Times New Roman"/>
          <w:sz w:val="24"/>
          <w:szCs w:val="24"/>
        </w:rPr>
        <w:t xml:space="preserve">un período de gracia de hasta 5,5 años y 20 años de plazo para amortizar. El siguiente cuadro muestra la estructura de costos, plazos, período de gracia, valor de la cuota. </w:t>
      </w:r>
      <w:r w:rsidR="007909CB">
        <w:rPr>
          <w:rFonts w:ascii="Times New Roman" w:hAnsi="Times New Roman" w:cs="Times New Roman"/>
          <w:sz w:val="24"/>
          <w:szCs w:val="24"/>
        </w:rPr>
        <w:t xml:space="preserve">En todos los casos se asume una tasa de interés de 1,08%. </w:t>
      </w:r>
    </w:p>
    <w:p w:rsidR="00F34095" w:rsidRDefault="00F34095" w:rsidP="007909CB">
      <w:pPr>
        <w:spacing w:after="120"/>
        <w:ind w:left="0"/>
        <w:jc w:val="center"/>
        <w:rPr>
          <w:rFonts w:ascii="Times New Roman" w:hAnsi="Times New Roman" w:cs="Times New Roman"/>
          <w:b/>
          <w:sz w:val="24"/>
          <w:szCs w:val="24"/>
        </w:rPr>
      </w:pPr>
    </w:p>
    <w:p w:rsidR="007909CB" w:rsidRPr="007909CB" w:rsidRDefault="007909CB" w:rsidP="007909CB">
      <w:pPr>
        <w:spacing w:after="120"/>
        <w:ind w:left="0"/>
        <w:jc w:val="center"/>
        <w:rPr>
          <w:rFonts w:ascii="Times New Roman" w:hAnsi="Times New Roman" w:cs="Times New Roman"/>
          <w:b/>
          <w:sz w:val="24"/>
          <w:szCs w:val="24"/>
        </w:rPr>
      </w:pPr>
      <w:r w:rsidRPr="007909CB">
        <w:rPr>
          <w:rFonts w:ascii="Times New Roman" w:hAnsi="Times New Roman" w:cs="Times New Roman"/>
          <w:b/>
          <w:sz w:val="24"/>
          <w:szCs w:val="24"/>
        </w:rPr>
        <w:t xml:space="preserve">Estructura de costos </w:t>
      </w:r>
      <w:r w:rsidR="00041C87">
        <w:rPr>
          <w:rFonts w:ascii="Times New Roman" w:hAnsi="Times New Roman" w:cs="Times New Roman"/>
          <w:b/>
          <w:sz w:val="24"/>
          <w:szCs w:val="24"/>
        </w:rPr>
        <w:t xml:space="preserve">de devolución </w:t>
      </w:r>
      <w:r w:rsidRPr="007909CB">
        <w:rPr>
          <w:rFonts w:ascii="Times New Roman" w:hAnsi="Times New Roman" w:cs="Times New Roman"/>
          <w:b/>
          <w:sz w:val="24"/>
          <w:szCs w:val="24"/>
        </w:rPr>
        <w:t>de l</w:t>
      </w:r>
      <w:r w:rsidR="00A47679">
        <w:rPr>
          <w:rFonts w:ascii="Times New Roman" w:hAnsi="Times New Roman" w:cs="Times New Roman"/>
          <w:b/>
          <w:sz w:val="24"/>
          <w:szCs w:val="24"/>
        </w:rPr>
        <w:t xml:space="preserve">a serie </w:t>
      </w:r>
      <w:r w:rsidR="00621425">
        <w:rPr>
          <w:rFonts w:ascii="Times New Roman" w:hAnsi="Times New Roman" w:cs="Times New Roman"/>
          <w:b/>
          <w:sz w:val="24"/>
          <w:szCs w:val="24"/>
        </w:rPr>
        <w:t>programática</w:t>
      </w:r>
    </w:p>
    <w:tbl>
      <w:tblPr>
        <w:tblStyle w:val="LightShading-Accent3"/>
        <w:tblW w:w="9242" w:type="dxa"/>
        <w:tblLayout w:type="fixed"/>
        <w:tblLook w:val="04A0" w:firstRow="1" w:lastRow="0" w:firstColumn="1" w:lastColumn="0" w:noHBand="0" w:noVBand="1"/>
      </w:tblPr>
      <w:tblGrid>
        <w:gridCol w:w="2628"/>
        <w:gridCol w:w="1102"/>
        <w:gridCol w:w="1102"/>
        <w:gridCol w:w="1103"/>
        <w:gridCol w:w="1102"/>
        <w:gridCol w:w="1102"/>
        <w:gridCol w:w="1103"/>
      </w:tblGrid>
      <w:tr w:rsidR="00A47679" w:rsidRPr="002E1778" w:rsidTr="00D66C3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28" w:type="dxa"/>
            <w:noWrap/>
            <w:hideMark/>
          </w:tcPr>
          <w:p w:rsidR="00A47679" w:rsidRPr="002E1778" w:rsidRDefault="00A47679" w:rsidP="00D66C30">
            <w:pPr>
              <w:ind w:left="0"/>
              <w:jc w:val="center"/>
              <w:rPr>
                <w:rFonts w:ascii="Times New Roman" w:eastAsia="Times New Roman" w:hAnsi="Times New Roman" w:cs="Times New Roman"/>
                <w:color w:val="000000"/>
              </w:rPr>
            </w:pPr>
          </w:p>
        </w:tc>
        <w:tc>
          <w:tcPr>
            <w:tcW w:w="1102" w:type="dxa"/>
            <w:noWrap/>
            <w:hideMark/>
          </w:tcPr>
          <w:p w:rsidR="00A47679" w:rsidRPr="002E1778"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E1778">
              <w:rPr>
                <w:rFonts w:ascii="Times New Roman" w:eastAsia="Times New Roman" w:hAnsi="Times New Roman" w:cs="Times New Roman"/>
                <w:color w:val="000000"/>
              </w:rPr>
              <w:t xml:space="preserve">MONTO </w:t>
            </w:r>
            <w:r w:rsidRPr="00D66C30">
              <w:rPr>
                <w:rFonts w:ascii="Times New Roman" w:eastAsia="Times New Roman" w:hAnsi="Times New Roman" w:cs="Times New Roman"/>
                <w:color w:val="000000"/>
                <w:sz w:val="16"/>
                <w:szCs w:val="16"/>
              </w:rPr>
              <w:t>(mill. U$S)</w:t>
            </w:r>
          </w:p>
        </w:tc>
        <w:tc>
          <w:tcPr>
            <w:tcW w:w="1102" w:type="dxa"/>
            <w:noWrap/>
            <w:hideMark/>
          </w:tcPr>
          <w:p w:rsidR="00A47679" w:rsidRPr="00D66C30"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D66C30">
              <w:rPr>
                <w:rFonts w:ascii="Times New Roman" w:eastAsia="Times New Roman" w:hAnsi="Times New Roman" w:cs="Times New Roman"/>
                <w:color w:val="000000"/>
                <w:sz w:val="20"/>
                <w:szCs w:val="20"/>
              </w:rPr>
              <w:t>INTERÉS</w:t>
            </w:r>
          </w:p>
        </w:tc>
        <w:tc>
          <w:tcPr>
            <w:tcW w:w="1103" w:type="dxa"/>
            <w:noWrap/>
            <w:hideMark/>
          </w:tcPr>
          <w:p w:rsidR="00A47679" w:rsidRPr="002E1778"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E1778">
              <w:rPr>
                <w:rFonts w:ascii="Times New Roman" w:eastAsia="Times New Roman" w:hAnsi="Times New Roman" w:cs="Times New Roman"/>
                <w:color w:val="000000"/>
              </w:rPr>
              <w:t xml:space="preserve">CUOTA ANUAL </w:t>
            </w:r>
            <w:r w:rsidRPr="00D66C30">
              <w:rPr>
                <w:rFonts w:ascii="Times New Roman" w:eastAsia="Times New Roman" w:hAnsi="Times New Roman" w:cs="Times New Roman"/>
                <w:color w:val="000000"/>
                <w:sz w:val="16"/>
                <w:szCs w:val="16"/>
              </w:rPr>
              <w:t>(mill. U$S)</w:t>
            </w:r>
          </w:p>
        </w:tc>
        <w:tc>
          <w:tcPr>
            <w:tcW w:w="1102" w:type="dxa"/>
            <w:noWrap/>
            <w:hideMark/>
          </w:tcPr>
          <w:p w:rsidR="00A47679" w:rsidRPr="002E1778"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E1778">
              <w:rPr>
                <w:rFonts w:ascii="Times New Roman" w:eastAsia="Times New Roman" w:hAnsi="Times New Roman" w:cs="Times New Roman"/>
                <w:color w:val="000000"/>
              </w:rPr>
              <w:t>PAGO TOTAL</w:t>
            </w:r>
          </w:p>
        </w:tc>
        <w:tc>
          <w:tcPr>
            <w:tcW w:w="1102" w:type="dxa"/>
            <w:noWrap/>
            <w:hideMark/>
          </w:tcPr>
          <w:p w:rsidR="00A47679" w:rsidRPr="002E1778"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E1778">
              <w:rPr>
                <w:rFonts w:ascii="Times New Roman" w:eastAsia="Times New Roman" w:hAnsi="Times New Roman" w:cs="Times New Roman"/>
                <w:color w:val="000000"/>
              </w:rPr>
              <w:t xml:space="preserve">Período </w:t>
            </w:r>
            <w:r w:rsidRPr="00D66C30">
              <w:rPr>
                <w:rFonts w:ascii="Times New Roman" w:eastAsia="Times New Roman" w:hAnsi="Times New Roman" w:cs="Times New Roman"/>
                <w:color w:val="000000"/>
                <w:sz w:val="16"/>
                <w:szCs w:val="16"/>
              </w:rPr>
              <w:t>(Años)</w:t>
            </w:r>
          </w:p>
        </w:tc>
        <w:tc>
          <w:tcPr>
            <w:tcW w:w="1103" w:type="dxa"/>
            <w:noWrap/>
            <w:hideMark/>
          </w:tcPr>
          <w:p w:rsidR="00A47679" w:rsidRPr="002E1778" w:rsidRDefault="00A47679" w:rsidP="00D66C30">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E1778">
              <w:rPr>
                <w:rFonts w:ascii="Times New Roman" w:eastAsia="Times New Roman" w:hAnsi="Times New Roman" w:cs="Times New Roman"/>
                <w:color w:val="000000"/>
              </w:rPr>
              <w:t xml:space="preserve">Gracia </w:t>
            </w:r>
            <w:r w:rsidRPr="00D66C30">
              <w:rPr>
                <w:rFonts w:ascii="Times New Roman" w:eastAsia="Times New Roman" w:hAnsi="Times New Roman" w:cs="Times New Roman"/>
                <w:color w:val="000000"/>
                <w:sz w:val="16"/>
                <w:szCs w:val="16"/>
              </w:rPr>
              <w:t>(Años)</w:t>
            </w:r>
          </w:p>
        </w:tc>
      </w:tr>
      <w:tr w:rsidR="00A47679" w:rsidRPr="007D64D1" w:rsidTr="00D66C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28" w:type="dxa"/>
            <w:noWrap/>
            <w:hideMark/>
          </w:tcPr>
          <w:p w:rsidR="00A47679" w:rsidRPr="00EE3455" w:rsidRDefault="00A47679" w:rsidP="00D66C30">
            <w:pPr>
              <w:ind w:left="0"/>
              <w:jc w:val="left"/>
              <w:rPr>
                <w:rFonts w:ascii="Times New Roman" w:eastAsia="Times New Roman" w:hAnsi="Times New Roman" w:cs="Times New Roman"/>
                <w:color w:val="000000"/>
              </w:rPr>
            </w:pPr>
            <w:r>
              <w:rPr>
                <w:rFonts w:ascii="Times New Roman" w:eastAsia="Times New Roman" w:hAnsi="Times New Roman" w:cs="Times New Roman"/>
                <w:color w:val="000000"/>
              </w:rPr>
              <w:t>1ra Oper /</w:t>
            </w:r>
            <w:r w:rsidRPr="00EE3455">
              <w:rPr>
                <w:rFonts w:ascii="Times New Roman" w:eastAsia="Times New Roman" w:hAnsi="Times New Roman" w:cs="Times New Roman"/>
                <w:color w:val="000000"/>
              </w:rPr>
              <w:t>Reasignación</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366</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1.08%</w:t>
            </w:r>
          </w:p>
        </w:tc>
        <w:tc>
          <w:tcPr>
            <w:tcW w:w="1103"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 xml:space="preserve">34.04 </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391</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11.5</w:t>
            </w:r>
          </w:p>
        </w:tc>
        <w:tc>
          <w:tcPr>
            <w:tcW w:w="1103"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w:t>
            </w:r>
          </w:p>
        </w:tc>
      </w:tr>
      <w:tr w:rsidR="00A47679" w:rsidRPr="007D64D1" w:rsidTr="00D66C30">
        <w:trPr>
          <w:trHeight w:val="300"/>
        </w:trPr>
        <w:tc>
          <w:tcPr>
            <w:cnfStyle w:val="001000000000" w:firstRow="0" w:lastRow="0" w:firstColumn="1" w:lastColumn="0" w:oddVBand="0" w:evenVBand="0" w:oddHBand="0" w:evenHBand="0" w:firstRowFirstColumn="0" w:firstRowLastColumn="0" w:lastRowFirstColumn="0" w:lastRowLastColumn="0"/>
            <w:tcW w:w="2628" w:type="dxa"/>
            <w:noWrap/>
            <w:hideMark/>
          </w:tcPr>
          <w:p w:rsidR="00A47679" w:rsidRPr="00EE3455" w:rsidRDefault="00A47679" w:rsidP="00D66C30">
            <w:pPr>
              <w:ind w:left="0"/>
              <w:jc w:val="left"/>
              <w:rPr>
                <w:rFonts w:ascii="Times New Roman" w:eastAsia="Times New Roman" w:hAnsi="Times New Roman" w:cs="Times New Roman"/>
                <w:color w:val="000000"/>
              </w:rPr>
            </w:pPr>
            <w:r>
              <w:rPr>
                <w:rFonts w:ascii="Times New Roman" w:eastAsia="Times New Roman" w:hAnsi="Times New Roman" w:cs="Times New Roman"/>
                <w:color w:val="000000"/>
              </w:rPr>
              <w:t>1ra Oper./</w:t>
            </w:r>
            <w:r w:rsidRPr="00EE3455">
              <w:rPr>
                <w:rFonts w:ascii="Times New Roman" w:eastAsia="Times New Roman" w:hAnsi="Times New Roman" w:cs="Times New Roman"/>
                <w:color w:val="000000"/>
              </w:rPr>
              <w:t>Cupo Regular</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184</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1.08%</w:t>
            </w:r>
          </w:p>
        </w:tc>
        <w:tc>
          <w:tcPr>
            <w:tcW w:w="1103"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 xml:space="preserve">10.27 </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205</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20</w:t>
            </w:r>
          </w:p>
        </w:tc>
        <w:tc>
          <w:tcPr>
            <w:tcW w:w="1103"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5.5</w:t>
            </w:r>
          </w:p>
        </w:tc>
      </w:tr>
      <w:tr w:rsidR="00A47679" w:rsidRPr="007D64D1" w:rsidTr="00D66C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28" w:type="dxa"/>
            <w:noWrap/>
            <w:hideMark/>
          </w:tcPr>
          <w:p w:rsidR="00A47679" w:rsidRPr="00EE3455" w:rsidRDefault="00A47679" w:rsidP="00D66C30">
            <w:pPr>
              <w:ind w:left="0"/>
              <w:jc w:val="left"/>
              <w:rPr>
                <w:rFonts w:ascii="Times New Roman" w:eastAsia="Times New Roman" w:hAnsi="Times New Roman" w:cs="Times New Roman"/>
                <w:color w:val="000000"/>
              </w:rPr>
            </w:pPr>
            <w:r>
              <w:rPr>
                <w:rFonts w:ascii="Times New Roman" w:eastAsia="Times New Roman" w:hAnsi="Times New Roman" w:cs="Times New Roman"/>
                <w:color w:val="000000"/>
              </w:rPr>
              <w:t xml:space="preserve">2da </w:t>
            </w:r>
            <w:r w:rsidR="009E2400">
              <w:rPr>
                <w:rFonts w:ascii="Times New Roman" w:eastAsia="Times New Roman" w:hAnsi="Times New Roman" w:cs="Times New Roman"/>
                <w:color w:val="000000"/>
              </w:rPr>
              <w:t>Operación</w:t>
            </w:r>
            <w:r w:rsidRPr="00EE3455">
              <w:rPr>
                <w:rFonts w:ascii="Times New Roman" w:eastAsia="Times New Roman" w:hAnsi="Times New Roman" w:cs="Times New Roman"/>
                <w:color w:val="000000"/>
              </w:rPr>
              <w:t xml:space="preserve"> </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120</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1.08%</w:t>
            </w:r>
          </w:p>
        </w:tc>
        <w:tc>
          <w:tcPr>
            <w:tcW w:w="1103"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 xml:space="preserve"> 6.70 </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134</w:t>
            </w:r>
          </w:p>
        </w:tc>
        <w:tc>
          <w:tcPr>
            <w:tcW w:w="1102"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20</w:t>
            </w:r>
          </w:p>
        </w:tc>
        <w:tc>
          <w:tcPr>
            <w:tcW w:w="1103" w:type="dxa"/>
            <w:noWrap/>
            <w:hideMark/>
          </w:tcPr>
          <w:p w:rsidR="00A47679" w:rsidRPr="00EE3455" w:rsidRDefault="00A47679" w:rsidP="007909CB">
            <w:pPr>
              <w:ind w:left="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5.5</w:t>
            </w:r>
          </w:p>
        </w:tc>
      </w:tr>
      <w:tr w:rsidR="00A47679" w:rsidRPr="007D64D1" w:rsidTr="00D66C30">
        <w:trPr>
          <w:trHeight w:val="300"/>
        </w:trPr>
        <w:tc>
          <w:tcPr>
            <w:cnfStyle w:val="001000000000" w:firstRow="0" w:lastRow="0" w:firstColumn="1" w:lastColumn="0" w:oddVBand="0" w:evenVBand="0" w:oddHBand="0" w:evenHBand="0" w:firstRowFirstColumn="0" w:firstRowLastColumn="0" w:lastRowFirstColumn="0" w:lastRowLastColumn="0"/>
            <w:tcW w:w="2628" w:type="dxa"/>
            <w:noWrap/>
            <w:hideMark/>
          </w:tcPr>
          <w:p w:rsidR="00A47679" w:rsidRPr="00EE3455" w:rsidRDefault="00A47679" w:rsidP="00D66C30">
            <w:pPr>
              <w:ind w:left="0"/>
              <w:jc w:val="left"/>
              <w:rPr>
                <w:rFonts w:ascii="Times New Roman" w:eastAsia="Times New Roman" w:hAnsi="Times New Roman" w:cs="Times New Roman"/>
                <w:color w:val="000000"/>
              </w:rPr>
            </w:pPr>
            <w:r>
              <w:rPr>
                <w:rFonts w:ascii="Times New Roman" w:eastAsia="Times New Roman" w:hAnsi="Times New Roman" w:cs="Times New Roman"/>
                <w:color w:val="000000"/>
              </w:rPr>
              <w:t xml:space="preserve">3ra </w:t>
            </w:r>
            <w:r w:rsidR="009E2400">
              <w:rPr>
                <w:rFonts w:ascii="Times New Roman" w:eastAsia="Times New Roman" w:hAnsi="Times New Roman" w:cs="Times New Roman"/>
                <w:color w:val="000000"/>
              </w:rPr>
              <w:t>Operación</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247</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1.08%</w:t>
            </w:r>
          </w:p>
        </w:tc>
        <w:tc>
          <w:tcPr>
            <w:tcW w:w="1103"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 xml:space="preserve">13.80 </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276</w:t>
            </w:r>
          </w:p>
        </w:tc>
        <w:tc>
          <w:tcPr>
            <w:tcW w:w="1102"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20</w:t>
            </w:r>
          </w:p>
        </w:tc>
        <w:tc>
          <w:tcPr>
            <w:tcW w:w="1103" w:type="dxa"/>
            <w:noWrap/>
            <w:hideMark/>
          </w:tcPr>
          <w:p w:rsidR="00A47679" w:rsidRPr="00EE3455" w:rsidRDefault="00A47679" w:rsidP="007909CB">
            <w:pPr>
              <w:ind w:left="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EE3455">
              <w:rPr>
                <w:rFonts w:ascii="Times New Roman" w:eastAsia="Times New Roman" w:hAnsi="Times New Roman" w:cs="Times New Roman"/>
                <w:color w:val="000000"/>
              </w:rPr>
              <w:t>5.5</w:t>
            </w:r>
          </w:p>
        </w:tc>
      </w:tr>
    </w:tbl>
    <w:p w:rsidR="00C50A6E" w:rsidRDefault="00F34095" w:rsidP="00F615AC">
      <w:pPr>
        <w:spacing w:after="120"/>
        <w:ind w:left="0"/>
        <w:rPr>
          <w:rFonts w:ascii="Times New Roman" w:hAnsi="Times New Roman" w:cs="Times New Roman"/>
          <w:sz w:val="18"/>
          <w:szCs w:val="18"/>
        </w:rPr>
      </w:pPr>
      <w:r w:rsidRPr="00F00CC5">
        <w:rPr>
          <w:rFonts w:ascii="Times New Roman" w:hAnsi="Times New Roman" w:cs="Times New Roman"/>
          <w:sz w:val="18"/>
          <w:szCs w:val="18"/>
        </w:rPr>
        <w:t xml:space="preserve">Fuente: </w:t>
      </w:r>
      <w:r>
        <w:rPr>
          <w:rFonts w:ascii="Times New Roman" w:hAnsi="Times New Roman" w:cs="Times New Roman"/>
          <w:sz w:val="18"/>
          <w:szCs w:val="18"/>
        </w:rPr>
        <w:t>Estimaciones</w:t>
      </w:r>
      <w:r w:rsidRPr="00F00CC5">
        <w:rPr>
          <w:rFonts w:ascii="Times New Roman" w:hAnsi="Times New Roman" w:cs="Times New Roman"/>
          <w:sz w:val="18"/>
          <w:szCs w:val="18"/>
        </w:rPr>
        <w:t xml:space="preserve"> propi</w:t>
      </w:r>
      <w:r>
        <w:rPr>
          <w:rFonts w:ascii="Times New Roman" w:hAnsi="Times New Roman" w:cs="Times New Roman"/>
          <w:sz w:val="18"/>
          <w:szCs w:val="18"/>
        </w:rPr>
        <w:t>a</w:t>
      </w:r>
      <w:r w:rsidRPr="00F00CC5">
        <w:rPr>
          <w:rFonts w:ascii="Times New Roman" w:hAnsi="Times New Roman" w:cs="Times New Roman"/>
          <w:sz w:val="18"/>
          <w:szCs w:val="18"/>
        </w:rPr>
        <w:t>s</w:t>
      </w:r>
      <w:r>
        <w:rPr>
          <w:rFonts w:ascii="Times New Roman" w:hAnsi="Times New Roman" w:cs="Times New Roman"/>
          <w:sz w:val="18"/>
          <w:szCs w:val="18"/>
        </w:rPr>
        <w:t xml:space="preserve"> en base a los documentos de proyecto.</w:t>
      </w:r>
    </w:p>
    <w:p w:rsidR="00F34095" w:rsidRPr="007909CB" w:rsidRDefault="00F34095" w:rsidP="00F615AC">
      <w:pPr>
        <w:spacing w:after="120"/>
        <w:ind w:left="0"/>
        <w:rPr>
          <w:rFonts w:ascii="Times New Roman" w:hAnsi="Times New Roman" w:cs="Times New Roman"/>
          <w:sz w:val="24"/>
          <w:szCs w:val="24"/>
        </w:rPr>
      </w:pPr>
    </w:p>
    <w:p w:rsidR="00F615AC" w:rsidRDefault="00F615AC"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Tomando en cuenta esta estructura de costos, el </w:t>
      </w:r>
      <w:r w:rsidRPr="006A124F">
        <w:rPr>
          <w:rFonts w:ascii="Times New Roman" w:hAnsi="Times New Roman" w:cs="Times New Roman"/>
          <w:sz w:val="24"/>
          <w:szCs w:val="24"/>
        </w:rPr>
        <w:t xml:space="preserve">valor presente neto de los </w:t>
      </w:r>
      <w:r w:rsidR="00041C87">
        <w:rPr>
          <w:rFonts w:ascii="Times New Roman" w:hAnsi="Times New Roman" w:cs="Times New Roman"/>
          <w:sz w:val="24"/>
          <w:szCs w:val="24"/>
        </w:rPr>
        <w:t xml:space="preserve">costos de devolución de los </w:t>
      </w:r>
      <w:r>
        <w:rPr>
          <w:rFonts w:ascii="Times New Roman" w:hAnsi="Times New Roman" w:cs="Times New Roman"/>
          <w:sz w:val="24"/>
          <w:szCs w:val="24"/>
        </w:rPr>
        <w:t>mismos resulta ser de</w:t>
      </w:r>
      <w:r w:rsidRPr="00057990">
        <w:rPr>
          <w:rFonts w:ascii="Times New Roman" w:hAnsi="Times New Roman" w:cs="Times New Roman"/>
          <w:sz w:val="24"/>
          <w:szCs w:val="24"/>
        </w:rPr>
        <w:t xml:space="preserve"> U$</w:t>
      </w:r>
      <w:r w:rsidR="00866B6B">
        <w:rPr>
          <w:rFonts w:ascii="Times New Roman" w:hAnsi="Times New Roman" w:cs="Times New Roman"/>
          <w:sz w:val="24"/>
          <w:szCs w:val="24"/>
        </w:rPr>
        <w:t>308</w:t>
      </w:r>
      <w:r>
        <w:rPr>
          <w:rFonts w:ascii="Times New Roman" w:hAnsi="Times New Roman" w:cs="Times New Roman"/>
          <w:sz w:val="24"/>
          <w:szCs w:val="24"/>
        </w:rPr>
        <w:t xml:space="preserve"> millones.</w:t>
      </w:r>
    </w:p>
    <w:p w:rsidR="00F34095" w:rsidRDefault="00F34095" w:rsidP="00EE3455">
      <w:pPr>
        <w:spacing w:after="120"/>
        <w:ind w:left="0" w:firstLine="708"/>
        <w:rPr>
          <w:rFonts w:ascii="Times New Roman" w:hAnsi="Times New Roman" w:cs="Times New Roman"/>
          <w:b/>
          <w:sz w:val="24"/>
          <w:szCs w:val="24"/>
        </w:rPr>
      </w:pPr>
    </w:p>
    <w:p w:rsidR="00784369" w:rsidRPr="00EE3455" w:rsidRDefault="00685ADB" w:rsidP="00EE3455">
      <w:pPr>
        <w:spacing w:after="120"/>
        <w:ind w:left="0" w:firstLine="708"/>
        <w:rPr>
          <w:rFonts w:ascii="Times New Roman" w:hAnsi="Times New Roman" w:cs="Times New Roman"/>
          <w:b/>
          <w:sz w:val="24"/>
          <w:szCs w:val="24"/>
        </w:rPr>
      </w:pPr>
      <w:r w:rsidRPr="00EE3455">
        <w:rPr>
          <w:rFonts w:ascii="Times New Roman" w:hAnsi="Times New Roman" w:cs="Times New Roman"/>
          <w:b/>
          <w:sz w:val="24"/>
          <w:szCs w:val="24"/>
        </w:rPr>
        <w:t>4.2) Costos de Implementación</w:t>
      </w:r>
    </w:p>
    <w:p w:rsidR="00215BB4" w:rsidRDefault="00041C87"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Las distintas reformas que se implementarán en el programa </w:t>
      </w:r>
      <w:r w:rsidR="00215BB4">
        <w:rPr>
          <w:rFonts w:ascii="Times New Roman" w:hAnsi="Times New Roman" w:cs="Times New Roman"/>
          <w:sz w:val="24"/>
          <w:szCs w:val="24"/>
        </w:rPr>
        <w:t>traerán costos adicionales derivados de su implementación y ejecución, la estimación de estos costos se realizo teniendo en cuenta los siguientes rubros:</w:t>
      </w:r>
    </w:p>
    <w:p w:rsidR="00784369" w:rsidRDefault="00694000" w:rsidP="00EE3455">
      <w:pPr>
        <w:pStyle w:val="ListParagraph"/>
        <w:numPr>
          <w:ilvl w:val="0"/>
          <w:numId w:val="21"/>
        </w:numPr>
        <w:spacing w:after="120"/>
        <w:rPr>
          <w:rFonts w:ascii="Times New Roman" w:hAnsi="Times New Roman" w:cs="Times New Roman"/>
          <w:sz w:val="24"/>
          <w:szCs w:val="24"/>
        </w:rPr>
      </w:pPr>
      <w:r w:rsidRPr="00EE3455">
        <w:rPr>
          <w:rFonts w:ascii="Times New Roman" w:hAnsi="Times New Roman" w:cs="Times New Roman"/>
          <w:sz w:val="24"/>
          <w:szCs w:val="24"/>
        </w:rPr>
        <w:t xml:space="preserve">La </w:t>
      </w:r>
      <w:r w:rsidR="00215BB4" w:rsidRPr="00EE3455">
        <w:rPr>
          <w:rFonts w:ascii="Times New Roman" w:hAnsi="Times New Roman" w:cs="Times New Roman"/>
          <w:sz w:val="24"/>
          <w:szCs w:val="24"/>
        </w:rPr>
        <w:t xml:space="preserve">puesta en funcionamiento de la </w:t>
      </w:r>
      <w:r w:rsidRPr="00EE3455">
        <w:rPr>
          <w:rFonts w:ascii="Times New Roman" w:hAnsi="Times New Roman" w:cs="Times New Roman"/>
          <w:sz w:val="24"/>
          <w:szCs w:val="24"/>
        </w:rPr>
        <w:t xml:space="preserve">Universidad </w:t>
      </w:r>
      <w:r w:rsidR="00215BB4" w:rsidRPr="00EE3455">
        <w:rPr>
          <w:rFonts w:ascii="Times New Roman" w:hAnsi="Times New Roman" w:cs="Times New Roman"/>
          <w:sz w:val="24"/>
          <w:szCs w:val="24"/>
        </w:rPr>
        <w:t>Tecnológica</w:t>
      </w:r>
      <w:r w:rsidRPr="00EE3455">
        <w:rPr>
          <w:rFonts w:ascii="Times New Roman" w:hAnsi="Times New Roman" w:cs="Times New Roman"/>
          <w:sz w:val="24"/>
          <w:szCs w:val="24"/>
        </w:rPr>
        <w:t xml:space="preserve"> (UTEC)</w:t>
      </w:r>
      <w:r w:rsidR="00215BB4" w:rsidRPr="00EE3455">
        <w:rPr>
          <w:rFonts w:ascii="Times New Roman" w:hAnsi="Times New Roman" w:cs="Times New Roman"/>
          <w:sz w:val="24"/>
          <w:szCs w:val="24"/>
        </w:rPr>
        <w:t xml:space="preserve"> implica un costo adicional que no existía en la situación sin proyecto. Para estimar este costo se tomó de forma inicial la asignación presupuestaria que tuvo la </w:t>
      </w:r>
      <w:r w:rsidR="00BA4242">
        <w:rPr>
          <w:rFonts w:ascii="Times New Roman" w:hAnsi="Times New Roman" w:cs="Times New Roman"/>
          <w:sz w:val="24"/>
          <w:szCs w:val="24"/>
        </w:rPr>
        <w:t>UTEC</w:t>
      </w:r>
      <w:r w:rsidR="00215BB4" w:rsidRPr="00EE3455">
        <w:rPr>
          <w:rFonts w:ascii="Times New Roman" w:hAnsi="Times New Roman" w:cs="Times New Roman"/>
          <w:sz w:val="24"/>
          <w:szCs w:val="24"/>
        </w:rPr>
        <w:t xml:space="preserve"> en su primer año de funcionamiento y se asumió que </w:t>
      </w:r>
      <w:r w:rsidR="00BA4242">
        <w:rPr>
          <w:rFonts w:ascii="Times New Roman" w:hAnsi="Times New Roman" w:cs="Times New Roman"/>
          <w:sz w:val="24"/>
          <w:szCs w:val="24"/>
        </w:rPr>
        <w:t>dicho presupuesto</w:t>
      </w:r>
      <w:r w:rsidR="00215BB4" w:rsidRPr="00EE3455">
        <w:rPr>
          <w:rFonts w:ascii="Times New Roman" w:hAnsi="Times New Roman" w:cs="Times New Roman"/>
          <w:sz w:val="24"/>
          <w:szCs w:val="24"/>
        </w:rPr>
        <w:t xml:space="preserve"> crecería hasta </w:t>
      </w:r>
      <w:r w:rsidR="00BA4242">
        <w:rPr>
          <w:rFonts w:ascii="Times New Roman" w:hAnsi="Times New Roman" w:cs="Times New Roman"/>
          <w:sz w:val="24"/>
          <w:szCs w:val="24"/>
        </w:rPr>
        <w:t>alcanzar un</w:t>
      </w:r>
      <w:r w:rsidR="00215BB4" w:rsidRPr="00EE3455">
        <w:rPr>
          <w:rFonts w:ascii="Times New Roman" w:hAnsi="Times New Roman" w:cs="Times New Roman"/>
          <w:sz w:val="24"/>
          <w:szCs w:val="24"/>
        </w:rPr>
        <w:t xml:space="preserve"> valor que representa el </w:t>
      </w:r>
      <w:r w:rsidRPr="00EE3455">
        <w:rPr>
          <w:rFonts w:ascii="Times New Roman" w:hAnsi="Times New Roman" w:cs="Times New Roman"/>
          <w:sz w:val="24"/>
          <w:szCs w:val="24"/>
        </w:rPr>
        <w:t xml:space="preserve">10% del presupuesto de la Universidad de la República (a valores actuales) al final de evaluación del proyecto. </w:t>
      </w:r>
    </w:p>
    <w:p w:rsidR="00BA4242" w:rsidRPr="00EE3455" w:rsidRDefault="00BA4242" w:rsidP="00EE3455">
      <w:pPr>
        <w:pStyle w:val="ListParagraph"/>
        <w:spacing w:after="120"/>
        <w:rPr>
          <w:rFonts w:ascii="Times New Roman" w:hAnsi="Times New Roman" w:cs="Times New Roman"/>
          <w:sz w:val="24"/>
          <w:szCs w:val="24"/>
        </w:rPr>
      </w:pPr>
    </w:p>
    <w:p w:rsidR="00BA4242" w:rsidRDefault="00685ADB" w:rsidP="00EE3455">
      <w:pPr>
        <w:pStyle w:val="ListParagraph"/>
        <w:numPr>
          <w:ilvl w:val="0"/>
          <w:numId w:val="21"/>
        </w:numPr>
        <w:spacing w:after="120"/>
        <w:rPr>
          <w:rFonts w:ascii="Times New Roman" w:hAnsi="Times New Roman" w:cs="Times New Roman"/>
          <w:sz w:val="24"/>
          <w:szCs w:val="24"/>
        </w:rPr>
      </w:pPr>
      <w:r w:rsidRPr="00EE3455">
        <w:rPr>
          <w:rFonts w:ascii="Times New Roman" w:hAnsi="Times New Roman" w:cs="Times New Roman"/>
          <w:sz w:val="24"/>
          <w:szCs w:val="24"/>
        </w:rPr>
        <w:t>Se estim</w:t>
      </w:r>
      <w:r w:rsidR="00BA4242" w:rsidRPr="00BA4242">
        <w:rPr>
          <w:rFonts w:ascii="Times New Roman" w:hAnsi="Times New Roman" w:cs="Times New Roman"/>
          <w:sz w:val="24"/>
          <w:szCs w:val="24"/>
        </w:rPr>
        <w:t>ó</w:t>
      </w:r>
      <w:r w:rsidRPr="00EE3455">
        <w:rPr>
          <w:rFonts w:ascii="Times New Roman" w:hAnsi="Times New Roman" w:cs="Times New Roman"/>
          <w:sz w:val="24"/>
          <w:szCs w:val="24"/>
        </w:rPr>
        <w:t xml:space="preserve"> un costo de mantenimiento de una oficina estándar encargada de negociación y administración de los acuerdos de Doble Tributación.</w:t>
      </w:r>
    </w:p>
    <w:p w:rsidR="00BA4242" w:rsidRPr="00EE3455" w:rsidRDefault="00BA4242" w:rsidP="00EE3455">
      <w:pPr>
        <w:pStyle w:val="ListParagraph"/>
        <w:rPr>
          <w:rFonts w:ascii="Times New Roman" w:hAnsi="Times New Roman" w:cs="Times New Roman"/>
          <w:sz w:val="24"/>
          <w:szCs w:val="24"/>
        </w:rPr>
      </w:pPr>
    </w:p>
    <w:p w:rsidR="00BA4242" w:rsidRDefault="00BA4242" w:rsidP="00EE3455">
      <w:pPr>
        <w:pStyle w:val="ListParagraph"/>
        <w:numPr>
          <w:ilvl w:val="0"/>
          <w:numId w:val="21"/>
        </w:numPr>
        <w:spacing w:after="120"/>
        <w:rPr>
          <w:rFonts w:ascii="Times New Roman" w:hAnsi="Times New Roman" w:cs="Times New Roman"/>
          <w:sz w:val="24"/>
          <w:szCs w:val="24"/>
        </w:rPr>
      </w:pPr>
      <w:r w:rsidRPr="00BA4242">
        <w:rPr>
          <w:rFonts w:ascii="Times New Roman" w:hAnsi="Times New Roman" w:cs="Times New Roman"/>
          <w:sz w:val="24"/>
          <w:szCs w:val="24"/>
        </w:rPr>
        <w:t xml:space="preserve">El Programa de Modernización de Aduanas prevé que como efecto de la reestructura el presupuesto aduanero aumente </w:t>
      </w:r>
      <w:r w:rsidR="007D64D1">
        <w:rPr>
          <w:rFonts w:ascii="Times New Roman" w:hAnsi="Times New Roman" w:cs="Times New Roman"/>
          <w:sz w:val="24"/>
          <w:szCs w:val="24"/>
        </w:rPr>
        <w:t>algo menos de</w:t>
      </w:r>
      <w:r w:rsidRPr="00BA4242">
        <w:rPr>
          <w:rFonts w:ascii="Times New Roman" w:hAnsi="Times New Roman" w:cs="Times New Roman"/>
          <w:sz w:val="24"/>
          <w:szCs w:val="24"/>
        </w:rPr>
        <w:t xml:space="preserve"> </w:t>
      </w:r>
      <w:r w:rsidR="007D64D1">
        <w:rPr>
          <w:rFonts w:ascii="Times New Roman" w:hAnsi="Times New Roman" w:cs="Times New Roman"/>
          <w:sz w:val="24"/>
          <w:szCs w:val="24"/>
        </w:rPr>
        <w:t xml:space="preserve">diez </w:t>
      </w:r>
      <w:r w:rsidRPr="00BA4242">
        <w:rPr>
          <w:rFonts w:ascii="Times New Roman" w:hAnsi="Times New Roman" w:cs="Times New Roman"/>
          <w:sz w:val="24"/>
          <w:szCs w:val="24"/>
        </w:rPr>
        <w:t>millones de dólares anuales.</w:t>
      </w:r>
      <w:r w:rsidR="00685ADB" w:rsidRPr="00EE3455">
        <w:rPr>
          <w:rFonts w:ascii="Times New Roman" w:hAnsi="Times New Roman" w:cs="Times New Roman"/>
          <w:sz w:val="24"/>
          <w:szCs w:val="24"/>
        </w:rPr>
        <w:t xml:space="preserve"> </w:t>
      </w:r>
      <w:r w:rsidRPr="00BA4242">
        <w:rPr>
          <w:rFonts w:ascii="Times New Roman" w:hAnsi="Times New Roman" w:cs="Times New Roman"/>
          <w:sz w:val="24"/>
          <w:szCs w:val="24"/>
        </w:rPr>
        <w:t xml:space="preserve">Como efecto del programa, entre otras cosas, </w:t>
      </w:r>
      <w:r w:rsidR="00685ADB" w:rsidRPr="00EE3455">
        <w:rPr>
          <w:rFonts w:ascii="Times New Roman" w:hAnsi="Times New Roman" w:cs="Times New Roman"/>
          <w:sz w:val="24"/>
          <w:szCs w:val="24"/>
        </w:rPr>
        <w:t>el 45% de los puestos de trabajo tuvieron un reajuste de su escalafón, y pasaron a estar mejor pagados.</w:t>
      </w:r>
    </w:p>
    <w:p w:rsidR="00BA4242" w:rsidRPr="00EE3455" w:rsidRDefault="00BA4242" w:rsidP="00EE3455">
      <w:pPr>
        <w:pStyle w:val="ListParagraph"/>
        <w:rPr>
          <w:rFonts w:ascii="Times New Roman" w:hAnsi="Times New Roman" w:cs="Times New Roman"/>
          <w:sz w:val="24"/>
          <w:szCs w:val="24"/>
        </w:rPr>
      </w:pPr>
    </w:p>
    <w:p w:rsidR="00784369" w:rsidRPr="00EE3455" w:rsidRDefault="00215BB4" w:rsidP="00EE3455">
      <w:pPr>
        <w:pStyle w:val="ListParagraph"/>
        <w:numPr>
          <w:ilvl w:val="0"/>
          <w:numId w:val="21"/>
        </w:numPr>
        <w:spacing w:after="120"/>
        <w:rPr>
          <w:rFonts w:ascii="Times New Roman" w:hAnsi="Times New Roman" w:cs="Times New Roman"/>
          <w:sz w:val="24"/>
          <w:szCs w:val="24"/>
        </w:rPr>
      </w:pPr>
      <w:r>
        <w:rPr>
          <w:rFonts w:ascii="Times New Roman" w:hAnsi="Times New Roman" w:cs="Times New Roman"/>
          <w:sz w:val="24"/>
          <w:szCs w:val="24"/>
        </w:rPr>
        <w:t>S</w:t>
      </w:r>
      <w:r w:rsidR="00685ADB" w:rsidRPr="00EE3455">
        <w:rPr>
          <w:rFonts w:ascii="Times New Roman" w:hAnsi="Times New Roman" w:cs="Times New Roman"/>
          <w:sz w:val="24"/>
          <w:szCs w:val="24"/>
        </w:rPr>
        <w:t xml:space="preserve">e previó el costo de mantenimiento de la oficina encargada de gestionar la Ventanilla Única de Comercio Exterior (VUCE), con un funcionamiento de 25 personas en los primeros años y 15 personas cuando la totalidad de los procesos vinculados al comercio exterior estén integrados. </w:t>
      </w:r>
    </w:p>
    <w:p w:rsidR="008F7FA3" w:rsidRDefault="008F7FA3" w:rsidP="00F615AC">
      <w:pPr>
        <w:spacing w:after="120"/>
        <w:ind w:left="0"/>
        <w:rPr>
          <w:rFonts w:ascii="Times New Roman" w:hAnsi="Times New Roman" w:cs="Times New Roman"/>
          <w:sz w:val="24"/>
          <w:szCs w:val="24"/>
        </w:rPr>
      </w:pPr>
    </w:p>
    <w:p w:rsidR="008F7FA3" w:rsidRDefault="008F7FA3" w:rsidP="00EE3455">
      <w:pPr>
        <w:spacing w:before="0"/>
        <w:ind w:left="0"/>
        <w:jc w:val="center"/>
        <w:rPr>
          <w:rFonts w:ascii="Times New Roman" w:hAnsi="Times New Roman" w:cs="Times New Roman"/>
          <w:b/>
          <w:sz w:val="24"/>
          <w:szCs w:val="24"/>
        </w:rPr>
      </w:pPr>
      <w:r>
        <w:rPr>
          <w:rFonts w:ascii="Times New Roman" w:hAnsi="Times New Roman" w:cs="Times New Roman"/>
          <w:b/>
          <w:sz w:val="24"/>
          <w:szCs w:val="24"/>
        </w:rPr>
        <w:t>C</w:t>
      </w:r>
      <w:r w:rsidRPr="007909CB">
        <w:rPr>
          <w:rFonts w:ascii="Times New Roman" w:hAnsi="Times New Roman" w:cs="Times New Roman"/>
          <w:b/>
          <w:sz w:val="24"/>
          <w:szCs w:val="24"/>
        </w:rPr>
        <w:t xml:space="preserve">ostos </w:t>
      </w:r>
      <w:r>
        <w:rPr>
          <w:rFonts w:ascii="Times New Roman" w:hAnsi="Times New Roman" w:cs="Times New Roman"/>
          <w:b/>
          <w:sz w:val="24"/>
          <w:szCs w:val="24"/>
        </w:rPr>
        <w:t>de implementación del proyecto</w:t>
      </w:r>
    </w:p>
    <w:p w:rsidR="00F67F44" w:rsidRDefault="00F67F44" w:rsidP="00EE3455">
      <w:pPr>
        <w:spacing w:before="0"/>
        <w:ind w:left="0"/>
        <w:jc w:val="center"/>
        <w:rPr>
          <w:rFonts w:ascii="Times New Roman" w:hAnsi="Times New Roman" w:cs="Times New Roman"/>
          <w:sz w:val="24"/>
          <w:szCs w:val="24"/>
        </w:rPr>
      </w:pPr>
      <w:r w:rsidRPr="00EE3455">
        <w:rPr>
          <w:rFonts w:ascii="Times New Roman" w:hAnsi="Times New Roman" w:cs="Times New Roman"/>
          <w:sz w:val="24"/>
          <w:szCs w:val="24"/>
        </w:rPr>
        <w:t>(en millones U$S)</w:t>
      </w:r>
    </w:p>
    <w:tbl>
      <w:tblPr>
        <w:tblStyle w:val="LightShading-Accent3"/>
        <w:tblW w:w="9810" w:type="dxa"/>
        <w:tblLook w:val="04A0" w:firstRow="1" w:lastRow="0" w:firstColumn="1" w:lastColumn="0" w:noHBand="0" w:noVBand="1"/>
      </w:tblPr>
      <w:tblGrid>
        <w:gridCol w:w="1725"/>
        <w:gridCol w:w="687"/>
        <w:gridCol w:w="688"/>
        <w:gridCol w:w="687"/>
        <w:gridCol w:w="688"/>
        <w:gridCol w:w="687"/>
        <w:gridCol w:w="688"/>
        <w:gridCol w:w="687"/>
        <w:gridCol w:w="688"/>
        <w:gridCol w:w="687"/>
        <w:gridCol w:w="688"/>
        <w:gridCol w:w="400"/>
        <w:gridCol w:w="810"/>
      </w:tblGrid>
      <w:tr w:rsidR="00D06861" w:rsidRPr="00F34095" w:rsidTr="00D66C3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125E80" w:rsidRPr="00D66C30" w:rsidRDefault="00125E80" w:rsidP="00D06861">
            <w:pPr>
              <w:ind w:left="0"/>
              <w:jc w:val="center"/>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Rubros</w:t>
            </w:r>
            <w:r w:rsidR="00D06861" w:rsidRPr="00F34095">
              <w:rPr>
                <w:rFonts w:ascii="Calibri" w:eastAsia="Times New Roman" w:hAnsi="Calibri" w:cs="Times New Roman"/>
                <w:color w:val="000000"/>
                <w:sz w:val="20"/>
                <w:szCs w:val="20"/>
                <w:lang w:val="es-AR" w:eastAsia="es-AR"/>
              </w:rPr>
              <w:t>/Año</w:t>
            </w:r>
          </w:p>
        </w:tc>
        <w:tc>
          <w:tcPr>
            <w:tcW w:w="687"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1</w:t>
            </w:r>
          </w:p>
        </w:tc>
        <w:tc>
          <w:tcPr>
            <w:tcW w:w="688"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2</w:t>
            </w:r>
          </w:p>
        </w:tc>
        <w:tc>
          <w:tcPr>
            <w:tcW w:w="687"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3</w:t>
            </w:r>
          </w:p>
        </w:tc>
        <w:tc>
          <w:tcPr>
            <w:tcW w:w="688"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4</w:t>
            </w:r>
          </w:p>
        </w:tc>
        <w:tc>
          <w:tcPr>
            <w:tcW w:w="687"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5</w:t>
            </w:r>
          </w:p>
        </w:tc>
        <w:tc>
          <w:tcPr>
            <w:tcW w:w="688"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6</w:t>
            </w:r>
          </w:p>
        </w:tc>
        <w:tc>
          <w:tcPr>
            <w:tcW w:w="687"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7</w:t>
            </w:r>
          </w:p>
        </w:tc>
        <w:tc>
          <w:tcPr>
            <w:tcW w:w="688"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8</w:t>
            </w:r>
          </w:p>
        </w:tc>
        <w:tc>
          <w:tcPr>
            <w:tcW w:w="687"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9</w:t>
            </w:r>
          </w:p>
        </w:tc>
        <w:tc>
          <w:tcPr>
            <w:tcW w:w="688"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10</w:t>
            </w:r>
          </w:p>
        </w:tc>
        <w:tc>
          <w:tcPr>
            <w:tcW w:w="400"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w:t>
            </w:r>
          </w:p>
        </w:tc>
        <w:tc>
          <w:tcPr>
            <w:tcW w:w="810" w:type="dxa"/>
            <w:noWrap/>
            <w:hideMark/>
          </w:tcPr>
          <w:p w:rsidR="00125E80" w:rsidRPr="00D66C30" w:rsidRDefault="00125E80" w:rsidP="00125E80">
            <w:pPr>
              <w:ind w:left="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25</w:t>
            </w:r>
          </w:p>
        </w:tc>
      </w:tr>
      <w:tr w:rsidR="00D06861" w:rsidRPr="00D06861" w:rsidTr="00D66C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D06861" w:rsidRPr="00D66C30" w:rsidRDefault="00D06861" w:rsidP="00D06861">
            <w:pPr>
              <w:ind w:left="0"/>
              <w:jc w:val="left"/>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Unidad de Admin. Doble Tributación</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c>
          <w:tcPr>
            <w:tcW w:w="400" w:type="dxa"/>
            <w:noWrap/>
            <w:hideMark/>
          </w:tcPr>
          <w:p w:rsidR="00D06861" w:rsidRPr="00EE3455" w:rsidRDefault="00D06861" w:rsidP="00125E80">
            <w:pPr>
              <w:ind w:left="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w:t>
            </w:r>
          </w:p>
        </w:tc>
        <w:tc>
          <w:tcPr>
            <w:tcW w:w="810"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0.25</w:t>
            </w:r>
          </w:p>
        </w:tc>
      </w:tr>
      <w:tr w:rsidR="00D06861" w:rsidRPr="00D06861" w:rsidTr="00D66C30">
        <w:trPr>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D06861" w:rsidRPr="00D66C30" w:rsidRDefault="00D06861" w:rsidP="00125E80">
            <w:pPr>
              <w:ind w:left="0"/>
              <w:jc w:val="left"/>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UTEC</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7.32</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8.89</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10.45</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12.01</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13.57</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15.14</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16.70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18.26</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19.82</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21.38</w:t>
            </w:r>
          </w:p>
        </w:tc>
        <w:tc>
          <w:tcPr>
            <w:tcW w:w="400" w:type="dxa"/>
            <w:noWrap/>
            <w:hideMark/>
          </w:tcPr>
          <w:p w:rsidR="00D06861" w:rsidRPr="00EE3455" w:rsidRDefault="00D06861" w:rsidP="00125E80">
            <w:pPr>
              <w:ind w:left="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w:t>
            </w:r>
          </w:p>
        </w:tc>
        <w:tc>
          <w:tcPr>
            <w:tcW w:w="810"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44.82</w:t>
            </w:r>
          </w:p>
        </w:tc>
      </w:tr>
      <w:tr w:rsidR="00D06861" w:rsidRPr="00D06861" w:rsidTr="00D66C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D06861" w:rsidRPr="00D66C30" w:rsidRDefault="00D06861" w:rsidP="00125E80">
            <w:pPr>
              <w:ind w:left="0"/>
              <w:jc w:val="left"/>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VUCE</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1.78</w:t>
            </w:r>
          </w:p>
        </w:tc>
        <w:tc>
          <w:tcPr>
            <w:tcW w:w="400" w:type="dxa"/>
            <w:noWrap/>
            <w:hideMark/>
          </w:tcPr>
          <w:p w:rsidR="00D06861" w:rsidRPr="00EE3455" w:rsidRDefault="00D06861" w:rsidP="00125E80">
            <w:pPr>
              <w:ind w:left="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w:t>
            </w:r>
          </w:p>
        </w:tc>
        <w:tc>
          <w:tcPr>
            <w:tcW w:w="810"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1.07</w:t>
            </w:r>
          </w:p>
        </w:tc>
      </w:tr>
      <w:tr w:rsidR="00D06861" w:rsidRPr="00D06861" w:rsidTr="00D66C30">
        <w:trPr>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D06861" w:rsidRPr="00D66C30" w:rsidRDefault="00D06861" w:rsidP="00125E80">
            <w:pPr>
              <w:ind w:left="0"/>
              <w:jc w:val="left"/>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Reestructura DNA</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7"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688"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c>
          <w:tcPr>
            <w:tcW w:w="400" w:type="dxa"/>
            <w:noWrap/>
            <w:hideMark/>
          </w:tcPr>
          <w:p w:rsidR="00D06861" w:rsidRPr="00EE3455" w:rsidRDefault="00D06861" w:rsidP="00125E80">
            <w:pPr>
              <w:ind w:left="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w:t>
            </w:r>
          </w:p>
        </w:tc>
        <w:tc>
          <w:tcPr>
            <w:tcW w:w="810" w:type="dxa"/>
            <w:noWrap/>
            <w:hideMark/>
          </w:tcPr>
          <w:p w:rsidR="00D06861" w:rsidRPr="00EE3455" w:rsidRDefault="00D06861" w:rsidP="00125E80">
            <w:pPr>
              <w:ind w:left="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9.50</w:t>
            </w:r>
          </w:p>
        </w:tc>
      </w:tr>
      <w:tr w:rsidR="00D06861" w:rsidRPr="00D06861" w:rsidTr="00D66C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25" w:type="dxa"/>
            <w:noWrap/>
            <w:hideMark/>
          </w:tcPr>
          <w:p w:rsidR="00D06861" w:rsidRPr="00D66C30" w:rsidRDefault="00D06861" w:rsidP="00125E80">
            <w:pPr>
              <w:ind w:left="0"/>
              <w:jc w:val="left"/>
              <w:rPr>
                <w:rFonts w:ascii="Calibri" w:eastAsia="Times New Roman" w:hAnsi="Calibri" w:cs="Times New Roman"/>
                <w:color w:val="000000"/>
                <w:sz w:val="20"/>
                <w:szCs w:val="20"/>
                <w:lang w:val="es-AR" w:eastAsia="es-AR"/>
              </w:rPr>
            </w:pPr>
            <w:r w:rsidRPr="00F34095">
              <w:rPr>
                <w:rFonts w:ascii="Calibri" w:eastAsia="Times New Roman" w:hAnsi="Calibri" w:cs="Times New Roman"/>
                <w:color w:val="000000"/>
                <w:sz w:val="20"/>
                <w:szCs w:val="20"/>
                <w:lang w:val="es-AR" w:eastAsia="es-AR"/>
              </w:rPr>
              <w:t>TOTAL</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18.86</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20.42</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21.98</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23.54</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25.11</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26.67</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28.23</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29.79</w:t>
            </w:r>
          </w:p>
        </w:tc>
        <w:tc>
          <w:tcPr>
            <w:tcW w:w="687"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31.35</w:t>
            </w:r>
          </w:p>
        </w:tc>
        <w:tc>
          <w:tcPr>
            <w:tcW w:w="688"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32.92</w:t>
            </w:r>
          </w:p>
        </w:tc>
        <w:tc>
          <w:tcPr>
            <w:tcW w:w="400" w:type="dxa"/>
            <w:noWrap/>
            <w:hideMark/>
          </w:tcPr>
          <w:p w:rsidR="00D06861" w:rsidRPr="00EE3455" w:rsidRDefault="00D06861" w:rsidP="00125E80">
            <w:pPr>
              <w:ind w:left="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w:t>
            </w:r>
          </w:p>
        </w:tc>
        <w:tc>
          <w:tcPr>
            <w:tcW w:w="810" w:type="dxa"/>
            <w:noWrap/>
            <w:hideMark/>
          </w:tcPr>
          <w:p w:rsidR="00D06861" w:rsidRPr="00EE3455" w:rsidRDefault="00D06861" w:rsidP="00125E80">
            <w:pPr>
              <w:ind w:left="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val="es-AR" w:eastAsia="es-AR"/>
              </w:rPr>
            </w:pPr>
            <w:r w:rsidRPr="00EE3455">
              <w:rPr>
                <w:rFonts w:ascii="Calibri" w:eastAsia="Times New Roman" w:hAnsi="Calibri" w:cs="Times New Roman"/>
                <w:color w:val="000000"/>
                <w:sz w:val="20"/>
                <w:szCs w:val="20"/>
                <w:lang w:val="es-AR" w:eastAsia="es-AR"/>
              </w:rPr>
              <w:t>55.64</w:t>
            </w:r>
          </w:p>
        </w:tc>
      </w:tr>
    </w:tbl>
    <w:p w:rsidR="00125E80" w:rsidRDefault="00F34095" w:rsidP="00D66C30">
      <w:pPr>
        <w:spacing w:before="0"/>
        <w:ind w:left="0"/>
        <w:jc w:val="left"/>
        <w:rPr>
          <w:rFonts w:ascii="Times New Roman" w:hAnsi="Times New Roman" w:cs="Times New Roman"/>
          <w:sz w:val="24"/>
          <w:szCs w:val="24"/>
        </w:rPr>
      </w:pPr>
      <w:r w:rsidRPr="00F00CC5">
        <w:rPr>
          <w:rFonts w:ascii="Times New Roman" w:hAnsi="Times New Roman" w:cs="Times New Roman"/>
          <w:sz w:val="18"/>
          <w:szCs w:val="18"/>
        </w:rPr>
        <w:t xml:space="preserve">Fuente: </w:t>
      </w:r>
      <w:r>
        <w:rPr>
          <w:rFonts w:ascii="Times New Roman" w:hAnsi="Times New Roman" w:cs="Times New Roman"/>
          <w:sz w:val="18"/>
          <w:szCs w:val="18"/>
        </w:rPr>
        <w:t>Estimaciones</w:t>
      </w:r>
      <w:r w:rsidRPr="00F00CC5">
        <w:rPr>
          <w:rFonts w:ascii="Times New Roman" w:hAnsi="Times New Roman" w:cs="Times New Roman"/>
          <w:sz w:val="18"/>
          <w:szCs w:val="18"/>
        </w:rPr>
        <w:t xml:space="preserve"> propi</w:t>
      </w:r>
      <w:r>
        <w:rPr>
          <w:rFonts w:ascii="Times New Roman" w:hAnsi="Times New Roman" w:cs="Times New Roman"/>
          <w:sz w:val="18"/>
          <w:szCs w:val="18"/>
        </w:rPr>
        <w:t>a</w:t>
      </w:r>
      <w:r w:rsidRPr="00F00CC5">
        <w:rPr>
          <w:rFonts w:ascii="Times New Roman" w:hAnsi="Times New Roman" w:cs="Times New Roman"/>
          <w:sz w:val="18"/>
          <w:szCs w:val="18"/>
        </w:rPr>
        <w:t>s</w:t>
      </w:r>
      <w:r>
        <w:rPr>
          <w:rFonts w:ascii="Times New Roman" w:hAnsi="Times New Roman" w:cs="Times New Roman"/>
          <w:sz w:val="18"/>
          <w:szCs w:val="18"/>
        </w:rPr>
        <w:t xml:space="preserve"> utilizando datos del presupuesto nacional, la DNA, MEF </w:t>
      </w:r>
    </w:p>
    <w:p w:rsidR="00125E80" w:rsidRDefault="00125E80" w:rsidP="00F615AC">
      <w:pPr>
        <w:spacing w:after="120"/>
        <w:ind w:left="0"/>
        <w:rPr>
          <w:rFonts w:ascii="Times New Roman" w:hAnsi="Times New Roman" w:cs="Times New Roman"/>
          <w:sz w:val="24"/>
          <w:szCs w:val="24"/>
        </w:rPr>
      </w:pPr>
    </w:p>
    <w:p w:rsidR="00694000" w:rsidRPr="00057990" w:rsidRDefault="00694000"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Estos costos, que se contabilizan a partir del </w:t>
      </w:r>
      <w:r w:rsidR="00866B6B">
        <w:rPr>
          <w:rFonts w:ascii="Times New Roman" w:hAnsi="Times New Roman" w:cs="Times New Roman"/>
          <w:sz w:val="24"/>
          <w:szCs w:val="24"/>
        </w:rPr>
        <w:t xml:space="preserve">primer </w:t>
      </w:r>
      <w:r>
        <w:rPr>
          <w:rFonts w:ascii="Times New Roman" w:hAnsi="Times New Roman" w:cs="Times New Roman"/>
          <w:sz w:val="24"/>
          <w:szCs w:val="24"/>
        </w:rPr>
        <w:t xml:space="preserve">año del proyecto, tienen un </w:t>
      </w:r>
      <w:r w:rsidR="00866B6B">
        <w:rPr>
          <w:rFonts w:ascii="Times New Roman" w:hAnsi="Times New Roman" w:cs="Times New Roman"/>
          <w:sz w:val="24"/>
          <w:szCs w:val="24"/>
        </w:rPr>
        <w:t>valor presente neto de $</w:t>
      </w:r>
      <w:r w:rsidR="00F67F44">
        <w:rPr>
          <w:rFonts w:ascii="Times New Roman" w:hAnsi="Times New Roman" w:cs="Times New Roman"/>
          <w:sz w:val="24"/>
          <w:szCs w:val="24"/>
        </w:rPr>
        <w:t>232</w:t>
      </w:r>
      <w:r w:rsidR="00866B6B">
        <w:rPr>
          <w:rFonts w:ascii="Times New Roman" w:hAnsi="Times New Roman" w:cs="Times New Roman"/>
          <w:sz w:val="24"/>
          <w:szCs w:val="24"/>
        </w:rPr>
        <w:t xml:space="preserve"> millones.</w:t>
      </w:r>
      <w:r w:rsidR="00215BB4">
        <w:rPr>
          <w:rFonts w:ascii="Times New Roman" w:hAnsi="Times New Roman" w:cs="Times New Roman"/>
          <w:sz w:val="24"/>
          <w:szCs w:val="24"/>
        </w:rPr>
        <w:t xml:space="preserve"> </w:t>
      </w:r>
    </w:p>
    <w:p w:rsidR="00784369" w:rsidRPr="00EE3455" w:rsidRDefault="00685ADB" w:rsidP="00EE3455">
      <w:pPr>
        <w:pStyle w:val="ListParagraph"/>
        <w:numPr>
          <w:ilvl w:val="0"/>
          <w:numId w:val="1"/>
        </w:numPr>
        <w:spacing w:after="120"/>
        <w:rPr>
          <w:rFonts w:ascii="Times New Roman" w:hAnsi="Times New Roman" w:cs="Times New Roman"/>
          <w:b/>
          <w:sz w:val="24"/>
          <w:szCs w:val="24"/>
        </w:rPr>
      </w:pPr>
      <w:r w:rsidRPr="00EE3455">
        <w:rPr>
          <w:rFonts w:ascii="Times New Roman" w:hAnsi="Times New Roman" w:cs="Times New Roman"/>
          <w:b/>
          <w:sz w:val="24"/>
          <w:szCs w:val="24"/>
        </w:rPr>
        <w:t>Resultado Neto</w:t>
      </w:r>
    </w:p>
    <w:p w:rsidR="00F615AC" w:rsidRDefault="00F615AC" w:rsidP="00F615AC">
      <w:pPr>
        <w:spacing w:after="120"/>
        <w:ind w:left="0"/>
        <w:rPr>
          <w:rFonts w:ascii="Times New Roman" w:hAnsi="Times New Roman" w:cs="Times New Roman"/>
          <w:sz w:val="24"/>
          <w:szCs w:val="24"/>
        </w:rPr>
      </w:pPr>
      <w:r w:rsidRPr="00057990">
        <w:rPr>
          <w:rFonts w:ascii="Times New Roman" w:hAnsi="Times New Roman" w:cs="Times New Roman"/>
          <w:sz w:val="24"/>
          <w:szCs w:val="24"/>
        </w:rPr>
        <w:t>Como resultado de este ejercicio, el beneficio neto estimado asciende a U$</w:t>
      </w:r>
      <w:r w:rsidR="00F67F44">
        <w:rPr>
          <w:rFonts w:ascii="Times New Roman" w:hAnsi="Times New Roman" w:cs="Times New Roman"/>
          <w:sz w:val="24"/>
          <w:szCs w:val="24"/>
        </w:rPr>
        <w:t>793</w:t>
      </w:r>
      <w:r w:rsidRPr="00057990">
        <w:rPr>
          <w:rFonts w:ascii="Times New Roman" w:hAnsi="Times New Roman" w:cs="Times New Roman"/>
          <w:sz w:val="24"/>
          <w:szCs w:val="24"/>
        </w:rPr>
        <w:t xml:space="preserve"> millones. </w:t>
      </w:r>
      <w:r w:rsidRPr="006A124F">
        <w:rPr>
          <w:rFonts w:ascii="Times New Roman" w:hAnsi="Times New Roman" w:cs="Times New Roman"/>
          <w:sz w:val="24"/>
          <w:szCs w:val="24"/>
        </w:rPr>
        <w:t>Dada la particular estructura de este proyecto (flujo de ingresos mayores y anteriores en el tiempo que los costos), no es posible calc</w:t>
      </w:r>
      <w:r>
        <w:rPr>
          <w:rFonts w:ascii="Times New Roman" w:hAnsi="Times New Roman" w:cs="Times New Roman"/>
          <w:sz w:val="24"/>
          <w:szCs w:val="24"/>
        </w:rPr>
        <w:t>ular la tasa interna de retorno.</w:t>
      </w:r>
    </w:p>
    <w:p w:rsidR="00EE3455" w:rsidRDefault="00EE3455">
      <w:pPr>
        <w:rPr>
          <w:rFonts w:ascii="Times New Roman" w:hAnsi="Times New Roman" w:cs="Times New Roman"/>
          <w:b/>
          <w:sz w:val="24"/>
          <w:szCs w:val="24"/>
        </w:rPr>
      </w:pPr>
      <w:r>
        <w:rPr>
          <w:rFonts w:ascii="Times New Roman" w:hAnsi="Times New Roman" w:cs="Times New Roman"/>
          <w:b/>
          <w:sz w:val="24"/>
          <w:szCs w:val="24"/>
        </w:rPr>
        <w:br w:type="page"/>
      </w:r>
    </w:p>
    <w:p w:rsidR="00F615AC" w:rsidRDefault="00F615AC" w:rsidP="00E736FB">
      <w:pPr>
        <w:spacing w:before="240"/>
        <w:ind w:left="0"/>
        <w:jc w:val="center"/>
        <w:rPr>
          <w:rFonts w:ascii="Times New Roman" w:hAnsi="Times New Roman" w:cs="Times New Roman"/>
          <w:b/>
          <w:sz w:val="24"/>
          <w:szCs w:val="24"/>
        </w:rPr>
      </w:pPr>
      <w:r w:rsidRPr="00F00CC5">
        <w:rPr>
          <w:rFonts w:ascii="Times New Roman" w:hAnsi="Times New Roman" w:cs="Times New Roman"/>
          <w:b/>
          <w:sz w:val="24"/>
          <w:szCs w:val="24"/>
        </w:rPr>
        <w:t xml:space="preserve">Beneficio </w:t>
      </w:r>
      <w:r w:rsidR="00E736FB">
        <w:rPr>
          <w:rFonts w:ascii="Times New Roman" w:hAnsi="Times New Roman" w:cs="Times New Roman"/>
          <w:b/>
          <w:sz w:val="24"/>
          <w:szCs w:val="24"/>
        </w:rPr>
        <w:t xml:space="preserve">neto </w:t>
      </w:r>
      <w:r w:rsidRPr="00F00CC5">
        <w:rPr>
          <w:rFonts w:ascii="Times New Roman" w:hAnsi="Times New Roman" w:cs="Times New Roman"/>
          <w:b/>
          <w:sz w:val="24"/>
          <w:szCs w:val="24"/>
        </w:rPr>
        <w:t>por año. Escenario base. En millones de dólares</w:t>
      </w:r>
    </w:p>
    <w:p w:rsidR="00E736FB" w:rsidRDefault="007D64D1" w:rsidP="00F615AC">
      <w:pPr>
        <w:spacing w:before="240" w:after="240"/>
        <w:ind w:left="0"/>
        <w:jc w:val="center"/>
        <w:rPr>
          <w:rFonts w:ascii="Times New Roman" w:hAnsi="Times New Roman" w:cs="Times New Roman"/>
          <w:b/>
          <w:sz w:val="24"/>
          <w:szCs w:val="24"/>
        </w:rPr>
      </w:pPr>
      <w:r>
        <w:rPr>
          <w:noProof/>
          <w:lang w:val="en-US"/>
        </w:rPr>
        <w:drawing>
          <wp:inline distT="0" distB="0" distL="0" distR="0" wp14:anchorId="237997A5" wp14:editId="0ABB4A25">
            <wp:extent cx="5543550" cy="2743200"/>
            <wp:effectExtent l="19050" t="0" r="1905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615AC" w:rsidRDefault="00F615AC" w:rsidP="00D66C30">
      <w:pPr>
        <w:spacing w:before="0" w:after="120"/>
        <w:ind w:left="360"/>
        <w:jc w:val="left"/>
        <w:rPr>
          <w:rFonts w:ascii="Times New Roman" w:hAnsi="Times New Roman" w:cs="Times New Roman"/>
          <w:sz w:val="18"/>
          <w:szCs w:val="18"/>
        </w:rPr>
      </w:pPr>
      <w:r w:rsidRPr="00F00CC5">
        <w:rPr>
          <w:rFonts w:ascii="Times New Roman" w:hAnsi="Times New Roman" w:cs="Times New Roman"/>
          <w:sz w:val="18"/>
          <w:szCs w:val="18"/>
        </w:rPr>
        <w:t xml:space="preserve">Fuente: </w:t>
      </w:r>
      <w:r>
        <w:rPr>
          <w:rFonts w:ascii="Times New Roman" w:hAnsi="Times New Roman" w:cs="Times New Roman"/>
          <w:sz w:val="18"/>
          <w:szCs w:val="18"/>
        </w:rPr>
        <w:t>Estimaciones</w:t>
      </w:r>
      <w:r w:rsidRPr="00F00CC5">
        <w:rPr>
          <w:rFonts w:ascii="Times New Roman" w:hAnsi="Times New Roman" w:cs="Times New Roman"/>
          <w:sz w:val="18"/>
          <w:szCs w:val="18"/>
        </w:rPr>
        <w:t xml:space="preserve"> propi</w:t>
      </w:r>
      <w:r>
        <w:rPr>
          <w:rFonts w:ascii="Times New Roman" w:hAnsi="Times New Roman" w:cs="Times New Roman"/>
          <w:sz w:val="18"/>
          <w:szCs w:val="18"/>
        </w:rPr>
        <w:t>a</w:t>
      </w:r>
      <w:r w:rsidRPr="00F00CC5">
        <w:rPr>
          <w:rFonts w:ascii="Times New Roman" w:hAnsi="Times New Roman" w:cs="Times New Roman"/>
          <w:sz w:val="18"/>
          <w:szCs w:val="18"/>
        </w:rPr>
        <w:t>s</w:t>
      </w:r>
    </w:p>
    <w:p w:rsidR="004C108D" w:rsidRPr="00F00CC5" w:rsidRDefault="004C108D" w:rsidP="00D66C30">
      <w:pPr>
        <w:spacing w:before="0" w:after="120"/>
        <w:ind w:left="360"/>
        <w:jc w:val="left"/>
        <w:rPr>
          <w:rFonts w:ascii="Times New Roman" w:hAnsi="Times New Roman" w:cs="Times New Roman"/>
          <w:sz w:val="18"/>
          <w:szCs w:val="18"/>
        </w:rPr>
      </w:pPr>
    </w:p>
    <w:p w:rsidR="00784369" w:rsidRDefault="00F615AC" w:rsidP="00EE3455">
      <w:pPr>
        <w:pStyle w:val="ListParagraph"/>
        <w:numPr>
          <w:ilvl w:val="0"/>
          <w:numId w:val="1"/>
        </w:numPr>
        <w:spacing w:after="120"/>
        <w:rPr>
          <w:rFonts w:ascii="Times New Roman" w:hAnsi="Times New Roman" w:cs="Times New Roman"/>
          <w:b/>
          <w:sz w:val="24"/>
          <w:szCs w:val="24"/>
        </w:rPr>
      </w:pPr>
      <w:r w:rsidRPr="006A124F">
        <w:rPr>
          <w:rFonts w:ascii="Times New Roman" w:hAnsi="Times New Roman" w:cs="Times New Roman"/>
          <w:b/>
          <w:sz w:val="24"/>
          <w:szCs w:val="24"/>
        </w:rPr>
        <w:t>Análisis de sensibilidad</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 xml:space="preserve">Para evaluar la robustez del resultado a cambios en los supuestos </w:t>
      </w:r>
      <w:r>
        <w:rPr>
          <w:rFonts w:ascii="Times New Roman" w:hAnsi="Times New Roman" w:cs="Times New Roman"/>
          <w:sz w:val="24"/>
          <w:szCs w:val="24"/>
        </w:rPr>
        <w:t xml:space="preserve">utilizados </w:t>
      </w:r>
      <w:r w:rsidRPr="006A124F">
        <w:rPr>
          <w:rFonts w:ascii="Times New Roman" w:hAnsi="Times New Roman" w:cs="Times New Roman"/>
          <w:sz w:val="24"/>
          <w:szCs w:val="24"/>
        </w:rPr>
        <w:t>se construye</w:t>
      </w:r>
      <w:r>
        <w:rPr>
          <w:rFonts w:ascii="Times New Roman" w:hAnsi="Times New Roman" w:cs="Times New Roman"/>
          <w:sz w:val="24"/>
          <w:szCs w:val="24"/>
        </w:rPr>
        <w:t>ron</w:t>
      </w:r>
      <w:r w:rsidRPr="006A124F">
        <w:rPr>
          <w:rFonts w:ascii="Times New Roman" w:hAnsi="Times New Roman" w:cs="Times New Roman"/>
          <w:sz w:val="24"/>
          <w:szCs w:val="24"/>
        </w:rPr>
        <w:t xml:space="preserve"> escenarios alternativos</w:t>
      </w:r>
      <w:r>
        <w:rPr>
          <w:rFonts w:ascii="Times New Roman" w:hAnsi="Times New Roman" w:cs="Times New Roman"/>
          <w:sz w:val="24"/>
          <w:szCs w:val="24"/>
        </w:rPr>
        <w:t>,</w:t>
      </w:r>
      <w:r w:rsidRPr="006A124F">
        <w:rPr>
          <w:rFonts w:ascii="Times New Roman" w:hAnsi="Times New Roman" w:cs="Times New Roman"/>
          <w:sz w:val="24"/>
          <w:szCs w:val="24"/>
        </w:rPr>
        <w:t xml:space="preserve"> tanto del </w:t>
      </w:r>
      <w:r>
        <w:rPr>
          <w:rFonts w:ascii="Times New Roman" w:hAnsi="Times New Roman" w:cs="Times New Roman"/>
          <w:sz w:val="24"/>
          <w:szCs w:val="24"/>
        </w:rPr>
        <w:t xml:space="preserve">impacto estimado de las reformas inducidas por el proyecto sobre la trayectoria futura de la inversión como de las tasas de descuento a utilizar. </w:t>
      </w:r>
    </w:p>
    <w:p w:rsidR="004C108D" w:rsidRDefault="004C108D"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En primer lugar se construyeron escenarios diferentes al escenario base con proyecto actual. Un escenario </w:t>
      </w:r>
      <w:r w:rsidR="00F615AC">
        <w:rPr>
          <w:rFonts w:ascii="Times New Roman" w:hAnsi="Times New Roman" w:cs="Times New Roman"/>
          <w:sz w:val="24"/>
          <w:szCs w:val="24"/>
        </w:rPr>
        <w:t xml:space="preserve">optimista, donde el proyecto logra aumentar la tasa de inversión </w:t>
      </w:r>
      <w:r w:rsidR="00866B6B">
        <w:rPr>
          <w:rFonts w:ascii="Times New Roman" w:hAnsi="Times New Roman" w:cs="Times New Roman"/>
          <w:sz w:val="24"/>
          <w:szCs w:val="24"/>
        </w:rPr>
        <w:t>en 3,6% del producto</w:t>
      </w:r>
      <w:r w:rsidR="00F615AC">
        <w:rPr>
          <w:rFonts w:ascii="Times New Roman" w:hAnsi="Times New Roman" w:cs="Times New Roman"/>
          <w:sz w:val="24"/>
          <w:szCs w:val="24"/>
        </w:rPr>
        <w:t xml:space="preserve"> y luego se </w:t>
      </w:r>
      <w:r w:rsidR="00621425">
        <w:rPr>
          <w:rFonts w:ascii="Times New Roman" w:hAnsi="Times New Roman" w:cs="Times New Roman"/>
          <w:sz w:val="24"/>
          <w:szCs w:val="24"/>
        </w:rPr>
        <w:t>construyó</w:t>
      </w:r>
      <w:r>
        <w:rPr>
          <w:rFonts w:ascii="Times New Roman" w:hAnsi="Times New Roman" w:cs="Times New Roman"/>
          <w:sz w:val="24"/>
          <w:szCs w:val="24"/>
        </w:rPr>
        <w:t xml:space="preserve"> </w:t>
      </w:r>
      <w:r w:rsidR="00F615AC">
        <w:rPr>
          <w:rFonts w:ascii="Times New Roman" w:hAnsi="Times New Roman" w:cs="Times New Roman"/>
          <w:sz w:val="24"/>
          <w:szCs w:val="24"/>
        </w:rPr>
        <w:t xml:space="preserve">un escenario </w:t>
      </w:r>
      <w:r>
        <w:rPr>
          <w:rFonts w:ascii="Times New Roman" w:hAnsi="Times New Roman" w:cs="Times New Roman"/>
          <w:sz w:val="24"/>
          <w:szCs w:val="24"/>
        </w:rPr>
        <w:t>p</w:t>
      </w:r>
      <w:r w:rsidR="00F615AC">
        <w:rPr>
          <w:rFonts w:ascii="Times New Roman" w:hAnsi="Times New Roman" w:cs="Times New Roman"/>
          <w:sz w:val="24"/>
          <w:szCs w:val="24"/>
        </w:rPr>
        <w:t xml:space="preserve">esimista, donde solamente se logra aumentar la tasa de inversión </w:t>
      </w:r>
      <w:r w:rsidR="00866B6B">
        <w:rPr>
          <w:rFonts w:ascii="Times New Roman" w:hAnsi="Times New Roman" w:cs="Times New Roman"/>
          <w:sz w:val="24"/>
          <w:szCs w:val="24"/>
        </w:rPr>
        <w:t xml:space="preserve">en un 1,0%, apenas medio punto por arriba del crecimiento tendencial. </w:t>
      </w:r>
      <w:r>
        <w:rPr>
          <w:rFonts w:ascii="Times New Roman" w:hAnsi="Times New Roman" w:cs="Times New Roman"/>
          <w:sz w:val="24"/>
          <w:szCs w:val="24"/>
        </w:rPr>
        <w:t xml:space="preserve"> A su vez, teniendo en cuenta el largo horizonte de la evaluación, se asumieron dos tasas de descuentas distintas, una del 10</w:t>
      </w:r>
      <w:r w:rsidRPr="006A124F">
        <w:rPr>
          <w:rFonts w:ascii="Times New Roman" w:hAnsi="Times New Roman" w:cs="Times New Roman"/>
          <w:sz w:val="24"/>
          <w:szCs w:val="24"/>
        </w:rPr>
        <w:t xml:space="preserve">% y </w:t>
      </w:r>
      <w:r>
        <w:rPr>
          <w:rFonts w:ascii="Times New Roman" w:hAnsi="Times New Roman" w:cs="Times New Roman"/>
          <w:sz w:val="24"/>
          <w:szCs w:val="24"/>
        </w:rPr>
        <w:t xml:space="preserve">otra del </w:t>
      </w:r>
      <w:r w:rsidRPr="006A124F">
        <w:rPr>
          <w:rFonts w:ascii="Times New Roman" w:hAnsi="Times New Roman" w:cs="Times New Roman"/>
          <w:sz w:val="24"/>
          <w:szCs w:val="24"/>
        </w:rPr>
        <w:t>1</w:t>
      </w:r>
      <w:r>
        <w:rPr>
          <w:rFonts w:ascii="Times New Roman" w:hAnsi="Times New Roman" w:cs="Times New Roman"/>
          <w:sz w:val="24"/>
          <w:szCs w:val="24"/>
        </w:rPr>
        <w:t>4</w:t>
      </w:r>
      <w:r w:rsidRPr="006A124F">
        <w:rPr>
          <w:rFonts w:ascii="Times New Roman" w:hAnsi="Times New Roman" w:cs="Times New Roman"/>
          <w:sz w:val="24"/>
          <w:szCs w:val="24"/>
        </w:rPr>
        <w:t>%</w:t>
      </w:r>
      <w:r>
        <w:rPr>
          <w:rFonts w:ascii="Times New Roman" w:hAnsi="Times New Roman" w:cs="Times New Roman"/>
          <w:sz w:val="24"/>
          <w:szCs w:val="24"/>
        </w:rPr>
        <w:t>.</w:t>
      </w:r>
    </w:p>
    <w:p w:rsidR="004C108D" w:rsidRDefault="004C108D"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Estos escenarios alternativos llevan a que sea necesario </w:t>
      </w:r>
      <w:r w:rsidR="00F615AC">
        <w:rPr>
          <w:rFonts w:ascii="Times New Roman" w:hAnsi="Times New Roman" w:cs="Times New Roman"/>
          <w:sz w:val="24"/>
          <w:szCs w:val="24"/>
        </w:rPr>
        <w:t>evaluar nueve escenarios</w:t>
      </w:r>
      <w:r>
        <w:rPr>
          <w:rFonts w:ascii="Times New Roman" w:hAnsi="Times New Roman" w:cs="Times New Roman"/>
          <w:sz w:val="24"/>
          <w:szCs w:val="24"/>
        </w:rPr>
        <w:t>,</w:t>
      </w:r>
      <w:r w:rsidR="00F615AC">
        <w:rPr>
          <w:rFonts w:ascii="Times New Roman" w:hAnsi="Times New Roman" w:cs="Times New Roman"/>
          <w:sz w:val="24"/>
          <w:szCs w:val="24"/>
        </w:rPr>
        <w:t xml:space="preserve"> derivados de cada una de las combinaciones posibles de tasas de inversión futura y tasas de descuento. </w:t>
      </w:r>
    </w:p>
    <w:p w:rsidR="00F615AC" w:rsidRDefault="00F615AC" w:rsidP="00F615AC">
      <w:pPr>
        <w:spacing w:after="120"/>
        <w:ind w:left="0"/>
        <w:rPr>
          <w:rFonts w:ascii="Times New Roman" w:hAnsi="Times New Roman" w:cs="Times New Roman"/>
          <w:sz w:val="24"/>
          <w:szCs w:val="24"/>
        </w:rPr>
      </w:pPr>
      <w:r w:rsidRPr="006A124F">
        <w:rPr>
          <w:rFonts w:ascii="Times New Roman" w:hAnsi="Times New Roman" w:cs="Times New Roman"/>
          <w:sz w:val="24"/>
          <w:szCs w:val="24"/>
        </w:rPr>
        <w:t>A continuación se resumen los resultados de este ejercicio.</w:t>
      </w:r>
    </w:p>
    <w:p w:rsidR="00F615AC" w:rsidRDefault="00F615AC" w:rsidP="00F615AC">
      <w:pPr>
        <w:spacing w:before="0"/>
        <w:ind w:left="0"/>
        <w:rPr>
          <w:rFonts w:ascii="Times New Roman" w:hAnsi="Times New Roman" w:cs="Times New Roman"/>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4C108D" w:rsidRDefault="004C108D" w:rsidP="00F615AC">
      <w:pPr>
        <w:spacing w:before="0"/>
        <w:ind w:left="0"/>
        <w:jc w:val="center"/>
        <w:rPr>
          <w:rFonts w:ascii="Times New Roman" w:hAnsi="Times New Roman" w:cs="Times New Roman"/>
          <w:b/>
          <w:sz w:val="24"/>
          <w:szCs w:val="24"/>
        </w:rPr>
      </w:pPr>
    </w:p>
    <w:p w:rsidR="00F615AC" w:rsidRDefault="00F615AC" w:rsidP="00F615AC">
      <w:pPr>
        <w:spacing w:before="0"/>
        <w:ind w:left="0"/>
        <w:jc w:val="center"/>
        <w:rPr>
          <w:rFonts w:ascii="Times New Roman" w:hAnsi="Times New Roman" w:cs="Times New Roman"/>
          <w:b/>
          <w:sz w:val="24"/>
          <w:szCs w:val="24"/>
        </w:rPr>
      </w:pPr>
      <w:r w:rsidRPr="00B32FE4">
        <w:rPr>
          <w:rFonts w:ascii="Times New Roman" w:hAnsi="Times New Roman" w:cs="Times New Roman"/>
          <w:b/>
          <w:sz w:val="24"/>
          <w:szCs w:val="24"/>
        </w:rPr>
        <w:t>Flujo de beneficios netos</w:t>
      </w:r>
    </w:p>
    <w:p w:rsidR="00F615AC" w:rsidRPr="00B32FE4" w:rsidRDefault="00F615AC" w:rsidP="00F615AC">
      <w:pPr>
        <w:spacing w:before="0"/>
        <w:ind w:left="0"/>
        <w:jc w:val="center"/>
        <w:rPr>
          <w:rFonts w:ascii="Times New Roman" w:hAnsi="Times New Roman" w:cs="Times New Roman"/>
          <w:b/>
          <w:sz w:val="24"/>
          <w:szCs w:val="24"/>
        </w:rPr>
      </w:pPr>
      <w:r w:rsidRPr="00B32FE4">
        <w:rPr>
          <w:rFonts w:ascii="Times New Roman" w:hAnsi="Times New Roman" w:cs="Times New Roman"/>
          <w:b/>
          <w:sz w:val="24"/>
          <w:szCs w:val="24"/>
        </w:rPr>
        <w:t xml:space="preserve"> Escenario </w:t>
      </w:r>
      <w:r>
        <w:rPr>
          <w:rFonts w:ascii="Times New Roman" w:hAnsi="Times New Roman" w:cs="Times New Roman"/>
          <w:b/>
          <w:sz w:val="24"/>
          <w:szCs w:val="24"/>
        </w:rPr>
        <w:t>B</w:t>
      </w:r>
      <w:r w:rsidRPr="00B32FE4">
        <w:rPr>
          <w:rFonts w:ascii="Times New Roman" w:hAnsi="Times New Roman" w:cs="Times New Roman"/>
          <w:b/>
          <w:sz w:val="24"/>
          <w:szCs w:val="24"/>
        </w:rPr>
        <w:t xml:space="preserve">ase y </w:t>
      </w:r>
      <w:r>
        <w:rPr>
          <w:rFonts w:ascii="Times New Roman" w:hAnsi="Times New Roman" w:cs="Times New Roman"/>
          <w:b/>
          <w:sz w:val="24"/>
          <w:szCs w:val="24"/>
        </w:rPr>
        <w:t>A</w:t>
      </w:r>
      <w:r w:rsidRPr="00B32FE4">
        <w:rPr>
          <w:rFonts w:ascii="Times New Roman" w:hAnsi="Times New Roman" w:cs="Times New Roman"/>
          <w:b/>
          <w:sz w:val="24"/>
          <w:szCs w:val="24"/>
        </w:rPr>
        <w:t xml:space="preserve">lternativos. </w:t>
      </w:r>
      <w:r w:rsidRPr="00B32FE4">
        <w:rPr>
          <w:rFonts w:ascii="Times New Roman" w:hAnsi="Times New Roman" w:cs="Times New Roman"/>
          <w:sz w:val="24"/>
          <w:szCs w:val="24"/>
        </w:rPr>
        <w:t xml:space="preserve">En millones de dólares </w:t>
      </w:r>
    </w:p>
    <w:p w:rsidR="00F615AC" w:rsidRDefault="00F67F44" w:rsidP="00F615AC">
      <w:pPr>
        <w:spacing w:before="0"/>
        <w:jc w:val="right"/>
        <w:rPr>
          <w:rFonts w:ascii="Times New Roman" w:hAnsi="Times New Roman" w:cs="Times New Roman"/>
          <w:sz w:val="18"/>
          <w:szCs w:val="18"/>
        </w:rPr>
      </w:pPr>
      <w:r w:rsidRPr="00EE3455">
        <w:rPr>
          <w:rFonts w:ascii="Times New Roman" w:hAnsi="Times New Roman" w:cs="Times New Roman"/>
          <w:noProof/>
          <w:sz w:val="18"/>
          <w:szCs w:val="18"/>
          <w:lang w:val="en-US"/>
        </w:rPr>
        <w:drawing>
          <wp:inline distT="0" distB="0" distL="0" distR="0" wp14:anchorId="62427A85" wp14:editId="2B633C8D">
            <wp:extent cx="5543550" cy="274320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615AC" w:rsidRPr="00F00CC5" w:rsidRDefault="00F615AC" w:rsidP="00D66C30">
      <w:pPr>
        <w:spacing w:before="0"/>
        <w:jc w:val="left"/>
        <w:rPr>
          <w:rFonts w:ascii="Times New Roman" w:hAnsi="Times New Roman" w:cs="Times New Roman"/>
          <w:sz w:val="18"/>
          <w:szCs w:val="18"/>
        </w:rPr>
      </w:pPr>
      <w:r w:rsidRPr="00F00CC5">
        <w:rPr>
          <w:rFonts w:ascii="Times New Roman" w:hAnsi="Times New Roman" w:cs="Times New Roman"/>
          <w:sz w:val="18"/>
          <w:szCs w:val="18"/>
        </w:rPr>
        <w:t xml:space="preserve">Fuente: </w:t>
      </w:r>
      <w:r>
        <w:rPr>
          <w:rFonts w:ascii="Times New Roman" w:hAnsi="Times New Roman" w:cs="Times New Roman"/>
          <w:sz w:val="18"/>
          <w:szCs w:val="18"/>
        </w:rPr>
        <w:t>Estimaciones</w:t>
      </w:r>
      <w:r w:rsidRPr="00F00CC5">
        <w:rPr>
          <w:rFonts w:ascii="Times New Roman" w:hAnsi="Times New Roman" w:cs="Times New Roman"/>
          <w:sz w:val="18"/>
          <w:szCs w:val="18"/>
        </w:rPr>
        <w:t xml:space="preserve"> propi</w:t>
      </w:r>
      <w:r>
        <w:rPr>
          <w:rFonts w:ascii="Times New Roman" w:hAnsi="Times New Roman" w:cs="Times New Roman"/>
          <w:sz w:val="18"/>
          <w:szCs w:val="18"/>
        </w:rPr>
        <w:t>a</w:t>
      </w:r>
      <w:r w:rsidRPr="00F00CC5">
        <w:rPr>
          <w:rFonts w:ascii="Times New Roman" w:hAnsi="Times New Roman" w:cs="Times New Roman"/>
          <w:sz w:val="18"/>
          <w:szCs w:val="18"/>
        </w:rPr>
        <w:t>s</w:t>
      </w:r>
    </w:p>
    <w:p w:rsidR="00F615AC" w:rsidRPr="006A124F" w:rsidRDefault="00F615AC" w:rsidP="00F615AC">
      <w:pPr>
        <w:spacing w:before="240" w:after="240"/>
        <w:ind w:left="0"/>
        <w:rPr>
          <w:rFonts w:ascii="Times New Roman" w:hAnsi="Times New Roman" w:cs="Times New Roman"/>
          <w:sz w:val="24"/>
          <w:szCs w:val="24"/>
        </w:rPr>
      </w:pPr>
    </w:p>
    <w:p w:rsidR="00F615AC" w:rsidRPr="004C6160" w:rsidRDefault="00F615AC" w:rsidP="00F615AC">
      <w:pPr>
        <w:pStyle w:val="ListParagraph"/>
        <w:numPr>
          <w:ilvl w:val="0"/>
          <w:numId w:val="6"/>
        </w:numPr>
        <w:spacing w:before="0"/>
        <w:jc w:val="center"/>
        <w:rPr>
          <w:rFonts w:ascii="Times New Roman" w:hAnsi="Times New Roman" w:cs="Times New Roman"/>
          <w:b/>
          <w:sz w:val="24"/>
          <w:szCs w:val="24"/>
        </w:rPr>
      </w:pPr>
      <w:r w:rsidRPr="004C6160">
        <w:rPr>
          <w:rFonts w:ascii="Times New Roman" w:hAnsi="Times New Roman" w:cs="Times New Roman"/>
          <w:b/>
          <w:sz w:val="24"/>
          <w:szCs w:val="24"/>
        </w:rPr>
        <w:t>Matriz de beneficios. Millones de dólares</w:t>
      </w:r>
    </w:p>
    <w:tbl>
      <w:tblPr>
        <w:tblStyle w:val="LightShading-Accent3"/>
        <w:tblW w:w="6780" w:type="dxa"/>
        <w:jc w:val="center"/>
        <w:tblInd w:w="-1336" w:type="dxa"/>
        <w:tblLayout w:type="fixed"/>
        <w:tblLook w:val="04A0" w:firstRow="1" w:lastRow="0" w:firstColumn="1" w:lastColumn="0" w:noHBand="0" w:noVBand="1"/>
      </w:tblPr>
      <w:tblGrid>
        <w:gridCol w:w="3540"/>
        <w:gridCol w:w="1080"/>
        <w:gridCol w:w="1080"/>
        <w:gridCol w:w="1080"/>
      </w:tblGrid>
      <w:tr w:rsidR="00F84CEC" w:rsidRPr="00F84CEC" w:rsidTr="00D66C3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40" w:type="dxa"/>
            <w:noWrap/>
            <w:hideMark/>
          </w:tcPr>
          <w:p w:rsidR="00F67F44" w:rsidRPr="00F84CEC" w:rsidRDefault="00F67F44" w:rsidP="00866B6B">
            <w:pPr>
              <w:ind w:left="0"/>
              <w:rPr>
                <w:rFonts w:ascii="Times New Roman" w:hAnsi="Times New Roman" w:cs="Times New Roman"/>
                <w:color w:val="auto"/>
              </w:rPr>
            </w:pPr>
            <w:r w:rsidRPr="00F84CEC">
              <w:rPr>
                <w:rFonts w:ascii="Times New Roman" w:hAnsi="Times New Roman" w:cs="Times New Roman"/>
                <w:color w:val="auto"/>
              </w:rPr>
              <w:t> Escenario/tasa de descuento</w:t>
            </w:r>
          </w:p>
        </w:tc>
        <w:tc>
          <w:tcPr>
            <w:tcW w:w="1080" w:type="dxa"/>
            <w:noWrap/>
            <w:hideMark/>
          </w:tcPr>
          <w:p w:rsidR="00F67F44" w:rsidRPr="00F84CEC" w:rsidRDefault="00F67F44" w:rsidP="00866B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F84CEC">
              <w:rPr>
                <w:rFonts w:ascii="Times New Roman" w:eastAsia="Times New Roman" w:hAnsi="Times New Roman" w:cs="Times New Roman"/>
                <w:color w:val="auto"/>
                <w:lang w:eastAsia="es-UY"/>
              </w:rPr>
              <w:t>10%</w:t>
            </w:r>
          </w:p>
        </w:tc>
        <w:tc>
          <w:tcPr>
            <w:tcW w:w="1080" w:type="dxa"/>
            <w:noWrap/>
            <w:hideMark/>
          </w:tcPr>
          <w:p w:rsidR="00F67F44" w:rsidRPr="00F84CEC" w:rsidRDefault="00F67F44" w:rsidP="00866B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F84CEC">
              <w:rPr>
                <w:rFonts w:ascii="Times New Roman" w:eastAsia="Times New Roman" w:hAnsi="Times New Roman" w:cs="Times New Roman"/>
                <w:color w:val="auto"/>
                <w:lang w:eastAsia="es-UY"/>
              </w:rPr>
              <w:t>12%</w:t>
            </w:r>
          </w:p>
        </w:tc>
        <w:tc>
          <w:tcPr>
            <w:tcW w:w="1080" w:type="dxa"/>
            <w:noWrap/>
            <w:hideMark/>
          </w:tcPr>
          <w:p w:rsidR="00F67F44" w:rsidRPr="00F84CEC" w:rsidRDefault="00F67F44" w:rsidP="00866B6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F84CEC">
              <w:rPr>
                <w:rFonts w:ascii="Times New Roman" w:eastAsia="Times New Roman" w:hAnsi="Times New Roman" w:cs="Times New Roman"/>
                <w:color w:val="auto"/>
                <w:lang w:eastAsia="es-UY"/>
              </w:rPr>
              <w:t>14%</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40" w:type="dxa"/>
            <w:noWrap/>
            <w:hideMark/>
          </w:tcPr>
          <w:p w:rsidR="00C37948" w:rsidRPr="00F84CEC" w:rsidRDefault="00C37948" w:rsidP="00866B6B">
            <w:pPr>
              <w:ind w:left="0"/>
              <w:rPr>
                <w:rFonts w:ascii="Times New Roman" w:hAnsi="Times New Roman" w:cs="Times New Roman"/>
                <w:color w:val="auto"/>
              </w:rPr>
            </w:pPr>
            <w:r w:rsidRPr="00F84CEC">
              <w:rPr>
                <w:rFonts w:ascii="Times New Roman" w:hAnsi="Times New Roman" w:cs="Times New Roman"/>
                <w:color w:val="auto"/>
              </w:rPr>
              <w:t>Inversión 1%</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726</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602</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506</w:t>
            </w:r>
          </w:p>
        </w:tc>
      </w:tr>
      <w:tr w:rsidR="00F84CEC" w:rsidRPr="00F84CEC" w:rsidTr="00D66C30">
        <w:trPr>
          <w:trHeight w:val="300"/>
          <w:jc w:val="center"/>
        </w:trPr>
        <w:tc>
          <w:tcPr>
            <w:cnfStyle w:val="001000000000" w:firstRow="0" w:lastRow="0" w:firstColumn="1" w:lastColumn="0" w:oddVBand="0" w:evenVBand="0" w:oddHBand="0" w:evenHBand="0" w:firstRowFirstColumn="0" w:firstRowLastColumn="0" w:lastRowFirstColumn="0" w:lastRowLastColumn="0"/>
            <w:tcW w:w="3540" w:type="dxa"/>
            <w:noWrap/>
            <w:hideMark/>
          </w:tcPr>
          <w:p w:rsidR="00C37948" w:rsidRPr="00F84CEC" w:rsidRDefault="00EE3455" w:rsidP="00866B6B">
            <w:pPr>
              <w:ind w:left="0"/>
              <w:rPr>
                <w:rFonts w:ascii="Times New Roman" w:hAnsi="Times New Roman" w:cs="Times New Roman"/>
                <w:color w:val="auto"/>
              </w:rPr>
            </w:pPr>
            <w:r w:rsidRPr="00F84CEC">
              <w:rPr>
                <w:rFonts w:ascii="Times New Roman" w:hAnsi="Times New Roman" w:cs="Times New Roman"/>
                <w:color w:val="auto"/>
              </w:rPr>
              <w:t>Escenario</w:t>
            </w:r>
            <w:r w:rsidR="00C37948" w:rsidRPr="00F84CEC">
              <w:rPr>
                <w:rFonts w:ascii="Times New Roman" w:hAnsi="Times New Roman" w:cs="Times New Roman"/>
                <w:color w:val="auto"/>
              </w:rPr>
              <w:t xml:space="preserve"> base (inversión 2,1%)</w:t>
            </w:r>
          </w:p>
        </w:tc>
        <w:tc>
          <w:tcPr>
            <w:tcW w:w="1080" w:type="dxa"/>
            <w:noWrap/>
            <w:hideMark/>
          </w:tcPr>
          <w:p w:rsidR="00C37948" w:rsidRPr="00F84CEC" w:rsidRDefault="00C37948" w:rsidP="00927D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1546</w:t>
            </w:r>
          </w:p>
        </w:tc>
        <w:tc>
          <w:tcPr>
            <w:tcW w:w="1080" w:type="dxa"/>
            <w:noWrap/>
            <w:hideMark/>
          </w:tcPr>
          <w:p w:rsidR="00C37948" w:rsidRPr="00F84CEC" w:rsidRDefault="00C37948" w:rsidP="00927D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1333</w:t>
            </w:r>
          </w:p>
        </w:tc>
        <w:tc>
          <w:tcPr>
            <w:tcW w:w="1080" w:type="dxa"/>
            <w:noWrap/>
            <w:hideMark/>
          </w:tcPr>
          <w:p w:rsidR="00C37948" w:rsidRPr="00F84CEC" w:rsidRDefault="00C37948" w:rsidP="00927D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1161</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40" w:type="dxa"/>
            <w:noWrap/>
            <w:hideMark/>
          </w:tcPr>
          <w:p w:rsidR="00C37948" w:rsidRPr="00F84CEC" w:rsidRDefault="00C37948" w:rsidP="00866B6B">
            <w:pPr>
              <w:ind w:left="0"/>
              <w:rPr>
                <w:rFonts w:ascii="Times New Roman" w:hAnsi="Times New Roman" w:cs="Times New Roman"/>
                <w:color w:val="auto"/>
              </w:rPr>
            </w:pPr>
            <w:r w:rsidRPr="00F84CEC">
              <w:rPr>
                <w:rFonts w:ascii="Times New Roman" w:hAnsi="Times New Roman" w:cs="Times New Roman"/>
                <w:color w:val="auto"/>
              </w:rPr>
              <w:t>Inversión 3,6%</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2106</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1855</w:t>
            </w:r>
          </w:p>
        </w:tc>
        <w:tc>
          <w:tcPr>
            <w:tcW w:w="1080" w:type="dxa"/>
            <w:noWrap/>
            <w:hideMark/>
          </w:tcPr>
          <w:p w:rsidR="00C37948" w:rsidRPr="00F84CEC" w:rsidRDefault="00C37948" w:rsidP="00927D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1648</w:t>
            </w:r>
          </w:p>
        </w:tc>
      </w:tr>
    </w:tbl>
    <w:p w:rsidR="00F615AC" w:rsidRPr="00F84CEC" w:rsidRDefault="00F615AC" w:rsidP="00F615AC">
      <w:pPr>
        <w:pStyle w:val="ListParagraph"/>
        <w:spacing w:before="0"/>
        <w:rPr>
          <w:rFonts w:ascii="Times New Roman" w:hAnsi="Times New Roman" w:cs="Times New Roman"/>
          <w:b/>
        </w:rPr>
      </w:pPr>
    </w:p>
    <w:p w:rsidR="00F615AC" w:rsidRPr="00F84CEC" w:rsidRDefault="00F615AC" w:rsidP="00F615AC">
      <w:pPr>
        <w:pStyle w:val="ListParagraph"/>
        <w:numPr>
          <w:ilvl w:val="0"/>
          <w:numId w:val="6"/>
        </w:numPr>
        <w:spacing w:before="0"/>
        <w:jc w:val="center"/>
        <w:rPr>
          <w:rFonts w:ascii="Times New Roman" w:hAnsi="Times New Roman" w:cs="Times New Roman"/>
          <w:b/>
          <w:sz w:val="24"/>
          <w:szCs w:val="24"/>
        </w:rPr>
      </w:pPr>
      <w:r w:rsidRPr="00F84CEC">
        <w:rPr>
          <w:rFonts w:ascii="Times New Roman" w:hAnsi="Times New Roman" w:cs="Times New Roman"/>
          <w:b/>
          <w:sz w:val="24"/>
          <w:szCs w:val="24"/>
        </w:rPr>
        <w:t>Matriz de costo financiero. Millones de dólares</w:t>
      </w:r>
    </w:p>
    <w:tbl>
      <w:tblPr>
        <w:tblStyle w:val="LightShading-Accent3"/>
        <w:tblW w:w="6855" w:type="dxa"/>
        <w:jc w:val="center"/>
        <w:tblInd w:w="-1413" w:type="dxa"/>
        <w:tblLayout w:type="fixed"/>
        <w:tblLook w:val="04A0" w:firstRow="1" w:lastRow="0" w:firstColumn="1" w:lastColumn="0" w:noHBand="0" w:noVBand="1"/>
      </w:tblPr>
      <w:tblGrid>
        <w:gridCol w:w="3671"/>
        <w:gridCol w:w="1061"/>
        <w:gridCol w:w="1061"/>
        <w:gridCol w:w="1062"/>
      </w:tblGrid>
      <w:tr w:rsidR="00F84CEC" w:rsidRPr="00F84CEC" w:rsidTr="00D66C3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671" w:type="dxa"/>
            <w:noWrap/>
            <w:hideMark/>
          </w:tcPr>
          <w:p w:rsidR="00F615AC" w:rsidRPr="00F84CEC" w:rsidRDefault="00F615AC" w:rsidP="00B4013E">
            <w:pPr>
              <w:ind w:left="0"/>
              <w:jc w:val="left"/>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 Escenario/tasa de descuento</w:t>
            </w:r>
          </w:p>
        </w:tc>
        <w:tc>
          <w:tcPr>
            <w:tcW w:w="1061" w:type="dxa"/>
            <w:noWrap/>
            <w:hideMark/>
          </w:tcPr>
          <w:p w:rsidR="00F615AC" w:rsidRPr="00F84CEC" w:rsidRDefault="00C37948"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10</w:t>
            </w:r>
            <w:r w:rsidR="00F615AC" w:rsidRPr="00F84CEC">
              <w:rPr>
                <w:rFonts w:ascii="Times New Roman" w:eastAsia="Times New Roman" w:hAnsi="Times New Roman" w:cs="Times New Roman"/>
                <w:color w:val="auto"/>
                <w:lang w:eastAsia="es-UY"/>
              </w:rPr>
              <w:t>%</w:t>
            </w:r>
          </w:p>
        </w:tc>
        <w:tc>
          <w:tcPr>
            <w:tcW w:w="1061" w:type="dxa"/>
            <w:noWrap/>
            <w:hideMark/>
          </w:tcPr>
          <w:p w:rsidR="00F615AC" w:rsidRPr="00F84CEC" w:rsidRDefault="00C37948"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12</w:t>
            </w:r>
            <w:r w:rsidR="00F615AC" w:rsidRPr="00F84CEC">
              <w:rPr>
                <w:rFonts w:ascii="Times New Roman" w:eastAsia="Times New Roman" w:hAnsi="Times New Roman" w:cs="Times New Roman"/>
                <w:color w:val="auto"/>
                <w:lang w:eastAsia="es-UY"/>
              </w:rPr>
              <w:t>%</w:t>
            </w:r>
          </w:p>
        </w:tc>
        <w:tc>
          <w:tcPr>
            <w:tcW w:w="1062" w:type="dxa"/>
            <w:noWrap/>
            <w:hideMark/>
          </w:tcPr>
          <w:p w:rsidR="00F615AC" w:rsidRPr="00F84CEC" w:rsidRDefault="00C37948"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14</w:t>
            </w:r>
            <w:r w:rsidR="00F615AC" w:rsidRPr="00F84CEC">
              <w:rPr>
                <w:rFonts w:ascii="Times New Roman" w:eastAsia="Times New Roman" w:hAnsi="Times New Roman" w:cs="Times New Roman"/>
                <w:color w:val="auto"/>
                <w:lang w:eastAsia="es-UY"/>
              </w:rPr>
              <w:t>%</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671" w:type="dxa"/>
            <w:noWrap/>
            <w:hideMark/>
          </w:tcPr>
          <w:p w:rsidR="00C37948" w:rsidRPr="00F84CEC" w:rsidRDefault="00C37948"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Inversión 1%</w:t>
            </w:r>
          </w:p>
        </w:tc>
        <w:tc>
          <w:tcPr>
            <w:tcW w:w="1061" w:type="dxa"/>
            <w:noWrap/>
            <w:hideMark/>
          </w:tcPr>
          <w:p w:rsidR="00C37948"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641</w:t>
            </w:r>
          </w:p>
        </w:tc>
        <w:tc>
          <w:tcPr>
            <w:tcW w:w="1061" w:type="dxa"/>
            <w:noWrap/>
            <w:hideMark/>
          </w:tcPr>
          <w:p w:rsidR="00C37948"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540</w:t>
            </w:r>
          </w:p>
        </w:tc>
        <w:tc>
          <w:tcPr>
            <w:tcW w:w="1062" w:type="dxa"/>
            <w:noWrap/>
            <w:hideMark/>
          </w:tcPr>
          <w:p w:rsidR="00C37948"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462</w:t>
            </w:r>
          </w:p>
        </w:tc>
      </w:tr>
      <w:tr w:rsidR="00F84CEC" w:rsidRPr="00F84CEC" w:rsidTr="00D66C30">
        <w:trPr>
          <w:trHeight w:val="300"/>
          <w:jc w:val="center"/>
        </w:trPr>
        <w:tc>
          <w:tcPr>
            <w:cnfStyle w:val="001000000000" w:firstRow="0" w:lastRow="0" w:firstColumn="1" w:lastColumn="0" w:oddVBand="0" w:evenVBand="0" w:oddHBand="0" w:evenHBand="0" w:firstRowFirstColumn="0" w:firstRowLastColumn="0" w:lastRowFirstColumn="0" w:lastRowLastColumn="0"/>
            <w:tcW w:w="3671" w:type="dxa"/>
            <w:noWrap/>
            <w:hideMark/>
          </w:tcPr>
          <w:p w:rsidR="00F67F44" w:rsidRPr="00F84CEC" w:rsidRDefault="00EE3455"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Escenario</w:t>
            </w:r>
            <w:r w:rsidR="00F67F44" w:rsidRPr="00F84CEC">
              <w:rPr>
                <w:rFonts w:ascii="Times New Roman" w:hAnsi="Times New Roman" w:cs="Times New Roman"/>
                <w:color w:val="auto"/>
              </w:rPr>
              <w:t xml:space="preserve"> base (inversión 2,1%)</w:t>
            </w:r>
          </w:p>
        </w:tc>
        <w:tc>
          <w:tcPr>
            <w:tcW w:w="1061"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641</w:t>
            </w:r>
          </w:p>
        </w:tc>
        <w:tc>
          <w:tcPr>
            <w:tcW w:w="1061"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540</w:t>
            </w:r>
          </w:p>
        </w:tc>
        <w:tc>
          <w:tcPr>
            <w:tcW w:w="1062"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462</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671" w:type="dxa"/>
            <w:noWrap/>
            <w:hideMark/>
          </w:tcPr>
          <w:p w:rsidR="00F67F44" w:rsidRPr="00F84CEC" w:rsidRDefault="00F67F44"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Inversión 3,6%</w:t>
            </w:r>
          </w:p>
        </w:tc>
        <w:tc>
          <w:tcPr>
            <w:tcW w:w="1061"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641</w:t>
            </w:r>
          </w:p>
        </w:tc>
        <w:tc>
          <w:tcPr>
            <w:tcW w:w="1061"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540</w:t>
            </w:r>
          </w:p>
        </w:tc>
        <w:tc>
          <w:tcPr>
            <w:tcW w:w="1062"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462</w:t>
            </w:r>
          </w:p>
        </w:tc>
      </w:tr>
    </w:tbl>
    <w:p w:rsidR="00F615AC" w:rsidRPr="00F84CEC" w:rsidRDefault="00F615AC" w:rsidP="00F615AC">
      <w:pPr>
        <w:pStyle w:val="ListParagraph"/>
        <w:spacing w:before="0"/>
        <w:rPr>
          <w:rFonts w:ascii="Times New Roman" w:hAnsi="Times New Roman" w:cs="Times New Roman"/>
          <w:b/>
          <w:sz w:val="24"/>
          <w:szCs w:val="24"/>
        </w:rPr>
      </w:pPr>
    </w:p>
    <w:p w:rsidR="00F615AC" w:rsidRPr="00F84CEC" w:rsidRDefault="00F615AC" w:rsidP="00F615AC">
      <w:pPr>
        <w:pStyle w:val="ListParagraph"/>
        <w:numPr>
          <w:ilvl w:val="0"/>
          <w:numId w:val="6"/>
        </w:numPr>
        <w:spacing w:before="0"/>
        <w:jc w:val="center"/>
        <w:rPr>
          <w:rFonts w:ascii="Times New Roman" w:hAnsi="Times New Roman" w:cs="Times New Roman"/>
          <w:b/>
          <w:sz w:val="24"/>
          <w:szCs w:val="24"/>
        </w:rPr>
      </w:pPr>
      <w:r w:rsidRPr="00F84CEC">
        <w:rPr>
          <w:rFonts w:ascii="Times New Roman" w:hAnsi="Times New Roman" w:cs="Times New Roman"/>
          <w:b/>
          <w:sz w:val="24"/>
          <w:szCs w:val="24"/>
        </w:rPr>
        <w:t>Matriz de resultado neto. Millones de dólares</w:t>
      </w:r>
    </w:p>
    <w:tbl>
      <w:tblPr>
        <w:tblStyle w:val="LightShading-Accent3"/>
        <w:tblW w:w="6828" w:type="dxa"/>
        <w:jc w:val="center"/>
        <w:tblInd w:w="-1339" w:type="dxa"/>
        <w:tblLayout w:type="fixed"/>
        <w:tblLook w:val="04A0" w:firstRow="1" w:lastRow="0" w:firstColumn="1" w:lastColumn="0" w:noHBand="0" w:noVBand="1"/>
      </w:tblPr>
      <w:tblGrid>
        <w:gridCol w:w="3570"/>
        <w:gridCol w:w="1086"/>
        <w:gridCol w:w="1086"/>
        <w:gridCol w:w="1086"/>
      </w:tblGrid>
      <w:tr w:rsidR="00F84CEC" w:rsidRPr="00F84CEC" w:rsidTr="00D66C3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70" w:type="dxa"/>
            <w:noWrap/>
            <w:hideMark/>
          </w:tcPr>
          <w:p w:rsidR="00F67F44" w:rsidRPr="00F84CEC" w:rsidRDefault="00F67F44" w:rsidP="00B4013E">
            <w:pPr>
              <w:ind w:left="0"/>
              <w:jc w:val="left"/>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 Escenario/tasa de descuento</w:t>
            </w:r>
          </w:p>
        </w:tc>
        <w:tc>
          <w:tcPr>
            <w:tcW w:w="1086" w:type="dxa"/>
            <w:noWrap/>
            <w:hideMark/>
          </w:tcPr>
          <w:p w:rsidR="00F67F44" w:rsidRPr="00F84CEC" w:rsidRDefault="00F67F44"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10%</w:t>
            </w:r>
          </w:p>
        </w:tc>
        <w:tc>
          <w:tcPr>
            <w:tcW w:w="1086" w:type="dxa"/>
            <w:noWrap/>
            <w:hideMark/>
          </w:tcPr>
          <w:p w:rsidR="00F67F44" w:rsidRPr="00F84CEC" w:rsidRDefault="00F67F44"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12%</w:t>
            </w:r>
          </w:p>
        </w:tc>
        <w:tc>
          <w:tcPr>
            <w:tcW w:w="1086" w:type="dxa"/>
            <w:noWrap/>
            <w:hideMark/>
          </w:tcPr>
          <w:p w:rsidR="00F67F44" w:rsidRPr="00F84CEC" w:rsidRDefault="00F67F44" w:rsidP="00B4013E">
            <w:pPr>
              <w:ind w:left="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es-UY"/>
              </w:rPr>
            </w:pPr>
            <w:r w:rsidRPr="00F84CEC">
              <w:rPr>
                <w:rFonts w:ascii="Times New Roman" w:eastAsia="Times New Roman" w:hAnsi="Times New Roman" w:cs="Times New Roman"/>
                <w:color w:val="auto"/>
                <w:lang w:eastAsia="es-UY"/>
              </w:rPr>
              <w:t>14%</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70" w:type="dxa"/>
            <w:noWrap/>
            <w:hideMark/>
          </w:tcPr>
          <w:p w:rsidR="00F67F44" w:rsidRPr="00F84CEC" w:rsidRDefault="00F67F44"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Inversión 1%</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85</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62</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44</w:t>
            </w:r>
          </w:p>
        </w:tc>
      </w:tr>
      <w:tr w:rsidR="00F84CEC" w:rsidRPr="00F84CEC" w:rsidTr="00D66C30">
        <w:trPr>
          <w:trHeight w:val="300"/>
          <w:jc w:val="center"/>
        </w:trPr>
        <w:tc>
          <w:tcPr>
            <w:cnfStyle w:val="001000000000" w:firstRow="0" w:lastRow="0" w:firstColumn="1" w:lastColumn="0" w:oddVBand="0" w:evenVBand="0" w:oddHBand="0" w:evenHBand="0" w:firstRowFirstColumn="0" w:firstRowLastColumn="0" w:lastRowFirstColumn="0" w:lastRowLastColumn="0"/>
            <w:tcW w:w="3570" w:type="dxa"/>
            <w:noWrap/>
            <w:hideMark/>
          </w:tcPr>
          <w:p w:rsidR="00F67F44" w:rsidRPr="00F84CEC" w:rsidRDefault="00EE3455"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Escenario</w:t>
            </w:r>
            <w:r w:rsidR="00F67F44" w:rsidRPr="00F84CEC">
              <w:rPr>
                <w:rFonts w:ascii="Times New Roman" w:hAnsi="Times New Roman" w:cs="Times New Roman"/>
                <w:color w:val="auto"/>
              </w:rPr>
              <w:t xml:space="preserve"> base (inversión 2,1%)</w:t>
            </w:r>
          </w:p>
        </w:tc>
        <w:tc>
          <w:tcPr>
            <w:tcW w:w="1086"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905</w:t>
            </w:r>
          </w:p>
        </w:tc>
        <w:tc>
          <w:tcPr>
            <w:tcW w:w="1086"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793</w:t>
            </w:r>
          </w:p>
        </w:tc>
        <w:tc>
          <w:tcPr>
            <w:tcW w:w="1086" w:type="dxa"/>
            <w:noWrap/>
            <w:hideMark/>
          </w:tcPr>
          <w:p w:rsidR="00F67F44" w:rsidRPr="00F84CEC" w:rsidRDefault="00F67F44" w:rsidP="00E736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700</w:t>
            </w:r>
          </w:p>
        </w:tc>
      </w:tr>
      <w:tr w:rsidR="00F84CEC" w:rsidRPr="00F84CEC" w:rsidTr="00D66C3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70" w:type="dxa"/>
            <w:noWrap/>
            <w:hideMark/>
          </w:tcPr>
          <w:p w:rsidR="00F67F44" w:rsidRPr="00F84CEC" w:rsidRDefault="00F67F44" w:rsidP="00B4013E">
            <w:pPr>
              <w:ind w:left="0"/>
              <w:jc w:val="left"/>
              <w:rPr>
                <w:rFonts w:ascii="Times New Roman" w:eastAsia="Times New Roman" w:hAnsi="Times New Roman" w:cs="Times New Roman"/>
                <w:color w:val="auto"/>
                <w:lang w:eastAsia="es-UY"/>
              </w:rPr>
            </w:pPr>
            <w:r w:rsidRPr="00F84CEC">
              <w:rPr>
                <w:rFonts w:ascii="Times New Roman" w:hAnsi="Times New Roman" w:cs="Times New Roman"/>
                <w:color w:val="auto"/>
              </w:rPr>
              <w:t>Inversión 3,6%</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1465</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1315</w:t>
            </w:r>
          </w:p>
        </w:tc>
        <w:tc>
          <w:tcPr>
            <w:tcW w:w="1086" w:type="dxa"/>
            <w:noWrap/>
            <w:hideMark/>
          </w:tcPr>
          <w:p w:rsidR="00F67F44" w:rsidRPr="00F84CEC" w:rsidRDefault="00F67F44" w:rsidP="00E736F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F84CEC">
              <w:rPr>
                <w:rFonts w:ascii="Times New Roman" w:hAnsi="Times New Roman" w:cs="Times New Roman"/>
                <w:color w:val="auto"/>
              </w:rPr>
              <w:t>1187</w:t>
            </w:r>
          </w:p>
        </w:tc>
      </w:tr>
    </w:tbl>
    <w:p w:rsidR="004C108D" w:rsidRPr="00F84CEC" w:rsidRDefault="004C108D">
      <w:pPr>
        <w:spacing w:before="0"/>
        <w:jc w:val="left"/>
        <w:rPr>
          <w:rFonts w:ascii="Times New Roman" w:hAnsi="Times New Roman" w:cs="Times New Roman"/>
          <w:sz w:val="18"/>
          <w:szCs w:val="18"/>
        </w:rPr>
      </w:pPr>
      <w:r w:rsidRPr="00F84CEC">
        <w:rPr>
          <w:rFonts w:ascii="Times New Roman" w:hAnsi="Times New Roman" w:cs="Times New Roman"/>
          <w:sz w:val="18"/>
          <w:szCs w:val="18"/>
        </w:rPr>
        <w:t xml:space="preserve">                Fuente: Estimaciones propias</w:t>
      </w:r>
    </w:p>
    <w:p w:rsidR="00F615AC" w:rsidRDefault="00F615AC" w:rsidP="00F615AC">
      <w:pPr>
        <w:spacing w:before="0"/>
        <w:ind w:left="0"/>
        <w:rPr>
          <w:rFonts w:ascii="Times New Roman" w:hAnsi="Times New Roman" w:cs="Times New Roman"/>
          <w:sz w:val="24"/>
          <w:szCs w:val="24"/>
        </w:rPr>
      </w:pPr>
    </w:p>
    <w:p w:rsidR="007D64D1" w:rsidRDefault="007D64D1" w:rsidP="00F615AC">
      <w:pPr>
        <w:spacing w:before="0"/>
        <w:ind w:left="0"/>
        <w:rPr>
          <w:rFonts w:ascii="Times New Roman" w:hAnsi="Times New Roman" w:cs="Times New Roman"/>
          <w:sz w:val="24"/>
          <w:szCs w:val="24"/>
        </w:rPr>
      </w:pPr>
    </w:p>
    <w:p w:rsidR="007D64D1" w:rsidRDefault="007D64D1" w:rsidP="00F615AC">
      <w:pPr>
        <w:spacing w:before="0"/>
        <w:ind w:left="0"/>
        <w:rPr>
          <w:rFonts w:ascii="Times New Roman" w:hAnsi="Times New Roman" w:cs="Times New Roman"/>
          <w:sz w:val="24"/>
          <w:szCs w:val="24"/>
        </w:rPr>
      </w:pPr>
    </w:p>
    <w:p w:rsidR="00EB542F" w:rsidRDefault="00EB542F">
      <w:pPr>
        <w:rPr>
          <w:rFonts w:ascii="Times New Roman" w:hAnsi="Times New Roman" w:cs="Times New Roman"/>
          <w:sz w:val="24"/>
          <w:szCs w:val="24"/>
        </w:rPr>
      </w:pPr>
      <w:r>
        <w:rPr>
          <w:rFonts w:ascii="Times New Roman" w:hAnsi="Times New Roman" w:cs="Times New Roman"/>
          <w:sz w:val="24"/>
          <w:szCs w:val="24"/>
        </w:rPr>
        <w:br w:type="page"/>
      </w:r>
    </w:p>
    <w:p w:rsidR="007D64D1" w:rsidRDefault="007D64D1" w:rsidP="00F615AC">
      <w:pPr>
        <w:spacing w:before="0"/>
        <w:ind w:left="0"/>
        <w:rPr>
          <w:rFonts w:ascii="Times New Roman" w:hAnsi="Times New Roman" w:cs="Times New Roman"/>
          <w:sz w:val="24"/>
          <w:szCs w:val="24"/>
        </w:rPr>
      </w:pPr>
    </w:p>
    <w:p w:rsidR="00F615AC" w:rsidRPr="003D0C9C" w:rsidRDefault="00F615AC" w:rsidP="00041C87">
      <w:pPr>
        <w:pStyle w:val="ListParagraph"/>
        <w:numPr>
          <w:ilvl w:val="0"/>
          <w:numId w:val="1"/>
        </w:numPr>
        <w:spacing w:after="120"/>
        <w:rPr>
          <w:rFonts w:ascii="Times New Roman" w:hAnsi="Times New Roman" w:cs="Times New Roman"/>
          <w:b/>
          <w:sz w:val="24"/>
          <w:szCs w:val="24"/>
        </w:rPr>
      </w:pPr>
      <w:r w:rsidRPr="003D0C9C">
        <w:rPr>
          <w:rFonts w:ascii="Times New Roman" w:hAnsi="Times New Roman" w:cs="Times New Roman"/>
          <w:b/>
          <w:sz w:val="24"/>
          <w:szCs w:val="24"/>
        </w:rPr>
        <w:t>Conclusiones</w:t>
      </w:r>
    </w:p>
    <w:p w:rsidR="0091546C" w:rsidRDefault="00F615AC"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En el presente análisis se ha realizado una evaluación económica de los </w:t>
      </w:r>
      <w:r w:rsidRPr="006A124F">
        <w:rPr>
          <w:rFonts w:ascii="Times New Roman" w:hAnsi="Times New Roman" w:cs="Times New Roman"/>
          <w:sz w:val="24"/>
          <w:szCs w:val="24"/>
        </w:rPr>
        <w:t xml:space="preserve">beneficios </w:t>
      </w:r>
      <w:r>
        <w:rPr>
          <w:rFonts w:ascii="Times New Roman" w:hAnsi="Times New Roman" w:cs="Times New Roman"/>
          <w:sz w:val="24"/>
          <w:szCs w:val="24"/>
        </w:rPr>
        <w:t xml:space="preserve">netos del Programa de Posicionamiento Estratégico Internacional. </w:t>
      </w:r>
      <w:r w:rsidR="0091546C">
        <w:rPr>
          <w:rFonts w:ascii="Times New Roman" w:hAnsi="Times New Roman" w:cs="Times New Roman"/>
          <w:sz w:val="24"/>
          <w:szCs w:val="24"/>
        </w:rPr>
        <w:t>La</w:t>
      </w:r>
      <w:r>
        <w:rPr>
          <w:rFonts w:ascii="Times New Roman" w:hAnsi="Times New Roman" w:cs="Times New Roman"/>
          <w:sz w:val="24"/>
          <w:szCs w:val="24"/>
        </w:rPr>
        <w:t xml:space="preserve"> estimación se concentró en estimar los </w:t>
      </w:r>
      <w:r w:rsidRPr="006A124F">
        <w:rPr>
          <w:rFonts w:ascii="Times New Roman" w:hAnsi="Times New Roman" w:cs="Times New Roman"/>
          <w:sz w:val="24"/>
          <w:szCs w:val="24"/>
        </w:rPr>
        <w:t>impacto</w:t>
      </w:r>
      <w:r>
        <w:rPr>
          <w:rFonts w:ascii="Times New Roman" w:hAnsi="Times New Roman" w:cs="Times New Roman"/>
          <w:sz w:val="24"/>
          <w:szCs w:val="24"/>
        </w:rPr>
        <w:t>s</w:t>
      </w:r>
      <w:r w:rsidRPr="006A124F">
        <w:rPr>
          <w:rFonts w:ascii="Times New Roman" w:hAnsi="Times New Roman" w:cs="Times New Roman"/>
          <w:sz w:val="24"/>
          <w:szCs w:val="24"/>
        </w:rPr>
        <w:t xml:space="preserve"> de la inversión sobre los salarios promedio de la economía y las ganancias de productividad laboral</w:t>
      </w:r>
      <w:r>
        <w:rPr>
          <w:rFonts w:ascii="Times New Roman" w:hAnsi="Times New Roman" w:cs="Times New Roman"/>
          <w:sz w:val="24"/>
          <w:szCs w:val="24"/>
        </w:rPr>
        <w:t>. Para ello se recurrió a la utilización a un modelo de crecimiento económico calibrado para el caso específico de Uruguay, estimando distintas opciones de trayectorias de acumulación de capital</w:t>
      </w:r>
      <w:r w:rsidR="0091546C">
        <w:rPr>
          <w:rFonts w:ascii="Times New Roman" w:hAnsi="Times New Roman" w:cs="Times New Roman"/>
          <w:sz w:val="24"/>
          <w:szCs w:val="24"/>
        </w:rPr>
        <w:t xml:space="preserve"> que </w:t>
      </w:r>
      <w:r w:rsidR="00621425">
        <w:rPr>
          <w:rFonts w:ascii="Times New Roman" w:hAnsi="Times New Roman" w:cs="Times New Roman"/>
          <w:sz w:val="24"/>
          <w:szCs w:val="24"/>
        </w:rPr>
        <w:t>derivan</w:t>
      </w:r>
      <w:r w:rsidR="0091546C">
        <w:rPr>
          <w:rFonts w:ascii="Times New Roman" w:hAnsi="Times New Roman" w:cs="Times New Roman"/>
          <w:sz w:val="24"/>
          <w:szCs w:val="24"/>
        </w:rPr>
        <w:t xml:space="preserve"> en distintas velocidades de convergencia hacia el nivel de crecimiento de estados estacionario</w:t>
      </w:r>
      <w:r>
        <w:rPr>
          <w:rFonts w:ascii="Times New Roman" w:hAnsi="Times New Roman" w:cs="Times New Roman"/>
          <w:sz w:val="24"/>
          <w:szCs w:val="24"/>
        </w:rPr>
        <w:t>.</w:t>
      </w:r>
    </w:p>
    <w:p w:rsidR="0091546C" w:rsidRDefault="0091546C" w:rsidP="00F615AC">
      <w:pPr>
        <w:spacing w:after="120"/>
        <w:ind w:left="0"/>
        <w:rPr>
          <w:rFonts w:ascii="Times New Roman" w:hAnsi="Times New Roman" w:cs="Times New Roman"/>
          <w:sz w:val="24"/>
          <w:szCs w:val="24"/>
        </w:rPr>
      </w:pPr>
      <w:r>
        <w:rPr>
          <w:rFonts w:ascii="Times New Roman" w:hAnsi="Times New Roman" w:cs="Times New Roman"/>
          <w:sz w:val="24"/>
          <w:szCs w:val="24"/>
        </w:rPr>
        <w:t xml:space="preserve">Para estimar los costos del programa se tuvieron en cuenta tanto los costos financieros asociados al repago de los diferentes prestamos, como </w:t>
      </w:r>
      <w:r w:rsidR="00621425">
        <w:rPr>
          <w:rFonts w:ascii="Times New Roman" w:hAnsi="Times New Roman" w:cs="Times New Roman"/>
          <w:sz w:val="24"/>
          <w:szCs w:val="24"/>
        </w:rPr>
        <w:t>así</w:t>
      </w:r>
      <w:r>
        <w:rPr>
          <w:rFonts w:ascii="Times New Roman" w:hAnsi="Times New Roman" w:cs="Times New Roman"/>
          <w:sz w:val="24"/>
          <w:szCs w:val="24"/>
        </w:rPr>
        <w:t xml:space="preserve"> también los </w:t>
      </w:r>
      <w:r w:rsidR="00C37948">
        <w:rPr>
          <w:rFonts w:ascii="Times New Roman" w:hAnsi="Times New Roman" w:cs="Times New Roman"/>
          <w:sz w:val="24"/>
          <w:szCs w:val="24"/>
        </w:rPr>
        <w:t xml:space="preserve">costos asociados al mantenimiento </w:t>
      </w:r>
      <w:r>
        <w:rPr>
          <w:rFonts w:ascii="Times New Roman" w:hAnsi="Times New Roman" w:cs="Times New Roman"/>
          <w:sz w:val="24"/>
          <w:szCs w:val="24"/>
        </w:rPr>
        <w:t xml:space="preserve">e implementación de las </w:t>
      </w:r>
      <w:r w:rsidR="00C37948">
        <w:rPr>
          <w:rFonts w:ascii="Times New Roman" w:hAnsi="Times New Roman" w:cs="Times New Roman"/>
          <w:sz w:val="24"/>
          <w:szCs w:val="24"/>
        </w:rPr>
        <w:t xml:space="preserve">reformas </w:t>
      </w:r>
      <w:r>
        <w:rPr>
          <w:rFonts w:ascii="Times New Roman" w:hAnsi="Times New Roman" w:cs="Times New Roman"/>
          <w:sz w:val="24"/>
          <w:szCs w:val="24"/>
        </w:rPr>
        <w:t xml:space="preserve">que se incluyen en el programa.  </w:t>
      </w:r>
    </w:p>
    <w:p w:rsidR="00621425" w:rsidRPr="00D66C30" w:rsidRDefault="00621425" w:rsidP="00D66C30">
      <w:pPr>
        <w:spacing w:after="120"/>
        <w:ind w:left="0"/>
        <w:rPr>
          <w:szCs w:val="24"/>
        </w:rPr>
      </w:pPr>
      <w:r w:rsidRPr="00D66C30">
        <w:rPr>
          <w:rFonts w:ascii="Times New Roman" w:hAnsi="Times New Roman" w:cs="Times New Roman"/>
          <w:sz w:val="24"/>
          <w:szCs w:val="24"/>
        </w:rPr>
        <w:t>De acuerdo con el análisis realizado, se estima que el Valor Presente Neto (VPN) de los beneficios en el escenario base estimado, utilizando una tasa de descuento del 12%, es de US$793 millones. A su vez se analizaron 9 escenarios alternativos para estudiar la robustez de las estimaciones y en todos los casos estudiados el VPN de los beneficios es positivo y oscila entre los US$44 millones y US$1.465 millones según se considere el escenario más pesimista y el más optimista. Se debe notar que otros beneficios económicos no fueron cuantificados, lo cual podría mejorar aún más el robusto resultado de la evaluación.</w:t>
      </w:r>
    </w:p>
    <w:p w:rsidR="00F615AC" w:rsidRPr="00814AA7" w:rsidRDefault="00F615AC" w:rsidP="00EE3455">
      <w:pPr>
        <w:spacing w:before="240" w:after="240"/>
        <w:rPr>
          <w:rFonts w:ascii="Times New Roman" w:hAnsi="Times New Roman" w:cs="Times New Roman"/>
          <w:b/>
          <w:sz w:val="24"/>
          <w:szCs w:val="24"/>
          <w:lang w:val="es-ES_tradnl"/>
        </w:rPr>
      </w:pPr>
    </w:p>
    <w:p w:rsidR="00F84CEC" w:rsidRDefault="00F84CEC">
      <w:pPr>
        <w:rPr>
          <w:rFonts w:ascii="Times New Roman" w:hAnsi="Times New Roman" w:cs="Times New Roman"/>
          <w:b/>
          <w:sz w:val="24"/>
          <w:szCs w:val="24"/>
          <w:lang w:val="pt-BR"/>
        </w:rPr>
      </w:pPr>
      <w:r>
        <w:rPr>
          <w:rFonts w:ascii="Times New Roman" w:hAnsi="Times New Roman" w:cs="Times New Roman"/>
          <w:b/>
          <w:sz w:val="24"/>
          <w:szCs w:val="24"/>
          <w:lang w:val="pt-BR"/>
        </w:rPr>
        <w:br w:type="page"/>
      </w:r>
    </w:p>
    <w:p w:rsidR="00F615AC" w:rsidRPr="00814AA7" w:rsidRDefault="00F615AC" w:rsidP="00F615AC">
      <w:pPr>
        <w:spacing w:after="120"/>
        <w:ind w:left="0"/>
        <w:rPr>
          <w:rFonts w:ascii="Times New Roman" w:hAnsi="Times New Roman" w:cs="Times New Roman"/>
          <w:b/>
          <w:sz w:val="24"/>
          <w:szCs w:val="24"/>
          <w:lang w:val="pt-BR"/>
        </w:rPr>
      </w:pPr>
      <w:r w:rsidRPr="00814AA7">
        <w:rPr>
          <w:rFonts w:ascii="Times New Roman" w:hAnsi="Times New Roman" w:cs="Times New Roman"/>
          <w:b/>
          <w:sz w:val="24"/>
          <w:szCs w:val="24"/>
          <w:lang w:val="pt-BR"/>
        </w:rPr>
        <w:t>Referencias</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Aitken, B., G. H. Hanson, and A. E. Harrison. 1997. Spillovers, Foreign Investment, and Export Behavior. </w:t>
      </w:r>
      <w:r w:rsidRPr="00D66C30">
        <w:rPr>
          <w:rFonts w:ascii="Times New Roman" w:hAnsi="Times New Roman" w:cs="Times New Roman"/>
          <w:i/>
          <w:sz w:val="24"/>
          <w:szCs w:val="24"/>
        </w:rPr>
        <w:t>Journal of International Economics</w:t>
      </w:r>
      <w:r w:rsidRPr="005421EE">
        <w:rPr>
          <w:rFonts w:ascii="Times New Roman" w:hAnsi="Times New Roman" w:cs="Times New Roman"/>
          <w:sz w:val="24"/>
          <w:szCs w:val="24"/>
        </w:rPr>
        <w:t xml:space="preserve"> 43(1): 103–32.</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Alfaro, L., and A. Rodríguez-Clare. 2004. Multinationals and Linkages: An Empirical Investigation. </w:t>
      </w:r>
      <w:r w:rsidRPr="00D66C30">
        <w:rPr>
          <w:rFonts w:ascii="Times New Roman" w:hAnsi="Times New Roman" w:cs="Times New Roman"/>
          <w:i/>
          <w:sz w:val="24"/>
          <w:szCs w:val="24"/>
        </w:rPr>
        <w:t>Economia-Journal of the Latin American and Caribbean Economic Association</w:t>
      </w:r>
      <w:r w:rsidRPr="005421EE">
        <w:rPr>
          <w:rFonts w:ascii="Times New Roman" w:hAnsi="Times New Roman" w:cs="Times New Roman"/>
          <w:sz w:val="24"/>
          <w:szCs w:val="24"/>
        </w:rPr>
        <w:t xml:space="preserve"> 4(2): 113–69. </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Balsvik, R. 2011. Is Labor Mobility a Channel for Spillovers from Multinationals? Evidence from Norwegian Manufacturing. </w:t>
      </w:r>
      <w:r w:rsidRPr="00D66C30">
        <w:rPr>
          <w:rFonts w:ascii="Times New Roman" w:hAnsi="Times New Roman" w:cs="Times New Roman"/>
          <w:i/>
          <w:sz w:val="24"/>
          <w:szCs w:val="24"/>
        </w:rPr>
        <w:t>Review of Economics and Statistics</w:t>
      </w:r>
      <w:r w:rsidRPr="005421EE">
        <w:rPr>
          <w:rFonts w:ascii="Times New Roman" w:hAnsi="Times New Roman" w:cs="Times New Roman"/>
          <w:sz w:val="24"/>
          <w:szCs w:val="24"/>
        </w:rPr>
        <w:t xml:space="preserve"> 93(1): 285–97.</w:t>
      </w:r>
    </w:p>
    <w:p w:rsidR="009E2400" w:rsidRPr="003D0C9C" w:rsidRDefault="009E2400" w:rsidP="009E2400">
      <w:pPr>
        <w:spacing w:after="120"/>
        <w:ind w:left="0"/>
        <w:rPr>
          <w:rFonts w:ascii="Times New Roman" w:hAnsi="Times New Roman" w:cs="Times New Roman"/>
          <w:sz w:val="24"/>
          <w:szCs w:val="24"/>
        </w:rPr>
      </w:pPr>
      <w:r w:rsidRPr="003D0C9C">
        <w:rPr>
          <w:rFonts w:ascii="Times New Roman" w:hAnsi="Times New Roman" w:cs="Times New Roman"/>
          <w:sz w:val="24"/>
          <w:szCs w:val="24"/>
        </w:rPr>
        <w:t>Banco Central del Uruguay</w:t>
      </w:r>
      <w:r>
        <w:rPr>
          <w:rFonts w:ascii="Times New Roman" w:hAnsi="Times New Roman" w:cs="Times New Roman"/>
          <w:sz w:val="24"/>
          <w:szCs w:val="24"/>
        </w:rPr>
        <w:t xml:space="preserve"> (2012)</w:t>
      </w:r>
      <w:r w:rsidRPr="003D0C9C">
        <w:rPr>
          <w:rFonts w:ascii="Times New Roman" w:hAnsi="Times New Roman" w:cs="Times New Roman"/>
          <w:sz w:val="24"/>
          <w:szCs w:val="24"/>
        </w:rPr>
        <w:t>. Tipo de cambio interbancario comprador promedio mensual.</w:t>
      </w:r>
    </w:p>
    <w:p w:rsidR="00F615AC" w:rsidRPr="003D0C9C" w:rsidRDefault="00F615AC" w:rsidP="009E2400">
      <w:pPr>
        <w:spacing w:after="120"/>
        <w:ind w:left="0"/>
        <w:rPr>
          <w:rFonts w:ascii="Times New Roman" w:hAnsi="Times New Roman" w:cs="Times New Roman"/>
          <w:sz w:val="24"/>
          <w:szCs w:val="24"/>
          <w:lang w:val="en-US"/>
        </w:rPr>
      </w:pPr>
      <w:r w:rsidRPr="003D0C9C">
        <w:rPr>
          <w:rFonts w:ascii="Times New Roman" w:hAnsi="Times New Roman" w:cs="Times New Roman"/>
          <w:sz w:val="24"/>
          <w:szCs w:val="24"/>
          <w:lang w:val="pt-BR"/>
        </w:rPr>
        <w:t xml:space="preserve">Barro R., J., and Sala-i-Martin, X., (2003). </w:t>
      </w:r>
      <w:r w:rsidRPr="003D0C9C">
        <w:rPr>
          <w:rFonts w:ascii="Times New Roman" w:hAnsi="Times New Roman" w:cs="Times New Roman"/>
          <w:sz w:val="24"/>
          <w:szCs w:val="24"/>
          <w:lang w:val="en-US"/>
        </w:rPr>
        <w:t>"Economic Growth, 2nd Edition," MIT Press Books.</w:t>
      </w:r>
    </w:p>
    <w:p w:rsidR="00F615AC" w:rsidRPr="00814AA7" w:rsidRDefault="00F615AC" w:rsidP="009E2400">
      <w:pPr>
        <w:spacing w:after="120"/>
        <w:ind w:left="0"/>
        <w:rPr>
          <w:rFonts w:ascii="Times New Roman" w:hAnsi="Times New Roman" w:cs="Times New Roman"/>
          <w:sz w:val="24"/>
          <w:szCs w:val="24"/>
          <w:lang w:val="es-ES_tradnl"/>
        </w:rPr>
      </w:pPr>
      <w:r w:rsidRPr="00EC5958">
        <w:rPr>
          <w:rFonts w:ascii="Times New Roman" w:hAnsi="Times New Roman" w:cs="Times New Roman"/>
          <w:sz w:val="24"/>
          <w:szCs w:val="24"/>
          <w:lang w:val="en-US"/>
        </w:rPr>
        <w:t xml:space="preserve">Cass (1965), “Optimum Growth in an Aggregative Model of Capital Accumulation”. </w:t>
      </w:r>
      <w:r w:rsidRPr="00814AA7">
        <w:rPr>
          <w:rFonts w:ascii="Times New Roman" w:hAnsi="Times New Roman" w:cs="Times New Roman"/>
          <w:sz w:val="24"/>
          <w:szCs w:val="24"/>
          <w:lang w:val="es-ES_tradnl"/>
        </w:rPr>
        <w:t xml:space="preserve">The </w:t>
      </w:r>
      <w:r w:rsidRPr="00D66C30">
        <w:rPr>
          <w:rFonts w:ascii="Times New Roman" w:hAnsi="Times New Roman" w:cs="Times New Roman"/>
          <w:i/>
          <w:sz w:val="24"/>
          <w:szCs w:val="24"/>
          <w:lang w:val="es-ES_tradnl"/>
        </w:rPr>
        <w:t>Review of Economic Studies</w:t>
      </w:r>
      <w:r w:rsidRPr="00814AA7">
        <w:rPr>
          <w:rFonts w:ascii="Times New Roman" w:hAnsi="Times New Roman" w:cs="Times New Roman"/>
          <w:sz w:val="24"/>
          <w:szCs w:val="24"/>
          <w:lang w:val="es-ES_tradnl"/>
        </w:rPr>
        <w:t>, Vol. 32, No. 3, Jul., 1965.</w:t>
      </w:r>
    </w:p>
    <w:p w:rsidR="009E2400" w:rsidRPr="003D0C9C" w:rsidRDefault="009E2400" w:rsidP="009E2400">
      <w:pPr>
        <w:spacing w:after="120"/>
        <w:ind w:left="0"/>
        <w:rPr>
          <w:rFonts w:ascii="Times New Roman" w:hAnsi="Times New Roman" w:cs="Times New Roman"/>
          <w:sz w:val="24"/>
          <w:szCs w:val="24"/>
        </w:rPr>
      </w:pPr>
      <w:r w:rsidRPr="003D0C9C">
        <w:rPr>
          <w:rFonts w:ascii="Times New Roman" w:hAnsi="Times New Roman" w:cs="Times New Roman"/>
          <w:sz w:val="24"/>
          <w:szCs w:val="24"/>
        </w:rPr>
        <w:t>Dirección General Impositiva (2010). Muestra representativa de las declaraciones juradas de Contribuyentes del Impuesto a la Renta de las Personas Físicas Categoría II (Rentas del trabajo). Serie de Estadísticas tributarias. Publicado en julio de 2012</w:t>
      </w:r>
    </w:p>
    <w:p w:rsidR="009E2400" w:rsidRPr="003D0C9C" w:rsidRDefault="009E2400" w:rsidP="009E2400">
      <w:pPr>
        <w:pStyle w:val="Default"/>
        <w:spacing w:before="120" w:after="120"/>
        <w:rPr>
          <w:rFonts w:ascii="Book Antiqua" w:hAnsi="Book Antiqua" w:cs="Book Antiqua"/>
          <w:bCs/>
          <w:lang w:val="es-UY"/>
        </w:rPr>
      </w:pPr>
      <w:r w:rsidRPr="003D0C9C">
        <w:rPr>
          <w:lang w:val="es-UY"/>
        </w:rPr>
        <w:t xml:space="preserve">Instituto Cuesta Duarte (2011). La masa salarial en Uruguay entre 1998 y 2010”. Informe. </w:t>
      </w:r>
    </w:p>
    <w:p w:rsidR="009E2400" w:rsidRPr="003D0C9C" w:rsidRDefault="009E2400" w:rsidP="009E2400">
      <w:pPr>
        <w:spacing w:after="120"/>
        <w:ind w:left="0"/>
        <w:rPr>
          <w:rFonts w:ascii="Times New Roman" w:hAnsi="Times New Roman" w:cs="Times New Roman"/>
          <w:sz w:val="24"/>
          <w:szCs w:val="24"/>
        </w:rPr>
      </w:pPr>
      <w:r w:rsidRPr="003D0C9C">
        <w:rPr>
          <w:rFonts w:ascii="Times New Roman" w:hAnsi="Times New Roman" w:cs="Times New Roman"/>
          <w:sz w:val="24"/>
          <w:szCs w:val="24"/>
        </w:rPr>
        <w:t xml:space="preserve">Instituto Nacional de Estadística (2012). Índice Medio de Salarios. Serie de estadísticas de precios y salarios. </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Javorcik, B. 2004. Does Foreign Direct Investment Increase the Productivity of Domestic Firms? In Search of Spillovers through Backward Linkages. </w:t>
      </w:r>
      <w:r w:rsidRPr="00D66C30">
        <w:rPr>
          <w:rFonts w:ascii="Times New Roman" w:hAnsi="Times New Roman" w:cs="Times New Roman"/>
          <w:i/>
          <w:sz w:val="24"/>
          <w:szCs w:val="24"/>
        </w:rPr>
        <w:t xml:space="preserve">American Economic Review </w:t>
      </w:r>
      <w:r w:rsidRPr="005421EE">
        <w:rPr>
          <w:rFonts w:ascii="Times New Roman" w:hAnsi="Times New Roman" w:cs="Times New Roman"/>
          <w:sz w:val="24"/>
          <w:szCs w:val="24"/>
        </w:rPr>
        <w:t>94(3): 605–27.</w:t>
      </w:r>
    </w:p>
    <w:p w:rsidR="00F615AC" w:rsidRPr="00814AA7" w:rsidRDefault="00F615AC" w:rsidP="009E2400">
      <w:pPr>
        <w:pStyle w:val="Default"/>
        <w:spacing w:before="120" w:after="120"/>
        <w:rPr>
          <w:lang w:val="en-US"/>
        </w:rPr>
      </w:pPr>
      <w:r w:rsidRPr="003D0C9C">
        <w:rPr>
          <w:lang w:val="es-UY"/>
        </w:rPr>
        <w:t xml:space="preserve">Katz (2012). Análisis Macroeconómico de los flujos de inversión en Uruguay. </w:t>
      </w:r>
      <w:r w:rsidRPr="00814AA7">
        <w:rPr>
          <w:lang w:val="en-US"/>
        </w:rPr>
        <w:t xml:space="preserve">Informe Preliminar. Banco Interamericano de Desarrollo. </w:t>
      </w:r>
    </w:p>
    <w:p w:rsidR="00F615AC" w:rsidRPr="00814AA7" w:rsidRDefault="00F615AC" w:rsidP="009E2400">
      <w:pPr>
        <w:spacing w:after="120"/>
        <w:ind w:left="0"/>
        <w:rPr>
          <w:rFonts w:ascii="Times New Roman" w:hAnsi="Times New Roman" w:cs="Times New Roman"/>
          <w:i/>
          <w:sz w:val="24"/>
          <w:szCs w:val="24"/>
          <w:lang w:val="es-ES_tradnl"/>
        </w:rPr>
      </w:pPr>
      <w:r w:rsidRPr="003D0C9C">
        <w:rPr>
          <w:rFonts w:ascii="Times New Roman" w:hAnsi="Times New Roman" w:cs="Times New Roman"/>
          <w:sz w:val="24"/>
          <w:szCs w:val="24"/>
          <w:lang w:val="en-US"/>
        </w:rPr>
        <w:t xml:space="preserve">Koopmans, T., (1965), “On the Concept of Economic Growth.” In </w:t>
      </w:r>
      <w:r w:rsidRPr="003D0C9C">
        <w:rPr>
          <w:rFonts w:ascii="Times New Roman" w:hAnsi="Times New Roman" w:cs="Times New Roman"/>
          <w:i/>
          <w:sz w:val="24"/>
          <w:szCs w:val="24"/>
          <w:lang w:val="en-US"/>
        </w:rPr>
        <w:t xml:space="preserve">The Econometric Approach to Development Planning. </w:t>
      </w:r>
      <w:r w:rsidRPr="00814AA7">
        <w:rPr>
          <w:rFonts w:ascii="Times New Roman" w:hAnsi="Times New Roman" w:cs="Times New Roman"/>
          <w:sz w:val="24"/>
          <w:szCs w:val="24"/>
          <w:lang w:val="es-ES_tradnl"/>
        </w:rPr>
        <w:t>Amsterdam, 1965.</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Muendler, M., J. E. Rauch, and O. Tocoian. 2012. Employee Spinoffs and Other Entrants: Stylized Facts from Brazil. </w:t>
      </w:r>
      <w:r w:rsidRPr="00D66C30">
        <w:rPr>
          <w:rFonts w:ascii="Times New Roman" w:hAnsi="Times New Roman" w:cs="Times New Roman"/>
          <w:i/>
          <w:sz w:val="24"/>
          <w:szCs w:val="24"/>
        </w:rPr>
        <w:t>International Journal of Industrial Organization</w:t>
      </w:r>
      <w:r w:rsidRPr="005421EE">
        <w:rPr>
          <w:rFonts w:ascii="Times New Roman" w:hAnsi="Times New Roman" w:cs="Times New Roman"/>
          <w:sz w:val="24"/>
          <w:szCs w:val="24"/>
        </w:rPr>
        <w:t xml:space="preserve"> 30(5): 447–58.</w:t>
      </w:r>
    </w:p>
    <w:p w:rsidR="009E2400" w:rsidRPr="005421EE" w:rsidRDefault="009E2400" w:rsidP="009E2400">
      <w:pPr>
        <w:ind w:left="0"/>
        <w:rPr>
          <w:rFonts w:ascii="Times New Roman" w:hAnsi="Times New Roman" w:cs="Times New Roman"/>
          <w:sz w:val="24"/>
          <w:szCs w:val="24"/>
        </w:rPr>
      </w:pPr>
      <w:r w:rsidRPr="005421EE">
        <w:rPr>
          <w:rFonts w:ascii="Times New Roman" w:hAnsi="Times New Roman" w:cs="Times New Roman"/>
          <w:sz w:val="24"/>
          <w:szCs w:val="24"/>
        </w:rPr>
        <w:t xml:space="preserve">Poole, J. 2013. Knowledge Transfers from Multinational to Domestic Firms: Evidence from Worker Mobility. </w:t>
      </w:r>
      <w:r w:rsidRPr="00D66C30">
        <w:rPr>
          <w:rFonts w:ascii="Times New Roman" w:hAnsi="Times New Roman" w:cs="Times New Roman"/>
          <w:i/>
          <w:sz w:val="24"/>
          <w:szCs w:val="24"/>
        </w:rPr>
        <w:t>Review of Economics and Statistics</w:t>
      </w:r>
      <w:r w:rsidRPr="005421EE">
        <w:rPr>
          <w:rFonts w:ascii="Times New Roman" w:hAnsi="Times New Roman" w:cs="Times New Roman"/>
          <w:sz w:val="24"/>
          <w:szCs w:val="24"/>
        </w:rPr>
        <w:t xml:space="preserve"> 95(2): 393–406.</w:t>
      </w:r>
    </w:p>
    <w:p w:rsidR="003D0C9C" w:rsidRPr="009E2400" w:rsidRDefault="003D0C9C">
      <w:pPr>
        <w:rPr>
          <w:rFonts w:ascii="Times New Roman" w:hAnsi="Times New Roman" w:cs="Times New Roman"/>
          <w:sz w:val="24"/>
          <w:szCs w:val="24"/>
        </w:rPr>
      </w:pPr>
    </w:p>
    <w:sectPr w:rsidR="003D0C9C" w:rsidRPr="009E2400" w:rsidSect="00814AA7">
      <w:head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778" w:rsidRDefault="002E1778" w:rsidP="0023494B">
      <w:pPr>
        <w:spacing w:before="0" w:line="240" w:lineRule="auto"/>
      </w:pPr>
      <w:r>
        <w:separator/>
      </w:r>
    </w:p>
  </w:endnote>
  <w:endnote w:type="continuationSeparator" w:id="0">
    <w:p w:rsidR="002E1778" w:rsidRDefault="002E1778" w:rsidP="0023494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778" w:rsidRDefault="002E1778" w:rsidP="0023494B">
      <w:pPr>
        <w:spacing w:before="0" w:line="240" w:lineRule="auto"/>
      </w:pPr>
      <w:r>
        <w:separator/>
      </w:r>
    </w:p>
  </w:footnote>
  <w:footnote w:type="continuationSeparator" w:id="0">
    <w:p w:rsidR="002E1778" w:rsidRDefault="002E1778" w:rsidP="0023494B">
      <w:pPr>
        <w:spacing w:before="0" w:line="240" w:lineRule="auto"/>
      </w:pPr>
      <w:r>
        <w:continuationSeparator/>
      </w:r>
    </w:p>
  </w:footnote>
  <w:footnote w:id="1">
    <w:p w:rsidR="002E1778" w:rsidRPr="000F527B" w:rsidRDefault="002E1778" w:rsidP="00F615AC">
      <w:pPr>
        <w:pStyle w:val="FootnoteText"/>
        <w:rPr>
          <w:lang w:val="pt-BR"/>
        </w:rPr>
      </w:pPr>
      <w:r>
        <w:rPr>
          <w:rStyle w:val="FootnoteReference"/>
        </w:rPr>
        <w:footnoteRef/>
      </w:r>
      <w:r w:rsidRPr="000F527B">
        <w:rPr>
          <w:lang w:val="pt-BR"/>
        </w:rPr>
        <w:t>Ver Barro y Sala i Martin (2003)</w:t>
      </w:r>
    </w:p>
  </w:footnote>
  <w:footnote w:id="2">
    <w:p w:rsidR="002E1778" w:rsidRPr="00784369" w:rsidRDefault="002E1778">
      <w:pPr>
        <w:pStyle w:val="FootnoteText"/>
      </w:pPr>
      <w:r>
        <w:rPr>
          <w:rStyle w:val="FootnoteReference"/>
        </w:rPr>
        <w:footnoteRef/>
      </w:r>
      <w:r>
        <w:t xml:space="preserve"> </w:t>
      </w:r>
      <w:r w:rsidRPr="00DB2B36">
        <w:t xml:space="preserve">Los datos preliminares para el año 2014 indican que la tasa de inversión </w:t>
      </w:r>
      <w:r>
        <w:t xml:space="preserve">probablemente rondará el 22% del PIB este año. Si bien este valor estaría </w:t>
      </w:r>
      <w:r w:rsidRPr="00DB2B36">
        <w:t>influenciad</w:t>
      </w:r>
      <w:r>
        <w:t>o</w:t>
      </w:r>
      <w:r w:rsidRPr="00DB2B36">
        <w:t xml:space="preserve"> por algunas inversiones de gran tamaño que no necesariamente se repetirán los años siguientes</w:t>
      </w:r>
      <w:r>
        <w:t>, da muestra de que el objetivo planteado es plausible de ser alcanzado.</w:t>
      </w:r>
    </w:p>
  </w:footnote>
  <w:footnote w:id="3">
    <w:p w:rsidR="002E1778" w:rsidRPr="00736526" w:rsidRDefault="002E1778" w:rsidP="00F615AC">
      <w:pPr>
        <w:pStyle w:val="FootnoteText"/>
        <w:rPr>
          <w:lang w:val="es-ES"/>
        </w:rPr>
      </w:pPr>
      <w:r>
        <w:rPr>
          <w:rStyle w:val="FootnoteReference"/>
        </w:rPr>
        <w:footnoteRef/>
      </w:r>
      <w:r>
        <w:rPr>
          <w:lang w:val="es-ES"/>
        </w:rPr>
        <w:t xml:space="preserve">Disponible en </w:t>
      </w:r>
      <w:hyperlink r:id="rId1" w:history="1">
        <w:r w:rsidRPr="00FC6CC9">
          <w:rPr>
            <w:rStyle w:val="Hyperlink"/>
            <w:lang w:val="es-ES"/>
          </w:rPr>
          <w:t>http://www.dgi.gub.uy/wdgi/page?2,principal,Estadisticas-Tributarias,O,es,0</w:t>
        </w:r>
      </w:hyperlink>
      <w:r w:rsidRPr="00736526">
        <w:rPr>
          <w:lang w:val="es-ES"/>
        </w:rPr>
        <w:t>,</w:t>
      </w:r>
    </w:p>
  </w:footnote>
  <w:footnote w:id="4">
    <w:p w:rsidR="002E1778" w:rsidRPr="00860016" w:rsidRDefault="002E1778" w:rsidP="00F615AC">
      <w:pPr>
        <w:pStyle w:val="FootnoteText"/>
        <w:rPr>
          <w:lang w:val="es-ES"/>
        </w:rPr>
      </w:pPr>
      <w:r>
        <w:rPr>
          <w:rStyle w:val="FootnoteReference"/>
        </w:rPr>
        <w:footnoteRef/>
      </w:r>
      <w:r>
        <w:rPr>
          <w:lang w:val="es-ES"/>
        </w:rPr>
        <w:t>Ver “La masa salarial entre 1998 y 2010” Informe del Instituto Cuesta Duarte. PIT-CNT. Diciembre de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540844"/>
      <w:docPartObj>
        <w:docPartGallery w:val="Page Numbers (Top of Page)"/>
        <w:docPartUnique/>
      </w:docPartObj>
    </w:sdtPr>
    <w:sdtEndPr>
      <w:rPr>
        <w:rFonts w:ascii="Times New Roman" w:hAnsi="Times New Roman" w:cs="Times New Roman"/>
        <w:noProof/>
        <w:sz w:val="24"/>
        <w:szCs w:val="24"/>
      </w:rPr>
    </w:sdtEndPr>
    <w:sdtContent>
      <w:p w:rsidR="002E1778" w:rsidRPr="0066204B" w:rsidRDefault="002E1778">
        <w:pPr>
          <w:pStyle w:val="Header"/>
          <w:jc w:val="center"/>
          <w:rPr>
            <w:rFonts w:ascii="Times New Roman" w:hAnsi="Times New Roman" w:cs="Times New Roman"/>
            <w:sz w:val="24"/>
            <w:szCs w:val="24"/>
          </w:rPr>
        </w:pPr>
        <w:r w:rsidRPr="0066204B">
          <w:rPr>
            <w:rFonts w:ascii="Times New Roman" w:hAnsi="Times New Roman" w:cs="Times New Roman"/>
            <w:sz w:val="24"/>
            <w:szCs w:val="24"/>
          </w:rPr>
          <w:fldChar w:fldCharType="begin"/>
        </w:r>
        <w:r w:rsidRPr="0066204B">
          <w:rPr>
            <w:rFonts w:ascii="Times New Roman" w:hAnsi="Times New Roman" w:cs="Times New Roman"/>
            <w:sz w:val="24"/>
            <w:szCs w:val="24"/>
          </w:rPr>
          <w:instrText xml:space="preserve"> PAGE   \* MERGEFORMAT </w:instrText>
        </w:r>
        <w:r w:rsidRPr="0066204B">
          <w:rPr>
            <w:rFonts w:ascii="Times New Roman" w:hAnsi="Times New Roman" w:cs="Times New Roman"/>
            <w:sz w:val="24"/>
            <w:szCs w:val="24"/>
          </w:rPr>
          <w:fldChar w:fldCharType="separate"/>
        </w:r>
        <w:r w:rsidR="008A532A">
          <w:rPr>
            <w:rFonts w:ascii="Times New Roman" w:hAnsi="Times New Roman" w:cs="Times New Roman"/>
            <w:noProof/>
            <w:sz w:val="24"/>
            <w:szCs w:val="24"/>
          </w:rPr>
          <w:t>14</w:t>
        </w:r>
        <w:r w:rsidRPr="0066204B">
          <w:rPr>
            <w:rFonts w:ascii="Times New Roman" w:hAnsi="Times New Roman" w:cs="Times New Roman"/>
            <w:noProof/>
            <w:sz w:val="24"/>
            <w:szCs w:val="24"/>
          </w:rPr>
          <w:fldChar w:fldCharType="end"/>
        </w:r>
      </w:p>
    </w:sdtContent>
  </w:sdt>
  <w:p w:rsidR="002E1778" w:rsidRDefault="002E17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7CBF"/>
    <w:multiLevelType w:val="multilevel"/>
    <w:tmpl w:val="0BF884D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620266A"/>
    <w:multiLevelType w:val="multilevel"/>
    <w:tmpl w:val="B01CD936"/>
    <w:lvl w:ilvl="0">
      <w:start w:val="2"/>
      <w:numFmt w:val="decimal"/>
      <w:lvlText w:val="%1."/>
      <w:lvlJc w:val="left"/>
      <w:pPr>
        <w:ind w:left="375" w:hanging="375"/>
      </w:pPr>
      <w:rPr>
        <w:rFonts w:hint="default"/>
      </w:rPr>
    </w:lvl>
    <w:lvl w:ilvl="1">
      <w:start w:val="3"/>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2">
    <w:nsid w:val="062D0E5D"/>
    <w:multiLevelType w:val="hybridMultilevel"/>
    <w:tmpl w:val="17C2C3BE"/>
    <w:lvl w:ilvl="0" w:tplc="5A18CD78">
      <w:start w:val="1"/>
      <w:numFmt w:val="decimal"/>
      <w:lvlText w:val="%1)"/>
      <w:lvlJc w:val="left"/>
      <w:pPr>
        <w:ind w:left="717" w:hanging="360"/>
      </w:pPr>
      <w:rPr>
        <w:rFonts w:hint="default"/>
      </w:rPr>
    </w:lvl>
    <w:lvl w:ilvl="1" w:tplc="380A0019" w:tentative="1">
      <w:start w:val="1"/>
      <w:numFmt w:val="lowerLetter"/>
      <w:lvlText w:val="%2."/>
      <w:lvlJc w:val="left"/>
      <w:pPr>
        <w:ind w:left="1437" w:hanging="360"/>
      </w:pPr>
    </w:lvl>
    <w:lvl w:ilvl="2" w:tplc="380A001B" w:tentative="1">
      <w:start w:val="1"/>
      <w:numFmt w:val="lowerRoman"/>
      <w:lvlText w:val="%3."/>
      <w:lvlJc w:val="right"/>
      <w:pPr>
        <w:ind w:left="2157" w:hanging="180"/>
      </w:pPr>
    </w:lvl>
    <w:lvl w:ilvl="3" w:tplc="380A000F" w:tentative="1">
      <w:start w:val="1"/>
      <w:numFmt w:val="decimal"/>
      <w:lvlText w:val="%4."/>
      <w:lvlJc w:val="left"/>
      <w:pPr>
        <w:ind w:left="2877" w:hanging="360"/>
      </w:pPr>
    </w:lvl>
    <w:lvl w:ilvl="4" w:tplc="380A0019" w:tentative="1">
      <w:start w:val="1"/>
      <w:numFmt w:val="lowerLetter"/>
      <w:lvlText w:val="%5."/>
      <w:lvlJc w:val="left"/>
      <w:pPr>
        <w:ind w:left="3597" w:hanging="360"/>
      </w:pPr>
    </w:lvl>
    <w:lvl w:ilvl="5" w:tplc="380A001B" w:tentative="1">
      <w:start w:val="1"/>
      <w:numFmt w:val="lowerRoman"/>
      <w:lvlText w:val="%6."/>
      <w:lvlJc w:val="right"/>
      <w:pPr>
        <w:ind w:left="4317" w:hanging="180"/>
      </w:pPr>
    </w:lvl>
    <w:lvl w:ilvl="6" w:tplc="380A000F" w:tentative="1">
      <w:start w:val="1"/>
      <w:numFmt w:val="decimal"/>
      <w:lvlText w:val="%7."/>
      <w:lvlJc w:val="left"/>
      <w:pPr>
        <w:ind w:left="5037" w:hanging="360"/>
      </w:pPr>
    </w:lvl>
    <w:lvl w:ilvl="7" w:tplc="380A0019" w:tentative="1">
      <w:start w:val="1"/>
      <w:numFmt w:val="lowerLetter"/>
      <w:lvlText w:val="%8."/>
      <w:lvlJc w:val="left"/>
      <w:pPr>
        <w:ind w:left="5757" w:hanging="360"/>
      </w:pPr>
    </w:lvl>
    <w:lvl w:ilvl="8" w:tplc="380A001B" w:tentative="1">
      <w:start w:val="1"/>
      <w:numFmt w:val="lowerRoman"/>
      <w:lvlText w:val="%9."/>
      <w:lvlJc w:val="right"/>
      <w:pPr>
        <w:ind w:left="6477" w:hanging="180"/>
      </w:pPr>
    </w:lvl>
  </w:abstractNum>
  <w:abstractNum w:abstractNumId="3">
    <w:nsid w:val="18BC26E8"/>
    <w:multiLevelType w:val="hybridMultilevel"/>
    <w:tmpl w:val="15D4D81A"/>
    <w:lvl w:ilvl="0" w:tplc="71AC5C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77B67"/>
    <w:multiLevelType w:val="hybridMultilevel"/>
    <w:tmpl w:val="17C2C3BE"/>
    <w:lvl w:ilvl="0" w:tplc="5A18CD78">
      <w:start w:val="1"/>
      <w:numFmt w:val="decimal"/>
      <w:lvlText w:val="%1)"/>
      <w:lvlJc w:val="left"/>
      <w:pPr>
        <w:ind w:left="717" w:hanging="360"/>
      </w:pPr>
      <w:rPr>
        <w:rFonts w:hint="default"/>
      </w:rPr>
    </w:lvl>
    <w:lvl w:ilvl="1" w:tplc="380A0019" w:tentative="1">
      <w:start w:val="1"/>
      <w:numFmt w:val="lowerLetter"/>
      <w:lvlText w:val="%2."/>
      <w:lvlJc w:val="left"/>
      <w:pPr>
        <w:ind w:left="1437" w:hanging="360"/>
      </w:pPr>
    </w:lvl>
    <w:lvl w:ilvl="2" w:tplc="380A001B" w:tentative="1">
      <w:start w:val="1"/>
      <w:numFmt w:val="lowerRoman"/>
      <w:lvlText w:val="%3."/>
      <w:lvlJc w:val="right"/>
      <w:pPr>
        <w:ind w:left="2157" w:hanging="180"/>
      </w:pPr>
    </w:lvl>
    <w:lvl w:ilvl="3" w:tplc="380A000F" w:tentative="1">
      <w:start w:val="1"/>
      <w:numFmt w:val="decimal"/>
      <w:lvlText w:val="%4."/>
      <w:lvlJc w:val="left"/>
      <w:pPr>
        <w:ind w:left="2877" w:hanging="360"/>
      </w:pPr>
    </w:lvl>
    <w:lvl w:ilvl="4" w:tplc="380A0019" w:tentative="1">
      <w:start w:val="1"/>
      <w:numFmt w:val="lowerLetter"/>
      <w:lvlText w:val="%5."/>
      <w:lvlJc w:val="left"/>
      <w:pPr>
        <w:ind w:left="3597" w:hanging="360"/>
      </w:pPr>
    </w:lvl>
    <w:lvl w:ilvl="5" w:tplc="380A001B" w:tentative="1">
      <w:start w:val="1"/>
      <w:numFmt w:val="lowerRoman"/>
      <w:lvlText w:val="%6."/>
      <w:lvlJc w:val="right"/>
      <w:pPr>
        <w:ind w:left="4317" w:hanging="180"/>
      </w:pPr>
    </w:lvl>
    <w:lvl w:ilvl="6" w:tplc="380A000F" w:tentative="1">
      <w:start w:val="1"/>
      <w:numFmt w:val="decimal"/>
      <w:lvlText w:val="%7."/>
      <w:lvlJc w:val="left"/>
      <w:pPr>
        <w:ind w:left="5037" w:hanging="360"/>
      </w:pPr>
    </w:lvl>
    <w:lvl w:ilvl="7" w:tplc="380A0019" w:tentative="1">
      <w:start w:val="1"/>
      <w:numFmt w:val="lowerLetter"/>
      <w:lvlText w:val="%8."/>
      <w:lvlJc w:val="left"/>
      <w:pPr>
        <w:ind w:left="5757" w:hanging="360"/>
      </w:pPr>
    </w:lvl>
    <w:lvl w:ilvl="8" w:tplc="380A001B" w:tentative="1">
      <w:start w:val="1"/>
      <w:numFmt w:val="lowerRoman"/>
      <w:lvlText w:val="%9."/>
      <w:lvlJc w:val="right"/>
      <w:pPr>
        <w:ind w:left="6477" w:hanging="180"/>
      </w:pPr>
    </w:lvl>
  </w:abstractNum>
  <w:abstractNum w:abstractNumId="5">
    <w:nsid w:val="1CAB0292"/>
    <w:multiLevelType w:val="hybridMultilevel"/>
    <w:tmpl w:val="5E6608CE"/>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251B4579"/>
    <w:multiLevelType w:val="hybridMultilevel"/>
    <w:tmpl w:val="511C18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25A13C60"/>
    <w:multiLevelType w:val="hybridMultilevel"/>
    <w:tmpl w:val="17C2C3BE"/>
    <w:lvl w:ilvl="0" w:tplc="5A18CD78">
      <w:start w:val="1"/>
      <w:numFmt w:val="decimal"/>
      <w:lvlText w:val="%1)"/>
      <w:lvlJc w:val="left"/>
      <w:pPr>
        <w:ind w:left="717" w:hanging="360"/>
      </w:pPr>
      <w:rPr>
        <w:rFonts w:hint="default"/>
      </w:rPr>
    </w:lvl>
    <w:lvl w:ilvl="1" w:tplc="380A0019">
      <w:start w:val="1"/>
      <w:numFmt w:val="lowerLetter"/>
      <w:lvlText w:val="%2."/>
      <w:lvlJc w:val="left"/>
      <w:pPr>
        <w:ind w:left="1437" w:hanging="360"/>
      </w:pPr>
    </w:lvl>
    <w:lvl w:ilvl="2" w:tplc="380A001B" w:tentative="1">
      <w:start w:val="1"/>
      <w:numFmt w:val="lowerRoman"/>
      <w:lvlText w:val="%3."/>
      <w:lvlJc w:val="right"/>
      <w:pPr>
        <w:ind w:left="2157" w:hanging="180"/>
      </w:pPr>
    </w:lvl>
    <w:lvl w:ilvl="3" w:tplc="380A000F" w:tentative="1">
      <w:start w:val="1"/>
      <w:numFmt w:val="decimal"/>
      <w:lvlText w:val="%4."/>
      <w:lvlJc w:val="left"/>
      <w:pPr>
        <w:ind w:left="2877" w:hanging="360"/>
      </w:pPr>
    </w:lvl>
    <w:lvl w:ilvl="4" w:tplc="380A0019" w:tentative="1">
      <w:start w:val="1"/>
      <w:numFmt w:val="lowerLetter"/>
      <w:lvlText w:val="%5."/>
      <w:lvlJc w:val="left"/>
      <w:pPr>
        <w:ind w:left="3597" w:hanging="360"/>
      </w:pPr>
    </w:lvl>
    <w:lvl w:ilvl="5" w:tplc="380A001B" w:tentative="1">
      <w:start w:val="1"/>
      <w:numFmt w:val="lowerRoman"/>
      <w:lvlText w:val="%6."/>
      <w:lvlJc w:val="right"/>
      <w:pPr>
        <w:ind w:left="4317" w:hanging="180"/>
      </w:pPr>
    </w:lvl>
    <w:lvl w:ilvl="6" w:tplc="380A000F" w:tentative="1">
      <w:start w:val="1"/>
      <w:numFmt w:val="decimal"/>
      <w:lvlText w:val="%7."/>
      <w:lvlJc w:val="left"/>
      <w:pPr>
        <w:ind w:left="5037" w:hanging="360"/>
      </w:pPr>
    </w:lvl>
    <w:lvl w:ilvl="7" w:tplc="380A0019" w:tentative="1">
      <w:start w:val="1"/>
      <w:numFmt w:val="lowerLetter"/>
      <w:lvlText w:val="%8."/>
      <w:lvlJc w:val="left"/>
      <w:pPr>
        <w:ind w:left="5757" w:hanging="360"/>
      </w:pPr>
    </w:lvl>
    <w:lvl w:ilvl="8" w:tplc="380A001B" w:tentative="1">
      <w:start w:val="1"/>
      <w:numFmt w:val="lowerRoman"/>
      <w:lvlText w:val="%9."/>
      <w:lvlJc w:val="right"/>
      <w:pPr>
        <w:ind w:left="6477" w:hanging="180"/>
      </w:pPr>
    </w:lvl>
  </w:abstractNum>
  <w:abstractNum w:abstractNumId="8">
    <w:nsid w:val="276B5E4D"/>
    <w:multiLevelType w:val="multilevel"/>
    <w:tmpl w:val="D2A245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B1835D1"/>
    <w:multiLevelType w:val="hybridMultilevel"/>
    <w:tmpl w:val="511C18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nsid w:val="3ED6530D"/>
    <w:multiLevelType w:val="multilevel"/>
    <w:tmpl w:val="C4EABAE6"/>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1">
    <w:nsid w:val="42212439"/>
    <w:multiLevelType w:val="multilevel"/>
    <w:tmpl w:val="E7DA235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5173DE3"/>
    <w:multiLevelType w:val="hybridMultilevel"/>
    <w:tmpl w:val="511C18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472A5234"/>
    <w:multiLevelType w:val="hybridMultilevel"/>
    <w:tmpl w:val="DD7C95B6"/>
    <w:lvl w:ilvl="0" w:tplc="0409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55445CB9"/>
    <w:multiLevelType w:val="hybridMultilevel"/>
    <w:tmpl w:val="17C2C3BE"/>
    <w:lvl w:ilvl="0" w:tplc="5A18CD78">
      <w:start w:val="1"/>
      <w:numFmt w:val="decimal"/>
      <w:lvlText w:val="%1)"/>
      <w:lvlJc w:val="left"/>
      <w:pPr>
        <w:ind w:left="717" w:hanging="360"/>
      </w:pPr>
      <w:rPr>
        <w:rFonts w:hint="default"/>
      </w:rPr>
    </w:lvl>
    <w:lvl w:ilvl="1" w:tplc="380A0019">
      <w:start w:val="1"/>
      <w:numFmt w:val="lowerLetter"/>
      <w:lvlText w:val="%2."/>
      <w:lvlJc w:val="left"/>
      <w:pPr>
        <w:ind w:left="1437" w:hanging="360"/>
      </w:pPr>
    </w:lvl>
    <w:lvl w:ilvl="2" w:tplc="380A001B" w:tentative="1">
      <w:start w:val="1"/>
      <w:numFmt w:val="lowerRoman"/>
      <w:lvlText w:val="%3."/>
      <w:lvlJc w:val="right"/>
      <w:pPr>
        <w:ind w:left="2157" w:hanging="180"/>
      </w:pPr>
    </w:lvl>
    <w:lvl w:ilvl="3" w:tplc="380A000F" w:tentative="1">
      <w:start w:val="1"/>
      <w:numFmt w:val="decimal"/>
      <w:lvlText w:val="%4."/>
      <w:lvlJc w:val="left"/>
      <w:pPr>
        <w:ind w:left="2877" w:hanging="360"/>
      </w:pPr>
    </w:lvl>
    <w:lvl w:ilvl="4" w:tplc="380A0019" w:tentative="1">
      <w:start w:val="1"/>
      <w:numFmt w:val="lowerLetter"/>
      <w:lvlText w:val="%5."/>
      <w:lvlJc w:val="left"/>
      <w:pPr>
        <w:ind w:left="3597" w:hanging="360"/>
      </w:pPr>
    </w:lvl>
    <w:lvl w:ilvl="5" w:tplc="380A001B" w:tentative="1">
      <w:start w:val="1"/>
      <w:numFmt w:val="lowerRoman"/>
      <w:lvlText w:val="%6."/>
      <w:lvlJc w:val="right"/>
      <w:pPr>
        <w:ind w:left="4317" w:hanging="180"/>
      </w:pPr>
    </w:lvl>
    <w:lvl w:ilvl="6" w:tplc="380A000F" w:tentative="1">
      <w:start w:val="1"/>
      <w:numFmt w:val="decimal"/>
      <w:lvlText w:val="%7."/>
      <w:lvlJc w:val="left"/>
      <w:pPr>
        <w:ind w:left="5037" w:hanging="360"/>
      </w:pPr>
    </w:lvl>
    <w:lvl w:ilvl="7" w:tplc="380A0019" w:tentative="1">
      <w:start w:val="1"/>
      <w:numFmt w:val="lowerLetter"/>
      <w:lvlText w:val="%8."/>
      <w:lvlJc w:val="left"/>
      <w:pPr>
        <w:ind w:left="5757" w:hanging="360"/>
      </w:pPr>
    </w:lvl>
    <w:lvl w:ilvl="8" w:tplc="380A001B" w:tentative="1">
      <w:start w:val="1"/>
      <w:numFmt w:val="lowerRoman"/>
      <w:lvlText w:val="%9."/>
      <w:lvlJc w:val="right"/>
      <w:pPr>
        <w:ind w:left="6477" w:hanging="180"/>
      </w:pPr>
    </w:lvl>
  </w:abstractNum>
  <w:abstractNum w:abstractNumId="15">
    <w:nsid w:val="5A46073A"/>
    <w:multiLevelType w:val="hybridMultilevel"/>
    <w:tmpl w:val="6B7A82E6"/>
    <w:lvl w:ilvl="0" w:tplc="17243EAE">
      <w:start w:val="1"/>
      <w:numFmt w:val="decimal"/>
      <w:lvlText w:val="(%1)"/>
      <w:lvlJc w:val="left"/>
      <w:pPr>
        <w:ind w:left="720" w:hanging="360"/>
      </w:pPr>
      <w:rPr>
        <w:rFonts w:hint="default"/>
        <w:sz w:val="18"/>
        <w:szCs w:val="18"/>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634762CE"/>
    <w:multiLevelType w:val="hybridMultilevel"/>
    <w:tmpl w:val="511C18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nsid w:val="67224429"/>
    <w:multiLevelType w:val="multilevel"/>
    <w:tmpl w:val="D48822A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6A092429"/>
    <w:multiLevelType w:val="multilevel"/>
    <w:tmpl w:val="CA0CC268"/>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rPr>
        <w:b w:val="0"/>
        <w:color w:val="auto"/>
        <w:sz w:val="24"/>
        <w:szCs w:val="24"/>
      </w:r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19">
    <w:nsid w:val="71AE7AD2"/>
    <w:multiLevelType w:val="multilevel"/>
    <w:tmpl w:val="CB3E9C0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AB707B5"/>
    <w:multiLevelType w:val="multilevel"/>
    <w:tmpl w:val="B6EE65C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5"/>
  </w:num>
  <w:num w:numId="3">
    <w:abstractNumId w:val="4"/>
  </w:num>
  <w:num w:numId="4">
    <w:abstractNumId w:val="2"/>
  </w:num>
  <w:num w:numId="5">
    <w:abstractNumId w:val="5"/>
  </w:num>
  <w:num w:numId="6">
    <w:abstractNumId w:val="16"/>
  </w:num>
  <w:num w:numId="7">
    <w:abstractNumId w:val="9"/>
  </w:num>
  <w:num w:numId="8">
    <w:abstractNumId w:val="12"/>
  </w:num>
  <w:num w:numId="9">
    <w:abstractNumId w:val="18"/>
  </w:num>
  <w:num w:numId="10">
    <w:abstractNumId w:val="3"/>
  </w:num>
  <w:num w:numId="11">
    <w:abstractNumId w:val="20"/>
  </w:num>
  <w:num w:numId="12">
    <w:abstractNumId w:val="8"/>
  </w:num>
  <w:num w:numId="13">
    <w:abstractNumId w:val="10"/>
  </w:num>
  <w:num w:numId="14">
    <w:abstractNumId w:val="11"/>
  </w:num>
  <w:num w:numId="15">
    <w:abstractNumId w:val="19"/>
  </w:num>
  <w:num w:numId="16">
    <w:abstractNumId w:val="0"/>
  </w:num>
  <w:num w:numId="17">
    <w:abstractNumId w:val="17"/>
  </w:num>
  <w:num w:numId="18">
    <w:abstractNumId w:val="6"/>
  </w:num>
  <w:num w:numId="19">
    <w:abstractNumId w:val="1"/>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2EA"/>
    <w:rsid w:val="000070FE"/>
    <w:rsid w:val="00041C87"/>
    <w:rsid w:val="00057990"/>
    <w:rsid w:val="000653DA"/>
    <w:rsid w:val="00070653"/>
    <w:rsid w:val="00082143"/>
    <w:rsid w:val="00083A4E"/>
    <w:rsid w:val="0009305A"/>
    <w:rsid w:val="000A67F5"/>
    <w:rsid w:val="000C7C4F"/>
    <w:rsid w:val="000D0822"/>
    <w:rsid w:val="000D0D6F"/>
    <w:rsid w:val="000D32A7"/>
    <w:rsid w:val="000F527B"/>
    <w:rsid w:val="00103461"/>
    <w:rsid w:val="001067D1"/>
    <w:rsid w:val="001144D7"/>
    <w:rsid w:val="00125E80"/>
    <w:rsid w:val="00135C6E"/>
    <w:rsid w:val="00144003"/>
    <w:rsid w:val="00165A2C"/>
    <w:rsid w:val="001712C6"/>
    <w:rsid w:val="00180E24"/>
    <w:rsid w:val="001972EA"/>
    <w:rsid w:val="00197C2F"/>
    <w:rsid w:val="001A2169"/>
    <w:rsid w:val="001D5A1D"/>
    <w:rsid w:val="001E6961"/>
    <w:rsid w:val="00200251"/>
    <w:rsid w:val="0020202E"/>
    <w:rsid w:val="00215BB4"/>
    <w:rsid w:val="002162E2"/>
    <w:rsid w:val="0023494B"/>
    <w:rsid w:val="00240032"/>
    <w:rsid w:val="0024493A"/>
    <w:rsid w:val="00272200"/>
    <w:rsid w:val="002824FF"/>
    <w:rsid w:val="002A7D6A"/>
    <w:rsid w:val="002B4904"/>
    <w:rsid w:val="002D0F97"/>
    <w:rsid w:val="002E1778"/>
    <w:rsid w:val="002E77D6"/>
    <w:rsid w:val="002F11D5"/>
    <w:rsid w:val="002F2D94"/>
    <w:rsid w:val="002F353B"/>
    <w:rsid w:val="00304FB2"/>
    <w:rsid w:val="0031260B"/>
    <w:rsid w:val="00321047"/>
    <w:rsid w:val="00353E71"/>
    <w:rsid w:val="00380868"/>
    <w:rsid w:val="00385421"/>
    <w:rsid w:val="003908AD"/>
    <w:rsid w:val="00390C5D"/>
    <w:rsid w:val="003D0C9C"/>
    <w:rsid w:val="003D4843"/>
    <w:rsid w:val="0040509E"/>
    <w:rsid w:val="004539E1"/>
    <w:rsid w:val="00470B44"/>
    <w:rsid w:val="004867DC"/>
    <w:rsid w:val="004B2D49"/>
    <w:rsid w:val="004C108D"/>
    <w:rsid w:val="004C6160"/>
    <w:rsid w:val="004D1F8D"/>
    <w:rsid w:val="004D5082"/>
    <w:rsid w:val="004E2F0D"/>
    <w:rsid w:val="00500211"/>
    <w:rsid w:val="005003C0"/>
    <w:rsid w:val="005035F9"/>
    <w:rsid w:val="00503E9F"/>
    <w:rsid w:val="00510439"/>
    <w:rsid w:val="0052343A"/>
    <w:rsid w:val="00550C5C"/>
    <w:rsid w:val="00572C36"/>
    <w:rsid w:val="00573FA3"/>
    <w:rsid w:val="00581CA9"/>
    <w:rsid w:val="0058799C"/>
    <w:rsid w:val="005C31D4"/>
    <w:rsid w:val="005E4F1C"/>
    <w:rsid w:val="005E7958"/>
    <w:rsid w:val="005F1938"/>
    <w:rsid w:val="00604CF9"/>
    <w:rsid w:val="006201F2"/>
    <w:rsid w:val="0062039C"/>
    <w:rsid w:val="00621425"/>
    <w:rsid w:val="0063185A"/>
    <w:rsid w:val="00644A43"/>
    <w:rsid w:val="006455AA"/>
    <w:rsid w:val="00650575"/>
    <w:rsid w:val="0066204B"/>
    <w:rsid w:val="00685ADB"/>
    <w:rsid w:val="00694000"/>
    <w:rsid w:val="006A124F"/>
    <w:rsid w:val="006E03C4"/>
    <w:rsid w:val="006E122A"/>
    <w:rsid w:val="006E6772"/>
    <w:rsid w:val="006F1574"/>
    <w:rsid w:val="00731497"/>
    <w:rsid w:val="00736526"/>
    <w:rsid w:val="00746F75"/>
    <w:rsid w:val="007647F6"/>
    <w:rsid w:val="00770EDF"/>
    <w:rsid w:val="00784369"/>
    <w:rsid w:val="007909CB"/>
    <w:rsid w:val="007A658C"/>
    <w:rsid w:val="007A6706"/>
    <w:rsid w:val="007D64D1"/>
    <w:rsid w:val="00810E93"/>
    <w:rsid w:val="00814AA7"/>
    <w:rsid w:val="00840F12"/>
    <w:rsid w:val="00847A3D"/>
    <w:rsid w:val="008572FD"/>
    <w:rsid w:val="00860016"/>
    <w:rsid w:val="00865918"/>
    <w:rsid w:val="00866B6B"/>
    <w:rsid w:val="008673A7"/>
    <w:rsid w:val="008A313B"/>
    <w:rsid w:val="008A3692"/>
    <w:rsid w:val="008A532A"/>
    <w:rsid w:val="008B7944"/>
    <w:rsid w:val="008D6951"/>
    <w:rsid w:val="008E396B"/>
    <w:rsid w:val="008F7FA3"/>
    <w:rsid w:val="0091546C"/>
    <w:rsid w:val="00924AC6"/>
    <w:rsid w:val="0092664D"/>
    <w:rsid w:val="00927D71"/>
    <w:rsid w:val="009604E2"/>
    <w:rsid w:val="009637A1"/>
    <w:rsid w:val="00987A2E"/>
    <w:rsid w:val="009923F2"/>
    <w:rsid w:val="00997BE5"/>
    <w:rsid w:val="009D6E71"/>
    <w:rsid w:val="009E17E6"/>
    <w:rsid w:val="009E2400"/>
    <w:rsid w:val="009F2DB5"/>
    <w:rsid w:val="009F6DA1"/>
    <w:rsid w:val="00A417CC"/>
    <w:rsid w:val="00A47679"/>
    <w:rsid w:val="00A60B8A"/>
    <w:rsid w:val="00A624AB"/>
    <w:rsid w:val="00AA3058"/>
    <w:rsid w:val="00AB73F1"/>
    <w:rsid w:val="00AF15F9"/>
    <w:rsid w:val="00AF7349"/>
    <w:rsid w:val="00B04A56"/>
    <w:rsid w:val="00B32FE4"/>
    <w:rsid w:val="00B3376A"/>
    <w:rsid w:val="00B4013E"/>
    <w:rsid w:val="00B41891"/>
    <w:rsid w:val="00B5402D"/>
    <w:rsid w:val="00BA4242"/>
    <w:rsid w:val="00BB36A9"/>
    <w:rsid w:val="00BC5F85"/>
    <w:rsid w:val="00BD5B56"/>
    <w:rsid w:val="00BE5D57"/>
    <w:rsid w:val="00C025B8"/>
    <w:rsid w:val="00C0619A"/>
    <w:rsid w:val="00C2613E"/>
    <w:rsid w:val="00C31AB2"/>
    <w:rsid w:val="00C37948"/>
    <w:rsid w:val="00C42384"/>
    <w:rsid w:val="00C50A6E"/>
    <w:rsid w:val="00CB5619"/>
    <w:rsid w:val="00CD2A26"/>
    <w:rsid w:val="00CE3C4C"/>
    <w:rsid w:val="00CF4C2B"/>
    <w:rsid w:val="00CF7680"/>
    <w:rsid w:val="00CF7821"/>
    <w:rsid w:val="00D06861"/>
    <w:rsid w:val="00D13D66"/>
    <w:rsid w:val="00D231ED"/>
    <w:rsid w:val="00D27E07"/>
    <w:rsid w:val="00D44F42"/>
    <w:rsid w:val="00D54E11"/>
    <w:rsid w:val="00D56A5C"/>
    <w:rsid w:val="00D61A0C"/>
    <w:rsid w:val="00D61B95"/>
    <w:rsid w:val="00D66C30"/>
    <w:rsid w:val="00D81A31"/>
    <w:rsid w:val="00D84D6A"/>
    <w:rsid w:val="00D939E2"/>
    <w:rsid w:val="00D9651D"/>
    <w:rsid w:val="00DA6CC3"/>
    <w:rsid w:val="00DB2B36"/>
    <w:rsid w:val="00DC3DDB"/>
    <w:rsid w:val="00DC7430"/>
    <w:rsid w:val="00DD1E8A"/>
    <w:rsid w:val="00DD2180"/>
    <w:rsid w:val="00DF1662"/>
    <w:rsid w:val="00E01895"/>
    <w:rsid w:val="00E03D8D"/>
    <w:rsid w:val="00E2213D"/>
    <w:rsid w:val="00E35BBD"/>
    <w:rsid w:val="00E736FB"/>
    <w:rsid w:val="00E96922"/>
    <w:rsid w:val="00EA3711"/>
    <w:rsid w:val="00EB542F"/>
    <w:rsid w:val="00EC5958"/>
    <w:rsid w:val="00ED28B4"/>
    <w:rsid w:val="00EE3455"/>
    <w:rsid w:val="00F00CC5"/>
    <w:rsid w:val="00F10001"/>
    <w:rsid w:val="00F13C70"/>
    <w:rsid w:val="00F3069A"/>
    <w:rsid w:val="00F317E5"/>
    <w:rsid w:val="00F34095"/>
    <w:rsid w:val="00F34B39"/>
    <w:rsid w:val="00F54416"/>
    <w:rsid w:val="00F615AC"/>
    <w:rsid w:val="00F67F44"/>
    <w:rsid w:val="00F81227"/>
    <w:rsid w:val="00F84CEC"/>
    <w:rsid w:val="00FA4AA7"/>
    <w:rsid w:val="00FB1A5E"/>
    <w:rsid w:val="00FB1BD4"/>
    <w:rsid w:val="00FD3999"/>
    <w:rsid w:val="00FF36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before="120" w:line="276"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778"/>
  </w:style>
  <w:style w:type="paragraph" w:styleId="Heading2">
    <w:name w:val="heading 2"/>
    <w:basedOn w:val="Normal"/>
    <w:next w:val="Normal"/>
    <w:link w:val="Heading2Char"/>
    <w:uiPriority w:val="9"/>
    <w:semiHidden/>
    <w:unhideWhenUsed/>
    <w:qFormat/>
    <w:rsid w:val="004C6160"/>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C6160"/>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6160"/>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C6160"/>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C6160"/>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C6160"/>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C6160"/>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C6160"/>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2EA"/>
    <w:pPr>
      <w:ind w:left="720"/>
      <w:contextualSpacing/>
    </w:pPr>
  </w:style>
  <w:style w:type="character" w:styleId="PlaceholderText">
    <w:name w:val="Placeholder Text"/>
    <w:basedOn w:val="DefaultParagraphFont"/>
    <w:uiPriority w:val="99"/>
    <w:semiHidden/>
    <w:rsid w:val="00BE5D57"/>
    <w:rPr>
      <w:color w:val="808080"/>
    </w:rPr>
  </w:style>
  <w:style w:type="paragraph" w:styleId="BalloonText">
    <w:name w:val="Balloon Text"/>
    <w:basedOn w:val="Normal"/>
    <w:link w:val="BalloonTextChar"/>
    <w:uiPriority w:val="99"/>
    <w:semiHidden/>
    <w:unhideWhenUsed/>
    <w:rsid w:val="00BE5D57"/>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D57"/>
    <w:rPr>
      <w:rFonts w:ascii="Tahoma" w:hAnsi="Tahoma" w:cs="Tahoma"/>
      <w:sz w:val="16"/>
      <w:szCs w:val="16"/>
    </w:rPr>
  </w:style>
  <w:style w:type="paragraph" w:styleId="FootnoteText">
    <w:name w:val="footnote text"/>
    <w:basedOn w:val="Normal"/>
    <w:link w:val="FootnoteTextChar"/>
    <w:uiPriority w:val="99"/>
    <w:semiHidden/>
    <w:unhideWhenUsed/>
    <w:rsid w:val="0023494B"/>
    <w:pPr>
      <w:keepNext/>
      <w:keepLines/>
      <w:spacing w:before="0" w:after="120" w:line="240" w:lineRule="auto"/>
      <w:ind w:left="288" w:hanging="288"/>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23494B"/>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23494B"/>
    <w:rPr>
      <w:vertAlign w:val="superscript"/>
    </w:rPr>
  </w:style>
  <w:style w:type="character" w:styleId="Hyperlink">
    <w:name w:val="Hyperlink"/>
    <w:basedOn w:val="DefaultParagraphFont"/>
    <w:uiPriority w:val="99"/>
    <w:unhideWhenUsed/>
    <w:rsid w:val="00736526"/>
    <w:rPr>
      <w:color w:val="0000FF" w:themeColor="hyperlink"/>
      <w:u w:val="single"/>
    </w:rPr>
  </w:style>
  <w:style w:type="character" w:styleId="FollowedHyperlink">
    <w:name w:val="FollowedHyperlink"/>
    <w:basedOn w:val="DefaultParagraphFont"/>
    <w:uiPriority w:val="99"/>
    <w:semiHidden/>
    <w:unhideWhenUsed/>
    <w:rsid w:val="00DD2180"/>
    <w:rPr>
      <w:color w:val="800080" w:themeColor="followedHyperlink"/>
      <w:u w:val="single"/>
    </w:rPr>
  </w:style>
  <w:style w:type="paragraph" w:customStyle="1" w:styleId="Chapter">
    <w:name w:val="Chapter"/>
    <w:basedOn w:val="Normal"/>
    <w:next w:val="Normal"/>
    <w:rsid w:val="004C6160"/>
    <w:pPr>
      <w:keepNext/>
      <w:numPr>
        <w:numId w:val="9"/>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4C6160"/>
    <w:pPr>
      <w:tabs>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4C6160"/>
    <w:pPr>
      <w:tabs>
        <w:tab w:val="num" w:pos="1152"/>
      </w:tabs>
      <w:spacing w:before="120"/>
      <w:ind w:left="1152" w:hanging="432"/>
      <w:jc w:val="both"/>
      <w:outlineLvl w:val="2"/>
    </w:pPr>
    <w:rPr>
      <w:rFonts w:eastAsia="Times New Roman"/>
      <w:szCs w:val="20"/>
      <w:lang w:val="es-ES_tradnl"/>
    </w:rPr>
  </w:style>
  <w:style w:type="paragraph" w:customStyle="1" w:styleId="SubSubPar">
    <w:name w:val="SubSubPar"/>
    <w:basedOn w:val="subpar"/>
    <w:rsid w:val="0024493A"/>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24493A"/>
    <w:pPr>
      <w:spacing w:before="0" w:after="120" w:line="240" w:lineRule="auto"/>
      <w:ind w:left="360"/>
      <w:jc w:val="left"/>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4493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24493A"/>
    <w:pPr>
      <w:spacing w:before="0" w:after="120" w:line="240" w:lineRule="auto"/>
      <w:ind w:left="360"/>
      <w:jc w:val="left"/>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4493A"/>
    <w:rPr>
      <w:rFonts w:ascii="Times New Roman" w:hAnsi="Times New Roman" w:cs="Times New Roman"/>
      <w:sz w:val="24"/>
      <w:szCs w:val="16"/>
    </w:rPr>
  </w:style>
  <w:style w:type="paragraph" w:customStyle="1" w:styleId="Default">
    <w:name w:val="Default"/>
    <w:rsid w:val="0024493A"/>
    <w:pPr>
      <w:autoSpaceDE w:val="0"/>
      <w:autoSpaceDN w:val="0"/>
      <w:adjustRightInd w:val="0"/>
      <w:spacing w:before="0" w:line="240" w:lineRule="auto"/>
      <w:ind w:left="0"/>
      <w:jc w:val="left"/>
    </w:pPr>
    <w:rPr>
      <w:rFonts w:ascii="Times New Roman" w:hAnsi="Times New Roman" w:cs="Times New Roman"/>
      <w:color w:val="000000"/>
      <w:sz w:val="24"/>
      <w:szCs w:val="24"/>
      <w:lang w:val="es-AR"/>
    </w:rPr>
  </w:style>
  <w:style w:type="paragraph" w:customStyle="1" w:styleId="FirstHeading">
    <w:name w:val="FirstHeading"/>
    <w:basedOn w:val="Normal"/>
    <w:next w:val="Normal"/>
    <w:link w:val="FirstHeadingChar"/>
    <w:rsid w:val="004C6160"/>
    <w:pPr>
      <w:keepNext/>
      <w:tabs>
        <w:tab w:val="left" w:pos="0"/>
        <w:tab w:val="left" w:pos="86"/>
      </w:tabs>
      <w:spacing w:after="120" w:line="240" w:lineRule="auto"/>
      <w:ind w:left="720" w:hanging="720"/>
      <w:jc w:val="left"/>
    </w:pPr>
    <w:rPr>
      <w:rFonts w:ascii="Times New Roman" w:eastAsia="Times New Roman" w:hAnsi="Times New Roman" w:cs="Times New Roman"/>
      <w:b/>
      <w:sz w:val="24"/>
      <w:lang w:eastAsia="es-UY"/>
    </w:rPr>
  </w:style>
  <w:style w:type="character" w:customStyle="1" w:styleId="FirstHeadingChar">
    <w:name w:val="FirstHeading Char"/>
    <w:basedOn w:val="DefaultParagraphFont"/>
    <w:link w:val="FirstHeading"/>
    <w:rsid w:val="004C6160"/>
    <w:rPr>
      <w:rFonts w:ascii="Times New Roman" w:eastAsia="Times New Roman" w:hAnsi="Times New Roman" w:cs="Times New Roman"/>
      <w:b/>
      <w:sz w:val="24"/>
      <w:lang w:eastAsia="es-UY"/>
    </w:rPr>
  </w:style>
  <w:style w:type="paragraph" w:customStyle="1" w:styleId="SecHeading">
    <w:name w:val="SecHeading"/>
    <w:basedOn w:val="Normal"/>
    <w:next w:val="Paragraph"/>
    <w:link w:val="SecHeadingChar"/>
    <w:rsid w:val="004C6160"/>
    <w:pPr>
      <w:keepNext/>
      <w:tabs>
        <w:tab w:val="num" w:pos="1296"/>
      </w:tabs>
      <w:spacing w:after="120" w:line="240" w:lineRule="auto"/>
      <w:ind w:left="1296" w:hanging="576"/>
      <w:jc w:val="left"/>
    </w:pPr>
    <w:rPr>
      <w:rFonts w:ascii="Times New Roman" w:eastAsia="Times New Roman" w:hAnsi="Times New Roman" w:cs="Times New Roman"/>
      <w:b/>
      <w:sz w:val="24"/>
      <w:lang w:eastAsia="es-UY"/>
    </w:rPr>
  </w:style>
  <w:style w:type="character" w:customStyle="1" w:styleId="SecHeadingChar">
    <w:name w:val="SecHeading Char"/>
    <w:basedOn w:val="DefaultParagraphFont"/>
    <w:link w:val="SecHeading"/>
    <w:rsid w:val="004C6160"/>
    <w:rPr>
      <w:rFonts w:ascii="Times New Roman" w:eastAsia="Times New Roman" w:hAnsi="Times New Roman" w:cs="Times New Roman"/>
      <w:b/>
      <w:sz w:val="24"/>
      <w:lang w:eastAsia="es-UY"/>
    </w:rPr>
  </w:style>
  <w:style w:type="paragraph" w:customStyle="1" w:styleId="SubHeading1">
    <w:name w:val="SubHeading1"/>
    <w:basedOn w:val="SecHeading"/>
    <w:link w:val="SubHeading1Char"/>
    <w:rsid w:val="004C6160"/>
    <w:pPr>
      <w:tabs>
        <w:tab w:val="clear" w:pos="1296"/>
        <w:tab w:val="num" w:pos="1872"/>
      </w:tabs>
      <w:ind w:left="1872"/>
    </w:pPr>
  </w:style>
  <w:style w:type="character" w:customStyle="1" w:styleId="SubHeading1Char">
    <w:name w:val="SubHeading1 Char"/>
    <w:basedOn w:val="DefaultParagraphFont"/>
    <w:link w:val="SubHeading1"/>
    <w:rsid w:val="004C6160"/>
    <w:rPr>
      <w:rFonts w:ascii="Times New Roman" w:eastAsia="Times New Roman" w:hAnsi="Times New Roman" w:cs="Times New Roman"/>
      <w:b/>
      <w:sz w:val="24"/>
      <w:lang w:eastAsia="es-UY"/>
    </w:rPr>
  </w:style>
  <w:style w:type="paragraph" w:customStyle="1" w:styleId="Subheading2">
    <w:name w:val="Subheading2"/>
    <w:basedOn w:val="SecHeading"/>
    <w:link w:val="Subheading2Char"/>
    <w:rsid w:val="004C6160"/>
    <w:pPr>
      <w:tabs>
        <w:tab w:val="clear" w:pos="1296"/>
        <w:tab w:val="num" w:pos="2376"/>
      </w:tabs>
      <w:ind w:left="2376" w:hanging="288"/>
    </w:pPr>
  </w:style>
  <w:style w:type="character" w:customStyle="1" w:styleId="Subheading2Char">
    <w:name w:val="Subheading2 Char"/>
    <w:basedOn w:val="DefaultParagraphFont"/>
    <w:link w:val="Subheading2"/>
    <w:rsid w:val="004C6160"/>
    <w:rPr>
      <w:rFonts w:ascii="Times New Roman" w:eastAsia="Times New Roman" w:hAnsi="Times New Roman" w:cs="Times New Roman"/>
      <w:b/>
      <w:sz w:val="24"/>
      <w:lang w:eastAsia="es-UY"/>
    </w:rPr>
  </w:style>
  <w:style w:type="paragraph" w:customStyle="1" w:styleId="Regtable">
    <w:name w:val="Regtable"/>
    <w:basedOn w:val="Normal"/>
    <w:link w:val="RegtableChar"/>
    <w:rsid w:val="004C6160"/>
    <w:pPr>
      <w:keepLines/>
      <w:framePr w:wrap="around" w:vAnchor="text" w:hAnchor="text" w:y="1"/>
      <w:spacing w:before="20" w:after="20" w:line="240" w:lineRule="auto"/>
      <w:ind w:left="0"/>
      <w:jc w:val="left"/>
    </w:pPr>
    <w:rPr>
      <w:rFonts w:ascii="Times New Roman" w:eastAsia="Times New Roman" w:hAnsi="Times New Roman" w:cs="Times New Roman"/>
      <w:sz w:val="20"/>
      <w:lang w:eastAsia="es-UY"/>
    </w:rPr>
  </w:style>
  <w:style w:type="character" w:customStyle="1" w:styleId="RegtableChar">
    <w:name w:val="Regtable Char"/>
    <w:basedOn w:val="DefaultParagraphFont"/>
    <w:link w:val="Regtable"/>
    <w:rsid w:val="004C6160"/>
    <w:rPr>
      <w:rFonts w:ascii="Times New Roman" w:eastAsia="Times New Roman" w:hAnsi="Times New Roman" w:cs="Times New Roman"/>
      <w:sz w:val="20"/>
      <w:lang w:eastAsia="es-UY"/>
    </w:rPr>
  </w:style>
  <w:style w:type="paragraph" w:customStyle="1" w:styleId="TableTitle">
    <w:name w:val="TableTitle"/>
    <w:basedOn w:val="Normal"/>
    <w:link w:val="TableTitleChar"/>
    <w:rsid w:val="004C6160"/>
    <w:pPr>
      <w:keepNext/>
      <w:framePr w:wrap="around" w:vAnchor="text" w:hAnchor="text" w:y="1"/>
      <w:spacing w:before="20" w:after="20" w:line="240" w:lineRule="auto"/>
      <w:ind w:left="0"/>
      <w:jc w:val="center"/>
    </w:pPr>
    <w:rPr>
      <w:rFonts w:ascii="Times New Roman Bold" w:eastAsia="Times New Roman" w:hAnsi="Times New Roman Bold" w:cs="Times New Roman"/>
      <w:b/>
      <w:spacing w:val="-3"/>
      <w:sz w:val="20"/>
      <w:lang w:eastAsia="es-UY"/>
    </w:rPr>
  </w:style>
  <w:style w:type="character" w:customStyle="1" w:styleId="TableTitleChar">
    <w:name w:val="TableTitle Char"/>
    <w:basedOn w:val="DefaultParagraphFont"/>
    <w:link w:val="TableTitle"/>
    <w:rsid w:val="004C6160"/>
    <w:rPr>
      <w:rFonts w:ascii="Times New Roman Bold" w:eastAsia="Times New Roman" w:hAnsi="Times New Roman Bold" w:cs="Times New Roman"/>
      <w:b/>
      <w:spacing w:val="-3"/>
      <w:sz w:val="20"/>
      <w:lang w:eastAsia="es-UY"/>
    </w:rPr>
  </w:style>
  <w:style w:type="character" w:customStyle="1" w:styleId="Heading2Char">
    <w:name w:val="Heading 2 Char"/>
    <w:basedOn w:val="DefaultParagraphFont"/>
    <w:link w:val="Heading2"/>
    <w:uiPriority w:val="9"/>
    <w:semiHidden/>
    <w:rsid w:val="004C616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C616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C616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C616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C616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C616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C616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C6160"/>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814AA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814AA7"/>
  </w:style>
  <w:style w:type="paragraph" w:styleId="Footer">
    <w:name w:val="footer"/>
    <w:basedOn w:val="Normal"/>
    <w:link w:val="FooterChar"/>
    <w:uiPriority w:val="99"/>
    <w:unhideWhenUsed/>
    <w:rsid w:val="00814AA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814AA7"/>
  </w:style>
  <w:style w:type="table" w:styleId="LightShading-Accent3">
    <w:name w:val="Light Shading Accent 3"/>
    <w:basedOn w:val="TableNormal"/>
    <w:uiPriority w:val="60"/>
    <w:rsid w:val="009923F2"/>
    <w:pPr>
      <w:spacing w:before="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Revision">
    <w:name w:val="Revision"/>
    <w:hidden/>
    <w:uiPriority w:val="99"/>
    <w:semiHidden/>
    <w:rsid w:val="00D06861"/>
    <w:pPr>
      <w:spacing w:before="0" w:line="240" w:lineRule="auto"/>
      <w:ind w:left="0"/>
      <w:jc w:val="left"/>
    </w:pPr>
  </w:style>
  <w:style w:type="paragraph" w:styleId="NormalWeb">
    <w:name w:val="Normal (Web)"/>
    <w:basedOn w:val="Normal"/>
    <w:uiPriority w:val="99"/>
    <w:semiHidden/>
    <w:unhideWhenUsed/>
    <w:rsid w:val="00CF7821"/>
    <w:pPr>
      <w:spacing w:before="100" w:beforeAutospacing="1" w:after="100" w:afterAutospacing="1" w:line="240" w:lineRule="auto"/>
      <w:ind w:left="0"/>
      <w:jc w:val="left"/>
    </w:pPr>
    <w:rPr>
      <w:rFonts w:ascii="Times New Roman" w:eastAsiaTheme="minorEastAsia" w:hAnsi="Times New Roman" w:cs="Times New Roman"/>
      <w:sz w:val="24"/>
      <w:szCs w:val="24"/>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before="120" w:line="276"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778"/>
  </w:style>
  <w:style w:type="paragraph" w:styleId="Heading2">
    <w:name w:val="heading 2"/>
    <w:basedOn w:val="Normal"/>
    <w:next w:val="Normal"/>
    <w:link w:val="Heading2Char"/>
    <w:uiPriority w:val="9"/>
    <w:semiHidden/>
    <w:unhideWhenUsed/>
    <w:qFormat/>
    <w:rsid w:val="004C6160"/>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C6160"/>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6160"/>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C6160"/>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C6160"/>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C6160"/>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C6160"/>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C6160"/>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2EA"/>
    <w:pPr>
      <w:ind w:left="720"/>
      <w:contextualSpacing/>
    </w:pPr>
  </w:style>
  <w:style w:type="character" w:styleId="PlaceholderText">
    <w:name w:val="Placeholder Text"/>
    <w:basedOn w:val="DefaultParagraphFont"/>
    <w:uiPriority w:val="99"/>
    <w:semiHidden/>
    <w:rsid w:val="00BE5D57"/>
    <w:rPr>
      <w:color w:val="808080"/>
    </w:rPr>
  </w:style>
  <w:style w:type="paragraph" w:styleId="BalloonText">
    <w:name w:val="Balloon Text"/>
    <w:basedOn w:val="Normal"/>
    <w:link w:val="BalloonTextChar"/>
    <w:uiPriority w:val="99"/>
    <w:semiHidden/>
    <w:unhideWhenUsed/>
    <w:rsid w:val="00BE5D57"/>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D57"/>
    <w:rPr>
      <w:rFonts w:ascii="Tahoma" w:hAnsi="Tahoma" w:cs="Tahoma"/>
      <w:sz w:val="16"/>
      <w:szCs w:val="16"/>
    </w:rPr>
  </w:style>
  <w:style w:type="paragraph" w:styleId="FootnoteText">
    <w:name w:val="footnote text"/>
    <w:basedOn w:val="Normal"/>
    <w:link w:val="FootnoteTextChar"/>
    <w:uiPriority w:val="99"/>
    <w:semiHidden/>
    <w:unhideWhenUsed/>
    <w:rsid w:val="0023494B"/>
    <w:pPr>
      <w:keepNext/>
      <w:keepLines/>
      <w:spacing w:before="0" w:after="120" w:line="240" w:lineRule="auto"/>
      <w:ind w:left="288" w:hanging="288"/>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23494B"/>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23494B"/>
    <w:rPr>
      <w:vertAlign w:val="superscript"/>
    </w:rPr>
  </w:style>
  <w:style w:type="character" w:styleId="Hyperlink">
    <w:name w:val="Hyperlink"/>
    <w:basedOn w:val="DefaultParagraphFont"/>
    <w:uiPriority w:val="99"/>
    <w:unhideWhenUsed/>
    <w:rsid w:val="00736526"/>
    <w:rPr>
      <w:color w:val="0000FF" w:themeColor="hyperlink"/>
      <w:u w:val="single"/>
    </w:rPr>
  </w:style>
  <w:style w:type="character" w:styleId="FollowedHyperlink">
    <w:name w:val="FollowedHyperlink"/>
    <w:basedOn w:val="DefaultParagraphFont"/>
    <w:uiPriority w:val="99"/>
    <w:semiHidden/>
    <w:unhideWhenUsed/>
    <w:rsid w:val="00DD2180"/>
    <w:rPr>
      <w:color w:val="800080" w:themeColor="followedHyperlink"/>
      <w:u w:val="single"/>
    </w:rPr>
  </w:style>
  <w:style w:type="paragraph" w:customStyle="1" w:styleId="Chapter">
    <w:name w:val="Chapter"/>
    <w:basedOn w:val="Normal"/>
    <w:next w:val="Normal"/>
    <w:rsid w:val="004C6160"/>
    <w:pPr>
      <w:keepNext/>
      <w:numPr>
        <w:numId w:val="9"/>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4C6160"/>
    <w:pPr>
      <w:tabs>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4C6160"/>
    <w:pPr>
      <w:tabs>
        <w:tab w:val="num" w:pos="1152"/>
      </w:tabs>
      <w:spacing w:before="120"/>
      <w:ind w:left="1152" w:hanging="432"/>
      <w:jc w:val="both"/>
      <w:outlineLvl w:val="2"/>
    </w:pPr>
    <w:rPr>
      <w:rFonts w:eastAsia="Times New Roman"/>
      <w:szCs w:val="20"/>
      <w:lang w:val="es-ES_tradnl"/>
    </w:rPr>
  </w:style>
  <w:style w:type="paragraph" w:customStyle="1" w:styleId="SubSubPar">
    <w:name w:val="SubSubPar"/>
    <w:basedOn w:val="subpar"/>
    <w:rsid w:val="0024493A"/>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24493A"/>
    <w:pPr>
      <w:spacing w:before="0" w:after="120" w:line="240" w:lineRule="auto"/>
      <w:ind w:left="360"/>
      <w:jc w:val="left"/>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4493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24493A"/>
    <w:pPr>
      <w:spacing w:before="0" w:after="120" w:line="240" w:lineRule="auto"/>
      <w:ind w:left="360"/>
      <w:jc w:val="left"/>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4493A"/>
    <w:rPr>
      <w:rFonts w:ascii="Times New Roman" w:hAnsi="Times New Roman" w:cs="Times New Roman"/>
      <w:sz w:val="24"/>
      <w:szCs w:val="16"/>
    </w:rPr>
  </w:style>
  <w:style w:type="paragraph" w:customStyle="1" w:styleId="Default">
    <w:name w:val="Default"/>
    <w:rsid w:val="0024493A"/>
    <w:pPr>
      <w:autoSpaceDE w:val="0"/>
      <w:autoSpaceDN w:val="0"/>
      <w:adjustRightInd w:val="0"/>
      <w:spacing w:before="0" w:line="240" w:lineRule="auto"/>
      <w:ind w:left="0"/>
      <w:jc w:val="left"/>
    </w:pPr>
    <w:rPr>
      <w:rFonts w:ascii="Times New Roman" w:hAnsi="Times New Roman" w:cs="Times New Roman"/>
      <w:color w:val="000000"/>
      <w:sz w:val="24"/>
      <w:szCs w:val="24"/>
      <w:lang w:val="es-AR"/>
    </w:rPr>
  </w:style>
  <w:style w:type="paragraph" w:customStyle="1" w:styleId="FirstHeading">
    <w:name w:val="FirstHeading"/>
    <w:basedOn w:val="Normal"/>
    <w:next w:val="Normal"/>
    <w:link w:val="FirstHeadingChar"/>
    <w:rsid w:val="004C6160"/>
    <w:pPr>
      <w:keepNext/>
      <w:tabs>
        <w:tab w:val="left" w:pos="0"/>
        <w:tab w:val="left" w:pos="86"/>
      </w:tabs>
      <w:spacing w:after="120" w:line="240" w:lineRule="auto"/>
      <w:ind w:left="720" w:hanging="720"/>
      <w:jc w:val="left"/>
    </w:pPr>
    <w:rPr>
      <w:rFonts w:ascii="Times New Roman" w:eastAsia="Times New Roman" w:hAnsi="Times New Roman" w:cs="Times New Roman"/>
      <w:b/>
      <w:sz w:val="24"/>
      <w:lang w:eastAsia="es-UY"/>
    </w:rPr>
  </w:style>
  <w:style w:type="character" w:customStyle="1" w:styleId="FirstHeadingChar">
    <w:name w:val="FirstHeading Char"/>
    <w:basedOn w:val="DefaultParagraphFont"/>
    <w:link w:val="FirstHeading"/>
    <w:rsid w:val="004C6160"/>
    <w:rPr>
      <w:rFonts w:ascii="Times New Roman" w:eastAsia="Times New Roman" w:hAnsi="Times New Roman" w:cs="Times New Roman"/>
      <w:b/>
      <w:sz w:val="24"/>
      <w:lang w:eastAsia="es-UY"/>
    </w:rPr>
  </w:style>
  <w:style w:type="paragraph" w:customStyle="1" w:styleId="SecHeading">
    <w:name w:val="SecHeading"/>
    <w:basedOn w:val="Normal"/>
    <w:next w:val="Paragraph"/>
    <w:link w:val="SecHeadingChar"/>
    <w:rsid w:val="004C6160"/>
    <w:pPr>
      <w:keepNext/>
      <w:tabs>
        <w:tab w:val="num" w:pos="1296"/>
      </w:tabs>
      <w:spacing w:after="120" w:line="240" w:lineRule="auto"/>
      <w:ind w:left="1296" w:hanging="576"/>
      <w:jc w:val="left"/>
    </w:pPr>
    <w:rPr>
      <w:rFonts w:ascii="Times New Roman" w:eastAsia="Times New Roman" w:hAnsi="Times New Roman" w:cs="Times New Roman"/>
      <w:b/>
      <w:sz w:val="24"/>
      <w:lang w:eastAsia="es-UY"/>
    </w:rPr>
  </w:style>
  <w:style w:type="character" w:customStyle="1" w:styleId="SecHeadingChar">
    <w:name w:val="SecHeading Char"/>
    <w:basedOn w:val="DefaultParagraphFont"/>
    <w:link w:val="SecHeading"/>
    <w:rsid w:val="004C6160"/>
    <w:rPr>
      <w:rFonts w:ascii="Times New Roman" w:eastAsia="Times New Roman" w:hAnsi="Times New Roman" w:cs="Times New Roman"/>
      <w:b/>
      <w:sz w:val="24"/>
      <w:lang w:eastAsia="es-UY"/>
    </w:rPr>
  </w:style>
  <w:style w:type="paragraph" w:customStyle="1" w:styleId="SubHeading1">
    <w:name w:val="SubHeading1"/>
    <w:basedOn w:val="SecHeading"/>
    <w:link w:val="SubHeading1Char"/>
    <w:rsid w:val="004C6160"/>
    <w:pPr>
      <w:tabs>
        <w:tab w:val="clear" w:pos="1296"/>
        <w:tab w:val="num" w:pos="1872"/>
      </w:tabs>
      <w:ind w:left="1872"/>
    </w:pPr>
  </w:style>
  <w:style w:type="character" w:customStyle="1" w:styleId="SubHeading1Char">
    <w:name w:val="SubHeading1 Char"/>
    <w:basedOn w:val="DefaultParagraphFont"/>
    <w:link w:val="SubHeading1"/>
    <w:rsid w:val="004C6160"/>
    <w:rPr>
      <w:rFonts w:ascii="Times New Roman" w:eastAsia="Times New Roman" w:hAnsi="Times New Roman" w:cs="Times New Roman"/>
      <w:b/>
      <w:sz w:val="24"/>
      <w:lang w:eastAsia="es-UY"/>
    </w:rPr>
  </w:style>
  <w:style w:type="paragraph" w:customStyle="1" w:styleId="Subheading2">
    <w:name w:val="Subheading2"/>
    <w:basedOn w:val="SecHeading"/>
    <w:link w:val="Subheading2Char"/>
    <w:rsid w:val="004C6160"/>
    <w:pPr>
      <w:tabs>
        <w:tab w:val="clear" w:pos="1296"/>
        <w:tab w:val="num" w:pos="2376"/>
      </w:tabs>
      <w:ind w:left="2376" w:hanging="288"/>
    </w:pPr>
  </w:style>
  <w:style w:type="character" w:customStyle="1" w:styleId="Subheading2Char">
    <w:name w:val="Subheading2 Char"/>
    <w:basedOn w:val="DefaultParagraphFont"/>
    <w:link w:val="Subheading2"/>
    <w:rsid w:val="004C6160"/>
    <w:rPr>
      <w:rFonts w:ascii="Times New Roman" w:eastAsia="Times New Roman" w:hAnsi="Times New Roman" w:cs="Times New Roman"/>
      <w:b/>
      <w:sz w:val="24"/>
      <w:lang w:eastAsia="es-UY"/>
    </w:rPr>
  </w:style>
  <w:style w:type="paragraph" w:customStyle="1" w:styleId="Regtable">
    <w:name w:val="Regtable"/>
    <w:basedOn w:val="Normal"/>
    <w:link w:val="RegtableChar"/>
    <w:rsid w:val="004C6160"/>
    <w:pPr>
      <w:keepLines/>
      <w:framePr w:wrap="around" w:vAnchor="text" w:hAnchor="text" w:y="1"/>
      <w:spacing w:before="20" w:after="20" w:line="240" w:lineRule="auto"/>
      <w:ind w:left="0"/>
      <w:jc w:val="left"/>
    </w:pPr>
    <w:rPr>
      <w:rFonts w:ascii="Times New Roman" w:eastAsia="Times New Roman" w:hAnsi="Times New Roman" w:cs="Times New Roman"/>
      <w:sz w:val="20"/>
      <w:lang w:eastAsia="es-UY"/>
    </w:rPr>
  </w:style>
  <w:style w:type="character" w:customStyle="1" w:styleId="RegtableChar">
    <w:name w:val="Regtable Char"/>
    <w:basedOn w:val="DefaultParagraphFont"/>
    <w:link w:val="Regtable"/>
    <w:rsid w:val="004C6160"/>
    <w:rPr>
      <w:rFonts w:ascii="Times New Roman" w:eastAsia="Times New Roman" w:hAnsi="Times New Roman" w:cs="Times New Roman"/>
      <w:sz w:val="20"/>
      <w:lang w:eastAsia="es-UY"/>
    </w:rPr>
  </w:style>
  <w:style w:type="paragraph" w:customStyle="1" w:styleId="TableTitle">
    <w:name w:val="TableTitle"/>
    <w:basedOn w:val="Normal"/>
    <w:link w:val="TableTitleChar"/>
    <w:rsid w:val="004C6160"/>
    <w:pPr>
      <w:keepNext/>
      <w:framePr w:wrap="around" w:vAnchor="text" w:hAnchor="text" w:y="1"/>
      <w:spacing w:before="20" w:after="20" w:line="240" w:lineRule="auto"/>
      <w:ind w:left="0"/>
      <w:jc w:val="center"/>
    </w:pPr>
    <w:rPr>
      <w:rFonts w:ascii="Times New Roman Bold" w:eastAsia="Times New Roman" w:hAnsi="Times New Roman Bold" w:cs="Times New Roman"/>
      <w:b/>
      <w:spacing w:val="-3"/>
      <w:sz w:val="20"/>
      <w:lang w:eastAsia="es-UY"/>
    </w:rPr>
  </w:style>
  <w:style w:type="character" w:customStyle="1" w:styleId="TableTitleChar">
    <w:name w:val="TableTitle Char"/>
    <w:basedOn w:val="DefaultParagraphFont"/>
    <w:link w:val="TableTitle"/>
    <w:rsid w:val="004C6160"/>
    <w:rPr>
      <w:rFonts w:ascii="Times New Roman Bold" w:eastAsia="Times New Roman" w:hAnsi="Times New Roman Bold" w:cs="Times New Roman"/>
      <w:b/>
      <w:spacing w:val="-3"/>
      <w:sz w:val="20"/>
      <w:lang w:eastAsia="es-UY"/>
    </w:rPr>
  </w:style>
  <w:style w:type="character" w:customStyle="1" w:styleId="Heading2Char">
    <w:name w:val="Heading 2 Char"/>
    <w:basedOn w:val="DefaultParagraphFont"/>
    <w:link w:val="Heading2"/>
    <w:uiPriority w:val="9"/>
    <w:semiHidden/>
    <w:rsid w:val="004C616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C616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C616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C616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C616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C616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C616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C6160"/>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814AA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814AA7"/>
  </w:style>
  <w:style w:type="paragraph" w:styleId="Footer">
    <w:name w:val="footer"/>
    <w:basedOn w:val="Normal"/>
    <w:link w:val="FooterChar"/>
    <w:uiPriority w:val="99"/>
    <w:unhideWhenUsed/>
    <w:rsid w:val="00814AA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814AA7"/>
  </w:style>
  <w:style w:type="table" w:styleId="LightShading-Accent3">
    <w:name w:val="Light Shading Accent 3"/>
    <w:basedOn w:val="TableNormal"/>
    <w:uiPriority w:val="60"/>
    <w:rsid w:val="009923F2"/>
    <w:pPr>
      <w:spacing w:before="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Revision">
    <w:name w:val="Revision"/>
    <w:hidden/>
    <w:uiPriority w:val="99"/>
    <w:semiHidden/>
    <w:rsid w:val="00D06861"/>
    <w:pPr>
      <w:spacing w:before="0" w:line="240" w:lineRule="auto"/>
      <w:ind w:left="0"/>
      <w:jc w:val="left"/>
    </w:pPr>
  </w:style>
  <w:style w:type="paragraph" w:styleId="NormalWeb">
    <w:name w:val="Normal (Web)"/>
    <w:basedOn w:val="Normal"/>
    <w:uiPriority w:val="99"/>
    <w:semiHidden/>
    <w:unhideWhenUsed/>
    <w:rsid w:val="00CF7821"/>
    <w:pPr>
      <w:spacing w:before="100" w:beforeAutospacing="1" w:after="100" w:afterAutospacing="1" w:line="240" w:lineRule="auto"/>
      <w:ind w:left="0"/>
      <w:jc w:val="left"/>
    </w:pPr>
    <w:rPr>
      <w:rFonts w:ascii="Times New Roman" w:eastAsiaTheme="minorEastAsia" w:hAnsi="Times New Roman" w:cs="Times New Roman"/>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38665">
      <w:bodyDiv w:val="1"/>
      <w:marLeft w:val="0"/>
      <w:marRight w:val="0"/>
      <w:marTop w:val="0"/>
      <w:marBottom w:val="0"/>
      <w:divBdr>
        <w:top w:val="none" w:sz="0" w:space="0" w:color="auto"/>
        <w:left w:val="none" w:sz="0" w:space="0" w:color="auto"/>
        <w:bottom w:val="none" w:sz="0" w:space="0" w:color="auto"/>
        <w:right w:val="none" w:sz="0" w:space="0" w:color="auto"/>
      </w:divBdr>
    </w:div>
    <w:div w:id="1071120412">
      <w:bodyDiv w:val="1"/>
      <w:marLeft w:val="0"/>
      <w:marRight w:val="0"/>
      <w:marTop w:val="0"/>
      <w:marBottom w:val="0"/>
      <w:divBdr>
        <w:top w:val="none" w:sz="0" w:space="0" w:color="auto"/>
        <w:left w:val="none" w:sz="0" w:space="0" w:color="auto"/>
        <w:bottom w:val="none" w:sz="0" w:space="0" w:color="auto"/>
        <w:right w:val="none" w:sz="0" w:space="0" w:color="auto"/>
      </w:divBdr>
    </w:div>
    <w:div w:id="1182428705">
      <w:bodyDiv w:val="1"/>
      <w:marLeft w:val="0"/>
      <w:marRight w:val="0"/>
      <w:marTop w:val="0"/>
      <w:marBottom w:val="0"/>
      <w:divBdr>
        <w:top w:val="none" w:sz="0" w:space="0" w:color="auto"/>
        <w:left w:val="none" w:sz="0" w:space="0" w:color="auto"/>
        <w:bottom w:val="none" w:sz="0" w:space="0" w:color="auto"/>
        <w:right w:val="none" w:sz="0" w:space="0" w:color="auto"/>
      </w:divBdr>
    </w:div>
    <w:div w:id="1402824985">
      <w:bodyDiv w:val="1"/>
      <w:marLeft w:val="0"/>
      <w:marRight w:val="0"/>
      <w:marTop w:val="0"/>
      <w:marBottom w:val="0"/>
      <w:divBdr>
        <w:top w:val="none" w:sz="0" w:space="0" w:color="auto"/>
        <w:left w:val="none" w:sz="0" w:space="0" w:color="auto"/>
        <w:bottom w:val="none" w:sz="0" w:space="0" w:color="auto"/>
        <w:right w:val="none" w:sz="0" w:space="0" w:color="auto"/>
      </w:divBdr>
    </w:div>
    <w:div w:id="1410806609">
      <w:bodyDiv w:val="1"/>
      <w:marLeft w:val="0"/>
      <w:marRight w:val="0"/>
      <w:marTop w:val="0"/>
      <w:marBottom w:val="0"/>
      <w:divBdr>
        <w:top w:val="none" w:sz="0" w:space="0" w:color="auto"/>
        <w:left w:val="none" w:sz="0" w:space="0" w:color="auto"/>
        <w:bottom w:val="none" w:sz="0" w:space="0" w:color="auto"/>
        <w:right w:val="none" w:sz="0" w:space="0" w:color="auto"/>
      </w:divBdr>
    </w:div>
    <w:div w:id="1486312778">
      <w:bodyDiv w:val="1"/>
      <w:marLeft w:val="0"/>
      <w:marRight w:val="0"/>
      <w:marTop w:val="0"/>
      <w:marBottom w:val="0"/>
      <w:divBdr>
        <w:top w:val="none" w:sz="0" w:space="0" w:color="auto"/>
        <w:left w:val="none" w:sz="0" w:space="0" w:color="auto"/>
        <w:bottom w:val="none" w:sz="0" w:space="0" w:color="auto"/>
        <w:right w:val="none" w:sz="0" w:space="0" w:color="auto"/>
      </w:divBdr>
    </w:div>
    <w:div w:id="1547570596">
      <w:bodyDiv w:val="1"/>
      <w:marLeft w:val="0"/>
      <w:marRight w:val="0"/>
      <w:marTop w:val="0"/>
      <w:marBottom w:val="0"/>
      <w:divBdr>
        <w:top w:val="none" w:sz="0" w:space="0" w:color="auto"/>
        <w:left w:val="none" w:sz="0" w:space="0" w:color="auto"/>
        <w:bottom w:val="none" w:sz="0" w:space="0" w:color="auto"/>
        <w:right w:val="none" w:sz="0" w:space="0" w:color="auto"/>
      </w:divBdr>
    </w:div>
    <w:div w:id="1702628217">
      <w:bodyDiv w:val="1"/>
      <w:marLeft w:val="0"/>
      <w:marRight w:val="0"/>
      <w:marTop w:val="0"/>
      <w:marBottom w:val="0"/>
      <w:divBdr>
        <w:top w:val="none" w:sz="0" w:space="0" w:color="auto"/>
        <w:left w:val="none" w:sz="0" w:space="0" w:color="auto"/>
        <w:bottom w:val="none" w:sz="0" w:space="0" w:color="auto"/>
        <w:right w:val="none" w:sz="0" w:space="0" w:color="auto"/>
      </w:divBdr>
    </w:div>
    <w:div w:id="1804075250">
      <w:bodyDiv w:val="1"/>
      <w:marLeft w:val="0"/>
      <w:marRight w:val="0"/>
      <w:marTop w:val="0"/>
      <w:marBottom w:val="0"/>
      <w:divBdr>
        <w:top w:val="none" w:sz="0" w:space="0" w:color="auto"/>
        <w:left w:val="none" w:sz="0" w:space="0" w:color="auto"/>
        <w:bottom w:val="none" w:sz="0" w:space="0" w:color="auto"/>
        <w:right w:val="none" w:sz="0" w:space="0" w:color="auto"/>
      </w:divBdr>
    </w:div>
    <w:div w:id="209905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gi.gub.uy/wdgi/page?2,principal,Estadisticas-Tributarias,O,es,0"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garcia\AppData\Local\Microsoft\Windows\Temporary%20Internet%20Files\Content.Outlook\GSUYTITZ\PWTing_medioalt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Documents\Documents\BID\AnalisisEcon&#243;micoUR109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Documents\Documents\BID\AnalisisEcon&#243;micoUR109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10957524380063"/>
          <c:y val="9.8808811295369794E-2"/>
          <c:w val="0.77700157899982714"/>
          <c:h val="0.74817453873739004"/>
        </c:manualLayout>
      </c:layout>
      <c:scatterChart>
        <c:scatterStyle val="lineMarker"/>
        <c:varyColors val="0"/>
        <c:ser>
          <c:idx val="1"/>
          <c:order val="0"/>
          <c:tx>
            <c:strRef>
              <c:f>'graf_ing medios'!$B$2:$AV$2</c:f>
              <c:strCache>
                <c:ptCount val="1"/>
                <c:pt idx="0">
                  <c:v>AGO ALB ARG AZE BGR BIH BLR BLZ BOL BRA BWA CHN COL CRI DOM ECU FIJI GAB HUN IRN IRQ JAM JOR KAZ LBN LCA MDV MEX MKD MNE MUS MYS NAM PAN PER PRY ROU SRB SUR THA TQM TUN TUR URY VCT VEN ZAF</c:v>
                </c:pt>
              </c:strCache>
            </c:strRef>
          </c:tx>
          <c:spPr>
            <a:ln w="28575">
              <a:noFill/>
            </a:ln>
          </c:spPr>
          <c:marker>
            <c:symbol val="square"/>
            <c:size val="6"/>
            <c:spPr>
              <a:solidFill>
                <a:schemeClr val="tx2">
                  <a:lumMod val="60000"/>
                  <a:lumOff val="40000"/>
                </a:schemeClr>
              </a:solidFill>
              <a:ln>
                <a:noFill/>
              </a:ln>
            </c:spPr>
          </c:marker>
          <c:dPt>
            <c:idx val="43"/>
            <c:marker>
              <c:symbol val="square"/>
              <c:size val="7"/>
              <c:spPr>
                <a:solidFill>
                  <a:srgbClr val="C00000"/>
                </a:solidFill>
                <a:ln>
                  <a:noFill/>
                </a:ln>
              </c:spPr>
            </c:marker>
            <c:bubble3D val="0"/>
          </c:dPt>
          <c:dPt>
            <c:idx val="45"/>
            <c:marker>
              <c:spPr>
                <a:solidFill>
                  <a:schemeClr val="accent1"/>
                </a:solidFill>
                <a:ln>
                  <a:noFill/>
                </a:ln>
              </c:spPr>
            </c:marker>
            <c:bubble3D val="0"/>
          </c:dPt>
          <c:trendline>
            <c:trendlineType val="linear"/>
            <c:dispRSqr val="0"/>
            <c:dispEq val="0"/>
          </c:trendline>
          <c:xVal>
            <c:numRef>
              <c:f>'graf_ing medios'!$B$3:$AV$3</c:f>
              <c:numCache>
                <c:formatCode>General</c:formatCode>
                <c:ptCount val="47"/>
                <c:pt idx="0">
                  <c:v>3799583.0471678576</c:v>
                </c:pt>
                <c:pt idx="1">
                  <c:v>7285797.7874621497</c:v>
                </c:pt>
                <c:pt idx="2">
                  <c:v>13411723.01082495</c:v>
                </c:pt>
                <c:pt idx="3">
                  <c:v>8705182.8849508688</c:v>
                </c:pt>
                <c:pt idx="4">
                  <c:v>12491348.555355256</c:v>
                </c:pt>
                <c:pt idx="5">
                  <c:v>7520124.3904765835</c:v>
                </c:pt>
                <c:pt idx="6">
                  <c:v>7201423.865209193</c:v>
                </c:pt>
                <c:pt idx="7">
                  <c:v>7257031.8614225695</c:v>
                </c:pt>
                <c:pt idx="8">
                  <c:v>3948803.399543338</c:v>
                </c:pt>
                <c:pt idx="9">
                  <c:v>8899593.9647801127</c:v>
                </c:pt>
                <c:pt idx="10">
                  <c:v>10994959.730652286</c:v>
                </c:pt>
                <c:pt idx="11">
                  <c:v>7645448.4927065382</c:v>
                </c:pt>
                <c:pt idx="12">
                  <c:v>7895494.7763179205</c:v>
                </c:pt>
                <c:pt idx="13">
                  <c:v>9945105.200907385</c:v>
                </c:pt>
                <c:pt idx="14">
                  <c:v>8517583.4509463608</c:v>
                </c:pt>
                <c:pt idx="15">
                  <c:v>6530801.7329163318</c:v>
                </c:pt>
                <c:pt idx="16">
                  <c:v>4535134.0411640415</c:v>
                </c:pt>
                <c:pt idx="17">
                  <c:v>12386485.938447805</c:v>
                </c:pt>
                <c:pt idx="18">
                  <c:v>18605292.423016645</c:v>
                </c:pt>
                <c:pt idx="19">
                  <c:v>11332714.314538682</c:v>
                </c:pt>
                <c:pt idx="20">
                  <c:v>4039186.0824812129</c:v>
                </c:pt>
                <c:pt idx="21">
                  <c:v>5101330.5238340478</c:v>
                </c:pt>
                <c:pt idx="22">
                  <c:v>5157197.2353954213</c:v>
                </c:pt>
                <c:pt idx="23">
                  <c:v>14160439.367996687</c:v>
                </c:pt>
                <c:pt idx="24">
                  <c:v>13099251.091580927</c:v>
                </c:pt>
                <c:pt idx="25">
                  <c:v>9520285.5230862331</c:v>
                </c:pt>
                <c:pt idx="26">
                  <c:v>9690978.3876837064</c:v>
                </c:pt>
                <c:pt idx="27">
                  <c:v>12355454.515369834</c:v>
                </c:pt>
                <c:pt idx="28">
                  <c:v>7954430.1363100447</c:v>
                </c:pt>
                <c:pt idx="29">
                  <c:v>11015292.990922878</c:v>
                </c:pt>
                <c:pt idx="30">
                  <c:v>9517739.5779135451</c:v>
                </c:pt>
                <c:pt idx="31">
                  <c:v>12940593.971516142</c:v>
                </c:pt>
                <c:pt idx="32">
                  <c:v>5059190.9978164677</c:v>
                </c:pt>
                <c:pt idx="33">
                  <c:v>7809120.2038808204</c:v>
                </c:pt>
                <c:pt idx="34">
                  <c:v>8198839.6773197921</c:v>
                </c:pt>
                <c:pt idx="35">
                  <c:v>4145435.8241260611</c:v>
                </c:pt>
                <c:pt idx="36">
                  <c:v>13273416.409204951</c:v>
                </c:pt>
                <c:pt idx="37">
                  <c:v>9502979.6095661316</c:v>
                </c:pt>
                <c:pt idx="38">
                  <c:v>6436529.7150653834</c:v>
                </c:pt>
                <c:pt idx="39">
                  <c:v>8367130.0914478051</c:v>
                </c:pt>
                <c:pt idx="40">
                  <c:v>11378829.156777244</c:v>
                </c:pt>
                <c:pt idx="41">
                  <c:v>6716977.2747463034</c:v>
                </c:pt>
                <c:pt idx="42">
                  <c:v>13679043.948844662</c:v>
                </c:pt>
                <c:pt idx="43">
                  <c:v>11734187.762940302</c:v>
                </c:pt>
                <c:pt idx="44">
                  <c:v>8346661.2883565305</c:v>
                </c:pt>
                <c:pt idx="45">
                  <c:v>9678398.8048864435</c:v>
                </c:pt>
                <c:pt idx="46">
                  <c:v>8068486.7843969492</c:v>
                </c:pt>
              </c:numCache>
            </c:numRef>
          </c:xVal>
          <c:yVal>
            <c:numRef>
              <c:f>'graf_ing medios'!$B$4:$AV$4</c:f>
              <c:numCache>
                <c:formatCode>General</c:formatCode>
                <c:ptCount val="47"/>
                <c:pt idx="0">
                  <c:v>20324236.956212711</c:v>
                </c:pt>
                <c:pt idx="1">
                  <c:v>136827587.59629631</c:v>
                </c:pt>
                <c:pt idx="2">
                  <c:v>134532650.72623572</c:v>
                </c:pt>
                <c:pt idx="3">
                  <c:v>29794028.257388096</c:v>
                </c:pt>
                <c:pt idx="4">
                  <c:v>72674631.703767285</c:v>
                </c:pt>
                <c:pt idx="5">
                  <c:v>111639625.47102578</c:v>
                </c:pt>
                <c:pt idx="6">
                  <c:v>60623515.386542276</c:v>
                </c:pt>
                <c:pt idx="7">
                  <c:v>20032683.759411532</c:v>
                </c:pt>
                <c:pt idx="8">
                  <c:v>22105527.630787965</c:v>
                </c:pt>
                <c:pt idx="9">
                  <c:v>63238307.482956655</c:v>
                </c:pt>
                <c:pt idx="10">
                  <c:v>74185937.664613172</c:v>
                </c:pt>
                <c:pt idx="11">
                  <c:v>51525544.179721765</c:v>
                </c:pt>
                <c:pt idx="12">
                  <c:v>65104523.2160023</c:v>
                </c:pt>
                <c:pt idx="13">
                  <c:v>39735325.303407721</c:v>
                </c:pt>
                <c:pt idx="14">
                  <c:v>60294096.713436782</c:v>
                </c:pt>
                <c:pt idx="15">
                  <c:v>68980473.119256586</c:v>
                </c:pt>
                <c:pt idx="16">
                  <c:v>31080860.190541778</c:v>
                </c:pt>
                <c:pt idx="17">
                  <c:v>109117834.7411326</c:v>
                </c:pt>
                <c:pt idx="18">
                  <c:v>185336759.26783451</c:v>
                </c:pt>
                <c:pt idx="19">
                  <c:v>108748812.88845685</c:v>
                </c:pt>
                <c:pt idx="20">
                  <c:v>29269974.758203954</c:v>
                </c:pt>
                <c:pt idx="21">
                  <c:v>29351172.89437744</c:v>
                </c:pt>
                <c:pt idx="22">
                  <c:v>105233614.37603043</c:v>
                </c:pt>
                <c:pt idx="23">
                  <c:v>82199460.027435258</c:v>
                </c:pt>
                <c:pt idx="24">
                  <c:v>215652986.48398721</c:v>
                </c:pt>
                <c:pt idx="25">
                  <c:v>23350446.719409849</c:v>
                </c:pt>
                <c:pt idx="26">
                  <c:v>109039724.39386059</c:v>
                </c:pt>
                <c:pt idx="27">
                  <c:v>86958275.28344883</c:v>
                </c:pt>
                <c:pt idx="28">
                  <c:v>114936961.97459517</c:v>
                </c:pt>
                <c:pt idx="29">
                  <c:v>107084335.62177384</c:v>
                </c:pt>
                <c:pt idx="30">
                  <c:v>70010443.297339216</c:v>
                </c:pt>
                <c:pt idx="31">
                  <c:v>109014409.58438726</c:v>
                </c:pt>
                <c:pt idx="32">
                  <c:v>37403660.934237227</c:v>
                </c:pt>
                <c:pt idx="33">
                  <c:v>35009110.176595323</c:v>
                </c:pt>
                <c:pt idx="34">
                  <c:v>21969830.85042356</c:v>
                </c:pt>
                <c:pt idx="35">
                  <c:v>26820534.764222234</c:v>
                </c:pt>
                <c:pt idx="36">
                  <c:v>109882281.62748452</c:v>
                </c:pt>
                <c:pt idx="37">
                  <c:v>126725823.89270489</c:v>
                </c:pt>
                <c:pt idx="38">
                  <c:v>112570036.43060873</c:v>
                </c:pt>
                <c:pt idx="39">
                  <c:v>56974473.760833606</c:v>
                </c:pt>
                <c:pt idx="40">
                  <c:v>105130892.63175492</c:v>
                </c:pt>
                <c:pt idx="41">
                  <c:v>66823888.442671955</c:v>
                </c:pt>
                <c:pt idx="42">
                  <c:v>113521114.60367027</c:v>
                </c:pt>
                <c:pt idx="43" formatCode="_(* #,##0.00_);_(* \(#,##0.00\);_(* &quot;-&quot;??_);_(@_)">
                  <c:v>83052313.310096487</c:v>
                </c:pt>
                <c:pt idx="44">
                  <c:v>21702918.237155885</c:v>
                </c:pt>
                <c:pt idx="45">
                  <c:v>91825108.668886781</c:v>
                </c:pt>
                <c:pt idx="46">
                  <c:v>50309226.331561774</c:v>
                </c:pt>
              </c:numCache>
            </c:numRef>
          </c:yVal>
          <c:smooth val="0"/>
        </c:ser>
        <c:dLbls>
          <c:showLegendKey val="0"/>
          <c:showVal val="0"/>
          <c:showCatName val="0"/>
          <c:showSerName val="0"/>
          <c:showPercent val="0"/>
          <c:showBubbleSize val="0"/>
        </c:dLbls>
        <c:axId val="208357632"/>
        <c:axId val="208368768"/>
      </c:scatterChart>
      <c:valAx>
        <c:axId val="208357632"/>
        <c:scaling>
          <c:orientation val="minMax"/>
        </c:scaling>
        <c:delete val="0"/>
        <c:axPos val="b"/>
        <c:title>
          <c:tx>
            <c:rich>
              <a:bodyPr/>
              <a:lstStyle/>
              <a:p>
                <a:pPr>
                  <a:defRPr sz="1000"/>
                </a:pPr>
                <a:r>
                  <a:rPr lang="en-US" sz="1000"/>
                  <a:t>PIB</a:t>
                </a:r>
                <a:r>
                  <a:rPr lang="en-US" sz="1000" baseline="0"/>
                  <a:t> per cápita</a:t>
                </a:r>
                <a:r>
                  <a:rPr lang="en-US" sz="1000"/>
                  <a:t> </a:t>
                </a:r>
              </a:p>
            </c:rich>
          </c:tx>
          <c:layout>
            <c:manualLayout>
              <c:xMode val="edge"/>
              <c:yMode val="edge"/>
              <c:x val="0.45887725990772898"/>
              <c:y val="0.92960636718518208"/>
            </c:manualLayout>
          </c:layout>
          <c:overlay val="0"/>
        </c:title>
        <c:numFmt formatCode="General" sourceLinked="1"/>
        <c:majorTickMark val="out"/>
        <c:minorTickMark val="none"/>
        <c:tickLblPos val="nextTo"/>
        <c:crossAx val="208368768"/>
        <c:crosses val="autoZero"/>
        <c:crossBetween val="midCat"/>
        <c:dispUnits>
          <c:builtInUnit val="millions"/>
        </c:dispUnits>
      </c:valAx>
      <c:valAx>
        <c:axId val="208368768"/>
        <c:scaling>
          <c:orientation val="minMax"/>
          <c:max val="200000000"/>
          <c:min val="0"/>
        </c:scaling>
        <c:delete val="0"/>
        <c:axPos val="l"/>
        <c:majorGridlines>
          <c:spPr>
            <a:ln>
              <a:solidFill>
                <a:schemeClr val="bg1">
                  <a:lumMod val="50000"/>
                </a:schemeClr>
              </a:solidFill>
              <a:prstDash val="dash"/>
            </a:ln>
          </c:spPr>
        </c:majorGridlines>
        <c:title>
          <c:tx>
            <c:rich>
              <a:bodyPr rot="-5400000" vert="horz"/>
              <a:lstStyle/>
              <a:p>
                <a:pPr>
                  <a:defRPr sz="1000"/>
                </a:pPr>
                <a:r>
                  <a:rPr lang="en-US" sz="1000"/>
                  <a:t>Stock de Capital / Empleo</a:t>
                </a:r>
              </a:p>
            </c:rich>
          </c:tx>
          <c:overlay val="0"/>
        </c:title>
        <c:numFmt formatCode="#,##0" sourceLinked="0"/>
        <c:majorTickMark val="out"/>
        <c:minorTickMark val="none"/>
        <c:tickLblPos val="nextTo"/>
        <c:crossAx val="208357632"/>
        <c:crosses val="autoZero"/>
        <c:crossBetween val="midCat"/>
        <c:majorUnit val="20000000"/>
        <c:minorUnit val="8000000"/>
        <c:dispUnits>
          <c:builtInUnit val="millions"/>
        </c:dispUnits>
      </c:valAx>
      <c:spPr>
        <a:noFill/>
        <a:ln w="25400">
          <a:noFill/>
        </a:ln>
      </c:spPr>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Ref>
              <c:f>Sheet1!$C$10:$C$112</c:f>
              <c:numCache>
                <c:formatCode>mmm\-yy</c:formatCode>
                <c:ptCount val="103"/>
                <c:pt idx="0">
                  <c:v>38718</c:v>
                </c:pt>
                <c:pt idx="1">
                  <c:v>38749</c:v>
                </c:pt>
                <c:pt idx="2">
                  <c:v>38777</c:v>
                </c:pt>
                <c:pt idx="3">
                  <c:v>38808</c:v>
                </c:pt>
                <c:pt idx="4">
                  <c:v>38838</c:v>
                </c:pt>
                <c:pt idx="5">
                  <c:v>38869</c:v>
                </c:pt>
                <c:pt idx="6">
                  <c:v>38899</c:v>
                </c:pt>
                <c:pt idx="7">
                  <c:v>38930</c:v>
                </c:pt>
                <c:pt idx="8">
                  <c:v>38961</c:v>
                </c:pt>
                <c:pt idx="9">
                  <c:v>38991</c:v>
                </c:pt>
                <c:pt idx="10">
                  <c:v>39022</c:v>
                </c:pt>
                <c:pt idx="11">
                  <c:v>39052</c:v>
                </c:pt>
                <c:pt idx="12">
                  <c:v>39083</c:v>
                </c:pt>
                <c:pt idx="13">
                  <c:v>39114</c:v>
                </c:pt>
                <c:pt idx="14">
                  <c:v>39142</c:v>
                </c:pt>
                <c:pt idx="15">
                  <c:v>39173</c:v>
                </c:pt>
                <c:pt idx="16">
                  <c:v>39203</c:v>
                </c:pt>
                <c:pt idx="17">
                  <c:v>39234</c:v>
                </c:pt>
                <c:pt idx="18">
                  <c:v>39264</c:v>
                </c:pt>
                <c:pt idx="19">
                  <c:v>39295</c:v>
                </c:pt>
                <c:pt idx="20">
                  <c:v>39326</c:v>
                </c:pt>
                <c:pt idx="21">
                  <c:v>39356</c:v>
                </c:pt>
                <c:pt idx="22">
                  <c:v>39387</c:v>
                </c:pt>
                <c:pt idx="23">
                  <c:v>39417</c:v>
                </c:pt>
                <c:pt idx="24">
                  <c:v>39448</c:v>
                </c:pt>
                <c:pt idx="25">
                  <c:v>39479</c:v>
                </c:pt>
                <c:pt idx="26">
                  <c:v>39508</c:v>
                </c:pt>
                <c:pt idx="27">
                  <c:v>39539</c:v>
                </c:pt>
                <c:pt idx="28">
                  <c:v>39569</c:v>
                </c:pt>
                <c:pt idx="29">
                  <c:v>39600</c:v>
                </c:pt>
                <c:pt idx="30">
                  <c:v>39630</c:v>
                </c:pt>
                <c:pt idx="31">
                  <c:v>39661</c:v>
                </c:pt>
                <c:pt idx="32">
                  <c:v>39692</c:v>
                </c:pt>
                <c:pt idx="33">
                  <c:v>39722</c:v>
                </c:pt>
                <c:pt idx="34">
                  <c:v>39753</c:v>
                </c:pt>
                <c:pt idx="35">
                  <c:v>39783</c:v>
                </c:pt>
                <c:pt idx="36">
                  <c:v>39814</c:v>
                </c:pt>
                <c:pt idx="37">
                  <c:v>39845</c:v>
                </c:pt>
                <c:pt idx="38">
                  <c:v>39873</c:v>
                </c:pt>
                <c:pt idx="39">
                  <c:v>39904</c:v>
                </c:pt>
                <c:pt idx="40">
                  <c:v>39934</c:v>
                </c:pt>
                <c:pt idx="41">
                  <c:v>39965</c:v>
                </c:pt>
                <c:pt idx="42">
                  <c:v>39995</c:v>
                </c:pt>
                <c:pt idx="43">
                  <c:v>40026</c:v>
                </c:pt>
                <c:pt idx="44">
                  <c:v>40057</c:v>
                </c:pt>
                <c:pt idx="45">
                  <c:v>40087</c:v>
                </c:pt>
                <c:pt idx="46">
                  <c:v>40118</c:v>
                </c:pt>
                <c:pt idx="47">
                  <c:v>40148</c:v>
                </c:pt>
                <c:pt idx="48">
                  <c:v>40179</c:v>
                </c:pt>
                <c:pt idx="49">
                  <c:v>40210</c:v>
                </c:pt>
                <c:pt idx="50">
                  <c:v>40238</c:v>
                </c:pt>
                <c:pt idx="51">
                  <c:v>40269</c:v>
                </c:pt>
                <c:pt idx="52">
                  <c:v>40299</c:v>
                </c:pt>
                <c:pt idx="53">
                  <c:v>40330</c:v>
                </c:pt>
                <c:pt idx="54">
                  <c:v>40360</c:v>
                </c:pt>
                <c:pt idx="55">
                  <c:v>40391</c:v>
                </c:pt>
                <c:pt idx="56">
                  <c:v>40422</c:v>
                </c:pt>
                <c:pt idx="57">
                  <c:v>40452</c:v>
                </c:pt>
                <c:pt idx="58">
                  <c:v>40483</c:v>
                </c:pt>
                <c:pt idx="59">
                  <c:v>40513</c:v>
                </c:pt>
                <c:pt idx="60">
                  <c:v>40544</c:v>
                </c:pt>
                <c:pt idx="61">
                  <c:v>40575</c:v>
                </c:pt>
                <c:pt idx="62">
                  <c:v>40603</c:v>
                </c:pt>
                <c:pt idx="63">
                  <c:v>40634</c:v>
                </c:pt>
                <c:pt idx="64">
                  <c:v>40664</c:v>
                </c:pt>
                <c:pt idx="65">
                  <c:v>40695</c:v>
                </c:pt>
                <c:pt idx="66">
                  <c:v>40725</c:v>
                </c:pt>
                <c:pt idx="67">
                  <c:v>40756</c:v>
                </c:pt>
                <c:pt idx="68">
                  <c:v>40787</c:v>
                </c:pt>
                <c:pt idx="69">
                  <c:v>40817</c:v>
                </c:pt>
                <c:pt idx="70">
                  <c:v>40848</c:v>
                </c:pt>
                <c:pt idx="71">
                  <c:v>40878</c:v>
                </c:pt>
                <c:pt idx="72">
                  <c:v>40909</c:v>
                </c:pt>
                <c:pt idx="73">
                  <c:v>40940</c:v>
                </c:pt>
                <c:pt idx="74">
                  <c:v>40969</c:v>
                </c:pt>
                <c:pt idx="75">
                  <c:v>41000</c:v>
                </c:pt>
                <c:pt idx="76">
                  <c:v>41030</c:v>
                </c:pt>
                <c:pt idx="77">
                  <c:v>41061</c:v>
                </c:pt>
                <c:pt idx="78">
                  <c:v>41091</c:v>
                </c:pt>
                <c:pt idx="79">
                  <c:v>41122</c:v>
                </c:pt>
                <c:pt idx="80">
                  <c:v>41153</c:v>
                </c:pt>
                <c:pt idx="81">
                  <c:v>41183</c:v>
                </c:pt>
                <c:pt idx="82">
                  <c:v>41214</c:v>
                </c:pt>
                <c:pt idx="83">
                  <c:v>41244</c:v>
                </c:pt>
                <c:pt idx="84">
                  <c:v>41275</c:v>
                </c:pt>
                <c:pt idx="85">
                  <c:v>41306</c:v>
                </c:pt>
                <c:pt idx="86">
                  <c:v>41334</c:v>
                </c:pt>
                <c:pt idx="87">
                  <c:v>41365</c:v>
                </c:pt>
                <c:pt idx="88">
                  <c:v>41395</c:v>
                </c:pt>
                <c:pt idx="89">
                  <c:v>41426</c:v>
                </c:pt>
                <c:pt idx="90">
                  <c:v>41456</c:v>
                </c:pt>
                <c:pt idx="91">
                  <c:v>41487</c:v>
                </c:pt>
                <c:pt idx="92">
                  <c:v>41518</c:v>
                </c:pt>
                <c:pt idx="93">
                  <c:v>41548</c:v>
                </c:pt>
                <c:pt idx="94">
                  <c:v>41579</c:v>
                </c:pt>
                <c:pt idx="95">
                  <c:v>41609</c:v>
                </c:pt>
                <c:pt idx="96">
                  <c:v>41640</c:v>
                </c:pt>
                <c:pt idx="97">
                  <c:v>41671</c:v>
                </c:pt>
                <c:pt idx="98">
                  <c:v>41699</c:v>
                </c:pt>
                <c:pt idx="99">
                  <c:v>41730</c:v>
                </c:pt>
                <c:pt idx="100">
                  <c:v>41760</c:v>
                </c:pt>
                <c:pt idx="101">
                  <c:v>41791</c:v>
                </c:pt>
                <c:pt idx="102">
                  <c:v>41821</c:v>
                </c:pt>
              </c:numCache>
            </c:numRef>
          </c:cat>
          <c:val>
            <c:numRef>
              <c:f>Sheet1!$D$10:$D$112</c:f>
              <c:numCache>
                <c:formatCode>0.0</c:formatCode>
                <c:ptCount val="103"/>
                <c:pt idx="0">
                  <c:v>13.195731284562212</c:v>
                </c:pt>
                <c:pt idx="1">
                  <c:v>12.18910701990059</c:v>
                </c:pt>
                <c:pt idx="2">
                  <c:v>11.799652587916258</c:v>
                </c:pt>
                <c:pt idx="3">
                  <c:v>10.934698244273072</c:v>
                </c:pt>
                <c:pt idx="4">
                  <c:v>10.51941123361871</c:v>
                </c:pt>
                <c:pt idx="5">
                  <c:v>10.539247982761401</c:v>
                </c:pt>
                <c:pt idx="6">
                  <c:v>10.435585729680506</c:v>
                </c:pt>
                <c:pt idx="7">
                  <c:v>10.681935831043429</c:v>
                </c:pt>
                <c:pt idx="8">
                  <c:v>10.49108220938354</c:v>
                </c:pt>
                <c:pt idx="9">
                  <c:v>9.5419556069482336</c:v>
                </c:pt>
                <c:pt idx="10">
                  <c:v>9.7576439934827626</c:v>
                </c:pt>
                <c:pt idx="11">
                  <c:v>8.9456242656632874</c:v>
                </c:pt>
                <c:pt idx="12">
                  <c:v>9.9597185414087015</c:v>
                </c:pt>
                <c:pt idx="13">
                  <c:v>10.09337540456138</c:v>
                </c:pt>
                <c:pt idx="14">
                  <c:v>9.9365252660750194</c:v>
                </c:pt>
                <c:pt idx="15">
                  <c:v>9.6237961900891218</c:v>
                </c:pt>
                <c:pt idx="16">
                  <c:v>10.592555497690439</c:v>
                </c:pt>
                <c:pt idx="17">
                  <c:v>8.945262665174905</c:v>
                </c:pt>
                <c:pt idx="18">
                  <c:v>10.056271850925015</c:v>
                </c:pt>
                <c:pt idx="19">
                  <c:v>8.9316699860857067</c:v>
                </c:pt>
                <c:pt idx="20">
                  <c:v>9.1344224207791189</c:v>
                </c:pt>
                <c:pt idx="21">
                  <c:v>8.7081474266862209</c:v>
                </c:pt>
                <c:pt idx="22">
                  <c:v>8.6495458621035084</c:v>
                </c:pt>
                <c:pt idx="23">
                  <c:v>7.8069636026742675</c:v>
                </c:pt>
                <c:pt idx="24">
                  <c:v>8.908230672488207</c:v>
                </c:pt>
                <c:pt idx="25">
                  <c:v>8.47560609697552</c:v>
                </c:pt>
                <c:pt idx="26">
                  <c:v>8.5930447432840378</c:v>
                </c:pt>
                <c:pt idx="27">
                  <c:v>8.0425700562000166</c:v>
                </c:pt>
                <c:pt idx="28">
                  <c:v>7.6732914743765237</c:v>
                </c:pt>
                <c:pt idx="29">
                  <c:v>8.009319189063703</c:v>
                </c:pt>
                <c:pt idx="30">
                  <c:v>7.8351309654812384</c:v>
                </c:pt>
                <c:pt idx="31">
                  <c:v>7.8544781027141362</c:v>
                </c:pt>
                <c:pt idx="32">
                  <c:v>8.1355818194672658</c:v>
                </c:pt>
                <c:pt idx="33">
                  <c:v>7.5139892363243694</c:v>
                </c:pt>
                <c:pt idx="34">
                  <c:v>6.5901660233861152</c:v>
                </c:pt>
                <c:pt idx="35">
                  <c:v>7.2228940427758435</c:v>
                </c:pt>
                <c:pt idx="36">
                  <c:v>8.2399713746579621</c:v>
                </c:pt>
                <c:pt idx="37">
                  <c:v>8.1190494187861812</c:v>
                </c:pt>
                <c:pt idx="38">
                  <c:v>8.2568989333458394</c:v>
                </c:pt>
                <c:pt idx="39">
                  <c:v>8.772699348002698</c:v>
                </c:pt>
                <c:pt idx="40">
                  <c:v>8.472734300964337</c:v>
                </c:pt>
                <c:pt idx="41">
                  <c:v>7.7526317365513862</c:v>
                </c:pt>
                <c:pt idx="42">
                  <c:v>7.2463989075747266</c:v>
                </c:pt>
                <c:pt idx="43">
                  <c:v>7.6488712441103131</c:v>
                </c:pt>
                <c:pt idx="44">
                  <c:v>7.7311181492970897</c:v>
                </c:pt>
                <c:pt idx="45">
                  <c:v>6.7294671333535758</c:v>
                </c:pt>
                <c:pt idx="46">
                  <c:v>7.2929143741845408</c:v>
                </c:pt>
                <c:pt idx="47">
                  <c:v>6.8480604216604197</c:v>
                </c:pt>
                <c:pt idx="48">
                  <c:v>6.8332313728139464</c:v>
                </c:pt>
                <c:pt idx="49">
                  <c:v>7.7773479848172355</c:v>
                </c:pt>
                <c:pt idx="50">
                  <c:v>7.8730529066465138</c:v>
                </c:pt>
                <c:pt idx="51">
                  <c:v>7.2249728048813235</c:v>
                </c:pt>
                <c:pt idx="52">
                  <c:v>8.283606936037847</c:v>
                </c:pt>
                <c:pt idx="53">
                  <c:v>6.9317349520244411</c:v>
                </c:pt>
                <c:pt idx="54">
                  <c:v>7.3725082449271415</c:v>
                </c:pt>
                <c:pt idx="55">
                  <c:v>6.6000217895245274</c:v>
                </c:pt>
                <c:pt idx="56">
                  <c:v>6.5581962034079293</c:v>
                </c:pt>
                <c:pt idx="57">
                  <c:v>6.4860376025596684</c:v>
                </c:pt>
                <c:pt idx="58">
                  <c:v>6.4825282710795396</c:v>
                </c:pt>
                <c:pt idx="59">
                  <c:v>5.7276145085455052</c:v>
                </c:pt>
                <c:pt idx="60">
                  <c:v>6.7290597071686564</c:v>
                </c:pt>
                <c:pt idx="61">
                  <c:v>6.6556658731972647</c:v>
                </c:pt>
                <c:pt idx="62">
                  <c:v>6.5891686250491768</c:v>
                </c:pt>
                <c:pt idx="63">
                  <c:v>7.1668676984410009</c:v>
                </c:pt>
                <c:pt idx="64">
                  <c:v>6.8093768133811059</c:v>
                </c:pt>
                <c:pt idx="65">
                  <c:v>5.7121104048718001</c:v>
                </c:pt>
                <c:pt idx="66">
                  <c:v>6.3283858955968588</c:v>
                </c:pt>
                <c:pt idx="67">
                  <c:v>6.2905846000045518</c:v>
                </c:pt>
                <c:pt idx="68">
                  <c:v>6.3295953166012655</c:v>
                </c:pt>
                <c:pt idx="69">
                  <c:v>5.9844973885586112</c:v>
                </c:pt>
                <c:pt idx="70">
                  <c:v>5.8349539790046538</c:v>
                </c:pt>
                <c:pt idx="71">
                  <c:v>5.586222591217739</c:v>
                </c:pt>
                <c:pt idx="72">
                  <c:v>6.1</c:v>
                </c:pt>
                <c:pt idx="73">
                  <c:v>6.3</c:v>
                </c:pt>
                <c:pt idx="74">
                  <c:v>5.6</c:v>
                </c:pt>
                <c:pt idx="75">
                  <c:v>6.3</c:v>
                </c:pt>
                <c:pt idx="76">
                  <c:v>7.2</c:v>
                </c:pt>
                <c:pt idx="77">
                  <c:v>7</c:v>
                </c:pt>
                <c:pt idx="78">
                  <c:v>6.9</c:v>
                </c:pt>
                <c:pt idx="79">
                  <c:v>5.7</c:v>
                </c:pt>
                <c:pt idx="80">
                  <c:v>7.1</c:v>
                </c:pt>
                <c:pt idx="81">
                  <c:v>5.8</c:v>
                </c:pt>
                <c:pt idx="82">
                  <c:v>6.4</c:v>
                </c:pt>
                <c:pt idx="83">
                  <c:v>5.6</c:v>
                </c:pt>
                <c:pt idx="84">
                  <c:v>7.0694999999999997</c:v>
                </c:pt>
                <c:pt idx="85">
                  <c:v>6.4846000000000004</c:v>
                </c:pt>
                <c:pt idx="86">
                  <c:v>6.9385000000000003</c:v>
                </c:pt>
                <c:pt idx="87">
                  <c:v>6.8356000000000003</c:v>
                </c:pt>
                <c:pt idx="88">
                  <c:v>6.5094000000000003</c:v>
                </c:pt>
                <c:pt idx="89">
                  <c:v>6.4661999999999997</c:v>
                </c:pt>
                <c:pt idx="90">
                  <c:v>6.8837999999999999</c:v>
                </c:pt>
                <c:pt idx="91">
                  <c:v>6.0011000000000001</c:v>
                </c:pt>
                <c:pt idx="92">
                  <c:v>6.0293000000000001</c:v>
                </c:pt>
                <c:pt idx="93">
                  <c:v>6.3727</c:v>
                </c:pt>
                <c:pt idx="94">
                  <c:v>6.4240000000000004</c:v>
                </c:pt>
                <c:pt idx="95">
                  <c:v>6.0220000000000002</c:v>
                </c:pt>
                <c:pt idx="96">
                  <c:v>6.7225999999999999</c:v>
                </c:pt>
                <c:pt idx="97">
                  <c:v>7.0313999999999997</c:v>
                </c:pt>
                <c:pt idx="98">
                  <c:v>6.3319999999999999</c:v>
                </c:pt>
                <c:pt idx="99">
                  <c:v>6.8044000000000002</c:v>
                </c:pt>
                <c:pt idx="100">
                  <c:v>6.7912999999999997</c:v>
                </c:pt>
                <c:pt idx="101">
                  <c:v>6.8540000000000001</c:v>
                </c:pt>
                <c:pt idx="102">
                  <c:v>5.6692</c:v>
                </c:pt>
              </c:numCache>
            </c:numRef>
          </c:val>
        </c:ser>
        <c:dLbls>
          <c:showLegendKey val="0"/>
          <c:showVal val="0"/>
          <c:showCatName val="0"/>
          <c:showSerName val="0"/>
          <c:showPercent val="0"/>
          <c:showBubbleSize val="0"/>
        </c:dLbls>
        <c:gapWidth val="150"/>
        <c:axId val="208394496"/>
        <c:axId val="208277504"/>
      </c:barChart>
      <c:dateAx>
        <c:axId val="208394496"/>
        <c:scaling>
          <c:orientation val="minMax"/>
        </c:scaling>
        <c:delete val="0"/>
        <c:axPos val="b"/>
        <c:numFmt formatCode="mmm\-yy" sourceLinked="1"/>
        <c:majorTickMark val="out"/>
        <c:minorTickMark val="none"/>
        <c:tickLblPos val="nextTo"/>
        <c:crossAx val="208277504"/>
        <c:crosses val="autoZero"/>
        <c:auto val="1"/>
        <c:lblOffset val="100"/>
        <c:baseTimeUnit val="months"/>
      </c:dateAx>
      <c:valAx>
        <c:axId val="208277504"/>
        <c:scaling>
          <c:orientation val="minMax"/>
          <c:max val="14"/>
          <c:min val="2"/>
        </c:scaling>
        <c:delete val="0"/>
        <c:axPos val="l"/>
        <c:majorGridlines/>
        <c:numFmt formatCode="0" sourceLinked="0"/>
        <c:majorTickMark val="out"/>
        <c:minorTickMark val="none"/>
        <c:tickLblPos val="nextTo"/>
        <c:crossAx val="208394496"/>
        <c:crosses val="autoZero"/>
        <c:crossBetween val="between"/>
        <c:majorUnit val="2"/>
        <c:minorUnit val="0.4"/>
      </c:valAx>
    </c:plotArea>
    <c:plotVisOnly val="1"/>
    <c:dispBlanksAs val="gap"/>
    <c:showDLblsOverMax val="0"/>
  </c:chart>
  <c:spPr>
    <a:ln w="6350">
      <a:solidFill>
        <a:schemeClr val="tx1">
          <a:lumMod val="95000"/>
          <a:lumOff val="5000"/>
        </a:schemeClr>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571741032371027E-2"/>
          <c:y val="5.1400554097404488E-2"/>
          <c:w val="0.8690115923009627"/>
          <c:h val="0.79822506561679785"/>
        </c:manualLayout>
      </c:layout>
      <c:areaChart>
        <c:grouping val="standard"/>
        <c:varyColors val="0"/>
        <c:ser>
          <c:idx val="1"/>
          <c:order val="0"/>
          <c:tx>
            <c:strRef>
              <c:f>RESULTADOS!$G$3</c:f>
              <c:strCache>
                <c:ptCount val="1"/>
                <c:pt idx="0">
                  <c:v>base (2,1%)</c:v>
                </c:pt>
              </c:strCache>
            </c:strRef>
          </c:tx>
          <c:spPr>
            <a:solidFill>
              <a:schemeClr val="bg1">
                <a:lumMod val="85000"/>
              </a:schemeClr>
            </a:solidFill>
            <a:ln>
              <a:solidFill>
                <a:schemeClr val="tx1"/>
              </a:solidFill>
            </a:ln>
          </c:spPr>
          <c:cat>
            <c:numRef>
              <c:f>RESULTADOS!$B$4:$B$30</c:f>
              <c:numCache>
                <c:formatCode>General</c:formatCode>
                <c:ptCount val="2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numCache>
            </c:numRef>
          </c:cat>
          <c:val>
            <c:numRef>
              <c:f>RESULTADOS!$G$4:$G$30</c:f>
              <c:numCache>
                <c:formatCode>0</c:formatCode>
                <c:ptCount val="27"/>
                <c:pt idx="0">
                  <c:v>0</c:v>
                </c:pt>
                <c:pt idx="1">
                  <c:v>31.648260396488784</c:v>
                </c:pt>
                <c:pt idx="2">
                  <c:v>41.901928640794196</c:v>
                </c:pt>
                <c:pt idx="3">
                  <c:v>82.234561419979428</c:v>
                </c:pt>
                <c:pt idx="4">
                  <c:v>119.17451606765881</c:v>
                </c:pt>
                <c:pt idx="5">
                  <c:v>153.19520274616858</c:v>
                </c:pt>
                <c:pt idx="6">
                  <c:v>169.31101029481312</c:v>
                </c:pt>
                <c:pt idx="7">
                  <c:v>183.24495244990601</c:v>
                </c:pt>
                <c:pt idx="8">
                  <c:v>210.67140263754618</c:v>
                </c:pt>
                <c:pt idx="9">
                  <c:v>180.0996324449471</c:v>
                </c:pt>
                <c:pt idx="10">
                  <c:v>152.30976311051995</c:v>
                </c:pt>
                <c:pt idx="11">
                  <c:v>127.73572309271202</c:v>
                </c:pt>
                <c:pt idx="12">
                  <c:v>104.70576008903097</c:v>
                </c:pt>
                <c:pt idx="13">
                  <c:v>100.72958964179499</c:v>
                </c:pt>
                <c:pt idx="14">
                  <c:v>98.588795020327993</c:v>
                </c:pt>
                <c:pt idx="15">
                  <c:v>81.085410754408102</c:v>
                </c:pt>
                <c:pt idx="16">
                  <c:v>65.079021138257701</c:v>
                </c:pt>
                <c:pt idx="17">
                  <c:v>50.425630759640669</c:v>
                </c:pt>
                <c:pt idx="18">
                  <c:v>36.995613970518818</c:v>
                </c:pt>
                <c:pt idx="19">
                  <c:v>24.672175200815445</c:v>
                </c:pt>
                <c:pt idx="20">
                  <c:v>13.349994590313926</c:v>
                </c:pt>
                <c:pt idx="21">
                  <c:v>2.9340328442617367</c:v>
                </c:pt>
                <c:pt idx="22">
                  <c:v>-6.6615264445317166</c:v>
                </c:pt>
                <c:pt idx="23">
                  <c:v>-15.514215256948177</c:v>
                </c:pt>
                <c:pt idx="24">
                  <c:v>-23.694115787934365</c:v>
                </c:pt>
                <c:pt idx="25">
                  <c:v>-31.26460432505985</c:v>
                </c:pt>
                <c:pt idx="26">
                  <c:v>-22.89872908455326</c:v>
                </c:pt>
              </c:numCache>
            </c:numRef>
          </c:val>
        </c:ser>
        <c:dLbls>
          <c:showLegendKey val="0"/>
          <c:showVal val="0"/>
          <c:showCatName val="0"/>
          <c:showSerName val="0"/>
          <c:showPercent val="0"/>
          <c:showBubbleSize val="0"/>
        </c:dLbls>
        <c:axId val="208296192"/>
        <c:axId val="208310272"/>
      </c:areaChart>
      <c:catAx>
        <c:axId val="208296192"/>
        <c:scaling>
          <c:orientation val="minMax"/>
        </c:scaling>
        <c:delete val="0"/>
        <c:axPos val="b"/>
        <c:numFmt formatCode="General" sourceLinked="1"/>
        <c:majorTickMark val="out"/>
        <c:minorTickMark val="none"/>
        <c:tickLblPos val="nextTo"/>
        <c:txPr>
          <a:bodyPr/>
          <a:lstStyle/>
          <a:p>
            <a:pPr>
              <a:defRPr lang="es-UY"/>
            </a:pPr>
            <a:endParaRPr lang="en-US"/>
          </a:p>
        </c:txPr>
        <c:crossAx val="208310272"/>
        <c:crosses val="autoZero"/>
        <c:auto val="1"/>
        <c:lblAlgn val="ctr"/>
        <c:lblOffset val="100"/>
        <c:noMultiLvlLbl val="0"/>
      </c:catAx>
      <c:valAx>
        <c:axId val="208310272"/>
        <c:scaling>
          <c:orientation val="minMax"/>
        </c:scaling>
        <c:delete val="0"/>
        <c:axPos val="l"/>
        <c:majorGridlines/>
        <c:numFmt formatCode="0" sourceLinked="1"/>
        <c:majorTickMark val="out"/>
        <c:minorTickMark val="none"/>
        <c:tickLblPos val="nextTo"/>
        <c:txPr>
          <a:bodyPr/>
          <a:lstStyle/>
          <a:p>
            <a:pPr>
              <a:defRPr lang="es-UY"/>
            </a:pPr>
            <a:endParaRPr lang="en-US"/>
          </a:p>
        </c:txPr>
        <c:crossAx val="208296192"/>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571741032371027E-2"/>
          <c:y val="5.1400554097404488E-2"/>
          <c:w val="0.8690115923009627"/>
          <c:h val="0.79822506561679785"/>
        </c:manualLayout>
      </c:layout>
      <c:areaChart>
        <c:grouping val="standard"/>
        <c:varyColors val="0"/>
        <c:ser>
          <c:idx val="0"/>
          <c:order val="0"/>
          <c:tx>
            <c:strRef>
              <c:f>RESULTADOS!$H$3</c:f>
              <c:strCache>
                <c:ptCount val="1"/>
                <c:pt idx="0">
                  <c:v>optim (3,6%)</c:v>
                </c:pt>
              </c:strCache>
            </c:strRef>
          </c:tx>
          <c:spPr>
            <a:solidFill>
              <a:schemeClr val="bg1">
                <a:lumMod val="65000"/>
              </a:schemeClr>
            </a:solidFill>
            <a:ln>
              <a:solidFill>
                <a:sysClr val="windowText" lastClr="000000"/>
              </a:solidFill>
            </a:ln>
          </c:spPr>
          <c:cat>
            <c:numRef>
              <c:f>RESULTADOS!$B$4:$B$30</c:f>
              <c:numCache>
                <c:formatCode>General</c:formatCode>
                <c:ptCount val="2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numCache>
            </c:numRef>
          </c:cat>
          <c:val>
            <c:numRef>
              <c:f>RESULTADOS!$H$4:$H$30</c:f>
              <c:numCache>
                <c:formatCode>0</c:formatCode>
                <c:ptCount val="27"/>
                <c:pt idx="0">
                  <c:v>0</c:v>
                </c:pt>
                <c:pt idx="1">
                  <c:v>80.004437629902995</c:v>
                </c:pt>
                <c:pt idx="2">
                  <c:v>133.68953150275905</c:v>
                </c:pt>
                <c:pt idx="3">
                  <c:v>213.35251095782863</c:v>
                </c:pt>
                <c:pt idx="4">
                  <c:v>286.17762056897539</c:v>
                </c:pt>
                <c:pt idx="5">
                  <c:v>353.16869400945717</c:v>
                </c:pt>
                <c:pt idx="6">
                  <c:v>296.83218740125176</c:v>
                </c:pt>
                <c:pt idx="7">
                  <c:v>244.33710086922653</c:v>
                </c:pt>
                <c:pt idx="8">
                  <c:v>210.6714026375644</c:v>
                </c:pt>
                <c:pt idx="9">
                  <c:v>180.09963244496532</c:v>
                </c:pt>
                <c:pt idx="10">
                  <c:v>152.30976311053811</c:v>
                </c:pt>
                <c:pt idx="11">
                  <c:v>127.7357230927302</c:v>
                </c:pt>
                <c:pt idx="12">
                  <c:v>104.70576008904916</c:v>
                </c:pt>
                <c:pt idx="13">
                  <c:v>100.72958964181321</c:v>
                </c:pt>
                <c:pt idx="14">
                  <c:v>98.588795020346183</c:v>
                </c:pt>
                <c:pt idx="15">
                  <c:v>81.085410754426277</c:v>
                </c:pt>
                <c:pt idx="16">
                  <c:v>65.079021138275891</c:v>
                </c:pt>
                <c:pt idx="17">
                  <c:v>50.425630759658873</c:v>
                </c:pt>
                <c:pt idx="18">
                  <c:v>36.995613970537008</c:v>
                </c:pt>
                <c:pt idx="19">
                  <c:v>24.672175200833632</c:v>
                </c:pt>
                <c:pt idx="20">
                  <c:v>13.349994590332116</c:v>
                </c:pt>
                <c:pt idx="21">
                  <c:v>2.9340328442799262</c:v>
                </c:pt>
                <c:pt idx="22">
                  <c:v>-6.6615264445135276</c:v>
                </c:pt>
                <c:pt idx="23">
                  <c:v>-15.514215256929988</c:v>
                </c:pt>
                <c:pt idx="24">
                  <c:v>-23.694115787916179</c:v>
                </c:pt>
                <c:pt idx="25">
                  <c:v>-31.26460432504166</c:v>
                </c:pt>
                <c:pt idx="26">
                  <c:v>-22.89872908453507</c:v>
                </c:pt>
              </c:numCache>
            </c:numRef>
          </c:val>
        </c:ser>
        <c:ser>
          <c:idx val="1"/>
          <c:order val="1"/>
          <c:tx>
            <c:strRef>
              <c:f>RESULTADOS!$G$3</c:f>
              <c:strCache>
                <c:ptCount val="1"/>
                <c:pt idx="0">
                  <c:v>base (2,1%)</c:v>
                </c:pt>
              </c:strCache>
            </c:strRef>
          </c:tx>
          <c:spPr>
            <a:solidFill>
              <a:schemeClr val="bg1">
                <a:lumMod val="85000"/>
              </a:schemeClr>
            </a:solidFill>
            <a:ln>
              <a:solidFill>
                <a:schemeClr val="tx1"/>
              </a:solidFill>
            </a:ln>
          </c:spPr>
          <c:cat>
            <c:numRef>
              <c:f>RESULTADOS!$B$4:$B$30</c:f>
              <c:numCache>
                <c:formatCode>General</c:formatCode>
                <c:ptCount val="2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numCache>
            </c:numRef>
          </c:cat>
          <c:val>
            <c:numRef>
              <c:f>RESULTADOS!$G$4:$G$30</c:f>
              <c:numCache>
                <c:formatCode>0</c:formatCode>
                <c:ptCount val="27"/>
                <c:pt idx="0">
                  <c:v>0</c:v>
                </c:pt>
                <c:pt idx="1">
                  <c:v>31.648260396488784</c:v>
                </c:pt>
                <c:pt idx="2">
                  <c:v>41.901928640794196</c:v>
                </c:pt>
                <c:pt idx="3">
                  <c:v>82.234561419979428</c:v>
                </c:pt>
                <c:pt idx="4">
                  <c:v>119.17451606765881</c:v>
                </c:pt>
                <c:pt idx="5">
                  <c:v>153.19520274616858</c:v>
                </c:pt>
                <c:pt idx="6">
                  <c:v>169.31101029481312</c:v>
                </c:pt>
                <c:pt idx="7">
                  <c:v>183.24495244990601</c:v>
                </c:pt>
                <c:pt idx="8">
                  <c:v>210.67140263754618</c:v>
                </c:pt>
                <c:pt idx="9">
                  <c:v>180.0996324449471</c:v>
                </c:pt>
                <c:pt idx="10">
                  <c:v>152.30976311051995</c:v>
                </c:pt>
                <c:pt idx="11">
                  <c:v>127.73572309271202</c:v>
                </c:pt>
                <c:pt idx="12">
                  <c:v>104.70576008903097</c:v>
                </c:pt>
                <c:pt idx="13">
                  <c:v>100.72958964179499</c:v>
                </c:pt>
                <c:pt idx="14">
                  <c:v>98.588795020327993</c:v>
                </c:pt>
                <c:pt idx="15">
                  <c:v>81.085410754408102</c:v>
                </c:pt>
                <c:pt idx="16">
                  <c:v>65.079021138257701</c:v>
                </c:pt>
                <c:pt idx="17">
                  <c:v>50.425630759640669</c:v>
                </c:pt>
                <c:pt idx="18">
                  <c:v>36.995613970518818</c:v>
                </c:pt>
                <c:pt idx="19">
                  <c:v>24.672175200815445</c:v>
                </c:pt>
                <c:pt idx="20">
                  <c:v>13.349994590313926</c:v>
                </c:pt>
                <c:pt idx="21">
                  <c:v>2.9340328442617367</c:v>
                </c:pt>
                <c:pt idx="22">
                  <c:v>-6.6615264445317166</c:v>
                </c:pt>
                <c:pt idx="23">
                  <c:v>-15.514215256948177</c:v>
                </c:pt>
                <c:pt idx="24">
                  <c:v>-23.694115787934365</c:v>
                </c:pt>
                <c:pt idx="25">
                  <c:v>-31.26460432505985</c:v>
                </c:pt>
                <c:pt idx="26">
                  <c:v>-22.89872908455326</c:v>
                </c:pt>
              </c:numCache>
            </c:numRef>
          </c:val>
        </c:ser>
        <c:ser>
          <c:idx val="2"/>
          <c:order val="2"/>
          <c:tx>
            <c:strRef>
              <c:f>RESULTADOS!$I$3</c:f>
              <c:strCache>
                <c:ptCount val="1"/>
                <c:pt idx="0">
                  <c:v>pesim (1,0%)</c:v>
                </c:pt>
              </c:strCache>
            </c:strRef>
          </c:tx>
          <c:spPr>
            <a:solidFill>
              <a:schemeClr val="tx1"/>
            </a:solidFill>
          </c:spPr>
          <c:cat>
            <c:numRef>
              <c:f>RESULTADOS!$B$4:$B$30</c:f>
              <c:numCache>
                <c:formatCode>General</c:formatCode>
                <c:ptCount val="2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numCache>
            </c:numRef>
          </c:cat>
          <c:val>
            <c:numRef>
              <c:f>RESULTADOS!$I$4:$I$30</c:f>
              <c:numCache>
                <c:formatCode>0</c:formatCode>
                <c:ptCount val="27"/>
                <c:pt idx="0">
                  <c:v>0</c:v>
                </c:pt>
                <c:pt idx="1">
                  <c:v>-2.8198902460698321</c:v>
                </c:pt>
                <c:pt idx="2">
                  <c:v>-23.805995290733858</c:v>
                </c:pt>
                <c:pt idx="3">
                  <c:v>-11.973080829452543</c:v>
                </c:pt>
                <c:pt idx="4">
                  <c:v>-1.193158244302488</c:v>
                </c:pt>
                <c:pt idx="5">
                  <c:v>8.6750291808041009</c:v>
                </c:pt>
                <c:pt idx="6">
                  <c:v>2.3674079926141331</c:v>
                </c:pt>
                <c:pt idx="7">
                  <c:v>-4.628648694106289</c:v>
                </c:pt>
                <c:pt idx="8">
                  <c:v>3.1601540634451628</c:v>
                </c:pt>
                <c:pt idx="9">
                  <c:v>10.426860054841327</c:v>
                </c:pt>
                <c:pt idx="10">
                  <c:v>17.239031380086775</c:v>
                </c:pt>
                <c:pt idx="11">
                  <c:v>24.367842537514814</c:v>
                </c:pt>
                <c:pt idx="12">
                  <c:v>30.441948948975348</c:v>
                </c:pt>
                <c:pt idx="13">
                  <c:v>53.239281070129913</c:v>
                </c:pt>
                <c:pt idx="14">
                  <c:v>75.781391119991198</c:v>
                </c:pt>
                <c:pt idx="15">
                  <c:v>81.085410754386288</c:v>
                </c:pt>
                <c:pt idx="16">
                  <c:v>65.079021138235888</c:v>
                </c:pt>
                <c:pt idx="17">
                  <c:v>50.425630759618855</c:v>
                </c:pt>
                <c:pt idx="18">
                  <c:v>36.995613970496983</c:v>
                </c:pt>
                <c:pt idx="19">
                  <c:v>24.672175200793617</c:v>
                </c:pt>
                <c:pt idx="20">
                  <c:v>13.3499945902921</c:v>
                </c:pt>
                <c:pt idx="21">
                  <c:v>2.9340328442399084</c:v>
                </c:pt>
                <c:pt idx="22">
                  <c:v>-6.6615264445535454</c:v>
                </c:pt>
                <c:pt idx="23">
                  <c:v>-15.514215256973642</c:v>
                </c:pt>
                <c:pt idx="24">
                  <c:v>-23.694115787959831</c:v>
                </c:pt>
                <c:pt idx="25">
                  <c:v>-31.264604325085312</c:v>
                </c:pt>
                <c:pt idx="26">
                  <c:v>-22.898729084578726</c:v>
                </c:pt>
              </c:numCache>
            </c:numRef>
          </c:val>
        </c:ser>
        <c:dLbls>
          <c:showLegendKey val="0"/>
          <c:showVal val="0"/>
          <c:showCatName val="0"/>
          <c:showSerName val="0"/>
          <c:showPercent val="0"/>
          <c:showBubbleSize val="0"/>
        </c:dLbls>
        <c:axId val="208335616"/>
        <c:axId val="208337152"/>
      </c:areaChart>
      <c:catAx>
        <c:axId val="208335616"/>
        <c:scaling>
          <c:orientation val="minMax"/>
        </c:scaling>
        <c:delete val="0"/>
        <c:axPos val="b"/>
        <c:numFmt formatCode="General" sourceLinked="1"/>
        <c:majorTickMark val="out"/>
        <c:minorTickMark val="none"/>
        <c:tickLblPos val="nextTo"/>
        <c:txPr>
          <a:bodyPr/>
          <a:lstStyle/>
          <a:p>
            <a:pPr>
              <a:defRPr lang="es-UY"/>
            </a:pPr>
            <a:endParaRPr lang="en-US"/>
          </a:p>
        </c:txPr>
        <c:crossAx val="208337152"/>
        <c:crosses val="autoZero"/>
        <c:auto val="1"/>
        <c:lblAlgn val="ctr"/>
        <c:lblOffset val="100"/>
        <c:noMultiLvlLbl val="0"/>
      </c:catAx>
      <c:valAx>
        <c:axId val="208337152"/>
        <c:scaling>
          <c:orientation val="minMax"/>
        </c:scaling>
        <c:delete val="0"/>
        <c:axPos val="l"/>
        <c:majorGridlines/>
        <c:numFmt formatCode="0" sourceLinked="1"/>
        <c:majorTickMark val="out"/>
        <c:minorTickMark val="none"/>
        <c:tickLblPos val="nextTo"/>
        <c:txPr>
          <a:bodyPr/>
          <a:lstStyle/>
          <a:p>
            <a:pPr>
              <a:defRPr lang="es-UY"/>
            </a:pPr>
            <a:endParaRPr lang="en-US"/>
          </a:p>
        </c:txPr>
        <c:crossAx val="208335616"/>
        <c:crosses val="autoZero"/>
        <c:crossBetween val="midCat"/>
      </c:valAx>
    </c:plotArea>
    <c:legend>
      <c:legendPos val="r"/>
      <c:layout>
        <c:manualLayout>
          <c:xMode val="edge"/>
          <c:yMode val="edge"/>
          <c:x val="0.63579637596846783"/>
          <c:y val="5.9609215514727323E-2"/>
          <c:w val="0.25350398210532959"/>
          <c:h val="0.24652194517351997"/>
        </c:manualLayout>
      </c:layout>
      <c:overlay val="0"/>
      <c:txPr>
        <a:bodyPr/>
        <a:lstStyle/>
        <a:p>
          <a:pPr>
            <a:defRPr lang="es-UY"/>
          </a:pPr>
          <a:endParaRPr lang="en-US"/>
        </a:p>
      </c:txPr>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0.54814</cdr:x>
      <cdr:y>0.6277</cdr:y>
    </cdr:from>
    <cdr:to>
      <cdr:x>0.66925</cdr:x>
      <cdr:y>0.68672</cdr:y>
    </cdr:to>
    <cdr:sp macro="" textlink="">
      <cdr:nvSpPr>
        <cdr:cNvPr id="5" name="TextBox 4"/>
        <cdr:cNvSpPr txBox="1"/>
      </cdr:nvSpPr>
      <cdr:spPr>
        <a:xfrm xmlns:a="http://schemas.openxmlformats.org/drawingml/2006/main">
          <a:off x="3362325" y="2633664"/>
          <a:ext cx="74295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AR" sz="700" b="1"/>
            <a:t>Uruguay</a:t>
          </a:r>
        </a:p>
      </cdr:txBody>
    </cdr:sp>
  </cdr:relSizeAnchor>
  <cdr:relSizeAnchor xmlns:cdr="http://schemas.openxmlformats.org/drawingml/2006/chartDrawing">
    <cdr:from>
      <cdr:x>0.59112</cdr:x>
      <cdr:y>0.56863</cdr:y>
    </cdr:from>
    <cdr:to>
      <cdr:x>0.60199</cdr:x>
      <cdr:y>0.64355</cdr:y>
    </cdr:to>
    <cdr:cxnSp macro="">
      <cdr:nvCxnSpPr>
        <cdr:cNvPr id="7" name="Straight Arrow Connector 6"/>
        <cdr:cNvCxnSpPr/>
      </cdr:nvCxnSpPr>
      <cdr:spPr>
        <a:xfrm xmlns:a="http://schemas.openxmlformats.org/drawingml/2006/main" flipH="1" flipV="1">
          <a:off x="2817075" y="1705382"/>
          <a:ext cx="51803" cy="224693"/>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87999E84451634A9B164DECBA72C60A" ma:contentTypeVersion="0" ma:contentTypeDescription="A content type to manage public (operations) IDB documents" ma:contentTypeScope="" ma:versionID="d95bbb1026d74b977ce269aea7e5da10">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39115940</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Pablo Marcelo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UR-L1106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CE-APO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87F570-4752-4CDA-A03A-38F8C9505E68}"/>
</file>

<file path=customXml/itemProps2.xml><?xml version="1.0" encoding="utf-8"?>
<ds:datastoreItem xmlns:ds="http://schemas.openxmlformats.org/officeDocument/2006/customXml" ds:itemID="{4A999429-42DE-456E-B091-D6D7D430C2BD}"/>
</file>

<file path=customXml/itemProps3.xml><?xml version="1.0" encoding="utf-8"?>
<ds:datastoreItem xmlns:ds="http://schemas.openxmlformats.org/officeDocument/2006/customXml" ds:itemID="{170D871D-BFDC-4BB9-84AD-FC0C48ACE76E}"/>
</file>

<file path=customXml/itemProps4.xml><?xml version="1.0" encoding="utf-8"?>
<ds:datastoreItem xmlns:ds="http://schemas.openxmlformats.org/officeDocument/2006/customXml" ds:itemID="{E871B14A-7F09-4504-A755-6B4F3B779155}"/>
</file>

<file path=customXml/itemProps5.xml><?xml version="1.0" encoding="utf-8"?>
<ds:datastoreItem xmlns:ds="http://schemas.openxmlformats.org/officeDocument/2006/customXml" ds:itemID="{FC106B4E-631A-42DD-924D-C0EDAABA406C}"/>
</file>

<file path=customXml/itemProps6.xml><?xml version="1.0" encoding="utf-8"?>
<ds:datastoreItem xmlns:ds="http://schemas.openxmlformats.org/officeDocument/2006/customXml" ds:itemID="{047DB9E6-2DAC-44B9-9C37-19C3EF25A7D0}"/>
</file>

<file path=docProps/app.xml><?xml version="1.0" encoding="utf-8"?>
<Properties xmlns="http://schemas.openxmlformats.org/officeDocument/2006/extended-properties" xmlns:vt="http://schemas.openxmlformats.org/officeDocument/2006/docPropsVTypes">
  <Template>Normal.dotm</Template>
  <TotalTime>2</TotalTime>
  <Pages>14</Pages>
  <Words>4081</Words>
  <Characters>23263</Characters>
  <Application>Microsoft Office Word</Application>
  <DocSecurity>4</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UR-L1106</dc:title>
  <dc:creator>Alvaro</dc:creator>
  <cp:lastModifiedBy>Test</cp:lastModifiedBy>
  <cp:revision>2</cp:revision>
  <cp:lastPrinted>2014-10-02T19:50:00Z</cp:lastPrinted>
  <dcterms:created xsi:type="dcterms:W3CDTF">2014-10-06T17:45:00Z</dcterms:created>
  <dcterms:modified xsi:type="dcterms:W3CDTF">2014-10-06T17:45:00Z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0x01010046CF21643EE8D14686A648AA6DAD089200F87999E84451634A9B164DECBA72C60A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